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5303520</wp:posOffset>
            </wp:positionH>
            <wp:positionV relativeFrom="paragraph">
              <wp:posOffset>-605155</wp:posOffset>
            </wp:positionV>
            <wp:extent cx="8255" cy="6057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05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3993515</wp:posOffset>
            </wp:positionH>
            <wp:positionV relativeFrom="paragraph">
              <wp:posOffset>-613410</wp:posOffset>
            </wp:positionV>
            <wp:extent cx="8255" cy="6140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40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4018280</wp:posOffset>
            </wp:positionH>
            <wp:positionV relativeFrom="paragraph">
              <wp:posOffset>-588645</wp:posOffset>
            </wp:positionV>
            <wp:extent cx="1269365" cy="5651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9365" cy="565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-1623060</wp:posOffset>
            </wp:positionH>
            <wp:positionV relativeFrom="paragraph">
              <wp:posOffset>28575</wp:posOffset>
            </wp:positionV>
            <wp:extent cx="6968490" cy="17443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8490" cy="17443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Caffo Nathan</w:t>
        </w:r>
      </w:hyperlink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C/O ALX ONCOLOGY HOLDINGS INC.</w:t>
      </w:r>
    </w:p>
    <w:p>
      <w:pPr>
        <w:spacing w:after="0" w:line="7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866 MALCOLM ROAD, SUITE 100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 w:line="237" w:lineRule="auto"/>
        <w:rPr>
          <w:rFonts w:ascii="Arial" w:cs="Arial" w:eastAsia="Arial" w:hAnsi="Arial"/>
          <w:sz w:val="21"/>
          <w:szCs w:val="21"/>
          <w:color w:val="0000EE"/>
        </w:rPr>
      </w:pPr>
      <w:hyperlink r:id="rId14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ALX ONCOLOGY HOLDINGS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 xml:space="preserve">ALXO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07/16/2020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right="620"/>
        <w:spacing w:after="0" w:line="23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2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Business Officer</w:t>
      </w:r>
    </w:p>
    <w:p>
      <w:pPr>
        <w:spacing w:after="0" w:line="42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260" w:space="560"/>
            <w:col w:w="3340"/>
          </w:cols>
          <w:pgMar w:left="460" w:top="221" w:right="359" w:bottom="1440" w:gutter="0" w:footer="0" w:header="0"/>
          <w:type w:val="continuous"/>
        </w:sectPr>
      </w:pPr>
    </w:p>
    <w:p>
      <w:pPr>
        <w:spacing w:after="0" w:line="25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1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BURLINGAME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94107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18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-2486660</wp:posOffset>
            </wp:positionH>
            <wp:positionV relativeFrom="paragraph">
              <wp:posOffset>208280</wp:posOffset>
            </wp:positionV>
            <wp:extent cx="6968490" cy="87630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8490" cy="876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1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1905</wp:posOffset>
            </wp:positionH>
            <wp:positionV relativeFrom="paragraph">
              <wp:posOffset>-15875</wp:posOffset>
            </wp:positionV>
            <wp:extent cx="7033895" cy="218630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895" cy="21863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99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22,794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68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3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19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07/16/2020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22,794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07/16/2030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22,794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ectPr>
          <w:pgSz w:w="11900" w:h="16838" w:orient="portrait"/>
          <w:cols w:equalWidth="0" w:num="1">
            <w:col w:w="11080"/>
          </w:cols>
          <w:pgMar w:left="460" w:top="221" w:right="359" w:bottom="1440" w:gutter="0" w:footer="0" w:header="0"/>
          <w:type w:val="continuous"/>
        </w:sectPr>
      </w:pP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Shares subject to the option vest in 48 equal monthly installments beginning on August 16, 2020.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5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/s/ Peter Garcia, by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2540</wp:posOffset>
            </wp:positionV>
            <wp:extent cx="122364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36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-15875</wp:posOffset>
            </wp:positionV>
            <wp:extent cx="3486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86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07/17/2020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-635</wp:posOffset>
            </wp:positionH>
            <wp:positionV relativeFrom="paragraph">
              <wp:posOffset>2540</wp:posOffset>
            </wp:positionV>
            <wp:extent cx="485140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1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7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520" w:space="280"/>
            <w:col w:w="2280"/>
          </w:cols>
          <w:pgMar w:left="460" w:top="221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4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13" Type="http://schemas.openxmlformats.org/officeDocument/2006/relationships/hyperlink" Target="http://www.sec.gov/cgi-bin/browse-edgar?action=getcompany&amp;CIK=0001816992" TargetMode="External"/><Relationship Id="rId14" Type="http://schemas.openxmlformats.org/officeDocument/2006/relationships/hyperlink" Target="http://www.sec.gov/cgi-bin/browse-edgar?action=getcompany&amp;CIK=000181018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2020-07-17T18:03:12Z</dcterms:created>
  <dcterms:modified xsi:type="dcterms:W3CDTF">2020-07-17T18:03:12Z</dcterms:modified>
</cp:coreProperties>
</file>