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ALX ONCOLOGY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00166B105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80"/>
        <w:spacing w:after="0"/>
        <w:rPr>
          <w:sz w:val="20"/>
          <w:szCs w:val="20"/>
          <w:color w:val="auto"/>
        </w:rPr>
      </w:pPr>
      <w:r>
        <w:rPr>
          <w:rFonts w:ascii="Arial" w:cs="Arial" w:eastAsia="Arial" w:hAnsi="Arial"/>
          <w:sz w:val="22"/>
          <w:szCs w:val="22"/>
          <w:color w:val="auto"/>
        </w:rPr>
        <w:t>August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00166B105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0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3,681,163</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4,205,127</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4,205,127</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10.42%</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00166B105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0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3,681,163</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4,205,127</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4,205,127</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10.42%</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00166B105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0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3,681,163</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4,205,127</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4,205,127</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10.42%</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4" w:name="page5"/>
    <w:bookmarkEnd w:id="4"/>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00166B105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480" w:type="dxa"/>
            <w:vAlign w:val="bottom"/>
          </w:tcPr>
          <w:p>
            <w:pPr>
              <w:spacing w:after="0"/>
              <w:rPr>
                <w:sz w:val="23"/>
                <w:szCs w:val="23"/>
                <w:color w:val="auto"/>
              </w:rPr>
            </w:pPr>
          </w:p>
        </w:tc>
        <w:tc>
          <w:tcPr>
            <w:tcW w:w="6340" w:type="dxa"/>
            <w:vAlign w:val="bottom"/>
          </w:tcPr>
          <w:p>
            <w:pPr>
              <w:ind w:left="18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63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480" w:type="dxa"/>
            <w:vAlign w:val="bottom"/>
          </w:tcPr>
          <w:p>
            <w:pPr>
              <w:spacing w:after="0"/>
              <w:rPr>
                <w:sz w:val="21"/>
                <w:szCs w:val="21"/>
                <w:color w:val="auto"/>
              </w:rPr>
            </w:pPr>
          </w:p>
        </w:tc>
        <w:tc>
          <w:tcPr>
            <w:tcW w:w="6340" w:type="dxa"/>
            <w:vAlign w:val="bottom"/>
            <w:vMerge w:val="restart"/>
          </w:tcPr>
          <w:p>
            <w:pPr>
              <w:ind w:left="18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3,561,736</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480" w:type="dxa"/>
            <w:vAlign w:val="bottom"/>
          </w:tcPr>
          <w:p>
            <w:pPr>
              <w:spacing w:after="0"/>
              <w:rPr>
                <w:sz w:val="14"/>
                <w:szCs w:val="14"/>
                <w:color w:val="auto"/>
              </w:rPr>
            </w:pPr>
          </w:p>
        </w:tc>
        <w:tc>
          <w:tcPr>
            <w:tcW w:w="634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634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40" w:type="dxa"/>
            <w:vAlign w:val="bottom"/>
            <w:vMerge w:val="restart"/>
          </w:tcPr>
          <w:p>
            <w:pPr>
              <w:ind w:left="18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480" w:type="dxa"/>
            <w:vAlign w:val="bottom"/>
          </w:tcPr>
          <w:p>
            <w:pPr>
              <w:spacing w:after="0"/>
              <w:rPr>
                <w:sz w:val="12"/>
                <w:szCs w:val="12"/>
                <w:color w:val="auto"/>
              </w:rPr>
            </w:pPr>
          </w:p>
        </w:tc>
        <w:tc>
          <w:tcPr>
            <w:tcW w:w="634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63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480" w:type="dxa"/>
            <w:vAlign w:val="bottom"/>
          </w:tcPr>
          <w:p>
            <w:pPr>
              <w:spacing w:after="0"/>
              <w:rPr>
                <w:sz w:val="23"/>
                <w:szCs w:val="23"/>
                <w:color w:val="auto"/>
              </w:rPr>
            </w:pPr>
          </w:p>
        </w:tc>
        <w:tc>
          <w:tcPr>
            <w:tcW w:w="6340" w:type="dxa"/>
            <w:vAlign w:val="bottom"/>
            <w:vMerge w:val="restart"/>
          </w:tcPr>
          <w:p>
            <w:pPr>
              <w:ind w:left="18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3,708,185</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34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3,708,185</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22"/>
                <w:szCs w:val="22"/>
                <w:color w:val="auto"/>
              </w:rPr>
              <w:t>[ ]</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9.19%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22"/>
                <w:szCs w:val="22"/>
                <w:color w:val="auto"/>
              </w:rPr>
              <w:t>IA</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34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60" w:hanging="401"/>
        <w:spacing w:after="0"/>
        <w:tabs>
          <w:tab w:leader="none" w:pos="17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60"/>
        <w:spacing w:after="0"/>
        <w:rPr>
          <w:rFonts w:ascii="Arial" w:cs="Arial" w:eastAsia="Arial" w:hAnsi="Arial"/>
          <w:sz w:val="22"/>
          <w:szCs w:val="22"/>
          <w:b w:val="1"/>
          <w:bCs w:val="1"/>
          <w:color w:val="auto"/>
        </w:rPr>
      </w:pPr>
      <w:r>
        <w:rPr>
          <w:rFonts w:ascii="Arial" w:cs="Arial" w:eastAsia="Arial" w:hAnsi="Arial"/>
          <w:sz w:val="22"/>
          <w:szCs w:val="22"/>
          <w:color w:val="auto"/>
        </w:rPr>
        <w:t>ALX ONCOLOGY HOLDINGS INC</w:t>
      </w:r>
    </w:p>
    <w:p>
      <w:pPr>
        <w:spacing w:after="0" w:line="101" w:lineRule="exact"/>
        <w:rPr>
          <w:rFonts w:ascii="Arial" w:cs="Arial" w:eastAsia="Arial" w:hAnsi="Arial"/>
          <w:sz w:val="22"/>
          <w:szCs w:val="22"/>
          <w:b w:val="1"/>
          <w:bCs w:val="1"/>
          <w:color w:val="auto"/>
        </w:rPr>
      </w:pPr>
    </w:p>
    <w:p>
      <w:pPr>
        <w:ind w:left="1760" w:right="4960" w:hanging="401"/>
        <w:spacing w:after="0" w:line="241" w:lineRule="auto"/>
        <w:tabs>
          <w:tab w:leader="none" w:pos="17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866 Malcolm Road</w:t>
      </w:r>
    </w:p>
    <w:p>
      <w:pPr>
        <w:spacing w:after="0" w:line="1" w:lineRule="exact"/>
        <w:rPr>
          <w:rFonts w:ascii="Arial" w:cs="Arial" w:eastAsia="Arial" w:hAnsi="Arial"/>
          <w:sz w:val="22"/>
          <w:szCs w:val="22"/>
          <w:b w:val="1"/>
          <w:bCs w:val="1"/>
          <w:color w:val="auto"/>
        </w:rPr>
      </w:pPr>
    </w:p>
    <w:p>
      <w:pPr>
        <w:ind w:left="176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Suite 100</w:t>
      </w:r>
    </w:p>
    <w:p>
      <w:pPr>
        <w:ind w:left="1760"/>
        <w:spacing w:after="0"/>
        <w:rPr>
          <w:rFonts w:ascii="Arial" w:cs="Arial" w:eastAsia="Arial" w:hAnsi="Arial"/>
          <w:sz w:val="22"/>
          <w:szCs w:val="22"/>
          <w:b w:val="1"/>
          <w:bCs w:val="1"/>
          <w:color w:val="auto"/>
        </w:rPr>
      </w:pPr>
      <w:r>
        <w:rPr>
          <w:rFonts w:ascii="Arial" w:cs="Arial" w:eastAsia="Arial" w:hAnsi="Arial"/>
          <w:sz w:val="22"/>
          <w:szCs w:val="22"/>
          <w:color w:val="auto"/>
        </w:rPr>
        <w:t>Burlingame, CA 94010</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60" w:hanging="401"/>
        <w:spacing w:after="0"/>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60" w:right="518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Wellington Group Holdings LLP Wellington Investment Advisors Holdings LLP Wellington Management Company LLP</w:t>
      </w:r>
    </w:p>
    <w:p>
      <w:pPr>
        <w:spacing w:after="0" w:line="92" w:lineRule="exact"/>
        <w:rPr>
          <w:rFonts w:ascii="Arial" w:cs="Arial" w:eastAsia="Arial" w:hAnsi="Arial"/>
          <w:sz w:val="22"/>
          <w:szCs w:val="22"/>
          <w:b w:val="1"/>
          <w:bCs w:val="1"/>
          <w:color w:val="auto"/>
        </w:rPr>
      </w:pPr>
    </w:p>
    <w:p>
      <w:pPr>
        <w:ind w:left="1760" w:right="3880" w:hanging="401"/>
        <w:spacing w:after="0" w:line="241" w:lineRule="auto"/>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spacing w:after="0" w:line="1" w:lineRule="exact"/>
        <w:rPr>
          <w:rFonts w:ascii="Arial" w:cs="Arial" w:eastAsia="Arial" w:hAnsi="Arial"/>
          <w:sz w:val="22"/>
          <w:szCs w:val="22"/>
          <w:b w:val="1"/>
          <w:bCs w:val="1"/>
          <w:color w:val="auto"/>
        </w:rPr>
      </w:pPr>
    </w:p>
    <w:p>
      <w:pPr>
        <w:ind w:left="1760" w:right="75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60" w:hanging="401"/>
        <w:spacing w:after="0"/>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60" w:right="418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 Massachusetts Wellington Group Holdings LLP - Delaware Wellington Investment Advisors Holdings LLP - Delaware Wellington Management Company LLP - Delaware</w:t>
      </w:r>
    </w:p>
    <w:p>
      <w:pPr>
        <w:spacing w:after="0" w:line="92" w:lineRule="exact"/>
        <w:rPr>
          <w:rFonts w:ascii="Arial" w:cs="Arial" w:eastAsia="Arial" w:hAnsi="Arial"/>
          <w:sz w:val="22"/>
          <w:szCs w:val="22"/>
          <w:b w:val="1"/>
          <w:bCs w:val="1"/>
          <w:color w:val="auto"/>
        </w:rPr>
      </w:pPr>
    </w:p>
    <w:p>
      <w:pPr>
        <w:ind w:left="1760" w:right="688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760" w:right="780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00166B105</w:t>
      </w:r>
    </w:p>
    <w:p>
      <w:pPr>
        <w:spacing w:after="0" w:line="13" w:lineRule="exact"/>
        <w:rPr>
          <w:sz w:val="20"/>
          <w:szCs w:val="20"/>
          <w:color w:val="auto"/>
        </w:rPr>
      </w:pPr>
    </w:p>
    <w:p>
      <w:pPr>
        <w:ind w:left="1360" w:hanging="1349"/>
        <w:spacing w:after="0" w:line="256" w:lineRule="auto"/>
        <w:tabs>
          <w:tab w:leader="none" w:pos="134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7" w:lineRule="exact"/>
        <w:rPr>
          <w:sz w:val="20"/>
          <w:szCs w:val="20"/>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20" w:right="12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 *</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1"/>
          <w:szCs w:val="21"/>
          <w:color w:val="auto"/>
        </w:rPr>
      </w:pPr>
      <w:r>
        <w:rPr>
          <w:rFonts w:ascii="Arial" w:cs="Arial" w:eastAsia="Arial" w:hAnsi="Arial"/>
          <w:sz w:val="21"/>
          <w:szCs w:val="21"/>
          <w:color w:val="auto"/>
        </w:rPr>
        <w:t>[ ]   An employee benefit plan or endowment fund in accordance with Rule 240.13d-1(b)(1)(ii)(F);</w:t>
      </w:r>
    </w:p>
    <w:p>
      <w:pPr>
        <w:spacing w:after="0" w:line="136" w:lineRule="exact"/>
        <w:rPr>
          <w:rFonts w:ascii="Arial" w:cs="Arial" w:eastAsia="Arial" w:hAnsi="Arial"/>
          <w:sz w:val="21"/>
          <w:szCs w:val="21"/>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2220" w:right="46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savings association as defined in Section 3(b) of the Federal Deposit Insurance Act (12 U.S.C. 1813);</w:t>
      </w:r>
    </w:p>
    <w:p>
      <w:pPr>
        <w:spacing w:after="0" w:line="93" w:lineRule="exact"/>
        <w:rPr>
          <w:rFonts w:ascii="Arial" w:cs="Arial" w:eastAsia="Arial" w:hAnsi="Arial"/>
          <w:sz w:val="22"/>
          <w:szCs w:val="22"/>
          <w:color w:val="auto"/>
        </w:rPr>
      </w:pPr>
    </w:p>
    <w:p>
      <w:pPr>
        <w:ind w:left="2220" w:right="14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25"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Wellington Management Group LLP - HC</w:t>
      </w:r>
    </w:p>
    <w:p>
      <w:pPr>
        <w:ind w:left="1360"/>
        <w:spacing w:after="0" w:line="238" w:lineRule="auto"/>
        <w:rPr>
          <w:sz w:val="20"/>
          <w:szCs w:val="20"/>
          <w:color w:val="auto"/>
        </w:rPr>
      </w:pPr>
      <w:r>
        <w:rPr>
          <w:rFonts w:ascii="Arial" w:cs="Arial" w:eastAsia="Arial" w:hAnsi="Arial"/>
          <w:sz w:val="22"/>
          <w:szCs w:val="22"/>
          <w:color w:val="auto"/>
        </w:rPr>
        <w:t>Wellington Group Holdings LLP - HC</w:t>
      </w:r>
    </w:p>
    <w:p>
      <w:pPr>
        <w:ind w:left="1360"/>
        <w:spacing w:after="0" w:line="230" w:lineRule="auto"/>
        <w:rPr>
          <w:sz w:val="20"/>
          <w:szCs w:val="20"/>
          <w:color w:val="auto"/>
        </w:rPr>
      </w:pPr>
      <w:r>
        <w:rPr>
          <w:rFonts w:ascii="Arial" w:cs="Arial" w:eastAsia="Arial" w:hAnsi="Arial"/>
          <w:sz w:val="22"/>
          <w:szCs w:val="22"/>
          <w:color w:val="auto"/>
        </w:rPr>
        <w:t>Wellington Investment Advisors Holdings LLP - HC</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Wellington Management Company LLP - IA</w:t>
      </w:r>
    </w:p>
    <w:p>
      <w:pPr>
        <w:spacing w:after="0" w:line="101"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ind w:right="68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See the responses to Item 9 on the attached cover pages.</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ectPr>
          <w:pgSz w:w="11900" w:h="16838" w:orient="portrait"/>
          <w:cols w:equalWidth="0" w:num="1">
            <w:col w:w="11040"/>
          </w:cols>
          <w:pgMar w:left="400" w:top="409" w:right="459" w:bottom="0" w:gutter="0" w:footer="0" w:header="0"/>
        </w:sectPr>
      </w:pPr>
    </w:p>
    <w:bookmarkStart w:id="6" w:name="page7"/>
    <w:bookmarkEnd w:id="6"/>
    <w:p>
      <w:pPr>
        <w:ind w:left="1760"/>
        <w:spacing w:after="0"/>
        <w:rPr>
          <w:sz w:val="20"/>
          <w:szCs w:val="20"/>
          <w:color w:val="auto"/>
        </w:rPr>
      </w:pPr>
      <w:r>
        <w:rPr>
          <w:rFonts w:ascii="Arial" w:cs="Arial" w:eastAsia="Arial" w:hAnsi="Arial"/>
          <w:sz w:val="18"/>
          <w:szCs w:val="18"/>
          <w:color w:val="auto"/>
        </w:rPr>
        <w:t>See the responses to Item 11 on the attached cover pages.</w:t>
      </w:r>
    </w:p>
    <w:p>
      <w:pPr>
        <w:sectPr>
          <w:pgSz w:w="11900" w:h="16838" w:orient="portrait"/>
          <w:cols w:equalWidth="0" w:num="1">
            <w:col w:w="10940"/>
          </w:cols>
          <w:pgMar w:left="400" w:top="118" w:right="559" w:bottom="0" w:gutter="0" w:footer="0" w:header="0"/>
        </w:sectPr>
      </w:pPr>
    </w:p>
    <w:p>
      <w:pPr>
        <w:spacing w:after="0" w:line="172" w:lineRule="exact"/>
        <w:rPr>
          <w:sz w:val="20"/>
          <w:szCs w:val="20"/>
          <w:color w:val="auto"/>
        </w:rPr>
      </w:pPr>
    </w:p>
    <w:p>
      <w:pPr>
        <w:ind w:left="1760" w:hanging="401"/>
        <w:spacing w:after="0"/>
        <w:tabs>
          <w:tab w:leader="none" w:pos="1760" w:val="left"/>
        </w:tabs>
        <w:numPr>
          <w:ilvl w:val="0"/>
          <w:numId w:val="6"/>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220" w:hanging="456"/>
        <w:spacing w:after="0"/>
        <w:tabs>
          <w:tab w:leader="none" w:pos="2220" w:val="left"/>
        </w:tabs>
        <w:numPr>
          <w:ilvl w:val="1"/>
          <w:numId w:val="6"/>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246" w:lineRule="exact"/>
        <w:rPr>
          <w:rFonts w:ascii="Arial" w:cs="Arial" w:eastAsia="Arial" w:hAnsi="Arial"/>
          <w:sz w:val="22"/>
          <w:szCs w:val="22"/>
          <w:color w:val="auto"/>
        </w:rPr>
      </w:pPr>
    </w:p>
    <w:p>
      <w:pPr>
        <w:ind w:left="2220" w:hanging="456"/>
        <w:spacing w:after="0"/>
        <w:tabs>
          <w:tab w:leader="none" w:pos="222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200" w:lineRule="exact"/>
        <w:rPr>
          <w:rFonts w:ascii="Arial" w:cs="Arial" w:eastAsia="Arial" w:hAnsi="Arial"/>
          <w:sz w:val="22"/>
          <w:szCs w:val="22"/>
          <w:color w:val="auto"/>
        </w:rPr>
      </w:pPr>
    </w:p>
    <w:p>
      <w:pPr>
        <w:ind w:left="2220" w:hanging="456"/>
        <w:spacing w:after="0"/>
        <w:tabs>
          <w:tab w:leader="none" w:pos="2220" w:val="left"/>
        </w:tabs>
        <w:numPr>
          <w:ilvl w:val="1"/>
          <w:numId w:val="6"/>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125"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See the responses to Item 6 on the attached cover pages.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00" w:lineRule="exact"/>
        <w:rPr>
          <w:sz w:val="20"/>
          <w:szCs w:val="20"/>
          <w:color w:val="auto"/>
        </w:rPr>
      </w:pPr>
    </w:p>
    <w:p>
      <w:pPr>
        <w:sectPr>
          <w:pgSz w:w="11900" w:h="16838" w:orient="portrait"/>
          <w:cols w:equalWidth="0" w:num="2">
            <w:col w:w="6420" w:space="200"/>
            <w:col w:w="4320"/>
          </w:cols>
          <w:pgMar w:left="400" w:top="118" w:right="559" w:bottom="0" w:gutter="0" w:footer="0" w:header="0"/>
          <w:type w:val="continuous"/>
        </w:sectPr>
      </w:pPr>
    </w:p>
    <w:p>
      <w:pPr>
        <w:spacing w:after="0" w:line="47" w:lineRule="exact"/>
        <w:rPr>
          <w:sz w:val="20"/>
          <w:szCs w:val="20"/>
          <w:color w:val="auto"/>
        </w:rPr>
      </w:pPr>
    </w:p>
    <w:p>
      <w:pPr>
        <w:ind w:left="2220" w:right="280" w:hanging="456"/>
        <w:spacing w:after="0" w:line="183" w:lineRule="auto"/>
        <w:tabs>
          <w:tab w:leader="none" w:pos="2220" w:val="left"/>
        </w:tabs>
        <w:numPr>
          <w:ilvl w:val="0"/>
          <w:numId w:val="7"/>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See the responses to Item 8 on the attached cover pages.</w:t>
      </w:r>
    </w:p>
    <w:p>
      <w:pPr>
        <w:spacing w:after="0" w:line="88" w:lineRule="exact"/>
        <w:rPr>
          <w:sz w:val="20"/>
          <w:szCs w:val="20"/>
          <w:color w:val="auto"/>
        </w:rPr>
      </w:pPr>
    </w:p>
    <w:p>
      <w:pPr>
        <w:sectPr>
          <w:pgSz w:w="11900" w:h="16838" w:orient="portrait"/>
          <w:cols w:equalWidth="0" w:num="2">
            <w:col w:w="5900" w:space="720"/>
            <w:col w:w="4320"/>
          </w:cols>
          <w:pgMar w:left="400" w:top="118" w:right="559" w:bottom="0" w:gutter="0" w:footer="0" w:header="0"/>
          <w:type w:val="continuous"/>
        </w:sectPr>
      </w:pPr>
    </w:p>
    <w:tbl>
      <w:tblPr>
        <w:tblLayout w:type="fixed"/>
        <w:tblInd w:w="0" w:type="dxa"/>
        <w:tblCellMar>
          <w:top w:w="0" w:type="dxa"/>
          <w:left w:w="0" w:type="dxa"/>
          <w:bottom w:w="0" w:type="dxa"/>
          <w:right w:w="0" w:type="dxa"/>
        </w:tblCellMar>
      </w:tblPr>
      <w:tr>
        <w:trPr>
          <w:trHeight w:val="280"/>
        </w:trPr>
        <w:tc>
          <w:tcPr>
            <w:tcW w:w="94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Ownership of Five Percent or Less of Class.</w:t>
            </w:r>
          </w:p>
        </w:tc>
      </w:tr>
      <w:tr>
        <w:trPr>
          <w:trHeight w:val="3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the 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3"/>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4"/>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89"/>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2"/>
              </w:rPr>
              <w:t>sale of, such securities. No such client is known to have such right or power with respect to more than five</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percent of this class of securities, except as follows:</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w w:val="90"/>
              </w:rPr>
              <w:t>Identification and Classification of the Subsidiary Which Acquired the Security Being Reported on by</w:t>
            </w:r>
          </w:p>
        </w:tc>
      </w:tr>
      <w:tr>
        <w:trPr>
          <w:trHeight w:val="280"/>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See attached Exhibit A.</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1"/>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8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0"/>
              </w:rPr>
              <w:t>of or with the effect of changing or influencing the control of the issuer of the securities and were not acquired</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6"/>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16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Management Group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September 10, 2021</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Group Holdings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September 10, 2021</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Investment Advisors Holdings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bl>
    <w:p>
      <w:pPr>
        <w:sectPr>
          <w:pgSz w:w="11900" w:h="16838" w:orient="portrait"/>
          <w:cols w:equalWidth="0" w:num="1">
            <w:col w:w="10940"/>
          </w:cols>
          <w:pgMar w:left="400" w:top="118" w:right="559" w:bottom="0" w:gutter="0" w:footer="0" w:header="0"/>
          <w:type w:val="continuous"/>
        </w:sectPr>
      </w:pPr>
    </w:p>
    <w:bookmarkStart w:id="7" w:name="page8"/>
    <w:bookmarkEnd w:id="7"/>
    <w:p>
      <w:pPr>
        <w:ind w:left="3440"/>
        <w:spacing w:after="0"/>
        <w:rPr>
          <w:sz w:val="20"/>
          <w:szCs w:val="20"/>
          <w:color w:val="auto"/>
        </w:rPr>
      </w:pPr>
      <w:r>
        <w:rPr>
          <w:rFonts w:ascii="Arial" w:cs="Arial" w:eastAsia="Arial" w:hAnsi="Arial"/>
          <w:sz w:val="22"/>
          <w:szCs w:val="22"/>
          <w:color w:val="auto"/>
        </w:rPr>
        <w:t>Name: Taisia Lowe</w:t>
      </w:r>
    </w:p>
    <w:p>
      <w:pPr>
        <w:spacing w:after="0" w:line="45"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September 10, 2021</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September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356870</wp:posOffset>
            </wp:positionV>
            <wp:extent cx="573024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320" w:lineRule="exact"/>
        <w:rPr>
          <w:sz w:val="20"/>
          <w:szCs w:val="20"/>
          <w:color w:val="auto"/>
        </w:rPr>
      </w:pPr>
    </w:p>
    <w:p>
      <w:pPr>
        <w:ind w:left="60" w:right="219"/>
        <w:spacing w:after="0"/>
        <w:rPr>
          <w:sz w:val="20"/>
          <w:szCs w:val="20"/>
          <w:color w:val="auto"/>
        </w:rPr>
      </w:pPr>
      <w:r>
        <w:rPr>
          <w:rFonts w:ascii="Arial" w:cs="Arial" w:eastAsia="Arial" w:hAnsi="Arial"/>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67" w:lineRule="exact"/>
        <w:rPr>
          <w:sz w:val="20"/>
          <w:szCs w:val="20"/>
          <w:color w:val="auto"/>
        </w:rPr>
      </w:pPr>
    </w:p>
    <w:p>
      <w:pPr>
        <w:ind w:left="60" w:right="4399"/>
        <w:spacing w:after="0" w:line="311" w:lineRule="auto"/>
        <w:rPr>
          <w:sz w:val="20"/>
          <w:szCs w:val="20"/>
          <w:color w:val="auto"/>
        </w:rPr>
      </w:pPr>
      <w:r>
        <w:rPr>
          <w:rFonts w:ascii="Arial" w:cs="Arial" w:eastAsia="Arial" w:hAnsi="Arial"/>
          <w:sz w:val="21"/>
          <w:szCs w:val="21"/>
          <w:color w:val="auto"/>
        </w:rPr>
        <w:t>Wellington Group Holdings LLP – HC Wellington Investment Advisors LLP – HC Wellington Management Global Holdings, Ltd. - HC</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Australia Pty Ltd - IA</w:t>
      </w:r>
    </w:p>
    <w:p>
      <w:pPr>
        <w:spacing w:after="0" w:line="287" w:lineRule="exact"/>
        <w:rPr>
          <w:sz w:val="20"/>
          <w:szCs w:val="20"/>
          <w:color w:val="auto"/>
        </w:rPr>
      </w:pPr>
    </w:p>
    <w:p>
      <w:pPr>
        <w:ind w:left="60" w:right="119"/>
        <w:spacing w:after="0" w:line="234" w:lineRule="auto"/>
        <w:rPr>
          <w:sz w:val="20"/>
          <w:szCs w:val="20"/>
          <w:color w:val="auto"/>
        </w:rPr>
      </w:pPr>
      <w:r>
        <w:rPr>
          <w:rFonts w:ascii="Arial" w:cs="Arial" w:eastAsia="Arial" w:hAnsi="Arial"/>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158115</wp:posOffset>
            </wp:positionV>
            <wp:extent cx="573024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B</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320" w:lineRule="exact"/>
        <w:rPr>
          <w:sz w:val="20"/>
          <w:szCs w:val="20"/>
          <w:color w:val="auto"/>
        </w:rPr>
      </w:pPr>
    </w:p>
    <w:p>
      <w:pPr>
        <w:ind w:left="60" w:right="119"/>
        <w:spacing w:after="0" w:line="272" w:lineRule="auto"/>
        <w:rPr>
          <w:sz w:val="20"/>
          <w:szCs w:val="20"/>
          <w:color w:val="auto"/>
        </w:rPr>
      </w:pPr>
      <w:r>
        <w:rPr>
          <w:rFonts w:ascii="Arial" w:cs="Arial" w:eastAsia="Arial" w:hAnsi="Arial"/>
          <w:sz w:val="19"/>
          <w:szCs w:val="19"/>
          <w:color w:val="auto"/>
        </w:rPr>
        <w:t>The undersigned hereby agree that this Schedule 13G (the “Schedule 13G”) with respect to the common stock of ALX ONCOLOGY HOLDINGS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ectPr>
          <w:pgSz w:w="11900" w:h="16838" w:orient="portrait"/>
          <w:cols w:equalWidth="0" w:num="1">
            <w:col w:w="9019"/>
          </w:cols>
          <w:pgMar w:left="1440" w:top="118" w:right="1440" w:bottom="0" w:gutter="0" w:footer="0" w:header="0"/>
        </w:sectPr>
      </w:pPr>
    </w:p>
    <w:p>
      <w:pPr>
        <w:spacing w:after="0" w:line="200" w:lineRule="exact"/>
        <w:rPr>
          <w:sz w:val="20"/>
          <w:szCs w:val="20"/>
          <w:color w:val="auto"/>
        </w:rPr>
      </w:pPr>
    </w:p>
    <w:p>
      <w:pPr>
        <w:spacing w:after="0" w:line="307" w:lineRule="exact"/>
        <w:rPr>
          <w:sz w:val="20"/>
          <w:szCs w:val="20"/>
          <w:color w:val="auto"/>
        </w:rPr>
      </w:pPr>
    </w:p>
    <w:p>
      <w:pPr>
        <w:ind w:left="3440"/>
        <w:spacing w:after="0"/>
        <w:rPr>
          <w:sz w:val="20"/>
          <w:szCs w:val="20"/>
          <w:color w:val="auto"/>
        </w:rPr>
      </w:pPr>
      <w:r>
        <w:rPr>
          <w:rFonts w:ascii="Arial" w:cs="Arial" w:eastAsia="Arial" w:hAnsi="Arial"/>
          <w:sz w:val="19"/>
          <w:szCs w:val="19"/>
          <w:color w:val="auto"/>
        </w:rPr>
        <w:t>By: Wellington Management Group LLP</w:t>
      </w:r>
    </w:p>
    <w:p>
      <w:pPr>
        <w:sectPr>
          <w:pgSz w:w="11900" w:h="16838" w:orient="portrait"/>
          <w:cols w:equalWidth="0" w:num="1">
            <w:col w:w="9019"/>
          </w:cols>
          <w:pgMar w:left="1440" w:top="118" w:right="1440" w:bottom="0" w:gutter="0" w:footer="0" w:header="0"/>
          <w:type w:val="continuous"/>
        </w:sectPr>
      </w:pPr>
    </w:p>
    <w:bookmarkStart w:id="8" w:name="page9"/>
    <w:bookmarkEnd w:id="8"/>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5"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September 10, 2021</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September 10, 2021</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19"/>
          <w:szCs w:val="19"/>
          <w:color w:val="auto"/>
        </w:rPr>
        <w:t>By: Wellington Investment Advisors Holdings LLP</w:t>
      </w:r>
    </w:p>
    <w:p>
      <w:pPr>
        <w:spacing w:after="0" w:line="79"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September 10, 2021</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September 10, 2021</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2021-09-10T07:55:59Z</dcterms:created>
  <dcterms:modified xsi:type="dcterms:W3CDTF">2021-09-10T07:55:59Z</dcterms:modified>
</cp:coreProperties>
</file>