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January 17,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141605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141605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ALX ONCOLOGY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0" w:lineRule="exact"/>
        <w:rPr>
          <w:sz w:val="24"/>
          <w:szCs w:val="24"/>
          <w:color w:val="auto"/>
        </w:rPr>
      </w:pPr>
    </w:p>
    <w:tbl>
      <w:tblPr>
        <w:tblLayout w:type="fixed"/>
        <w:tblInd w:w="1540" w:type="dxa"/>
        <w:tblCellMar>
          <w:top w:w="0" w:type="dxa"/>
          <w:left w:w="0" w:type="dxa"/>
          <w:bottom w:w="0" w:type="dxa"/>
          <w:right w:w="0" w:type="dxa"/>
        </w:tblCellMar>
      </w:tblPr>
      <w:tr>
        <w:trPr>
          <w:trHeight w:val="214"/>
        </w:trPr>
        <w:tc>
          <w:tcPr>
            <w:tcW w:w="4280" w:type="dxa"/>
            <w:vAlign w:val="bottom"/>
          </w:tcPr>
          <w:p>
            <w:pPr>
              <w:jc w:val="center"/>
              <w:ind w:right="17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4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85-0642577</w:t>
            </w:r>
          </w:p>
        </w:tc>
      </w:tr>
      <w:tr>
        <w:trPr>
          <w:trHeight w:val="148"/>
        </w:trPr>
        <w:tc>
          <w:tcPr>
            <w:tcW w:w="4280" w:type="dxa"/>
            <w:vAlign w:val="bottom"/>
          </w:tcPr>
          <w:p>
            <w:pPr>
              <w:jc w:val="center"/>
              <w:ind w:right="17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40" w:type="dxa"/>
            <w:vAlign w:val="bottom"/>
          </w:tcPr>
          <w:p>
            <w:pPr>
              <w:jc w:val="center"/>
              <w:ind w:left="17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280" w:type="dxa"/>
            <w:vAlign w:val="bottom"/>
          </w:tcPr>
          <w:p>
            <w:pPr>
              <w:jc w:val="center"/>
              <w:ind w:right="17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40" w:type="dxa"/>
            <w:vAlign w:val="bottom"/>
          </w:tcPr>
          <w:p>
            <w:pPr>
              <w:jc w:val="center"/>
              <w:ind w:left="172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298"/>
        </w:trPr>
        <w:tc>
          <w:tcPr>
            <w:tcW w:w="4280" w:type="dxa"/>
            <w:vAlign w:val="bottom"/>
          </w:tcPr>
          <w:p>
            <w:pPr>
              <w:jc w:val="center"/>
              <w:ind w:right="1719"/>
              <w:spacing w:after="0"/>
              <w:rPr>
                <w:sz w:val="20"/>
                <w:szCs w:val="20"/>
                <w:color w:val="auto"/>
              </w:rPr>
            </w:pPr>
            <w:r>
              <w:rPr>
                <w:rFonts w:ascii="Times New Roman" w:cs="Times New Roman" w:eastAsia="Times New Roman" w:hAnsi="Times New Roman"/>
                <w:sz w:val="18"/>
                <w:szCs w:val="18"/>
                <w:b w:val="1"/>
                <w:bCs w:val="1"/>
                <w:color w:val="auto"/>
                <w:w w:val="98"/>
              </w:rPr>
              <w:t>323 Allerton Avenue</w:t>
            </w:r>
          </w:p>
        </w:tc>
        <w:tc>
          <w:tcPr>
            <w:tcW w:w="3240" w:type="dxa"/>
            <w:vAlign w:val="bottom"/>
          </w:tcPr>
          <w:p>
            <w:pPr>
              <w:spacing w:after="0"/>
              <w:rPr>
                <w:sz w:val="24"/>
                <w:szCs w:val="24"/>
                <w:color w:val="auto"/>
              </w:rPr>
            </w:pPr>
          </w:p>
        </w:tc>
      </w:tr>
      <w:tr>
        <w:trPr>
          <w:trHeight w:val="227"/>
        </w:trPr>
        <w:tc>
          <w:tcPr>
            <w:tcW w:w="4280" w:type="dxa"/>
            <w:vAlign w:val="bottom"/>
          </w:tcPr>
          <w:p>
            <w:pPr>
              <w:jc w:val="center"/>
              <w:ind w:right="1739"/>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3240" w:type="dxa"/>
            <w:vAlign w:val="bottom"/>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90"/>
        </w:trPr>
        <w:tc>
          <w:tcPr>
            <w:tcW w:w="4280" w:type="dxa"/>
            <w:vAlign w:val="bottom"/>
          </w:tcPr>
          <w:p>
            <w:pPr>
              <w:jc w:val="center"/>
              <w:ind w:right="17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tc>
        <w:tc>
          <w:tcPr>
            <w:tcW w:w="3240" w:type="dxa"/>
            <w:vAlign w:val="bottom"/>
          </w:tcPr>
          <w:p>
            <w:pPr>
              <w:jc w:val="center"/>
              <w:ind w:left="172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2020 Equity Incentive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2020 Employee Stock Purchase 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Inducement Equity Incentive Plan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(Full title of the plans)</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Jason Lettmann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ALX Oncology Holdings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323 Allerton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650-466-7125</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Kenneth A. Clark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Michael E. Coke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Christina L. Poulsen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Wilson Sonsini Goodrich &amp; Rosati, P.C.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Page Mill Road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Palo Alto, California 94304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650-493-9300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160020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35"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3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62"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5" w:right="4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PROSPECTUS</w:t>
      </w:r>
    </w:p>
    <w:p>
      <w:pPr>
        <w:spacing w:after="0" w:line="22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information specified in Item 1 and Item 2 of Part I of Form S-8 is omitted from this Registration Statement on Form S-8 (the “Registration Statement”) in accordance with the provisions of Rule 428 under the Securities Act of 1933, as amended (the “Securities Act”) and the introductory note to Part I of Form S-8. The documents containing the information specified in Part I of Form S-8 will be delivered to the participants in the equity benefit plans covered by this Registration Statement as specified by Rule 428(b)(1) under the Securities Act.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INFORMATION REQUIRED IN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21"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ALX Oncology Holdings Inc. (the “Registrant”) hereby incorporates by reference into this Registration Statement the following documents previously filed with the Securities and Exchange Commission (the “Commission”):</w:t>
      </w:r>
    </w:p>
    <w:p>
      <w:pPr>
        <w:spacing w:after="0" w:line="54" w:lineRule="exact"/>
        <w:rPr>
          <w:sz w:val="20"/>
          <w:szCs w:val="20"/>
          <w:color w:val="auto"/>
        </w:rPr>
      </w:pPr>
    </w:p>
    <w:p>
      <w:pPr>
        <w:ind w:left="700" w:hanging="264"/>
        <w:spacing w:after="0"/>
        <w:tabs>
          <w:tab w:leader="none" w:pos="7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1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filed with the Commission on March 7, 2024;</w:t>
      </w:r>
    </w:p>
    <w:p>
      <w:pPr>
        <w:spacing w:after="0" w:line="117" w:lineRule="exact"/>
        <w:rPr>
          <w:rFonts w:ascii="Times New Roman" w:cs="Times New Roman" w:eastAsia="Times New Roman" w:hAnsi="Times New Roman"/>
          <w:sz w:val="18"/>
          <w:szCs w:val="18"/>
          <w:color w:val="auto"/>
        </w:rPr>
      </w:pPr>
    </w:p>
    <w:p>
      <w:pPr>
        <w:jc w:val="both"/>
        <w:ind w:right="140" w:firstLine="436"/>
        <w:spacing w:after="0" w:line="266" w:lineRule="auto"/>
        <w:tabs>
          <w:tab w:leader="none" w:pos="6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filed pursuant to Section 13(a) or 15(d) of the Securities Exchange Act of 1934, as amended (the “Exchange Act”) since the end of the fiscal year covered by the Registrant’s Annual Report referred to in (1) above (other than the portions of these documents not deemed to be filed); and</w:t>
      </w:r>
    </w:p>
    <w:p>
      <w:pPr>
        <w:spacing w:after="0" w:line="67" w:lineRule="exact"/>
        <w:rPr>
          <w:rFonts w:ascii="Times New Roman" w:cs="Times New Roman" w:eastAsia="Times New Roman" w:hAnsi="Times New Roman"/>
          <w:sz w:val="18"/>
          <w:szCs w:val="18"/>
          <w:color w:val="auto"/>
        </w:rPr>
      </w:pPr>
    </w:p>
    <w:p>
      <w:pPr>
        <w:ind w:right="20" w:firstLine="436"/>
        <w:spacing w:after="0" w:line="266" w:lineRule="auto"/>
        <w:tabs>
          <w:tab w:leader="none" w:pos="6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the Company’s Registration Statement on </w:t>
      </w:r>
      <w:hyperlink r:id="rId18">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001-39386) filed with the Commission on July 13, 2020, pursuant to Section 12(b) of the Exchange Act, including any amendment or report filed for the purpose of updating such description.</w:t>
      </w:r>
    </w:p>
    <w:p>
      <w:pPr>
        <w:spacing w:after="0" w:line="176" w:lineRule="exact"/>
        <w:rPr>
          <w:rFonts w:ascii="Times New Roman" w:cs="Times New Roman" w:eastAsia="Times New Roman" w:hAnsi="Times New Roman"/>
          <w:sz w:val="18"/>
          <w:szCs w:val="18"/>
          <w:color w:val="auto"/>
        </w:rPr>
      </w:pPr>
    </w:p>
    <w:p>
      <w:pPr>
        <w:jc w:val="both"/>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documents or information deemed to have been furnished and not filed in accordance with the rules of the Commission shall not be deemed incorporated by reference into this Registration Statement.</w:t>
      </w:r>
    </w:p>
    <w:p>
      <w:pPr>
        <w:spacing w:after="0" w:line="183" w:lineRule="exact"/>
        <w:rPr>
          <w:rFonts w:ascii="Times New Roman" w:cs="Times New Roman" w:eastAsia="Times New Roman" w:hAnsi="Times New Roman"/>
          <w:sz w:val="18"/>
          <w:szCs w:val="18"/>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84"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121" w:lineRule="exact"/>
        <w:rPr>
          <w:rFonts w:ascii="Times New Roman" w:cs="Times New Roman" w:eastAsia="Times New Roman" w:hAnsi="Times New Roman"/>
          <w:sz w:val="18"/>
          <w:szCs w:val="18"/>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121" w:lineRule="exact"/>
        <w:rPr>
          <w:rFonts w:ascii="Times New Roman" w:cs="Times New Roman" w:eastAsia="Times New Roman" w:hAnsi="Times New Roman"/>
          <w:sz w:val="18"/>
          <w:szCs w:val="18"/>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21" w:lineRule="exact"/>
        <w:rPr>
          <w:rFonts w:ascii="Times New Roman" w:cs="Times New Roman" w:eastAsia="Times New Roman" w:hAnsi="Times New Roman"/>
          <w:sz w:val="18"/>
          <w:szCs w:val="18"/>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Section 145 of the Delaware General Corporation Law authorizes a corporation’s board of directors to grant, and authorizes a court to award, indemnity to officers, directors, and other corporate agents, provided that the person acted in good faith and in a manner the person reasonably believed to be in the corporation’s best interests, and, with respect to any criminal action, had no reasonable cause to believe the person’s actions were unlawful. The Delaware General Corporation Law further provides that the indemnification permitted thereunder shall not be deemed exclusive of any other rights to which the directors and officers may be entitled under the corporation’s bylaws, any agreement, a vote of stockholders or otherwise.</w:t>
      </w:r>
    </w:p>
    <w:p>
      <w:pPr>
        <w:spacing w:after="0" w:line="183" w:lineRule="exact"/>
        <w:rPr>
          <w:rFonts w:ascii="Times New Roman" w:cs="Times New Roman" w:eastAsia="Times New Roman" w:hAnsi="Times New Roman"/>
          <w:sz w:val="18"/>
          <w:szCs w:val="18"/>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the Registrant’s directors will be further limited to the greatest extent permitted by the Delaware General Corporation Law.</w:t>
      </w:r>
    </w:p>
    <w:p>
      <w:pPr>
        <w:sectPr>
          <w:pgSz w:w="11900" w:h="16838" w:orient="portrait"/>
          <w:cols w:equalWidth="0" w:num="1">
            <w:col w:w="10980"/>
          </w:cols>
          <w:pgMar w:left="440" w:top="266" w:right="479" w:bottom="1440" w:gutter="0" w:footer="0" w:header="0"/>
        </w:sectPr>
      </w:pPr>
    </w:p>
    <w:bookmarkStart w:id="2" w:name="page3"/>
    <w:bookmarkEnd w:id="2"/>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addition, the Registrant’s amended and restated bylaws provide that the Registrant will indemnify, to the fullest extent permitted by law, any person who is or was a party or is threatened to be made a party to any action, suit, or proceeding by reason of the fact that they are or were one of the Registrant’s directors or officers or is or was serving at the Registrant’s request as a director or officer of another corporation, partnership, joint venture, trust or other enterprise. The Registrant’s amended and restated bylaws provide that the Registrant may indemnify to the fullest extent permitted by law any person who is or was a party or is threatened to be made a party to any action, suit, or proceeding by reason of the fact that he or she is or was one of the Registrant’s employees or agents or is or was serving at the Registrant’s request as an employee or agent of another corporation, partnership, joint venture, trust, or other enterprise. The Registrant’s amended and restated bylaws also provide that the Registrant must advance expenses incurred by or on behalf of a director or officer in advance of the final disposition of any action or proceeding, subject to limited exceptions.</w:t>
      </w:r>
    </w:p>
    <w:p>
      <w:pPr>
        <w:spacing w:after="0" w:line="192"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Section 102(b)(7) of the Delaware General Corporation Law permits a corporation to provide in its certificate of incorporation that a director or officer of the corporation shall not be personally liable to the corporation or its stockholders for monetary damages for breach of fiduciary duty as a director or officer, except (1) for any breach of the director’s or officer’s duty of loyalty to the corporation or its stockholders, (2) for acts or omissions not in good faith or which involve intentional misconduct or a knowing violation of law, (3) for payments of unlawful dividends or unlawful stock repurchases or redemptions, (4) for any transaction from which the director or officer derived an improper personal benefit, or (5) an officer in any action by or in the right of the corporation. The Registrant’s amended and restated certificate of incorporation to be in effect upon the completion of this offering provides that the Registrant’s directors shall not be personally liable to it or its stockholders for monetary damages for breach of fiduciary duty as a director and that if the Delaware General Corporation Law is amended to authorize corporate action further eliminating or limiting the personal liability of directors, then the liability of the Registrant’s directors shall be eliminated or limited to the fullest extent permitted by the Delaware General Corporation Law, as so amended.</w:t>
      </w:r>
    </w:p>
    <w:p>
      <w:pPr>
        <w:spacing w:after="0" w:line="194"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Section 174 of the Delaware General Corporation Law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83"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Further, as permitted by the Delaware General Corporation Law, the Registrant has entered into separate indemnification agreements with each of its directors and certain executive officers that may be broader than the specific indemnification provisions contained in the Delaware General Corporation Law. These indemnification agreements require the Registrant, among other things, to indemnify its directors and executive officers against certain liabilities that may arise by reason of their status or service.</w:t>
      </w:r>
    </w:p>
    <w:p>
      <w:pPr>
        <w:spacing w:after="0" w:line="18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Registrant has obtained insurance policies under which, within the limits and subject to the limitations of the policies, coverage is provided to the Registrant’s directors and executive officers against certain expenses in connection with the defense of, and certain liabilities arising from claims made by reason of breach of fiduciary duty or other wrongful acts as a director or executive officer, including claims relating to public securities matters, and to the Registrant with respect to payments that may be made by the Registrant to these directors and executive officers pursuant to its indemnification obligations or otherwise as a matter of law. The coverage provided by these policies may apply whether or not the Registrant would have the power to indemnify such person against such liability under the provisions of the Delaware General Corporation Law.</w:t>
      </w:r>
    </w:p>
    <w:p>
      <w:pPr>
        <w:spacing w:after="0" w:line="187" w:lineRule="exact"/>
        <w:rPr>
          <w:sz w:val="20"/>
          <w:szCs w:val="20"/>
          <w:color w:val="auto"/>
        </w:rPr>
      </w:pPr>
    </w:p>
    <w:p>
      <w:pPr>
        <w:jc w:val="both"/>
        <w:ind w:right="500" w:firstLine="440"/>
        <w:spacing w:after="0" w:line="266" w:lineRule="auto"/>
        <w:rPr>
          <w:sz w:val="20"/>
          <w:szCs w:val="20"/>
          <w:color w:val="auto"/>
        </w:rPr>
      </w:pPr>
      <w:r>
        <w:rPr>
          <w:rFonts w:ascii="Times New Roman" w:cs="Times New Roman" w:eastAsia="Times New Roman" w:hAnsi="Times New Roman"/>
          <w:sz w:val="18"/>
          <w:szCs w:val="18"/>
          <w:color w:val="auto"/>
        </w:rPr>
        <w:t>These indemnification provisions and the indemnification agreements entered into between the Registrant and the Registrant’s directors and executive officers may be sufficiently broad to permit indemnification of the Registrant’s directors and executive officers for liabilities (including reimbursement of expenses incurred) arising under the Securities Act.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00"/>
          </w:cols>
          <w:pgMar w:left="440" w:top="270" w:right="45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8. Exhibits.</w:t>
      </w:r>
    </w:p>
    <w:p>
      <w:pPr>
        <w:spacing w:after="0" w:line="250"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5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22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5760" w:type="dxa"/>
            <w:vAlign w:val="bottom"/>
            <w:tcBorders>
              <w:bottom w:val="single" w:sz="8" w:color="auto"/>
            </w:tcBorders>
            <w:gridSpan w:val="8"/>
          </w:tcPr>
          <w:p>
            <w:pPr>
              <w:ind w:left="19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tcPr>
          <w:p>
            <w:pPr>
              <w:spacing w:after="0"/>
              <w:rPr>
                <w:sz w:val="15"/>
                <w:szCs w:val="15"/>
                <w:color w:val="auto"/>
              </w:rPr>
            </w:pPr>
          </w:p>
        </w:tc>
        <w:tc>
          <w:tcPr>
            <w:tcW w:w="4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60" w:type="dxa"/>
            <w:vAlign w:val="bottom"/>
          </w:tcPr>
          <w:p>
            <w:pPr>
              <w:spacing w:after="0"/>
              <w:rPr>
                <w:sz w:val="15"/>
                <w:szCs w:val="15"/>
                <w:color w:val="auto"/>
              </w:rPr>
            </w:pPr>
          </w:p>
        </w:tc>
        <w:tc>
          <w:tcPr>
            <w:tcW w:w="9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60" w:type="dxa"/>
            <w:vAlign w:val="bottom"/>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23"/>
                <w:szCs w:val="23"/>
                <w:color w:val="auto"/>
              </w:rPr>
            </w:pPr>
          </w:p>
        </w:tc>
        <w:tc>
          <w:tcPr>
            <w:tcW w:w="38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Specimen common stock certificate of the Registrant.</w:t>
              </w:r>
            </w:hyperlink>
          </w:p>
        </w:tc>
        <w:tc>
          <w:tcPr>
            <w:tcW w:w="3220" w:type="dxa"/>
            <w:vAlign w:val="bottom"/>
            <w:gridSpan w:val="7"/>
          </w:tcPr>
          <w:p>
            <w:pPr>
              <w:spacing w:after="0"/>
              <w:rPr>
                <w:sz w:val="23"/>
                <w:szCs w:val="23"/>
                <w:color w:val="auto"/>
              </w:rPr>
            </w:pPr>
          </w:p>
        </w:tc>
        <w:tc>
          <w:tcPr>
            <w:tcW w:w="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333-239490</w:t>
            </w:r>
          </w:p>
        </w:tc>
        <w:tc>
          <w:tcPr>
            <w:tcW w:w="160" w:type="dxa"/>
            <w:vAlign w:val="bottom"/>
          </w:tcPr>
          <w:p>
            <w:pPr>
              <w:spacing w:after="0"/>
              <w:rPr>
                <w:sz w:val="23"/>
                <w:szCs w:val="23"/>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rPr>
                <w:sz w:val="23"/>
                <w:szCs w:val="23"/>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w w:val="98"/>
              </w:rPr>
              <w:t>6/26/2020</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24"/>
                <w:szCs w:val="24"/>
                <w:color w:val="auto"/>
              </w:rPr>
            </w:pPr>
          </w:p>
        </w:tc>
        <w:tc>
          <w:tcPr>
            <w:tcW w:w="7080" w:type="dxa"/>
            <w:vAlign w:val="bottom"/>
            <w:gridSpan w:val="10"/>
          </w:tcPr>
          <w:p>
            <w:pPr>
              <w:spacing w:after="0"/>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Amended and Restated 2020 Equity Incentive Plan and forms of agreements thereunder.</w:t>
              </w:r>
            </w:hyperlink>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S-1/A</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333-239490</w:t>
            </w:r>
          </w:p>
        </w:tc>
        <w:tc>
          <w:tcPr>
            <w:tcW w:w="160" w:type="dxa"/>
            <w:vAlign w:val="bottom"/>
          </w:tcPr>
          <w:p>
            <w:pPr>
              <w:spacing w:after="0"/>
              <w:rPr>
                <w:sz w:val="24"/>
                <w:szCs w:val="2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w:t>
            </w:r>
          </w:p>
        </w:tc>
        <w:tc>
          <w:tcPr>
            <w:tcW w:w="6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w w:val="98"/>
              </w:rPr>
              <w:t>7/13/2020</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24"/>
                <w:szCs w:val="24"/>
                <w:color w:val="auto"/>
              </w:rPr>
            </w:pPr>
          </w:p>
        </w:tc>
        <w:tc>
          <w:tcPr>
            <w:tcW w:w="546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2025 Inducement Equity Incentive Plan and forms of agreement thereunder.</w:t>
            </w:r>
          </w:p>
        </w:tc>
        <w:tc>
          <w:tcPr>
            <w:tcW w:w="880" w:type="dxa"/>
            <w:vAlign w:val="bottom"/>
            <w:tcBorders>
              <w:top w:val="single" w:sz="8" w:color="0000EE"/>
            </w:tcBorders>
            <w:gridSpan w:val="2"/>
          </w:tcPr>
          <w:p>
            <w:pPr>
              <w:spacing w:after="0"/>
              <w:rPr>
                <w:sz w:val="24"/>
                <w:szCs w:val="24"/>
                <w:color w:val="auto"/>
              </w:rPr>
            </w:pPr>
          </w:p>
        </w:tc>
        <w:tc>
          <w:tcPr>
            <w:tcW w:w="74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spacing w:after="0"/>
              <w:rPr>
                <w:sz w:val="24"/>
                <w:szCs w:val="24"/>
                <w:color w:val="auto"/>
              </w:rPr>
            </w:pPr>
          </w:p>
        </w:tc>
        <w:tc>
          <w:tcPr>
            <w:tcW w:w="37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Opinion of Wilson Sonsini Goodrich &amp; Rosati, P.C.</w:t>
            </w:r>
          </w:p>
        </w:tc>
        <w:tc>
          <w:tcPr>
            <w:tcW w:w="3360" w:type="dxa"/>
            <w:vAlign w:val="bottom"/>
            <w:gridSpan w:val="8"/>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220" w:type="dxa"/>
            <w:vAlign w:val="bottom"/>
          </w:tcPr>
          <w:p>
            <w:pPr>
              <w:spacing w:after="0"/>
              <w:rPr>
                <w:sz w:val="24"/>
                <w:szCs w:val="24"/>
                <w:color w:val="auto"/>
              </w:rPr>
            </w:pPr>
          </w:p>
        </w:tc>
        <w:tc>
          <w:tcPr>
            <w:tcW w:w="70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Consent of KPMG LLP, Independent Registered Public Accounting Firm.</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820" w:type="dxa"/>
            <w:vAlign w:val="bottom"/>
            <w:gridSpan w:val="3"/>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220" w:type="dxa"/>
            <w:vAlign w:val="bottom"/>
          </w:tcPr>
          <w:p>
            <w:pPr>
              <w:spacing w:after="0"/>
              <w:rPr>
                <w:sz w:val="24"/>
                <w:szCs w:val="24"/>
                <w:color w:val="auto"/>
              </w:rPr>
            </w:pPr>
          </w:p>
        </w:tc>
        <w:tc>
          <w:tcPr>
            <w:tcW w:w="55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Consent of Wilson Sonsini Goodrich &amp; Rosati, P.C. (included in Exhibit 5.1).</w:t>
            </w:r>
          </w:p>
        </w:tc>
        <w:tc>
          <w:tcPr>
            <w:tcW w:w="1500" w:type="dxa"/>
            <w:vAlign w:val="bottom"/>
            <w:gridSpan w:val="3"/>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220" w:type="dxa"/>
            <w:vAlign w:val="bottom"/>
          </w:tcPr>
          <w:p>
            <w:pPr>
              <w:spacing w:after="0"/>
              <w:rPr>
                <w:sz w:val="24"/>
                <w:szCs w:val="24"/>
                <w:color w:val="auto"/>
              </w:rPr>
            </w:pPr>
          </w:p>
        </w:tc>
        <w:tc>
          <w:tcPr>
            <w:tcW w:w="70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Power of Attorney (contained on signature page hereto).</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tcPr>
          <w:p>
            <w:pPr>
              <w:spacing w:after="0"/>
              <w:rPr>
                <w:sz w:val="24"/>
                <w:szCs w:val="24"/>
                <w:color w:val="auto"/>
              </w:rPr>
            </w:pPr>
          </w:p>
        </w:tc>
        <w:tc>
          <w:tcPr>
            <w:tcW w:w="12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Filing Fee Table.</w:t>
            </w:r>
          </w:p>
        </w:tc>
        <w:tc>
          <w:tcPr>
            <w:tcW w:w="2820" w:type="dxa"/>
            <w:vAlign w:val="bottom"/>
            <w:tcBorders>
              <w:top w:val="single" w:sz="8" w:color="0000EE"/>
            </w:tcBorders>
            <w:gridSpan w:val="3"/>
          </w:tcPr>
          <w:p>
            <w:pPr>
              <w:spacing w:after="0"/>
              <w:rPr>
                <w:sz w:val="24"/>
                <w:szCs w:val="24"/>
                <w:color w:val="auto"/>
              </w:rPr>
            </w:pPr>
          </w:p>
        </w:tc>
        <w:tc>
          <w:tcPr>
            <w:tcW w:w="3040" w:type="dxa"/>
            <w:vAlign w:val="bottom"/>
            <w:gridSpan w:val="6"/>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7715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Filed herewith.</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135"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30" w:lineRule="exact"/>
        <w:rPr>
          <w:rFonts w:ascii="Times New Roman" w:cs="Times New Roman" w:eastAsia="Times New Roman" w:hAnsi="Times New Roman"/>
          <w:sz w:val="18"/>
          <w:szCs w:val="18"/>
          <w:color w:val="auto"/>
        </w:rPr>
      </w:pPr>
    </w:p>
    <w:p>
      <w:pPr>
        <w:ind w:left="1424" w:right="20" w:hanging="439"/>
        <w:spacing w:after="0" w:line="255" w:lineRule="auto"/>
        <w:tabs>
          <w:tab w:leader="none" w:pos="1424"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94" w:lineRule="exact"/>
        <w:rPr>
          <w:rFonts w:ascii="Times New Roman" w:cs="Times New Roman" w:eastAsia="Times New Roman" w:hAnsi="Times New Roman"/>
          <w:sz w:val="18"/>
          <w:szCs w:val="18"/>
          <w:color w:val="auto"/>
        </w:rPr>
      </w:pPr>
    </w:p>
    <w:p>
      <w:pPr>
        <w:ind w:left="1424" w:right="20" w:hanging="439"/>
        <w:spacing w:after="0" w:line="282" w:lineRule="auto"/>
        <w:tabs>
          <w:tab w:leader="none" w:pos="1424"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left="4" w:right="3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paragraphs (A)(1)(i) and (A)(1)(ii) do not apply if the information required to be included in a post-effective amendment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paragraphs is contained in reports filed with or furnished to the Commission by the Registrant pursuant to Section 13 or Section 15(d) of the Exchange Act that are incorporated by reference in this Registration Statement.</w:t>
      </w:r>
    </w:p>
    <w:p>
      <w:pPr>
        <w:spacing w:after="0" w:line="81" w:lineRule="exact"/>
        <w:rPr>
          <w:sz w:val="20"/>
          <w:szCs w:val="20"/>
          <w:color w:val="auto"/>
        </w:rPr>
      </w:pPr>
    </w:p>
    <w:p>
      <w:pPr>
        <w:jc w:val="both"/>
        <w:ind w:left="964" w:right="280" w:hanging="532"/>
        <w:spacing w:after="0" w:line="266" w:lineRule="auto"/>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964" w:right="60" w:hanging="532"/>
        <w:spacing w:after="0" w:line="282" w:lineRule="auto"/>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424" w:hanging="424"/>
        <w:spacing w:after="0" w:line="258"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8" w:lineRule="exact"/>
        <w:rPr>
          <w:rFonts w:ascii="Times New Roman" w:cs="Times New Roman" w:eastAsia="Times New Roman" w:hAnsi="Times New Roman"/>
          <w:sz w:val="18"/>
          <w:szCs w:val="18"/>
          <w:color w:val="auto"/>
        </w:rPr>
      </w:pPr>
    </w:p>
    <w:p>
      <w:pPr>
        <w:ind w:left="424" w:right="20" w:hanging="424"/>
        <w:spacing w:after="0" w:line="254"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964"/>
          </w:cols>
          <w:pgMar w:left="436" w:top="266" w:right="4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right="42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South San Francisco, California, on the 17th day of January 2025.</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ALX ONCOLOGY HOLDINGS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Jason Lettmann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Jason Lettmann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Jason Lettmann and Shelly Pinto, and each of them, as such individual’s true and lawful attorney in fact and agent with full power of substitution, for such individual in any and all capacities, to sign any and all amendments to this Registration Statement on Form S-8 (including post-effective amendments), and to file the same, with all exhibits thereto and other documents in connection therewith, with the Securities and Exchange Commission, granting unto said attorney in fact, proxy and agent full power and authority to do and perform each and every act and thing requisite and necessary to be done in connection therewith, as fully for all intents and purposes as he or she might or could do in person, hereby ratifying and confirming all that said attorney in fact, proxy and agent, or the individual’s substitute, may lawfully do or cause to be done by virtue hereof.</w:t>
      </w:r>
    </w:p>
    <w:p>
      <w:pPr>
        <w:spacing w:after="0" w:line="189"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on Form S-8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3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20" w:type="dxa"/>
            <w:vAlign w:val="bottom"/>
          </w:tcPr>
          <w:p>
            <w:pPr>
              <w:spacing w:after="0"/>
              <w:rPr>
                <w:sz w:val="16"/>
                <w:szCs w:val="16"/>
                <w:color w:val="auto"/>
              </w:rPr>
            </w:pPr>
          </w:p>
        </w:tc>
        <w:tc>
          <w:tcPr>
            <w:tcW w:w="3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304"/>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Jason Lettmann</w:t>
            </w:r>
          </w:p>
        </w:tc>
        <w:tc>
          <w:tcPr>
            <w:tcW w:w="120" w:type="dxa"/>
            <w:vAlign w:val="bottom"/>
          </w:tcPr>
          <w:p>
            <w:pPr>
              <w:spacing w:after="0"/>
              <w:rPr>
                <w:sz w:val="24"/>
                <w:szCs w:val="24"/>
                <w:color w:val="auto"/>
              </w:rPr>
            </w:pPr>
          </w:p>
        </w:tc>
        <w:tc>
          <w:tcPr>
            <w:tcW w:w="3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17, 2025</w:t>
            </w:r>
          </w:p>
        </w:tc>
        <w:tc>
          <w:tcPr>
            <w:tcW w:w="0" w:type="dxa"/>
            <w:vAlign w:val="bottom"/>
          </w:tcPr>
          <w:p>
            <w:pPr>
              <w:spacing w:after="0"/>
              <w:rPr>
                <w:sz w:val="1"/>
                <w:szCs w:val="1"/>
                <w:color w:val="auto"/>
              </w:rPr>
            </w:pP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Jason Lettmann</w:t>
            </w:r>
          </w:p>
        </w:tc>
        <w:tc>
          <w:tcPr>
            <w:tcW w:w="120" w:type="dxa"/>
            <w:vAlign w:val="bottom"/>
          </w:tcPr>
          <w:p>
            <w:pPr>
              <w:spacing w:after="0"/>
              <w:rPr>
                <w:sz w:val="19"/>
                <w:szCs w:val="19"/>
                <w:color w:val="auto"/>
              </w:rPr>
            </w:pPr>
          </w:p>
        </w:tc>
        <w:tc>
          <w:tcPr>
            <w:tcW w:w="3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1"/>
        </w:trPr>
        <w:tc>
          <w:tcPr>
            <w:tcW w:w="3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 Shelly Pinto</w:t>
            </w:r>
          </w:p>
        </w:tc>
        <w:tc>
          <w:tcPr>
            <w:tcW w:w="120" w:type="dxa"/>
            <w:vAlign w:val="bottom"/>
          </w:tcPr>
          <w:p>
            <w:pPr>
              <w:spacing w:after="0"/>
              <w:rPr>
                <w:sz w:val="24"/>
                <w:szCs w:val="24"/>
                <w:color w:val="auto"/>
              </w:rPr>
            </w:pPr>
          </w:p>
        </w:tc>
        <w:tc>
          <w:tcPr>
            <w:tcW w:w="3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Interim Chief Financial Officer, Senior Vice</w:t>
            </w: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17, 2025</w:t>
            </w:r>
          </w:p>
        </w:tc>
        <w:tc>
          <w:tcPr>
            <w:tcW w:w="0" w:type="dxa"/>
            <w:vAlign w:val="bottom"/>
          </w:tcPr>
          <w:p>
            <w:pPr>
              <w:spacing w:after="0"/>
              <w:rPr>
                <w:sz w:val="1"/>
                <w:szCs w:val="1"/>
                <w:color w:val="auto"/>
              </w:rPr>
            </w:pPr>
          </w:p>
        </w:tc>
      </w:tr>
      <w:tr>
        <w:trPr>
          <w:trHeight w:val="226"/>
        </w:trPr>
        <w:tc>
          <w:tcPr>
            <w:tcW w:w="36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President, Finance and Chief Accounting Officer</w:t>
            </w: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Shelly Pinto</w:t>
            </w:r>
          </w:p>
        </w:tc>
        <w:tc>
          <w:tcPr>
            <w:tcW w:w="120" w:type="dxa"/>
            <w:vAlign w:val="bottom"/>
          </w:tcPr>
          <w:p>
            <w:pPr>
              <w:spacing w:after="0"/>
              <w:rPr>
                <w:sz w:val="19"/>
                <w:szCs w:val="19"/>
                <w:color w:val="auto"/>
              </w:rPr>
            </w:pPr>
          </w:p>
        </w:tc>
        <w:tc>
          <w:tcPr>
            <w:tcW w:w="3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9"/>
              </w:rPr>
              <w:t>(Principal Financial and Accounting Officer)</w:t>
            </w: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Corey Goodman, Ph.D.</w:t>
            </w:r>
          </w:p>
        </w:tc>
        <w:tc>
          <w:tcPr>
            <w:tcW w:w="120" w:type="dxa"/>
            <w:vAlign w:val="bottom"/>
          </w:tcPr>
          <w:p>
            <w:pPr>
              <w:spacing w:after="0"/>
              <w:rPr>
                <w:sz w:val="24"/>
                <w:szCs w:val="24"/>
                <w:color w:val="auto"/>
              </w:rPr>
            </w:pPr>
          </w:p>
        </w:tc>
        <w:tc>
          <w:tcPr>
            <w:tcW w:w="3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Executive Chairman of the Board of Directors</w:t>
            </w: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17, 2025</w:t>
            </w:r>
          </w:p>
        </w:tc>
        <w:tc>
          <w:tcPr>
            <w:tcW w:w="0" w:type="dxa"/>
            <w:vAlign w:val="bottom"/>
          </w:tcPr>
          <w:p>
            <w:pPr>
              <w:spacing w:after="0"/>
              <w:rPr>
                <w:sz w:val="1"/>
                <w:szCs w:val="1"/>
                <w:color w:val="auto"/>
              </w:rPr>
            </w:pP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Corey Goodman, Ph.D.</w:t>
            </w:r>
          </w:p>
        </w:tc>
        <w:tc>
          <w:tcPr>
            <w:tcW w:w="1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Scott Garland</w:t>
            </w:r>
          </w:p>
        </w:tc>
        <w:tc>
          <w:tcPr>
            <w:tcW w:w="120" w:type="dxa"/>
            <w:vAlign w:val="bottom"/>
          </w:tcPr>
          <w:p>
            <w:pPr>
              <w:spacing w:after="0"/>
              <w:rPr>
                <w:sz w:val="24"/>
                <w:szCs w:val="24"/>
                <w:color w:val="auto"/>
              </w:rPr>
            </w:pPr>
          </w:p>
        </w:tc>
        <w:tc>
          <w:tcPr>
            <w:tcW w:w="3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17, 2025</w:t>
            </w:r>
          </w:p>
        </w:tc>
        <w:tc>
          <w:tcPr>
            <w:tcW w:w="0" w:type="dxa"/>
            <w:vAlign w:val="bottom"/>
          </w:tcPr>
          <w:p>
            <w:pPr>
              <w:spacing w:after="0"/>
              <w:rPr>
                <w:sz w:val="1"/>
                <w:szCs w:val="1"/>
                <w:color w:val="auto"/>
              </w:rPr>
            </w:pP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Scott Garland</w:t>
            </w:r>
          </w:p>
        </w:tc>
        <w:tc>
          <w:tcPr>
            <w:tcW w:w="1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Rekha Hemrajani</w:t>
            </w:r>
          </w:p>
        </w:tc>
        <w:tc>
          <w:tcPr>
            <w:tcW w:w="120" w:type="dxa"/>
            <w:vAlign w:val="bottom"/>
          </w:tcPr>
          <w:p>
            <w:pPr>
              <w:spacing w:after="0"/>
              <w:rPr>
                <w:sz w:val="24"/>
                <w:szCs w:val="24"/>
                <w:color w:val="auto"/>
              </w:rPr>
            </w:pPr>
          </w:p>
        </w:tc>
        <w:tc>
          <w:tcPr>
            <w:tcW w:w="3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17, 2025</w:t>
            </w:r>
          </w:p>
        </w:tc>
        <w:tc>
          <w:tcPr>
            <w:tcW w:w="0" w:type="dxa"/>
            <w:vAlign w:val="bottom"/>
          </w:tcPr>
          <w:p>
            <w:pPr>
              <w:spacing w:after="0"/>
              <w:rPr>
                <w:sz w:val="1"/>
                <w:szCs w:val="1"/>
                <w:color w:val="auto"/>
              </w:rPr>
            </w:pP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Rekha Hemrajani</w:t>
            </w:r>
          </w:p>
        </w:tc>
        <w:tc>
          <w:tcPr>
            <w:tcW w:w="1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ALX ONCOLOGY HOLDINGS INC.</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2025 INDUCEMENT EQUITY INCENTIVE PLAN</w:t>
      </w:r>
    </w:p>
    <w:p>
      <w:pPr>
        <w:spacing w:after="0" w:line="229" w:lineRule="exact"/>
        <w:rPr>
          <w:sz w:val="20"/>
          <w:szCs w:val="20"/>
          <w:color w:val="auto"/>
        </w:rPr>
      </w:pPr>
    </w:p>
    <w:p>
      <w:pPr>
        <w:ind w:left="4" w:right="620" w:firstLine="436"/>
        <w:spacing w:after="0" w:line="282" w:lineRule="auto"/>
        <w:tabs>
          <w:tab w:leader="none" w:pos="6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 of the Plan</w:t>
      </w:r>
      <w:r>
        <w:rPr>
          <w:rFonts w:ascii="Times New Roman" w:cs="Times New Roman" w:eastAsia="Times New Roman" w:hAnsi="Times New Roman"/>
          <w:sz w:val="18"/>
          <w:szCs w:val="18"/>
          <w:color w:val="auto"/>
        </w:rPr>
        <w:t>. The purpose of this Plan is to attract and retain the best available personnel by providing an inducement material to individuals’ entering into employment with the Company or any Parent or Subsidiary of the Company.</w:t>
      </w:r>
    </w:p>
    <w:p>
      <w:pPr>
        <w:spacing w:after="0" w:line="162" w:lineRule="exact"/>
        <w:rPr>
          <w:sz w:val="20"/>
          <w:szCs w:val="20"/>
          <w:color w:val="auto"/>
        </w:rPr>
      </w:pPr>
    </w:p>
    <w:p>
      <w:pPr>
        <w:ind w:left="4" w:right="200" w:firstLine="991"/>
        <w:spacing w:after="0" w:line="261" w:lineRule="auto"/>
        <w:rPr>
          <w:sz w:val="20"/>
          <w:szCs w:val="20"/>
          <w:color w:val="auto"/>
        </w:rPr>
      </w:pPr>
      <w:r>
        <w:rPr>
          <w:rFonts w:ascii="Times New Roman" w:cs="Times New Roman" w:eastAsia="Times New Roman" w:hAnsi="Times New Roman"/>
          <w:sz w:val="18"/>
          <w:szCs w:val="18"/>
          <w:color w:val="auto"/>
        </w:rPr>
        <w:t>The Plan permits the grant of Nonstatutory Stock Options, Stock Appreciation Rights, Restricted Stock, Restricted Stock Units, Performance Units and Performance Shares. Each Award under the Plan is intended to qualify as an employment inducement award under Nasdaq Listing Rule 5635(c)(4), the official regulations and other official interpretive material and guidance issued under such rule (together, the “</w:t>
      </w:r>
      <w:r>
        <w:rPr>
          <w:rFonts w:ascii="Times New Roman" w:cs="Times New Roman" w:eastAsia="Times New Roman" w:hAnsi="Times New Roman"/>
          <w:sz w:val="18"/>
          <w:szCs w:val="18"/>
          <w:u w:val="single" w:color="auto"/>
          <w:color w:val="auto"/>
        </w:rPr>
        <w:t>Inducement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Listing Rules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24" w:hanging="184"/>
        <w:spacing w:after="0"/>
        <w:tabs>
          <w:tab w:leader="none" w:pos="62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herein, the following definitions will apply:</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means the Board or any of its Committees as will be administering the Plan, in accordance with Section 4 of the Plan.</w:t>
      </w:r>
    </w:p>
    <w:p>
      <w:pPr>
        <w:spacing w:after="0" w:line="225" w:lineRule="exact"/>
        <w:rPr>
          <w:rFonts w:ascii="Times New Roman" w:cs="Times New Roman" w:eastAsia="Times New Roman" w:hAnsi="Times New Roman"/>
          <w:sz w:val="18"/>
          <w:szCs w:val="18"/>
          <w:color w:val="auto"/>
        </w:rPr>
      </w:pPr>
    </w:p>
    <w:p>
      <w:pPr>
        <w:ind w:left="4" w:right="40" w:firstLine="987"/>
        <w:spacing w:after="0" w:line="261" w:lineRule="auto"/>
        <w:tabs>
          <w:tab w:leader="none" w:pos="125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spacing w:after="0" w:line="179" w:lineRule="exact"/>
        <w:rPr>
          <w:rFonts w:ascii="Times New Roman" w:cs="Times New Roman" w:eastAsia="Times New Roman" w:hAnsi="Times New Roman"/>
          <w:sz w:val="18"/>
          <w:szCs w:val="18"/>
          <w:color w:val="auto"/>
        </w:rPr>
      </w:pPr>
    </w:p>
    <w:p>
      <w:pPr>
        <w:ind w:left="4" w:right="60" w:firstLine="987"/>
        <w:spacing w:after="0" w:line="282" w:lineRule="auto"/>
        <w:tabs>
          <w:tab w:leader="none" w:pos="124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individually or collectively, a grant under the Plan of Options, Stock Appreciation Rights, Restricted Stock, Restricted Stock Units, Performance Units or Performance Shares.</w:t>
      </w:r>
    </w:p>
    <w:p>
      <w:pPr>
        <w:spacing w:after="0" w:line="161" w:lineRule="exact"/>
        <w:rPr>
          <w:rFonts w:ascii="Times New Roman" w:cs="Times New Roman" w:eastAsia="Times New Roman" w:hAnsi="Times New Roman"/>
          <w:sz w:val="18"/>
          <w:szCs w:val="18"/>
          <w:color w:val="auto"/>
        </w:rPr>
      </w:pPr>
    </w:p>
    <w:p>
      <w:pPr>
        <w:ind w:left="4" w:right="60" w:firstLine="987"/>
        <w:spacing w:after="0" w:line="282" w:lineRule="auto"/>
        <w:tabs>
          <w:tab w:leader="none" w:pos="125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means the written or electronic agreement setting forth the terms and provisions applicable to each Award granted under the Plan. The Award Agreement is subject to the terms and conditions of the Plan.</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color w:val="auto"/>
        </w:rPr>
      </w:pPr>
    </w:p>
    <w:p>
      <w:pPr>
        <w:ind w:left="4" w:right="180" w:firstLine="987"/>
        <w:spacing w:after="0" w:line="261" w:lineRule="auto"/>
        <w:tabs>
          <w:tab w:leader="none" w:pos="122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means the definition of such term contained in Participant’s employment agreement with the Company (and any of its Parent or Subsidiaries) or, if none, a termination of Participant’s employment with the Company (and any of its Parent or Subsidiaries) because of</w:t>
      </w:r>
    </w:p>
    <w:p>
      <w:pPr>
        <w:ind w:left="4" w:right="200" w:hanging="4"/>
        <w:spacing w:after="0" w:line="253" w:lineRule="auto"/>
        <w:tabs>
          <w:tab w:leader="none" w:pos="24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unauthorized misuse of any the trade secrets or proprietary information of the Company (or any of its Parent or Subsidiaries), (b) Participant’s conviction of or plea of nolo contendere to a felony or a crime involving moral turpitude (or equivalent under Applicable Laws), (c) Participant’s committing an act of fraud against the Company (or any of its Parent or Subsidiaries) or (d) Participant’s gross negligence or willful misconduct in the performance of his or her duties that has had or will have a material adverse effect on the reputation or business of the Company (or any of its Parent or Subsidiaries).</w:t>
      </w:r>
    </w:p>
    <w:p>
      <w:pPr>
        <w:sectPr>
          <w:pgSz w:w="11900" w:h="16838" w:orient="portrait"/>
          <w:cols w:equalWidth="0" w:num="1">
            <w:col w:w="11024"/>
          </w:cols>
          <w:pgMar w:left="436" w:top="117" w:right="439" w:bottom="1440" w:gutter="0" w:footer="0" w:header="0"/>
        </w:sectPr>
      </w:pPr>
    </w:p>
    <w:bookmarkStart w:id="6" w:name="page7"/>
    <w:bookmarkEnd w:id="6"/>
    <w:p>
      <w:pPr>
        <w:ind w:left="1244" w:hanging="253"/>
        <w:spacing w:after="0"/>
        <w:tabs>
          <w:tab w:leader="none" w:pos="12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the occurrence of any of the following events:</w:t>
      </w:r>
    </w:p>
    <w:p>
      <w:pPr>
        <w:spacing w:after="0" w:line="225" w:lineRule="exact"/>
        <w:rPr>
          <w:rFonts w:ascii="Times New Roman" w:cs="Times New Roman" w:eastAsia="Times New Roman" w:hAnsi="Times New Roman"/>
          <w:sz w:val="18"/>
          <w:szCs w:val="18"/>
          <w:color w:val="auto"/>
        </w:rPr>
      </w:pPr>
    </w:p>
    <w:p>
      <w:pPr>
        <w:ind w:left="4" w:right="20" w:firstLine="1428"/>
        <w:spacing w:after="0" w:line="253" w:lineRule="auto"/>
        <w:tabs>
          <w:tab w:leader="none" w:pos="165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Ownership of the Company</w:t>
      </w:r>
      <w:r>
        <w:rPr>
          <w:rFonts w:ascii="Times New Roman" w:cs="Times New Roman" w:eastAsia="Times New Roman" w:hAnsi="Times New Roman"/>
          <w:sz w:val="18"/>
          <w:szCs w:val="18"/>
          <w:color w:val="auto"/>
        </w:rPr>
        <w:t>. A change in the ownership of the Company which occurs on the date that any one person, or more than one person acting as a group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shall not be considered a Change in Control under this subsection (i).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90" w:lineRule="exact"/>
        <w:rPr>
          <w:sz w:val="20"/>
          <w:szCs w:val="20"/>
          <w:color w:val="auto"/>
        </w:rPr>
      </w:pPr>
    </w:p>
    <w:p>
      <w:pPr>
        <w:ind w:left="4" w:right="40" w:firstLine="987"/>
        <w:spacing w:after="0" w:line="258" w:lineRule="auto"/>
        <w:tabs>
          <w:tab w:leader="none" w:pos="12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Effective Control of the Company</w:t>
      </w:r>
      <w:r>
        <w:rPr>
          <w:rFonts w:ascii="Times New Roman" w:cs="Times New Roman" w:eastAsia="Times New Roman" w:hAnsi="Times New Roman"/>
          <w:sz w:val="18"/>
          <w:szCs w:val="18"/>
          <w:color w:val="auto"/>
        </w:rPr>
        <w:t>. If the Company has a class of 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183" w:lineRule="exact"/>
        <w:rPr>
          <w:rFonts w:ascii="Times New Roman" w:cs="Times New Roman" w:eastAsia="Times New Roman" w:hAnsi="Times New Roman"/>
          <w:sz w:val="18"/>
          <w:szCs w:val="18"/>
          <w:color w:val="auto"/>
        </w:rPr>
      </w:pPr>
    </w:p>
    <w:p>
      <w:pPr>
        <w:ind w:left="4" w:firstLine="987"/>
        <w:spacing w:after="0" w:line="257" w:lineRule="auto"/>
        <w:tabs>
          <w:tab w:leader="none" w:pos="131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Ownership of a Substantial Portion of the Company’s Assets</w:t>
      </w:r>
      <w:r>
        <w:rPr>
          <w:rFonts w:ascii="Times New Roman" w:cs="Times New Roman" w:eastAsia="Times New Roman" w:hAnsi="Times New Roman"/>
          <w:sz w:val="18"/>
          <w:szCs w:val="18"/>
          <w:color w:val="auto"/>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w:t>
      </w:r>
    </w:p>
    <w:p>
      <w:pPr>
        <w:spacing w:after="0" w:line="1" w:lineRule="exact"/>
        <w:rPr>
          <w:rFonts w:ascii="Times New Roman" w:cs="Times New Roman" w:eastAsia="Times New Roman" w:hAnsi="Times New Roman"/>
          <w:sz w:val="18"/>
          <w:szCs w:val="18"/>
          <w:color w:val="auto"/>
        </w:rPr>
      </w:pPr>
    </w:p>
    <w:p>
      <w:pPr>
        <w:ind w:left="4" w:right="16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w:t>
      </w:r>
    </w:p>
    <w:p>
      <w:pPr>
        <w:ind w:left="304" w:hanging="304"/>
        <w:spacing w:after="0"/>
        <w:tabs>
          <w:tab w:leader="none" w:pos="30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to an entity that is controlled by the Company’s stockholders immediately after the transfer, or (B) a transfer of assets by the Company to:</w:t>
      </w:r>
    </w:p>
    <w:p>
      <w:pPr>
        <w:spacing w:after="0" w:line="9" w:lineRule="exact"/>
        <w:rPr>
          <w:rFonts w:ascii="Times New Roman" w:cs="Times New Roman" w:eastAsia="Times New Roman" w:hAnsi="Times New Roman"/>
          <w:sz w:val="18"/>
          <w:szCs w:val="18"/>
          <w:color w:val="auto"/>
        </w:rPr>
      </w:pPr>
    </w:p>
    <w:p>
      <w:pPr>
        <w:ind w:left="4" w:right="1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7" w:name="page8"/>
    <w:bookmarkEnd w:id="7"/>
    <w:p>
      <w:pPr>
        <w:ind w:left="4" w:right="220" w:firstLine="1432"/>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this Section 2(g), persons will be considered to be acting as a group if they are owners of a corporation that enters into a merger, consolidation, purchase or acquisition of stock, or similar business transaction with the Company.</w:t>
      </w:r>
    </w:p>
    <w:p>
      <w:pPr>
        <w:spacing w:after="0" w:line="162" w:lineRule="exact"/>
        <w:rPr>
          <w:sz w:val="20"/>
          <w:szCs w:val="20"/>
          <w:color w:val="auto"/>
        </w:rPr>
      </w:pPr>
    </w:p>
    <w:p>
      <w:pPr>
        <w:ind w:left="4" w:right="120" w:firstLine="1432"/>
        <w:spacing w:after="0" w:line="266" w:lineRule="auto"/>
        <w:rPr>
          <w:sz w:val="20"/>
          <w:szCs w:val="20"/>
          <w:color w:val="auto"/>
        </w:rPr>
      </w:pPr>
      <w:r>
        <w:rPr>
          <w:rFonts w:ascii="Times New Roman" w:cs="Times New Roman" w:eastAsia="Times New Roman" w:hAnsi="Times New Roman"/>
          <w:sz w:val="18"/>
          <w:szCs w:val="18"/>
          <w:color w:val="auto"/>
        </w:rPr>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76" w:lineRule="exact"/>
        <w:rPr>
          <w:sz w:val="20"/>
          <w:szCs w:val="20"/>
          <w:color w:val="auto"/>
        </w:rPr>
      </w:pPr>
    </w:p>
    <w:p>
      <w:pPr>
        <w:ind w:left="4" w:right="200" w:firstLine="1432"/>
        <w:spacing w:after="0" w:line="266" w:lineRule="auto"/>
        <w:rPr>
          <w:sz w:val="20"/>
          <w:szCs w:val="20"/>
          <w:color w:val="auto"/>
        </w:rPr>
      </w:pPr>
      <w:r>
        <w:rPr>
          <w:rFonts w:ascii="Times New Roman" w:cs="Times New Roman" w:eastAsia="Times New Roman" w:hAnsi="Times New Roman"/>
          <w:sz w:val="18"/>
          <w:szCs w:val="18"/>
          <w:color w:val="auto"/>
        </w:rPr>
        <w:t>Further and for the avoidance of doubt, a transaction will not constitute a Change in Control if: (i) its sole purpose is to change the jurisdiction of the Company’s incorporation, or (ii) its sole purpose is to create a holding company that will be owned in substantially the same proportions by the persons who held the Company’s securities immediately before such transaction.</w:t>
      </w:r>
    </w:p>
    <w:p>
      <w:pPr>
        <w:spacing w:after="0" w:line="176" w:lineRule="exact"/>
        <w:rPr>
          <w:sz w:val="20"/>
          <w:szCs w:val="20"/>
          <w:color w:val="auto"/>
        </w:rPr>
      </w:pPr>
    </w:p>
    <w:p>
      <w:pPr>
        <w:ind w:left="4" w:right="100" w:firstLine="987"/>
        <w:spacing w:after="0" w:line="266" w:lineRule="auto"/>
        <w:tabs>
          <w:tab w:leader="none" w:pos="125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175" w:lineRule="exact"/>
        <w:rPr>
          <w:rFonts w:ascii="Times New Roman" w:cs="Times New Roman" w:eastAsia="Times New Roman" w:hAnsi="Times New Roman"/>
          <w:sz w:val="18"/>
          <w:szCs w:val="18"/>
          <w:color w:val="auto"/>
        </w:rPr>
      </w:pPr>
    </w:p>
    <w:p>
      <w:pPr>
        <w:ind w:left="4" w:right="140" w:firstLine="987"/>
        <w:spacing w:after="0" w:line="282" w:lineRule="auto"/>
        <w:tabs>
          <w:tab w:leader="none" w:pos="121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a committee of Directors or of other individuals satisfying Applicable Laws appointed by the Board, or by a duly authorized committee of the Board, in accordance with Section 4 hereof.</w:t>
      </w:r>
    </w:p>
    <w:p>
      <w:pPr>
        <w:spacing w:after="0" w:line="161"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ALX Oncology Holdings Inc., a Delaware corporation, or any successor thereto.</w:t>
      </w:r>
    </w:p>
    <w:p>
      <w:pPr>
        <w:spacing w:after="0" w:line="225" w:lineRule="exact"/>
        <w:rPr>
          <w:rFonts w:ascii="Times New Roman" w:cs="Times New Roman" w:eastAsia="Times New Roman" w:hAnsi="Times New Roman"/>
          <w:sz w:val="18"/>
          <w:szCs w:val="18"/>
          <w:color w:val="auto"/>
        </w:rPr>
      </w:pPr>
    </w:p>
    <w:p>
      <w:pPr>
        <w:jc w:val="both"/>
        <w:ind w:left="4" w:right="280" w:firstLine="987"/>
        <w:spacing w:after="0" w:line="276" w:lineRule="auto"/>
        <w:tabs>
          <w:tab w:leader="none" w:pos="121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Consultant</w:t>
      </w:r>
      <w:r>
        <w:rPr>
          <w:rFonts w:ascii="Times New Roman" w:cs="Times New Roman" w:eastAsia="Times New Roman" w:hAnsi="Times New Roman"/>
          <w:sz w:val="17"/>
          <w:szCs w:val="17"/>
          <w:color w:val="auto"/>
        </w:rPr>
        <w:t>” means any natural person, including an advisor, engaged by the Company or any of its Parent or Subsidiaries to render bona fide services to such entity, provided the services (i) are not in connection with the offer or sale of securities in a capital-raising transaction, and</w:t>
      </w:r>
    </w:p>
    <w:p>
      <w:pPr>
        <w:ind w:left="4" w:hanging="4"/>
        <w:spacing w:after="0" w:line="255" w:lineRule="auto"/>
        <w:tabs>
          <w:tab w:leader="none" w:pos="26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185" w:lineRule="exact"/>
        <w:rPr>
          <w:rFonts w:ascii="Times New Roman" w:cs="Times New Roman" w:eastAsia="Times New Roman" w:hAnsi="Times New Roman"/>
          <w:sz w:val="18"/>
          <w:szCs w:val="18"/>
          <w:color w:val="auto"/>
        </w:rPr>
      </w:pPr>
    </w:p>
    <w:p>
      <w:pPr>
        <w:ind w:left="1304" w:hanging="313"/>
        <w:spacing w:after="0"/>
        <w:tabs>
          <w:tab w:leader="none" w:pos="130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rFonts w:ascii="Times New Roman" w:cs="Times New Roman" w:eastAsia="Times New Roman" w:hAnsi="Times New Roman"/>
          <w:sz w:val="18"/>
          <w:szCs w:val="18"/>
          <w:color w:val="auto"/>
        </w:rPr>
      </w:pPr>
    </w:p>
    <w:p>
      <w:pPr>
        <w:ind w:left="4" w:right="60" w:firstLine="987"/>
        <w:spacing w:after="0" w:line="266" w:lineRule="auto"/>
        <w:tabs>
          <w:tab w:leader="none" w:pos="125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total and permanent disability as defined in Code Section 22(e)(3), provided that the Administrator in its discretion may determine whether a permanent and total disability exists in accordance with uniform and non-discriminatory standards adopted by the Administrator from time to time.</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8" w:name="page9"/>
    <w:bookmarkEnd w:id="8"/>
    <w:p>
      <w:pPr>
        <w:ind w:right="100" w:firstLine="987"/>
        <w:spacing w:after="0" w:line="256" w:lineRule="auto"/>
        <w:tabs>
          <w:tab w:leader="none" w:pos="12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means any person, including Officers and Directors, employed by the Company or any Parent or Subsidiary of the Company. Neither service as a Director nor payment of a director’s fee by the Company will be sufficient to constitute “employment” by the Company. However, for purposes of clarity, a person who already is serving as a Director prior to becoming an Employee will not be eligible to be granted an Award under the Plan unless permitted under the Inducement Listing Rules. The Company will determine in good faith and in the exercise of its discretion whether an individual has become or has ceased to be an Employee and the effective date of such individual’s employment or termination of employment, as the case may be.</w:t>
      </w:r>
    </w:p>
    <w:p>
      <w:pPr>
        <w:spacing w:after="0" w:line="18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225" w:lineRule="exact"/>
        <w:rPr>
          <w:rFonts w:ascii="Times New Roman" w:cs="Times New Roman" w:eastAsia="Times New Roman" w:hAnsi="Times New Roman"/>
          <w:sz w:val="18"/>
          <w:szCs w:val="18"/>
          <w:color w:val="auto"/>
        </w:rPr>
      </w:pPr>
    </w:p>
    <w:p>
      <w:pPr>
        <w:ind w:right="60" w:firstLine="987"/>
        <w:spacing w:after="0" w:line="261" w:lineRule="auto"/>
        <w:tabs>
          <w:tab w:leader="none" w:pos="12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Program</w:t>
      </w:r>
      <w:r>
        <w:rPr>
          <w:rFonts w:ascii="Times New Roman" w:cs="Times New Roman" w:eastAsia="Times New Roman" w:hAnsi="Times New Roman"/>
          <w:sz w:val="18"/>
          <w:szCs w:val="18"/>
          <w:color w:val="auto"/>
        </w:rPr>
        <w:t>” means a program under which (i) outstanding Awards are surrendered or cancelled in exchange for awards of the same type, awards of a different type, and/or cash, (ii) Participants would have the opportunity to transfer any outstanding Awards to a financial institution or other person or entity selected by the Administrator, and/or (iii) the exercise price of an outstanding Award is reduced. Pursuant to the provisions of Section 4(c) of the Plan, the Company may not institute an Exchange Program.</w:t>
      </w:r>
    </w:p>
    <w:p>
      <w:pPr>
        <w:spacing w:after="0" w:line="179"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as of any date, the value of Common Stock determined as follows:</w:t>
      </w:r>
    </w:p>
    <w:p>
      <w:pPr>
        <w:spacing w:after="0" w:line="225" w:lineRule="exact"/>
        <w:rPr>
          <w:rFonts w:ascii="Times New Roman" w:cs="Times New Roman" w:eastAsia="Times New Roman" w:hAnsi="Times New Roman"/>
          <w:sz w:val="18"/>
          <w:szCs w:val="18"/>
          <w:color w:val="auto"/>
        </w:rPr>
      </w:pPr>
    </w:p>
    <w:p>
      <w:pPr>
        <w:ind w:right="100" w:firstLine="1428"/>
        <w:spacing w:after="0" w:line="258" w:lineRule="auto"/>
        <w:tabs>
          <w:tab w:leader="none" w:pos="164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day of determination, as reported in </w:t>
      </w:r>
      <w:r>
        <w:rPr>
          <w:rFonts w:ascii="Times New Roman" w:cs="Times New Roman" w:eastAsia="Times New Roman" w:hAnsi="Times New Roman"/>
          <w:sz w:val="18"/>
          <w:szCs w:val="18"/>
          <w:i w:val="1"/>
          <w:iCs w:val="1"/>
          <w:color w:val="auto"/>
        </w:rPr>
        <w:t>The Wall Street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Journal </w:t>
      </w:r>
      <w:r>
        <w:rPr>
          <w:rFonts w:ascii="Times New Roman" w:cs="Times New Roman" w:eastAsia="Times New Roman" w:hAnsi="Times New Roman"/>
          <w:sz w:val="18"/>
          <w:szCs w:val="18"/>
          <w:color w:val="auto"/>
        </w:rPr>
        <w:t>or such other source as the Administrator deems reliable;</w:t>
      </w:r>
    </w:p>
    <w:p>
      <w:pPr>
        <w:spacing w:after="0" w:line="183" w:lineRule="exact"/>
        <w:rPr>
          <w:rFonts w:ascii="Times New Roman" w:cs="Times New Roman" w:eastAsia="Times New Roman" w:hAnsi="Times New Roman"/>
          <w:sz w:val="18"/>
          <w:szCs w:val="18"/>
          <w:color w:val="auto"/>
        </w:rPr>
      </w:pPr>
    </w:p>
    <w:p>
      <w:pPr>
        <w:ind w:right="40" w:firstLine="1428"/>
        <w:spacing w:after="0" w:line="261" w:lineRule="auto"/>
        <w:tabs>
          <w:tab w:leader="none" w:pos="169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Day such bids and asks were reported),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Administrator deems reliable; or</w:t>
      </w:r>
    </w:p>
    <w:p>
      <w:pPr>
        <w:spacing w:after="0" w:line="179"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an established market for the Common Stock, the Fair Market Value will be determined in good faith by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Administrator.</w:t>
      </w:r>
    </w:p>
    <w:p>
      <w:pPr>
        <w:spacing w:after="0" w:line="206"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means the fiscal year of the Company.</w:t>
      </w:r>
    </w:p>
    <w:p>
      <w:pPr>
        <w:spacing w:after="0" w:line="225" w:lineRule="exact"/>
        <w:rPr>
          <w:rFonts w:ascii="Times New Roman" w:cs="Times New Roman" w:eastAsia="Times New Roman" w:hAnsi="Times New Roman"/>
          <w:sz w:val="18"/>
          <w:szCs w:val="18"/>
          <w:color w:val="auto"/>
        </w:rPr>
      </w:pPr>
    </w:p>
    <w:p>
      <w:pPr>
        <w:ind w:firstLine="987"/>
        <w:spacing w:after="0" w:line="282" w:lineRule="auto"/>
        <w:tabs>
          <w:tab w:leader="none" w:pos="120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means an Option that is an incentive stock option within the meaning of Code Section 422 and the regulations promulgated thereunder.</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Nonstatutory Stock Option</w:t>
      </w:r>
      <w:r>
        <w:rPr>
          <w:rFonts w:ascii="Times New Roman" w:cs="Times New Roman" w:eastAsia="Times New Roman" w:hAnsi="Times New Roman"/>
          <w:sz w:val="18"/>
          <w:szCs w:val="18"/>
          <w:color w:val="auto"/>
        </w:rPr>
        <w:t>” means an Option that is not an Incentive Stock Option.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9" w:name="page10"/>
    <w:bookmarkEnd w:id="9"/>
    <w:p>
      <w:pPr>
        <w:ind w:right="240" w:firstLine="987"/>
        <w:spacing w:after="0" w:line="282" w:lineRule="auto"/>
        <w:tabs>
          <w:tab w:leader="none" w:pos="124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 and the rules and regulations promulgated thereunder.</w:t>
      </w:r>
    </w:p>
    <w:p>
      <w:pPr>
        <w:spacing w:after="0" w:line="161" w:lineRule="exact"/>
        <w:rPr>
          <w:rFonts w:ascii="Times New Roman" w:cs="Times New Roman" w:eastAsia="Times New Roman" w:hAnsi="Times New Roman"/>
          <w:sz w:val="18"/>
          <w:szCs w:val="18"/>
          <w:color w:val="auto"/>
        </w:rPr>
      </w:pPr>
    </w:p>
    <w:p>
      <w:pPr>
        <w:ind w:left="1280" w:hanging="293"/>
        <w:spacing w:after="0"/>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means a stock option granted pursuant to the Plan. All Options granted under the Plan will constitute Nonstatutory Stock</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w:t>
      </w:r>
    </w:p>
    <w:p>
      <w:pPr>
        <w:spacing w:after="0" w:line="206"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a “parent corporation,” whether now or hereafter existing, as defined in Code Section 424(e).</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the holder of an outstanding Award.</w:t>
      </w:r>
    </w:p>
    <w:p>
      <w:pPr>
        <w:spacing w:after="0" w:line="225" w:lineRule="exact"/>
        <w:rPr>
          <w:rFonts w:ascii="Times New Roman" w:cs="Times New Roman" w:eastAsia="Times New Roman" w:hAnsi="Times New Roman"/>
          <w:sz w:val="18"/>
          <w:szCs w:val="18"/>
          <w:color w:val="auto"/>
        </w:rPr>
      </w:pPr>
    </w:p>
    <w:p>
      <w:pPr>
        <w:ind w:firstLine="987"/>
        <w:spacing w:after="0" w:line="282" w:lineRule="auto"/>
        <w:tabs>
          <w:tab w:leader="none" w:pos="12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Share</w:t>
      </w:r>
      <w:r>
        <w:rPr>
          <w:rFonts w:ascii="Times New Roman" w:cs="Times New Roman" w:eastAsia="Times New Roman" w:hAnsi="Times New Roman"/>
          <w:sz w:val="18"/>
          <w:szCs w:val="18"/>
          <w:color w:val="auto"/>
        </w:rPr>
        <w:t>” means an Award denominated in Shares which may be earned in whole or in part upon attainment of performance goals or other vesting criteria as the Administrator may determine pursuant to Section 10.</w:t>
      </w:r>
    </w:p>
    <w:p>
      <w:pPr>
        <w:spacing w:after="0" w:line="162" w:lineRule="exact"/>
        <w:rPr>
          <w:sz w:val="20"/>
          <w:szCs w:val="20"/>
          <w:color w:val="auto"/>
        </w:rPr>
      </w:pPr>
    </w:p>
    <w:p>
      <w:pPr>
        <w:jc w:val="both"/>
        <w:ind w:right="100" w:firstLine="987"/>
        <w:spacing w:after="0" w:line="266" w:lineRule="auto"/>
        <w:tabs>
          <w:tab w:leader="none" w:pos="131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Unit</w:t>
      </w:r>
      <w:r>
        <w:rPr>
          <w:rFonts w:ascii="Times New Roman" w:cs="Times New Roman" w:eastAsia="Times New Roman" w:hAnsi="Times New Roman"/>
          <w:sz w:val="18"/>
          <w:szCs w:val="18"/>
          <w:color w:val="auto"/>
        </w:rPr>
        <w:t>” means an Award which may be earned in whole or in part upon attainment of performance goals or other vesting criteria as the Administrator may determine and which may be settled for cash, Shares or other securities or a combination of the foregoing pursuant to Section 10.</w:t>
      </w:r>
    </w:p>
    <w:p>
      <w:pPr>
        <w:spacing w:after="0" w:line="175" w:lineRule="exact"/>
        <w:rPr>
          <w:rFonts w:ascii="Times New Roman" w:cs="Times New Roman" w:eastAsia="Times New Roman" w:hAnsi="Times New Roman"/>
          <w:sz w:val="18"/>
          <w:szCs w:val="18"/>
          <w:color w:val="auto"/>
        </w:rPr>
      </w:pPr>
    </w:p>
    <w:p>
      <w:pPr>
        <w:jc w:val="both"/>
        <w:ind w:firstLine="987"/>
        <w:spacing w:after="0" w:line="266" w:lineRule="auto"/>
        <w:tabs>
          <w:tab w:leader="none" w:pos="13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Period of Restriction</w:t>
      </w:r>
      <w:r>
        <w:rPr>
          <w:rFonts w:ascii="Times New Roman" w:cs="Times New Roman" w:eastAsia="Times New Roman" w:hAnsi="Times New Roman"/>
          <w:sz w:val="18"/>
          <w:szCs w:val="18"/>
          <w:color w:val="auto"/>
        </w:rPr>
        <w:t>” means the period (if any)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75" w:lineRule="exact"/>
        <w:rPr>
          <w:rFonts w:ascii="Times New Roman" w:cs="Times New Roman" w:eastAsia="Times New Roman" w:hAnsi="Times New Roman"/>
          <w:sz w:val="18"/>
          <w:szCs w:val="18"/>
          <w:color w:val="auto"/>
        </w:rPr>
      </w:pPr>
    </w:p>
    <w:p>
      <w:pPr>
        <w:ind w:left="1320" w:hanging="333"/>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this 2025 Inducement Equity Incentive Plan, as may be amended from time to time.</w:t>
      </w:r>
    </w:p>
    <w:p>
      <w:pPr>
        <w:spacing w:after="0" w:line="225" w:lineRule="exact"/>
        <w:rPr>
          <w:rFonts w:ascii="Times New Roman" w:cs="Times New Roman" w:eastAsia="Times New Roman" w:hAnsi="Times New Roman"/>
          <w:sz w:val="18"/>
          <w:szCs w:val="18"/>
          <w:color w:val="auto"/>
        </w:rPr>
      </w:pPr>
    </w:p>
    <w:p>
      <w:pPr>
        <w:ind w:right="220" w:firstLine="987"/>
        <w:spacing w:after="0" w:line="282" w:lineRule="auto"/>
        <w:tabs>
          <w:tab w:leader="none" w:pos="13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means Shares issued pursuant to an Award of Restricted Stock under Section 8 of the Plan, or issued pursuant to the early exercise of an Option.</w:t>
      </w:r>
    </w:p>
    <w:p>
      <w:pPr>
        <w:spacing w:after="0" w:line="161" w:lineRule="exact"/>
        <w:rPr>
          <w:rFonts w:ascii="Times New Roman" w:cs="Times New Roman" w:eastAsia="Times New Roman" w:hAnsi="Times New Roman"/>
          <w:sz w:val="18"/>
          <w:szCs w:val="18"/>
          <w:color w:val="auto"/>
        </w:rPr>
      </w:pPr>
    </w:p>
    <w:p>
      <w:pPr>
        <w:ind w:right="400" w:firstLine="987"/>
        <w:spacing w:after="0" w:line="282" w:lineRule="auto"/>
        <w:tabs>
          <w:tab w:leader="none" w:pos="131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 Unit</w:t>
      </w:r>
      <w:r>
        <w:rPr>
          <w:rFonts w:ascii="Times New Roman" w:cs="Times New Roman" w:eastAsia="Times New Roman" w:hAnsi="Times New Roman"/>
          <w:sz w:val="18"/>
          <w:szCs w:val="18"/>
          <w:color w:val="auto"/>
        </w:rPr>
        <w:t>” means a bookkeeping entry representing an amount equal to the Fair Market Value of one Share, granted pursuant to Section 9. Each Restricted Stock Unit represents an unfunded and unsecured obligation of the Company.</w:t>
      </w:r>
    </w:p>
    <w:p>
      <w:pPr>
        <w:spacing w:after="0" w:line="161" w:lineRule="exact"/>
        <w:rPr>
          <w:rFonts w:ascii="Times New Roman" w:cs="Times New Roman" w:eastAsia="Times New Roman" w:hAnsi="Times New Roman"/>
          <w:sz w:val="18"/>
          <w:szCs w:val="18"/>
          <w:color w:val="auto"/>
        </w:rPr>
      </w:pPr>
    </w:p>
    <w:p>
      <w:pPr>
        <w:ind w:right="220" w:firstLine="987"/>
        <w:spacing w:after="0" w:line="282" w:lineRule="auto"/>
        <w:tabs>
          <w:tab w:leader="none" w:pos="127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16b-3</w:t>
      </w:r>
      <w:r>
        <w:rPr>
          <w:rFonts w:ascii="Times New Roman" w:cs="Times New Roman" w:eastAsia="Times New Roman" w:hAnsi="Times New Roman"/>
          <w:sz w:val="18"/>
          <w:szCs w:val="18"/>
          <w:color w:val="auto"/>
        </w:rPr>
        <w:t>” means Rule 16b-3 of the Exchange Act or any successor to Rule 16b-3, as in effect when discretion is being exercised with respect to the Plan.</w:t>
      </w:r>
    </w:p>
    <w:p>
      <w:pPr>
        <w:spacing w:after="0" w:line="161"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16b</w:t>
      </w:r>
      <w:r>
        <w:rPr>
          <w:rFonts w:ascii="Times New Roman" w:cs="Times New Roman" w:eastAsia="Times New Roman" w:hAnsi="Times New Roman"/>
          <w:sz w:val="18"/>
          <w:szCs w:val="18"/>
          <w:color w:val="auto"/>
        </w:rPr>
        <w:t>” means Section 16(b) of the Exchange Act.</w:t>
      </w:r>
    </w:p>
    <w:p>
      <w:pPr>
        <w:spacing w:after="0" w:line="225" w:lineRule="exact"/>
        <w:rPr>
          <w:rFonts w:ascii="Times New Roman" w:cs="Times New Roman" w:eastAsia="Times New Roman" w:hAnsi="Times New Roman"/>
          <w:sz w:val="18"/>
          <w:szCs w:val="18"/>
          <w:color w:val="auto"/>
        </w:rPr>
      </w:pPr>
    </w:p>
    <w:p>
      <w:pPr>
        <w:ind w:right="480" w:firstLine="987"/>
        <w:spacing w:after="0" w:line="282" w:lineRule="auto"/>
        <w:tabs>
          <w:tab w:leader="none" w:pos="13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means Code Section 409A and the Treasury Regulations and guidance thereunder, and any applicable state law equivalent, as each may be promulgated, amended or modified from time to time.</w:t>
      </w:r>
    </w:p>
    <w:p>
      <w:pPr>
        <w:spacing w:after="0" w:line="161"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225"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 Provider</w:t>
      </w:r>
      <w:r>
        <w:rPr>
          <w:rFonts w:ascii="Times New Roman" w:cs="Times New Roman" w:eastAsia="Times New Roman" w:hAnsi="Times New Roman"/>
          <w:sz w:val="18"/>
          <w:szCs w:val="18"/>
          <w:color w:val="auto"/>
        </w:rPr>
        <w:t>” means an Employee, Director or Consultant.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0" w:name="page11"/>
    <w:bookmarkEnd w:id="10"/>
    <w:p>
      <w:pPr>
        <w:ind w:left="1340" w:hanging="353"/>
        <w:spacing w:after="0"/>
        <w:tabs>
          <w:tab w:leader="none" w:pos="13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means a share of the Common Stock, as adjusted in accordance with Section 13 of the Plan.</w:t>
      </w:r>
    </w:p>
    <w:p>
      <w:pPr>
        <w:spacing w:after="0" w:line="225" w:lineRule="exact"/>
        <w:rPr>
          <w:rFonts w:ascii="Times New Roman" w:cs="Times New Roman" w:eastAsia="Times New Roman" w:hAnsi="Times New Roman"/>
          <w:sz w:val="18"/>
          <w:szCs w:val="18"/>
          <w:color w:val="auto"/>
        </w:rPr>
      </w:pPr>
    </w:p>
    <w:p>
      <w:pPr>
        <w:ind w:firstLine="987"/>
        <w:spacing w:after="0" w:line="282" w:lineRule="auto"/>
        <w:tabs>
          <w:tab w:leader="none" w:pos="125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Appreciation Right</w:t>
      </w:r>
      <w:r>
        <w:rPr>
          <w:rFonts w:ascii="Times New Roman" w:cs="Times New Roman" w:eastAsia="Times New Roman" w:hAnsi="Times New Roman"/>
          <w:sz w:val="18"/>
          <w:szCs w:val="18"/>
          <w:color w:val="auto"/>
        </w:rPr>
        <w:t>” means an Award, granted alone or in connection with an Option, that pursuant to Section 7 is designated as a Stock Appreciation Right.</w:t>
      </w:r>
    </w:p>
    <w:p>
      <w:pPr>
        <w:spacing w:after="0" w:line="161" w:lineRule="exact"/>
        <w:rPr>
          <w:rFonts w:ascii="Times New Roman" w:cs="Times New Roman" w:eastAsia="Times New Roman" w:hAnsi="Times New Roman"/>
          <w:sz w:val="18"/>
          <w:szCs w:val="18"/>
          <w:color w:val="auto"/>
        </w:rPr>
      </w:pPr>
    </w:p>
    <w:p>
      <w:pPr>
        <w:ind w:left="1440" w:hanging="453"/>
        <w:spacing w:after="0"/>
        <w:tabs>
          <w:tab w:leader="none" w:pos="14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 “subsidiary corporation,” whether now or hereafter existing, as defined in Code Section 424(f).</w:t>
      </w:r>
    </w:p>
    <w:p>
      <w:pPr>
        <w:spacing w:after="0" w:line="225" w:lineRule="exact"/>
        <w:rPr>
          <w:rFonts w:ascii="Times New Roman" w:cs="Times New Roman" w:eastAsia="Times New Roman" w:hAnsi="Times New Roman"/>
          <w:sz w:val="18"/>
          <w:szCs w:val="18"/>
          <w:color w:val="auto"/>
        </w:rPr>
      </w:pPr>
    </w:p>
    <w:p>
      <w:pPr>
        <w:ind w:right="220" w:firstLine="987"/>
        <w:spacing w:after="0" w:line="282" w:lineRule="auto"/>
        <w:tabs>
          <w:tab w:leader="none" w:pos="133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that the primary stock exchange, national market system, or other trading platform, as applicable, upon which the Common Stock is listed (or otherwise trades regularly, as determined by the Administrator, in its sole discretion) is open for trading.</w:t>
      </w:r>
    </w:p>
    <w:p>
      <w:pPr>
        <w:spacing w:after="0" w:line="16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Subject to the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right="220" w:firstLine="987"/>
        <w:spacing w:after="0" w:line="266" w:lineRule="auto"/>
        <w:tabs>
          <w:tab w:leader="none" w:pos="123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Subject to the Plan</w:t>
      </w:r>
      <w:r>
        <w:rPr>
          <w:rFonts w:ascii="Times New Roman" w:cs="Times New Roman" w:eastAsia="Times New Roman" w:hAnsi="Times New Roman"/>
          <w:sz w:val="18"/>
          <w:szCs w:val="18"/>
          <w:color w:val="auto"/>
        </w:rPr>
        <w:t>. Subject to the provisions of Section 14 of the Plan, the maximum aggregate number of Shares that may be subject to Awards and sold under the Plan is 1,500,000 Shares. In addition, Shares may become available for issuance under Section 3(b) of the Plan. The Shares may be authorized but unissued, or reacquired Common Stock.</w:t>
      </w:r>
    </w:p>
    <w:p>
      <w:pPr>
        <w:spacing w:after="0" w:line="175" w:lineRule="exact"/>
        <w:rPr>
          <w:rFonts w:ascii="Times New Roman" w:cs="Times New Roman" w:eastAsia="Times New Roman" w:hAnsi="Times New Roman"/>
          <w:sz w:val="18"/>
          <w:szCs w:val="18"/>
          <w:color w:val="auto"/>
        </w:rPr>
      </w:pPr>
    </w:p>
    <w:p>
      <w:pPr>
        <w:ind w:right="20" w:firstLine="987"/>
        <w:spacing w:after="0" w:line="253" w:lineRule="auto"/>
        <w:tabs>
          <w:tab w:leader="none" w:pos="124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Lapsed Awards</w:t>
      </w:r>
      <w:r>
        <w:rPr>
          <w:rFonts w:ascii="Times New Roman" w:cs="Times New Roman" w:eastAsia="Times New Roman" w:hAnsi="Times New Roman"/>
          <w:sz w:val="18"/>
          <w:szCs w:val="18"/>
          <w:color w:val="auto"/>
        </w:rPr>
        <w:t>. If an Award expires or becomes unexercisable without having been exercised in full, or, with respect to Restricted Stock, Restricted Stock Units, Performance Units or Performance Shares is forfeited to or repurchased by the Company due to the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pursuant to a Stock Appreciation Right will cease to be available under the Plan; all remaining Shares under Stock Appreciation Rights will remain available for future grant or sale under the Plan (unless the Plan has terminated). Shares that have actually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due to the failure to vest, such Shares will become available for future grant under the Plan. Shares used to pay the exercise price of an Award or to satisfy the tax liabilities or withholdings related to an Award will become available for future grant or sale under the Plan. To the extent an Award under the Plan is paid out in cash rather than Shares, such cash payment will not result in reducing the number of Shares available for issuance under the Plan.</w:t>
      </w:r>
    </w:p>
    <w:p>
      <w:pPr>
        <w:spacing w:after="0" w:line="189" w:lineRule="exact"/>
        <w:rPr>
          <w:rFonts w:ascii="Times New Roman" w:cs="Times New Roman" w:eastAsia="Times New Roman" w:hAnsi="Times New Roman"/>
          <w:sz w:val="18"/>
          <w:szCs w:val="18"/>
          <w:color w:val="auto"/>
        </w:rPr>
      </w:pPr>
    </w:p>
    <w:p>
      <w:pPr>
        <w:ind w:firstLine="987"/>
        <w:spacing w:after="0" w:line="282" w:lineRule="auto"/>
        <w:tabs>
          <w:tab w:leader="none" w:pos="123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Reserve</w:t>
      </w:r>
      <w:r>
        <w:rPr>
          <w:rFonts w:ascii="Times New Roman" w:cs="Times New Roman" w:eastAsia="Times New Roman" w:hAnsi="Times New Roman"/>
          <w:sz w:val="18"/>
          <w:szCs w:val="18"/>
          <w:color w:val="auto"/>
        </w:rPr>
        <w:t>. The Company, during the term of this Plan, will at all times reserve and keep available such number of Shares as will be sufficient to satisfy the requirements of the Plan.</w:t>
      </w:r>
    </w:p>
    <w:p>
      <w:pPr>
        <w:spacing w:after="0" w:line="16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the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640" w:hanging="212"/>
        <w:spacing w:after="0"/>
        <w:tabs>
          <w:tab w:leader="none" w:pos="1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Multiple Administrative Bodies</w:t>
      </w:r>
      <w:r>
        <w:rPr>
          <w:rFonts w:ascii="Times New Roman" w:cs="Times New Roman" w:eastAsia="Times New Roman" w:hAnsi="Times New Roman"/>
          <w:sz w:val="18"/>
          <w:szCs w:val="18"/>
          <w:color w:val="auto"/>
        </w:rPr>
        <w:t>. Different Committees with respect to different groups of Employees or Participants may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the Plan.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1" w:name="page12"/>
    <w:bookmarkEnd w:id="11"/>
    <w:p>
      <w:pPr>
        <w:ind w:left="-60" w:right="20" w:firstLine="1428"/>
        <w:spacing w:after="0" w:line="282" w:lineRule="auto"/>
        <w:tabs>
          <w:tab w:leader="none" w:pos="163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Rule 16b-3</w:t>
      </w:r>
      <w:r>
        <w:rPr>
          <w:rFonts w:ascii="Times New Roman" w:cs="Times New Roman" w:eastAsia="Times New Roman" w:hAnsi="Times New Roman"/>
          <w:sz w:val="18"/>
          <w:szCs w:val="18"/>
          <w:color w:val="auto"/>
        </w:rPr>
        <w:t>. To the extent desirable to qualify transactions hereunder as exempt under Rule 16b-3, the transactions contemplated hereunder will be structured to satisfy the requirements for exemption under Rule 16b-3.</w:t>
      </w:r>
    </w:p>
    <w:p>
      <w:pPr>
        <w:spacing w:after="0" w:line="161" w:lineRule="exact"/>
        <w:rPr>
          <w:rFonts w:ascii="Times New Roman" w:cs="Times New Roman" w:eastAsia="Times New Roman" w:hAnsi="Times New Roman"/>
          <w:sz w:val="18"/>
          <w:szCs w:val="18"/>
          <w:color w:val="auto"/>
        </w:rPr>
      </w:pPr>
    </w:p>
    <w:p>
      <w:pPr>
        <w:ind w:left="-60" w:firstLine="1428"/>
        <w:spacing w:after="0" w:line="266" w:lineRule="auto"/>
        <w:tabs>
          <w:tab w:leader="none" w:pos="168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Administration</w:t>
      </w:r>
      <w:r>
        <w:rPr>
          <w:rFonts w:ascii="Times New Roman" w:cs="Times New Roman" w:eastAsia="Times New Roman" w:hAnsi="Times New Roman"/>
          <w:sz w:val="18"/>
          <w:szCs w:val="18"/>
          <w:color w:val="auto"/>
        </w:rPr>
        <w:t>. Other than as provided above, the Plan will be administered by (A) the Board or (B) a Committee, which Committee will be constituted to satisfy Applicable Laws. Unless and until determined otherwise by the Board, the Compensation Committee of the Board will have full authority to act as Administrator.</w:t>
      </w:r>
    </w:p>
    <w:p>
      <w:pPr>
        <w:spacing w:after="0" w:line="175" w:lineRule="exact"/>
        <w:rPr>
          <w:rFonts w:ascii="Times New Roman" w:cs="Times New Roman" w:eastAsia="Times New Roman" w:hAnsi="Times New Roman"/>
          <w:sz w:val="18"/>
          <w:szCs w:val="18"/>
          <w:color w:val="auto"/>
        </w:rPr>
      </w:pPr>
    </w:p>
    <w:p>
      <w:pPr>
        <w:ind w:left="-60" w:firstLine="1428"/>
        <w:spacing w:after="0" w:line="282" w:lineRule="auto"/>
        <w:tabs>
          <w:tab w:leader="none" w:pos="167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w:t>
      </w:r>
      <w:r>
        <w:rPr>
          <w:rFonts w:ascii="Times New Roman" w:cs="Times New Roman" w:eastAsia="Times New Roman" w:hAnsi="Times New Roman"/>
          <w:sz w:val="18"/>
          <w:szCs w:val="18"/>
          <w:color w:val="auto"/>
        </w:rPr>
        <w:t>. Awards granted under the Plan must be approved by a majority of the Company’s “Independent Directors” within the meaning of the Inducement Listing Rules, or the independent Compensation Committee of the Board, in each case acting as the Administrator.</w:t>
      </w:r>
    </w:p>
    <w:p>
      <w:pPr>
        <w:spacing w:after="0" w:line="161" w:lineRule="exact"/>
        <w:rPr>
          <w:rFonts w:ascii="Times New Roman" w:cs="Times New Roman" w:eastAsia="Times New Roman" w:hAnsi="Times New Roman"/>
          <w:sz w:val="18"/>
          <w:szCs w:val="18"/>
          <w:color w:val="auto"/>
        </w:rPr>
      </w:pPr>
    </w:p>
    <w:p>
      <w:pPr>
        <w:ind w:left="-60" w:right="500" w:firstLine="987"/>
        <w:spacing w:after="0" w:line="282" w:lineRule="auto"/>
        <w:tabs>
          <w:tab w:leader="none" w:pos="118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the Administrator</w:t>
      </w:r>
      <w:r>
        <w:rPr>
          <w:rFonts w:ascii="Times New Roman" w:cs="Times New Roman" w:eastAsia="Times New Roman" w:hAnsi="Times New Roman"/>
          <w:sz w:val="18"/>
          <w:szCs w:val="18"/>
          <w:color w:val="auto"/>
        </w:rPr>
        <w:t>. Subject to the provisions of the Plan, and in the case of a Committee, subject to the specific duties delegated by the Board to such Committee, the Administrator will have the authority, in its discretion:</w:t>
      </w:r>
    </w:p>
    <w:p>
      <w:pPr>
        <w:spacing w:after="0" w:line="161" w:lineRule="exact"/>
        <w:rPr>
          <w:rFonts w:ascii="Times New Roman" w:cs="Times New Roman" w:eastAsia="Times New Roman" w:hAnsi="Times New Roman"/>
          <w:sz w:val="18"/>
          <w:szCs w:val="18"/>
          <w:color w:val="auto"/>
        </w:rPr>
      </w:pPr>
    </w:p>
    <w:p>
      <w:pPr>
        <w:ind w:left="1580" w:hanging="212"/>
        <w:spacing w:after="0"/>
        <w:tabs>
          <w:tab w:leader="none" w:pos="15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Fair Market Value;</w:t>
      </w:r>
    </w:p>
    <w:p>
      <w:pPr>
        <w:spacing w:after="0" w:line="225" w:lineRule="exact"/>
        <w:rPr>
          <w:rFonts w:ascii="Times New Roman" w:cs="Times New Roman" w:eastAsia="Times New Roman" w:hAnsi="Times New Roman"/>
          <w:sz w:val="18"/>
          <w:szCs w:val="18"/>
          <w:color w:val="auto"/>
        </w:rPr>
      </w:pPr>
    </w:p>
    <w:p>
      <w:pPr>
        <w:ind w:left="-60" w:right="360" w:firstLine="1428"/>
        <w:spacing w:after="0" w:line="282" w:lineRule="auto"/>
        <w:tabs>
          <w:tab w:leader="none" w:pos="163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individuals to whom Awards may be granted hereunder, subject to Section 5 of the Plan (which Awards will be intended as a material inducement to the individual becoming an Employee);</w:t>
      </w:r>
    </w:p>
    <w:p>
      <w:pPr>
        <w:spacing w:after="0" w:line="161" w:lineRule="exact"/>
        <w:rPr>
          <w:rFonts w:ascii="Times New Roman" w:cs="Times New Roman" w:eastAsia="Times New Roman" w:hAnsi="Times New Roman"/>
          <w:sz w:val="18"/>
          <w:szCs w:val="18"/>
          <w:color w:val="auto"/>
        </w:rPr>
      </w:pPr>
    </w:p>
    <w:p>
      <w:pPr>
        <w:ind w:left="1680" w:hanging="312"/>
        <w:spacing w:after="0"/>
        <w:tabs>
          <w:tab w:leader="none" w:pos="16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to be covered by each Award granted hereunder;</w:t>
      </w:r>
    </w:p>
    <w:p>
      <w:pPr>
        <w:spacing w:after="0" w:line="225" w:lineRule="exact"/>
        <w:rPr>
          <w:rFonts w:ascii="Times New Roman" w:cs="Times New Roman" w:eastAsia="Times New Roman" w:hAnsi="Times New Roman"/>
          <w:sz w:val="18"/>
          <w:szCs w:val="18"/>
          <w:color w:val="auto"/>
        </w:rPr>
      </w:pPr>
    </w:p>
    <w:p>
      <w:pPr>
        <w:ind w:left="1680" w:hanging="312"/>
        <w:spacing w:after="0"/>
        <w:tabs>
          <w:tab w:leader="none" w:pos="16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forms of Award Agreements for use under the Plan;</w:t>
      </w:r>
    </w:p>
    <w:p>
      <w:pPr>
        <w:spacing w:after="0" w:line="225" w:lineRule="exact"/>
        <w:rPr>
          <w:rFonts w:ascii="Times New Roman" w:cs="Times New Roman" w:eastAsia="Times New Roman" w:hAnsi="Times New Roman"/>
          <w:sz w:val="18"/>
          <w:szCs w:val="18"/>
          <w:color w:val="auto"/>
        </w:rPr>
      </w:pPr>
    </w:p>
    <w:p>
      <w:pPr>
        <w:ind w:left="-60" w:firstLine="1428"/>
        <w:spacing w:after="0" w:line="274" w:lineRule="auto"/>
        <w:tabs>
          <w:tab w:leader="none" w:pos="1627"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(including but not limited to, temporarily suspending the exercisability of an Award if the Administrator deems such suspension to be necessary or appropriate for administrative purposes or to comply with Applicable Laws, provided that such suspension must be lifted prior to the expiration of the maximum term and post-termination exercisability period of an Award), based in each case on such factors as the Administrator will determine;</w:t>
      </w:r>
    </w:p>
    <w:p>
      <w:pPr>
        <w:spacing w:after="0" w:line="172" w:lineRule="exact"/>
        <w:rPr>
          <w:rFonts w:ascii="Times New Roman" w:cs="Times New Roman" w:eastAsia="Times New Roman" w:hAnsi="Times New Roman"/>
          <w:sz w:val="17"/>
          <w:szCs w:val="17"/>
          <w:color w:val="auto"/>
        </w:rPr>
      </w:pPr>
    </w:p>
    <w:p>
      <w:pPr>
        <w:ind w:left="1680" w:hanging="312"/>
        <w:spacing w:after="0"/>
        <w:tabs>
          <w:tab w:leader="none" w:pos="16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terms of the Plan and Awards granted pursuant to the Plan;</w:t>
      </w:r>
    </w:p>
    <w:p>
      <w:pPr>
        <w:spacing w:after="0" w:line="225" w:lineRule="exact"/>
        <w:rPr>
          <w:rFonts w:ascii="Times New Roman" w:cs="Times New Roman" w:eastAsia="Times New Roman" w:hAnsi="Times New Roman"/>
          <w:sz w:val="18"/>
          <w:szCs w:val="18"/>
          <w:color w:val="auto"/>
        </w:rPr>
      </w:pPr>
    </w:p>
    <w:p>
      <w:pPr>
        <w:ind w:left="-60" w:right="100" w:firstLine="1428"/>
        <w:spacing w:after="0" w:line="282" w:lineRule="auto"/>
        <w:tabs>
          <w:tab w:leader="none" w:pos="172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amend and rescind rules and regulations relating to the Plan, including rules and regulations relating to sub-plans established for the purpose of satisfying applicable non-U.S. laws or for qualifying for favorable tax treatment under applicable non-U.S. laws;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80"/>
          </w:cols>
          <w:pgMar w:left="500" w:top="270" w:right="519" w:bottom="1440" w:gutter="0" w:footer="0" w:header="0"/>
        </w:sectPr>
      </w:pPr>
    </w:p>
    <w:bookmarkStart w:id="12" w:name="page13"/>
    <w:bookmarkEnd w:id="12"/>
    <w:p>
      <w:pPr>
        <w:ind w:right="180" w:firstLine="1428"/>
        <w:spacing w:after="0" w:line="266" w:lineRule="auto"/>
        <w:tabs>
          <w:tab w:leader="none" w:pos="1837"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modify or amend each Award (subject to Section 19(c) of the Plan), including but not limited to the discretionary authority to extend the post-termination exercisability period of Awards and to extend the maximum term of an Option or Stock Appreciation Right (subject to Sections 6(c) and 7(e));</w:t>
      </w:r>
    </w:p>
    <w:p>
      <w:pPr>
        <w:spacing w:after="0" w:line="175"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Participants to satisfy withholding tax obligations in a manner prescribed in Section 15;</w:t>
      </w:r>
    </w:p>
    <w:p>
      <w:pPr>
        <w:spacing w:after="0" w:line="225" w:lineRule="exact"/>
        <w:rPr>
          <w:rFonts w:ascii="Times New Roman" w:cs="Times New Roman" w:eastAsia="Times New Roman" w:hAnsi="Times New Roman"/>
          <w:sz w:val="18"/>
          <w:szCs w:val="18"/>
          <w:color w:val="auto"/>
        </w:rPr>
      </w:pPr>
    </w:p>
    <w:p>
      <w:pPr>
        <w:ind w:right="140" w:firstLine="1428"/>
        <w:spacing w:after="0" w:line="282" w:lineRule="auto"/>
        <w:tabs>
          <w:tab w:leader="none" w:pos="1687"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any person to execute on behalf of the Company any instrument required to effect the grant of an Award previously granted by the Administrator;</w:t>
      </w:r>
    </w:p>
    <w:p>
      <w:pPr>
        <w:spacing w:after="0" w:line="161" w:lineRule="exact"/>
        <w:rPr>
          <w:rFonts w:ascii="Times New Roman" w:cs="Times New Roman" w:eastAsia="Times New Roman" w:hAnsi="Times New Roman"/>
          <w:sz w:val="18"/>
          <w:szCs w:val="18"/>
          <w:color w:val="auto"/>
        </w:rPr>
      </w:pPr>
    </w:p>
    <w:p>
      <w:pPr>
        <w:ind w:right="220" w:firstLine="1428"/>
        <w:spacing w:after="0" w:line="282" w:lineRule="auto"/>
        <w:tabs>
          <w:tab w:leader="none" w:pos="1737"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a Participant to defer the receipt of the payment of cash or the delivery of Shares that otherwise would be due to such Participant under an Award; and</w:t>
      </w:r>
    </w:p>
    <w:p>
      <w:pPr>
        <w:spacing w:after="0" w:line="161" w:lineRule="exact"/>
        <w:rPr>
          <w:rFonts w:ascii="Times New Roman" w:cs="Times New Roman" w:eastAsia="Times New Roman" w:hAnsi="Times New Roman"/>
          <w:sz w:val="18"/>
          <w:szCs w:val="18"/>
          <w:color w:val="auto"/>
        </w:rPr>
      </w:pPr>
    </w:p>
    <w:p>
      <w:pPr>
        <w:ind w:left="1780" w:hanging="352"/>
        <w:spacing w:after="0"/>
        <w:tabs>
          <w:tab w:leader="none" w:pos="178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all other determinations deemed necessary or advisable for administering the Plan.</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Exchange Program</w:t>
      </w:r>
      <w:r>
        <w:rPr>
          <w:rFonts w:ascii="Times New Roman" w:cs="Times New Roman" w:eastAsia="Times New Roman" w:hAnsi="Times New Roman"/>
          <w:sz w:val="18"/>
          <w:szCs w:val="18"/>
          <w:color w:val="auto"/>
        </w:rPr>
        <w:t>. Notwithstanding any terms herein to the contrary, the Administrator may not institute an Exchange Program.</w:t>
      </w:r>
    </w:p>
    <w:p>
      <w:pPr>
        <w:spacing w:after="0" w:line="225" w:lineRule="exact"/>
        <w:rPr>
          <w:rFonts w:ascii="Times New Roman" w:cs="Times New Roman" w:eastAsia="Times New Roman" w:hAnsi="Times New Roman"/>
          <w:sz w:val="18"/>
          <w:szCs w:val="18"/>
          <w:color w:val="auto"/>
        </w:rPr>
      </w:pPr>
    </w:p>
    <w:p>
      <w:pPr>
        <w:ind w:right="200" w:firstLine="987"/>
        <w:spacing w:after="0" w:line="282" w:lineRule="auto"/>
        <w:tabs>
          <w:tab w:leader="none" w:pos="124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Administrator’s Decision</w:t>
      </w:r>
      <w:r>
        <w:rPr>
          <w:rFonts w:ascii="Times New Roman" w:cs="Times New Roman" w:eastAsia="Times New Roman" w:hAnsi="Times New Roman"/>
          <w:sz w:val="18"/>
          <w:szCs w:val="18"/>
          <w:color w:val="auto"/>
        </w:rPr>
        <w:t>. The Administrator’s decisions, determinations and interpretations will be final and binding on all Participants and any other holders of Awards and will be given the maximum deference permitted by Applicable Laws.</w:t>
      </w:r>
    </w:p>
    <w:p>
      <w:pPr>
        <w:spacing w:after="0" w:line="161" w:lineRule="exact"/>
        <w:rPr>
          <w:rFonts w:ascii="Times New Roman" w:cs="Times New Roman" w:eastAsia="Times New Roman" w:hAnsi="Times New Roman"/>
          <w:sz w:val="18"/>
          <w:szCs w:val="18"/>
          <w:color w:val="auto"/>
        </w:rPr>
      </w:pPr>
    </w:p>
    <w:p>
      <w:pPr>
        <w:ind w:right="760" w:firstLine="436"/>
        <w:spacing w:after="0" w:line="282" w:lineRule="auto"/>
        <w:tabs>
          <w:tab w:leader="none" w:pos="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Nonstatutory Stock Options, Stock Appreciation Rights, Restricted Stock, Restricted Stock Units, Performance Shares and Performance Units may be granted to Employees, so long as the following requirements are met:</w:t>
      </w:r>
    </w:p>
    <w:p>
      <w:pPr>
        <w:spacing w:after="0" w:line="161" w:lineRule="exact"/>
        <w:rPr>
          <w:rFonts w:ascii="Times New Roman" w:cs="Times New Roman" w:eastAsia="Times New Roman" w:hAnsi="Times New Roman"/>
          <w:sz w:val="18"/>
          <w:szCs w:val="18"/>
          <w:color w:val="auto"/>
        </w:rPr>
      </w:pPr>
    </w:p>
    <w:p>
      <w:pPr>
        <w:ind w:right="380" w:firstLine="987"/>
        <w:spacing w:after="0" w:line="282" w:lineRule="auto"/>
        <w:tabs>
          <w:tab w:leader="none" w:pos="123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was not previously an Employee or Director, or the Employee is to become employed by the Company or any of its Parent or Subsidiaries following a bona-fide period of non-employment (within the meaning of the Inducement Listing Rules); and</w:t>
      </w:r>
    </w:p>
    <w:p>
      <w:pPr>
        <w:spacing w:after="0" w:line="161" w:lineRule="exact"/>
        <w:rPr>
          <w:rFonts w:ascii="Times New Roman" w:cs="Times New Roman" w:eastAsia="Times New Roman" w:hAnsi="Times New Roman"/>
          <w:sz w:val="18"/>
          <w:szCs w:val="18"/>
          <w:color w:val="auto"/>
        </w:rPr>
      </w:pPr>
    </w:p>
    <w:p>
      <w:pPr>
        <w:ind w:right="220" w:firstLine="987"/>
        <w:spacing w:after="0" w:line="282" w:lineRule="auto"/>
        <w:tabs>
          <w:tab w:leader="none" w:pos="124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Award or Awards to the Employee is an inducement material to such Employee’s entering into employment with the Company (or any of its Parents or Subsidiaries, as applicable) in accordance with the Inducement Listing Rules.</w:t>
      </w:r>
    </w:p>
    <w:p>
      <w:pPr>
        <w:spacing w:after="0" w:line="16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80" w:firstLine="987"/>
        <w:spacing w:after="0" w:line="261" w:lineRule="auto"/>
        <w:tabs>
          <w:tab w:leader="none" w:pos="123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Options</w:t>
      </w:r>
      <w:r>
        <w:rPr>
          <w:rFonts w:ascii="Times New Roman" w:cs="Times New Roman" w:eastAsia="Times New Roman" w:hAnsi="Times New Roman"/>
          <w:sz w:val="18"/>
          <w:szCs w:val="18"/>
          <w:color w:val="auto"/>
        </w:rPr>
        <w:t>. Subject to the terms and conditions of the Plan (including without limitation the eligibility requirements of Section 5 of the Plan), the Administrator, at any time and from time to time, may grant Options to any individual as a material inducement to the individual becoming an Employee, which grant shall become effective only if the individual actually becomes an Employee, in such amounts as the Administrator, in its sole discretion, will determine.</w:t>
      </w:r>
    </w:p>
    <w:p>
      <w:pPr>
        <w:spacing w:after="0" w:line="179"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Agreement</w:t>
      </w:r>
      <w:r>
        <w:rPr>
          <w:rFonts w:ascii="Times New Roman" w:cs="Times New Roman" w:eastAsia="Times New Roman" w:hAnsi="Times New Roman"/>
          <w:sz w:val="18"/>
          <w:szCs w:val="18"/>
          <w:color w:val="auto"/>
        </w:rPr>
        <w:t>. Each Award of an Option will be evidenced by an Award Agreement that will specify the exercise price, the term of the Option, the number of Shares subject to the Option, the exercise restrictions, if any, applicable to the Option, and such other terms and conditions as the Administrator, in its sole discretion, will determine.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70" w:right="439" w:bottom="1440" w:gutter="0" w:footer="0" w:header="0"/>
        </w:sectPr>
      </w:pPr>
    </w:p>
    <w:bookmarkStart w:id="13" w:name="page14"/>
    <w:bookmarkEnd w:id="13"/>
    <w:p>
      <w:pPr>
        <w:ind w:firstLine="987"/>
        <w:spacing w:after="0" w:line="282" w:lineRule="auto"/>
        <w:tabs>
          <w:tab w:leader="none" w:pos="123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 of Option</w:t>
      </w:r>
      <w:r>
        <w:rPr>
          <w:rFonts w:ascii="Times New Roman" w:cs="Times New Roman" w:eastAsia="Times New Roman" w:hAnsi="Times New Roman"/>
          <w:sz w:val="18"/>
          <w:szCs w:val="18"/>
          <w:color w:val="auto"/>
        </w:rPr>
        <w:t>. The term of each Option will be stated in the Award Agreement; provided, however, that the term will be no more than ten (10) years from the date of grant thereof.</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Exercise Price and Consideration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40" w:firstLine="1428"/>
        <w:spacing w:after="0" w:line="282" w:lineRule="auto"/>
        <w:tabs>
          <w:tab w:leader="none" w:pos="164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per Share exercise price for the Shares to be issued pursuant to the exercise of an Option will be determined by the Administrator, but will be no less than one hundred percent (100%) of the Fair Market Value per Share on the date of grant.</w:t>
      </w:r>
    </w:p>
    <w:p>
      <w:pPr>
        <w:spacing w:after="0" w:line="161" w:lineRule="exact"/>
        <w:rPr>
          <w:rFonts w:ascii="Times New Roman" w:cs="Times New Roman" w:eastAsia="Times New Roman" w:hAnsi="Times New Roman"/>
          <w:sz w:val="18"/>
          <w:szCs w:val="18"/>
          <w:color w:val="auto"/>
        </w:rPr>
      </w:pPr>
    </w:p>
    <w:p>
      <w:pPr>
        <w:ind w:right="440" w:firstLine="1428"/>
        <w:spacing w:after="0" w:line="282" w:lineRule="auto"/>
        <w:tabs>
          <w:tab w:leader="none" w:pos="169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Waiting Period and Exercise Dates</w:t>
      </w:r>
      <w:r>
        <w:rPr>
          <w:rFonts w:ascii="Times New Roman" w:cs="Times New Roman" w:eastAsia="Times New Roman" w:hAnsi="Times New Roman"/>
          <w:sz w:val="18"/>
          <w:szCs w:val="18"/>
          <w:color w:val="auto"/>
        </w:rPr>
        <w:t>. At the time an Option is granted, the Administrator will fix the period within which the Option may be exercised and will determine any conditions that must be satisfied before the Option may be exercised.</w:t>
      </w:r>
    </w:p>
    <w:p>
      <w:pPr>
        <w:spacing w:after="0" w:line="161" w:lineRule="exact"/>
        <w:rPr>
          <w:rFonts w:ascii="Times New Roman" w:cs="Times New Roman" w:eastAsia="Times New Roman" w:hAnsi="Times New Roman"/>
          <w:sz w:val="18"/>
          <w:szCs w:val="18"/>
          <w:color w:val="auto"/>
        </w:rPr>
      </w:pPr>
    </w:p>
    <w:p>
      <w:pPr>
        <w:ind w:right="60" w:firstLine="1428"/>
        <w:spacing w:after="0" w:line="254" w:lineRule="auto"/>
        <w:tabs>
          <w:tab w:leader="none" w:pos="174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of Consideration</w:t>
      </w:r>
      <w:r>
        <w:rPr>
          <w:rFonts w:ascii="Times New Roman" w:cs="Times New Roman" w:eastAsia="Times New Roman" w:hAnsi="Times New Roman"/>
          <w:sz w:val="18"/>
          <w:szCs w:val="18"/>
          <w:color w:val="auto"/>
        </w:rPr>
        <w:t>. The Administrator will determine the acceptable form of consideration for exercising an Option, including the method of payment. Such consideration may consist entirely of: (1) cash (including cash equivalents); (2) check; (3) promissory note, to the extent permitted by Applicable Laws, (4) other Shares, provided that such Shares have a Fair Market Value on the date of surrender equal to the aggregate exercise price of the Shares as to which such Option will be exercised and provided further that accepting such Shares will not result in any adverse accounting consequences to the Company, as the Administrator determines in its sole discretion; (5) consideration received by the Company under a cashless exercise program (whether through a broker or otherwise) implemented by the Company in connection with the Plan; (6) by net exercise; (7) such other consideration and method of payment for the issuance of Shares to the extent permitted by Applicable Laws, or (8) any combination of the foregoing methods of payment. In making its determination as to the type of consideration to accept, the Administrator will consider if acceptance of such consideration may be reasonably expected to benefit the Company.</w:t>
      </w:r>
    </w:p>
    <w:p>
      <w:pPr>
        <w:spacing w:after="0" w:line="188"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20" w:firstLine="1428"/>
        <w:spacing w:after="0" w:line="266" w:lineRule="auto"/>
        <w:tabs>
          <w:tab w:leader="none" w:pos="164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 for Exercise; Rights as a Stockholder</w:t>
      </w:r>
      <w:r>
        <w:rPr>
          <w:rFonts w:ascii="Times New Roman" w:cs="Times New Roman" w:eastAsia="Times New Roman" w:hAnsi="Times New Roman"/>
          <w:sz w:val="18"/>
          <w:szCs w:val="18"/>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76" w:lineRule="exact"/>
        <w:rPr>
          <w:sz w:val="20"/>
          <w:szCs w:val="20"/>
          <w:color w:val="auto"/>
        </w:rPr>
      </w:pPr>
    </w:p>
    <w:p>
      <w:pPr>
        <w:ind w:right="20" w:firstLine="1983"/>
        <w:spacing w:after="0" w:line="254" w:lineRule="auto"/>
        <w:rPr>
          <w:sz w:val="20"/>
          <w:szCs w:val="20"/>
          <w:color w:val="auto"/>
        </w:rPr>
      </w:pPr>
      <w:r>
        <w:rPr>
          <w:rFonts w:ascii="Times New Roman" w:cs="Times New Roman" w:eastAsia="Times New Roman" w:hAnsi="Times New Roman"/>
          <w:sz w:val="18"/>
          <w:szCs w:val="18"/>
          <w:color w:val="auto"/>
        </w:rPr>
        <w:t>An Option will be deemed exercised when the Company receives: (i) notice of exercise (in such form as the Administrator may specify from time to time) from the person entitled to exercise the Option, and (ii) full payment for the Shares with respect to which the Option is exercised (together with applicable tax withholding).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14 of the Plan.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4" w:name="page15"/>
    <w:bookmarkEnd w:id="14"/>
    <w:p>
      <w:pPr>
        <w:ind w:right="220" w:firstLine="198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Exercising an Option in any manner will decrease the number of Shares thereafter available, both for purposes of the Plan and for sale under the Option, by the number of Shares as to which the Option is exercised.</w:t>
      </w:r>
    </w:p>
    <w:p>
      <w:pPr>
        <w:spacing w:after="0" w:line="162" w:lineRule="exact"/>
        <w:rPr>
          <w:sz w:val="20"/>
          <w:szCs w:val="20"/>
          <w:color w:val="auto"/>
        </w:rPr>
      </w:pPr>
    </w:p>
    <w:p>
      <w:pPr>
        <w:ind w:right="40" w:firstLine="1428"/>
        <w:spacing w:after="0" w:line="255" w:lineRule="auto"/>
        <w:tabs>
          <w:tab w:leader="none" w:pos="169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Relationship as a Service Provider</w:t>
      </w:r>
      <w:r>
        <w:rPr>
          <w:rFonts w:ascii="Times New Roman" w:cs="Times New Roman" w:eastAsia="Times New Roman" w:hAnsi="Times New Roman"/>
          <w:sz w:val="18"/>
          <w:szCs w:val="18"/>
          <w:color w:val="auto"/>
        </w:rPr>
        <w:t>. If a Participant ceases to be a Service Provider, other than upon the Participant’s termination as the result of the Participant’s death or Disability, the Participant may exercise his or her Option, to the extent that the Option is vested on the date of termination, within ninety (90) days of termination, or such shorter or longer period of time, as is specified in the Award Agreement or in writing by the Administrator, but in each case, in no event later than the expiration of the term of such Option as set forth in the Award Agreement.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188" w:lineRule="exact"/>
        <w:rPr>
          <w:rFonts w:ascii="Times New Roman" w:cs="Times New Roman" w:eastAsia="Times New Roman" w:hAnsi="Times New Roman"/>
          <w:sz w:val="18"/>
          <w:szCs w:val="18"/>
          <w:color w:val="auto"/>
        </w:rPr>
      </w:pPr>
    </w:p>
    <w:p>
      <w:pPr>
        <w:ind w:right="20" w:firstLine="1428"/>
        <w:spacing w:after="0" w:line="255" w:lineRule="auto"/>
        <w:tabs>
          <w:tab w:leader="none" w:pos="174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 of Participant</w:t>
      </w:r>
      <w:r>
        <w:rPr>
          <w:rFonts w:ascii="Times New Roman" w:cs="Times New Roman" w:eastAsia="Times New Roman" w:hAnsi="Times New Roman"/>
          <w:sz w:val="18"/>
          <w:szCs w:val="18"/>
          <w:color w:val="auto"/>
        </w:rPr>
        <w:t>. If a Participant ceases to be a Service Provider as a result of the Participant’s Disability, the Participant may exercise his or her Option within six (6) months of termination, or such longer or shorter period of time as is specified in the Award Agreement or in writing by the Administrator (but in no event later than the expiration of the term of such Option as set forth in the Award Agreement) to the extent the Option is vested on the date of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188" w:lineRule="exact"/>
        <w:rPr>
          <w:rFonts w:ascii="Times New Roman" w:cs="Times New Roman" w:eastAsia="Times New Roman" w:hAnsi="Times New Roman"/>
          <w:sz w:val="18"/>
          <w:szCs w:val="18"/>
          <w:color w:val="auto"/>
        </w:rPr>
      </w:pPr>
    </w:p>
    <w:p>
      <w:pPr>
        <w:ind w:firstLine="1428"/>
        <w:spacing w:after="0" w:line="269" w:lineRule="auto"/>
        <w:tabs>
          <w:tab w:leader="none" w:pos="1737"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Death of Participant</w:t>
      </w:r>
      <w:r>
        <w:rPr>
          <w:rFonts w:ascii="Times New Roman" w:cs="Times New Roman" w:eastAsia="Times New Roman" w:hAnsi="Times New Roman"/>
          <w:sz w:val="17"/>
          <w:szCs w:val="17"/>
          <w:color w:val="auto"/>
        </w:rPr>
        <w:t>. If a Participant dies while a Service Provider, the Option may be exercised within six (6) months following the Participant’s death, or within such longer or shorter period of time as is specified in the Award Agreement or in writing by the Administrator (but in no event later than the expiration of the term of such Option as set forth in the Award Agreement) to the extent that the Option is vested on the date of death, by the Participant’s designated beneficiary, provided such beneficiary has been designated prior to the Participant’s death in a form (if any)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(each, a “</w:t>
      </w:r>
      <w:r>
        <w:rPr>
          <w:rFonts w:ascii="Times New Roman" w:cs="Times New Roman" w:eastAsia="Times New Roman" w:hAnsi="Times New Roman"/>
          <w:sz w:val="17"/>
          <w:szCs w:val="17"/>
          <w:u w:val="single" w:color="auto"/>
          <w:color w:val="auto"/>
        </w:rPr>
        <w:t>Legal Representative</w:t>
      </w:r>
      <w:r>
        <w:rPr>
          <w:rFonts w:ascii="Times New Roman" w:cs="Times New Roman" w:eastAsia="Times New Roman" w:hAnsi="Times New Roman"/>
          <w:sz w:val="17"/>
          <w:szCs w:val="17"/>
          <w:color w:val="auto"/>
        </w:rPr>
        <w:t>”). If the Option is exercised pursuant to this Section 6(e)(iv), Participant’s designated beneficiary or Legal Representative shall be subject to the terms of this Plan and the Award Agreement, including but not limited to the restrictions on transferability and forfeitability applicable to the Service Provider.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70" w:right="479" w:bottom="1440" w:gutter="0" w:footer="0" w:header="0"/>
        </w:sectPr>
      </w:pPr>
    </w:p>
    <w:bookmarkStart w:id="15" w:name="page16"/>
    <w:bookmarkEnd w:id="15"/>
    <w:p>
      <w:pPr>
        <w:ind w:left="1684" w:hanging="252"/>
        <w:spacing w:after="0"/>
        <w:tabs>
          <w:tab w:leader="none" w:pos="1684" w:val="left"/>
        </w:tabs>
        <w:numPr>
          <w:ilvl w:val="3"/>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Tolling Expiration</w:t>
      </w:r>
      <w:r>
        <w:rPr>
          <w:rFonts w:ascii="Times New Roman" w:cs="Times New Roman" w:eastAsia="Times New Roman" w:hAnsi="Times New Roman"/>
          <w:sz w:val="18"/>
          <w:szCs w:val="18"/>
          <w:color w:val="auto"/>
        </w:rPr>
        <w:t>. A Participant’s Award Agreement may also provide that:</w:t>
      </w:r>
    </w:p>
    <w:p>
      <w:pPr>
        <w:spacing w:after="0" w:line="225" w:lineRule="exact"/>
        <w:rPr>
          <w:rFonts w:ascii="Times New Roman" w:cs="Times New Roman" w:eastAsia="Times New Roman" w:hAnsi="Times New Roman"/>
          <w:sz w:val="18"/>
          <w:szCs w:val="18"/>
          <w:color w:val="auto"/>
        </w:rPr>
      </w:pPr>
    </w:p>
    <w:p>
      <w:pPr>
        <w:jc w:val="both"/>
        <w:ind w:left="4" w:right="80" w:firstLine="1979"/>
        <w:spacing w:after="0" w:line="230" w:lineRule="auto"/>
        <w:tabs>
          <w:tab w:leader="none" w:pos="2242" w:val="left"/>
        </w:tabs>
        <w:numPr>
          <w:ilvl w:val="4"/>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exercise of the Option following the cessation of Participant’s status as a Service Provider (other than upon the Participant’s death or Disability) would result in liability under Section 16b, then the Option will terminate on the earlier of (A) the expiration of the term of the Option set forth in the Award Agreement, or (B)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after the last date on which such exercise would result in liability under Section 16b; or</w:t>
      </w:r>
    </w:p>
    <w:p>
      <w:pPr>
        <w:spacing w:after="0" w:line="198" w:lineRule="exact"/>
        <w:rPr>
          <w:rFonts w:ascii="Times New Roman" w:cs="Times New Roman" w:eastAsia="Times New Roman" w:hAnsi="Times New Roman"/>
          <w:sz w:val="18"/>
          <w:szCs w:val="18"/>
          <w:color w:val="auto"/>
        </w:rPr>
      </w:pPr>
    </w:p>
    <w:p>
      <w:pPr>
        <w:ind w:left="4" w:firstLine="1979"/>
        <w:spacing w:after="0" w:line="272" w:lineRule="auto"/>
        <w:tabs>
          <w:tab w:leader="none" w:pos="2242" w:val="left"/>
        </w:tabs>
        <w:numPr>
          <w:ilvl w:val="4"/>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exercise of the Option following the cessation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(A) the expiration of the term of the Option or (B) the expiration of a period of thirty</w:t>
      </w:r>
    </w:p>
    <w:p>
      <w:pPr>
        <w:spacing w:after="0" w:line="1" w:lineRule="exact"/>
        <w:rPr>
          <w:rFonts w:ascii="Times New Roman" w:cs="Times New Roman" w:eastAsia="Times New Roman" w:hAnsi="Times New Roman"/>
          <w:sz w:val="17"/>
          <w:szCs w:val="17"/>
          <w:color w:val="auto"/>
        </w:rPr>
      </w:pPr>
    </w:p>
    <w:p>
      <w:pPr>
        <w:ind w:left="4" w:right="240" w:hanging="4"/>
        <w:spacing w:after="0" w:line="260" w:lineRule="auto"/>
        <w:tabs>
          <w:tab w:leader="none" w:pos="34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cessation of the Participant’s status as a Service Provider during which the exercise of the Option would not be in violation of such registration requirements.</w:t>
      </w:r>
    </w:p>
    <w:p>
      <w:pPr>
        <w:spacing w:after="0" w:line="181"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Appreciation Rights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160" w:firstLine="987"/>
        <w:spacing w:after="0" w:line="261" w:lineRule="auto"/>
        <w:tabs>
          <w:tab w:leader="none" w:pos="124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Stock Appreciation Rights</w:t>
      </w:r>
      <w:r>
        <w:rPr>
          <w:rFonts w:ascii="Times New Roman" w:cs="Times New Roman" w:eastAsia="Times New Roman" w:hAnsi="Times New Roman"/>
          <w:sz w:val="18"/>
          <w:szCs w:val="18"/>
          <w:color w:val="auto"/>
        </w:rPr>
        <w:t>. Subject to the terms and conditions of the Plan (including without limitation the eligibility requirements of Section 5 of the Plan), a Stock Appreciation Right may be granted to any individual as a material inducement to the individual becoming an Employee, which grant shall become effective only if the individual actually becomes an Employee, at any time and from time to time as will be determined by the Administrator, in its sole discretion.</w:t>
      </w:r>
    </w:p>
    <w:p>
      <w:pPr>
        <w:spacing w:after="0" w:line="179" w:lineRule="exact"/>
        <w:rPr>
          <w:rFonts w:ascii="Times New Roman" w:cs="Times New Roman" w:eastAsia="Times New Roman" w:hAnsi="Times New Roman"/>
          <w:sz w:val="18"/>
          <w:szCs w:val="18"/>
          <w:color w:val="auto"/>
        </w:rPr>
      </w:pPr>
    </w:p>
    <w:p>
      <w:pPr>
        <w:ind w:left="4" w:right="120" w:firstLine="987"/>
        <w:spacing w:after="0" w:line="282" w:lineRule="auto"/>
        <w:tabs>
          <w:tab w:leader="none" w:pos="125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The Administrator will have complete discretion to determine the number of Shares subject to any Award of Stock Appreciation Rights.</w:t>
      </w:r>
    </w:p>
    <w:p>
      <w:pPr>
        <w:spacing w:after="0" w:line="161" w:lineRule="exact"/>
        <w:rPr>
          <w:rFonts w:ascii="Times New Roman" w:cs="Times New Roman" w:eastAsia="Times New Roman" w:hAnsi="Times New Roman"/>
          <w:sz w:val="18"/>
          <w:szCs w:val="18"/>
          <w:color w:val="auto"/>
        </w:rPr>
      </w:pPr>
    </w:p>
    <w:p>
      <w:pPr>
        <w:ind w:left="4" w:right="40" w:firstLine="987"/>
        <w:spacing w:after="0" w:line="261" w:lineRule="auto"/>
        <w:tabs>
          <w:tab w:leader="none" w:pos="124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 and Other Terms</w:t>
      </w:r>
      <w:r>
        <w:rPr>
          <w:rFonts w:ascii="Times New Roman" w:cs="Times New Roman" w:eastAsia="Times New Roman" w:hAnsi="Times New Roman"/>
          <w:sz w:val="18"/>
          <w:szCs w:val="18"/>
          <w:color w:val="auto"/>
        </w:rPr>
        <w:t>. The per Share exercise price for the Shares that will determine the amount of the payment to be received upon exercise of a Stock Appreciation Right as set forth in Section 7(f)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179" w:lineRule="exact"/>
        <w:rPr>
          <w:rFonts w:ascii="Times New Roman" w:cs="Times New Roman" w:eastAsia="Times New Roman" w:hAnsi="Times New Roman"/>
          <w:sz w:val="18"/>
          <w:szCs w:val="18"/>
          <w:color w:val="auto"/>
        </w:rPr>
      </w:pPr>
    </w:p>
    <w:p>
      <w:pPr>
        <w:ind w:left="4" w:firstLine="987"/>
        <w:spacing w:after="0" w:line="266" w:lineRule="auto"/>
        <w:tabs>
          <w:tab w:leader="none" w:pos="125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Appreciation Right Agreement</w:t>
      </w:r>
      <w:r>
        <w:rPr>
          <w:rFonts w:ascii="Times New Roman" w:cs="Times New Roman" w:eastAsia="Times New Roman" w:hAnsi="Times New Roman"/>
          <w:sz w:val="18"/>
          <w:szCs w:val="18"/>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75" w:lineRule="exact"/>
        <w:rPr>
          <w:rFonts w:ascii="Times New Roman" w:cs="Times New Roman" w:eastAsia="Times New Roman" w:hAnsi="Times New Roman"/>
          <w:sz w:val="18"/>
          <w:szCs w:val="18"/>
          <w:color w:val="auto"/>
        </w:rPr>
      </w:pPr>
    </w:p>
    <w:p>
      <w:pPr>
        <w:ind w:left="4" w:right="180" w:firstLine="987"/>
        <w:spacing w:after="0" w:line="266" w:lineRule="auto"/>
        <w:tabs>
          <w:tab w:leader="none" w:pos="124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 of Stock Appreciation Rights</w:t>
      </w:r>
      <w:r>
        <w:rPr>
          <w:rFonts w:ascii="Times New Roman" w:cs="Times New Roman" w:eastAsia="Times New Roman" w:hAnsi="Times New Roman"/>
          <w:sz w:val="18"/>
          <w:szCs w:val="18"/>
          <w:color w:val="auto"/>
        </w:rPr>
        <w:t>. A Stock Appreciation Right granted under the Plan will expire upon the date determined by the Administrator, in its sole discretion, and set forth in the Award Agreement. Notwithstanding the foregoing, the rules of Section 6(c) relating to the maximum term and Section 6(e) relating to exercise also will apply to Stock Appreciation Rights.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16" w:name="page17"/>
    <w:bookmarkEnd w:id="16"/>
    <w:p>
      <w:pPr>
        <w:ind w:right="260" w:firstLine="987"/>
        <w:spacing w:after="0" w:line="282" w:lineRule="auto"/>
        <w:tabs>
          <w:tab w:leader="none" w:pos="121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 of Stock Appreciation Right Amount</w:t>
      </w:r>
      <w:r>
        <w:rPr>
          <w:rFonts w:ascii="Times New Roman" w:cs="Times New Roman" w:eastAsia="Times New Roman" w:hAnsi="Times New Roman"/>
          <w:sz w:val="18"/>
          <w:szCs w:val="18"/>
          <w:color w:val="auto"/>
        </w:rPr>
        <w:t>. Upon exercise of a Stock Appreciation Right, a Participant will be entitled to receive payment from the Company in an amount determined by multiplying:</w:t>
      </w:r>
    </w:p>
    <w:p>
      <w:pPr>
        <w:spacing w:after="0" w:line="161"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Fair Market Value of a Share on the date of exercise over the exercise price; times</w:t>
      </w:r>
    </w:p>
    <w:p>
      <w:pPr>
        <w:spacing w:after="0" w:line="225" w:lineRule="exact"/>
        <w:rPr>
          <w:rFonts w:ascii="Times New Roman" w:cs="Times New Roman" w:eastAsia="Times New Roman" w:hAnsi="Times New Roman"/>
          <w:sz w:val="18"/>
          <w:szCs w:val="18"/>
          <w:color w:val="auto"/>
        </w:rPr>
      </w:pPr>
    </w:p>
    <w:p>
      <w:pPr>
        <w:ind w:left="1700" w:hanging="272"/>
        <w:spacing w:after="0"/>
        <w:tabs>
          <w:tab w:leader="none" w:pos="17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with respect to which the Stock Appreciation Right is exercised.</w:t>
      </w:r>
    </w:p>
    <w:p>
      <w:pPr>
        <w:spacing w:after="0" w:line="225"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At the discretion of the Administrator, the payment upon Stock Appreciation Right exercise may be in cash, in Shares of equivalent value, or in some combination thereof.</w:t>
      </w:r>
    </w:p>
    <w:p>
      <w:pPr>
        <w:spacing w:after="0" w:line="162" w:lineRule="exact"/>
        <w:rPr>
          <w:sz w:val="20"/>
          <w:szCs w:val="20"/>
          <w:color w:val="auto"/>
        </w:rPr>
      </w:pPr>
    </w:p>
    <w:p>
      <w:pPr>
        <w:ind w:left="620" w:hanging="184"/>
        <w:spacing w:after="0"/>
        <w:tabs>
          <w:tab w:leader="none" w:pos="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987"/>
        <w:spacing w:after="0" w:line="261" w:lineRule="auto"/>
        <w:tabs>
          <w:tab w:leader="none" w:pos="123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Restricted Stock</w:t>
      </w:r>
      <w:r>
        <w:rPr>
          <w:rFonts w:ascii="Times New Roman" w:cs="Times New Roman" w:eastAsia="Times New Roman" w:hAnsi="Times New Roman"/>
          <w:sz w:val="18"/>
          <w:szCs w:val="18"/>
          <w:color w:val="auto"/>
        </w:rPr>
        <w:t>. Subject to the terms and conditions of the Plan, the Administrator (including without limitation the eligibility requirements of Section 5 of the Plan), at any time and from time to time, may grant Shares of Restricted Stock to any individual as a material inducement to the individual becoming an Employee, which grant shall become effective only if the individual actually becomes an Employee, in such amounts as the Administrator, in its sole discretion, will determine.</w:t>
      </w:r>
    </w:p>
    <w:p>
      <w:pPr>
        <w:spacing w:after="0" w:line="179" w:lineRule="exact"/>
        <w:rPr>
          <w:rFonts w:ascii="Times New Roman" w:cs="Times New Roman" w:eastAsia="Times New Roman" w:hAnsi="Times New Roman"/>
          <w:sz w:val="18"/>
          <w:szCs w:val="18"/>
          <w:color w:val="auto"/>
        </w:rPr>
      </w:pPr>
    </w:p>
    <w:p>
      <w:pPr>
        <w:jc w:val="both"/>
        <w:ind w:firstLine="987"/>
        <w:spacing w:after="0" w:line="261" w:lineRule="auto"/>
        <w:tabs>
          <w:tab w:leader="none" w:pos="124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Agreement</w:t>
      </w:r>
      <w:r>
        <w:rPr>
          <w:rFonts w:ascii="Times New Roman" w:cs="Times New Roman" w:eastAsia="Times New Roman" w:hAnsi="Times New Roman"/>
          <w:sz w:val="18"/>
          <w:szCs w:val="18"/>
          <w:color w:val="auto"/>
        </w:rPr>
        <w:t>. Each Award of Restricted Stock will be evidenced by an Award Agreement that will specify the Period of Restriction (if any),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179" w:lineRule="exact"/>
        <w:rPr>
          <w:rFonts w:ascii="Times New Roman" w:cs="Times New Roman" w:eastAsia="Times New Roman" w:hAnsi="Times New Roman"/>
          <w:sz w:val="18"/>
          <w:szCs w:val="18"/>
          <w:color w:val="auto"/>
        </w:rPr>
      </w:pPr>
    </w:p>
    <w:p>
      <w:pPr>
        <w:ind w:right="280" w:firstLine="987"/>
        <w:spacing w:after="0" w:line="282" w:lineRule="auto"/>
        <w:tabs>
          <w:tab w:leader="none" w:pos="123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Except as provided in this Section 8 or as the Administrator determines, Shares of Restricted Stock may not be sold, transferred, pledged, assigned, or otherwise alienated or hypothecated until the end of the applicable Period of Restriction.</w:t>
      </w:r>
    </w:p>
    <w:p>
      <w:pPr>
        <w:spacing w:after="0" w:line="161" w:lineRule="exact"/>
        <w:rPr>
          <w:rFonts w:ascii="Times New Roman" w:cs="Times New Roman" w:eastAsia="Times New Roman" w:hAnsi="Times New Roman"/>
          <w:sz w:val="18"/>
          <w:szCs w:val="18"/>
          <w:color w:val="auto"/>
        </w:rPr>
      </w:pPr>
    </w:p>
    <w:p>
      <w:pPr>
        <w:ind w:right="40" w:firstLine="987"/>
        <w:spacing w:after="0" w:line="282" w:lineRule="auto"/>
        <w:tabs>
          <w:tab w:leader="none" w:pos="124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Restrictions</w:t>
      </w:r>
      <w:r>
        <w:rPr>
          <w:rFonts w:ascii="Times New Roman" w:cs="Times New Roman" w:eastAsia="Times New Roman" w:hAnsi="Times New Roman"/>
          <w:sz w:val="18"/>
          <w:szCs w:val="18"/>
          <w:color w:val="auto"/>
        </w:rPr>
        <w:t>. The Administrator, in its sole discretion, may impose such other restrictions on Shares of Restricted Stock as it may deem advisable or appropriate.</w:t>
      </w:r>
    </w:p>
    <w:p>
      <w:pPr>
        <w:spacing w:after="0" w:line="161" w:lineRule="exact"/>
        <w:rPr>
          <w:rFonts w:ascii="Times New Roman" w:cs="Times New Roman" w:eastAsia="Times New Roman" w:hAnsi="Times New Roman"/>
          <w:sz w:val="18"/>
          <w:szCs w:val="18"/>
          <w:color w:val="auto"/>
        </w:rPr>
      </w:pPr>
    </w:p>
    <w:p>
      <w:pPr>
        <w:jc w:val="both"/>
        <w:ind w:right="180" w:firstLine="987"/>
        <w:spacing w:after="0" w:line="289" w:lineRule="auto"/>
        <w:tabs>
          <w:tab w:leader="none" w:pos="1236"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Removal of Restrictions</w:t>
      </w:r>
      <w:r>
        <w:rPr>
          <w:rFonts w:ascii="Times New Roman" w:cs="Times New Roman" w:eastAsia="Times New Roman" w:hAnsi="Times New Roman"/>
          <w:sz w:val="17"/>
          <w:szCs w:val="17"/>
          <w:color w:val="auto"/>
        </w:rPr>
        <w:t>. Except as otherwise provided in this Section 8,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57" w:lineRule="exact"/>
        <w:rPr>
          <w:rFonts w:ascii="Times New Roman" w:cs="Times New Roman" w:eastAsia="Times New Roman" w:hAnsi="Times New Roman"/>
          <w:sz w:val="17"/>
          <w:szCs w:val="17"/>
          <w:color w:val="auto"/>
        </w:rPr>
      </w:pPr>
    </w:p>
    <w:p>
      <w:pPr>
        <w:ind w:right="300" w:firstLine="987"/>
        <w:spacing w:after="0" w:line="282" w:lineRule="auto"/>
        <w:tabs>
          <w:tab w:leader="none" w:pos="121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During the Period of Restriction, Participants holding Shares of Restricted Stock granted hereunder may exercise full voting rights with respect to those Shares, unless the Administrator determines otherwise.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70" w:right="439" w:bottom="1440" w:gutter="0" w:footer="0" w:header="0"/>
        </w:sectPr>
      </w:pPr>
    </w:p>
    <w:bookmarkStart w:id="17" w:name="page18"/>
    <w:bookmarkEnd w:id="17"/>
    <w:p>
      <w:pPr>
        <w:ind w:left="-40" w:right="40" w:firstLine="987"/>
        <w:spacing w:after="0" w:line="261" w:lineRule="auto"/>
        <w:tabs>
          <w:tab w:leader="none" w:pos="120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Dividends and Other Distributions</w:t>
      </w:r>
      <w:r>
        <w:rPr>
          <w:rFonts w:ascii="Times New Roman" w:cs="Times New Roman" w:eastAsia="Times New Roman" w:hAnsi="Times New Roman"/>
          <w:sz w:val="18"/>
          <w:szCs w:val="18"/>
          <w:color w:val="auto"/>
        </w:rPr>
        <w:t>. During the Period of Restriction, Participants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179" w:lineRule="exact"/>
        <w:rPr>
          <w:rFonts w:ascii="Times New Roman" w:cs="Times New Roman" w:eastAsia="Times New Roman" w:hAnsi="Times New Roman"/>
          <w:sz w:val="18"/>
          <w:szCs w:val="18"/>
          <w:color w:val="auto"/>
        </w:rPr>
      </w:pPr>
    </w:p>
    <w:p>
      <w:pPr>
        <w:ind w:left="-40" w:firstLine="987"/>
        <w:spacing w:after="0" w:line="282" w:lineRule="auto"/>
        <w:tabs>
          <w:tab w:leader="none" w:pos="120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Restricted Stock to Company</w:t>
      </w:r>
      <w:r>
        <w:rPr>
          <w:rFonts w:ascii="Times New Roman" w:cs="Times New Roman" w:eastAsia="Times New Roman" w:hAnsi="Times New Roman"/>
          <w:sz w:val="18"/>
          <w:szCs w:val="18"/>
          <w:color w:val="auto"/>
        </w:rPr>
        <w:t>. On the date set forth in the Award Agreement, the Restricted Stock for which restrictions have not lapsed will revert to the Company and again will become available for grant under the Plan.</w:t>
      </w:r>
    </w:p>
    <w:p>
      <w:pPr>
        <w:spacing w:after="0" w:line="161" w:lineRule="exact"/>
        <w:rPr>
          <w:rFonts w:ascii="Times New Roman" w:cs="Times New Roman" w:eastAsia="Times New Roman" w:hAnsi="Times New Roman"/>
          <w:sz w:val="18"/>
          <w:szCs w:val="18"/>
          <w:color w:val="auto"/>
        </w:rPr>
      </w:pPr>
    </w:p>
    <w:p>
      <w:pPr>
        <w:ind w:left="580" w:hanging="184"/>
        <w:spacing w:after="0"/>
        <w:tabs>
          <w:tab w:leader="none" w:pos="5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0" w:right="80" w:firstLine="987"/>
        <w:spacing w:after="0" w:line="258" w:lineRule="auto"/>
        <w:tabs>
          <w:tab w:leader="none" w:pos="119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Subject to the terms and conditions of the Plan (including without limitation the eligibility requirements of Section 5 of the Plan), Restricted Stock Units may be granted to any individual as a material inducement to the individual becoming an Employee, which grant shall become effective only if the individual actually becomes an Employee, at any time and from time to time as determined by the Administrator. After the Administrator determines that it will grant Restricted Stock Units, it will advise the Participant in an Award Agreement of the terms, conditions, and restrictions related to the grant, including the number of Restricted Stock Units.</w:t>
      </w:r>
    </w:p>
    <w:p>
      <w:pPr>
        <w:spacing w:after="0" w:line="183" w:lineRule="exact"/>
        <w:rPr>
          <w:rFonts w:ascii="Times New Roman" w:cs="Times New Roman" w:eastAsia="Times New Roman" w:hAnsi="Times New Roman"/>
          <w:sz w:val="18"/>
          <w:szCs w:val="18"/>
          <w:color w:val="auto"/>
        </w:rPr>
      </w:pPr>
    </w:p>
    <w:p>
      <w:pPr>
        <w:ind w:left="-40" w:right="60" w:firstLine="987"/>
        <w:spacing w:after="0" w:line="261" w:lineRule="auto"/>
        <w:tabs>
          <w:tab w:leader="none" w:pos="120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Criteria and Other Terms</w:t>
      </w:r>
      <w:r>
        <w:rPr>
          <w:rFonts w:ascii="Times New Roman" w:cs="Times New Roman" w:eastAsia="Times New Roman" w:hAnsi="Times New Roman"/>
          <w:sz w:val="18"/>
          <w:szCs w:val="18"/>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79" w:lineRule="exact"/>
        <w:rPr>
          <w:rFonts w:ascii="Times New Roman" w:cs="Times New Roman" w:eastAsia="Times New Roman" w:hAnsi="Times New Roman"/>
          <w:sz w:val="18"/>
          <w:szCs w:val="18"/>
          <w:color w:val="auto"/>
        </w:rPr>
      </w:pPr>
    </w:p>
    <w:p>
      <w:pPr>
        <w:jc w:val="both"/>
        <w:ind w:left="-40" w:right="340" w:firstLine="987"/>
        <w:spacing w:after="0" w:line="266" w:lineRule="auto"/>
        <w:tabs>
          <w:tab w:leader="none" w:pos="119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 Restricted Stock Units</w:t>
      </w:r>
      <w:r>
        <w:rPr>
          <w:rFonts w:ascii="Times New Roman" w:cs="Times New Roman" w:eastAsia="Times New Roman" w:hAnsi="Times New Roman"/>
          <w:sz w:val="18"/>
          <w:szCs w:val="18"/>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75" w:lineRule="exact"/>
        <w:rPr>
          <w:rFonts w:ascii="Times New Roman" w:cs="Times New Roman" w:eastAsia="Times New Roman" w:hAnsi="Times New Roman"/>
          <w:sz w:val="18"/>
          <w:szCs w:val="18"/>
          <w:color w:val="auto"/>
        </w:rPr>
      </w:pPr>
    </w:p>
    <w:p>
      <w:pPr>
        <w:ind w:left="-40" w:right="320" w:firstLine="987"/>
        <w:spacing w:after="0" w:line="266" w:lineRule="auto"/>
        <w:tabs>
          <w:tab w:leader="none" w:pos="120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and Timing of Payment</w:t>
      </w:r>
      <w:r>
        <w:rPr>
          <w:rFonts w:ascii="Times New Roman" w:cs="Times New Roman" w:eastAsia="Times New Roman" w:hAnsi="Times New Roman"/>
          <w:sz w:val="18"/>
          <w:szCs w:val="18"/>
          <w:color w:val="auto"/>
        </w:rPr>
        <w:t>. Payment of earned Restricted Stock Units will be made as soon as practicable after the date(s) determined by the Administrator and set forth in the Award Agreement. The Administrator, in its sole discretion, may settle earned Restricted Stock Units in cash, Shares, or a combination of both.</w:t>
      </w:r>
    </w:p>
    <w:p>
      <w:pPr>
        <w:spacing w:after="0" w:line="175" w:lineRule="exact"/>
        <w:rPr>
          <w:rFonts w:ascii="Times New Roman" w:cs="Times New Roman" w:eastAsia="Times New Roman" w:hAnsi="Times New Roman"/>
          <w:sz w:val="18"/>
          <w:szCs w:val="18"/>
          <w:color w:val="auto"/>
        </w:rPr>
      </w:pPr>
    </w:p>
    <w:p>
      <w:pPr>
        <w:ind w:left="1200" w:hanging="253"/>
        <w:spacing w:after="0"/>
        <w:tabs>
          <w:tab w:leader="none" w:pos="12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On the date set forth in the Award Agreement, all unearned Restricted Stock Units will be forfeited to the Company.</w:t>
      </w:r>
    </w:p>
    <w:p>
      <w:pPr>
        <w:spacing w:after="0" w:line="225" w:lineRule="exact"/>
        <w:rPr>
          <w:rFonts w:ascii="Times New Roman" w:cs="Times New Roman" w:eastAsia="Times New Roman" w:hAnsi="Times New Roman"/>
          <w:sz w:val="18"/>
          <w:szCs w:val="18"/>
          <w:color w:val="auto"/>
        </w:rPr>
      </w:pPr>
    </w:p>
    <w:p>
      <w:pPr>
        <w:ind w:left="660" w:hanging="264"/>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Units and Performance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0" w:firstLine="987"/>
        <w:spacing w:after="0" w:line="258" w:lineRule="auto"/>
        <w:tabs>
          <w:tab w:leader="none" w:pos="119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Performance Units/Shares</w:t>
      </w:r>
      <w:r>
        <w:rPr>
          <w:rFonts w:ascii="Times New Roman" w:cs="Times New Roman" w:eastAsia="Times New Roman" w:hAnsi="Times New Roman"/>
          <w:sz w:val="18"/>
          <w:szCs w:val="18"/>
          <w:color w:val="auto"/>
        </w:rPr>
        <w:t>. Subject to the terms and conditions of the Plan (including without limitation the eligibility requirements of Section 5 of the Plan), Performance Units and Performance Shares may be granted to any individual as a material inducement to the individual becoming an Employee, which grant shall become effective only if the individual actually becomes an Employee, at any time and from time to time, as will be determined by the Administrator, in its sole discretion. The Administrator will have complete discretion in determining the number of Performance Units and Performance Shares granted to each Participant.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20"/>
          </w:cols>
          <w:pgMar w:left="480" w:top="270" w:right="499" w:bottom="1440" w:gutter="0" w:footer="0" w:header="0"/>
        </w:sectPr>
      </w:pPr>
    </w:p>
    <w:bookmarkStart w:id="18" w:name="page19"/>
    <w:bookmarkEnd w:id="18"/>
    <w:p>
      <w:pPr>
        <w:ind w:right="320" w:firstLine="987"/>
        <w:spacing w:after="0" w:line="282" w:lineRule="auto"/>
        <w:tabs>
          <w:tab w:leader="none" w:pos="124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Value of Performance Units/Shares</w:t>
      </w:r>
      <w:r>
        <w:rPr>
          <w:rFonts w:ascii="Times New Roman" w:cs="Times New Roman" w:eastAsia="Times New Roman" w:hAnsi="Times New Roman"/>
          <w:sz w:val="18"/>
          <w:szCs w:val="18"/>
          <w:color w:val="auto"/>
        </w:rPr>
        <w:t>. Each Performance Unit will have an initial value that is established by the Administrator on or before the date of grant. Each Performance Share will have an initial value equal to the Fair Market Value of a Share on the date of grant.</w:t>
      </w:r>
    </w:p>
    <w:p>
      <w:pPr>
        <w:spacing w:after="0" w:line="161"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Objectives and Other Terms</w:t>
      </w:r>
      <w:r>
        <w:rPr>
          <w:rFonts w:ascii="Times New Roman" w:cs="Times New Roman" w:eastAsia="Times New Roman" w:hAnsi="Times New Roman"/>
          <w:sz w:val="18"/>
          <w:szCs w:val="18"/>
          <w:color w:val="auto"/>
        </w:rPr>
        <w:t>.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Participants. The time period during which the performance objectives or other vesting provisions must be met will be called the “</w:t>
      </w:r>
      <w:r>
        <w:rPr>
          <w:rFonts w:ascii="Times New Roman" w:cs="Times New Roman" w:eastAsia="Times New Roman" w:hAnsi="Times New Roman"/>
          <w:sz w:val="18"/>
          <w:szCs w:val="18"/>
          <w:u w:val="single" w:color="auto"/>
          <w:color w:val="auto"/>
        </w:rPr>
        <w:t>Performance Period</w:t>
      </w:r>
      <w:r>
        <w:rPr>
          <w:rFonts w:ascii="Times New Roman" w:cs="Times New Roman" w:eastAsia="Times New Roman" w:hAnsi="Times New Roman"/>
          <w:sz w:val="18"/>
          <w:szCs w:val="18"/>
          <w:color w:val="auto"/>
        </w:rPr>
        <w:t>.” Each Award of Performance Units/Shares will be evidenced by an Award Agreement that will specify the Performance Period, and such other terms and conditions as the Administrator, in its sole discretion, will determine. The Administrator may set performance objectives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91" w:lineRule="exact"/>
        <w:rPr>
          <w:rFonts w:ascii="Times New Roman" w:cs="Times New Roman" w:eastAsia="Times New Roman" w:hAnsi="Times New Roman"/>
          <w:sz w:val="18"/>
          <w:szCs w:val="18"/>
          <w:color w:val="auto"/>
        </w:rPr>
      </w:pPr>
    </w:p>
    <w:p>
      <w:pPr>
        <w:ind w:right="40" w:firstLine="987"/>
        <w:spacing w:after="0" w:line="258" w:lineRule="auto"/>
        <w:tabs>
          <w:tab w:leader="none" w:pos="124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 of Performance Units/Shares</w:t>
      </w:r>
      <w:r>
        <w:rPr>
          <w:rFonts w:ascii="Times New Roman" w:cs="Times New Roman" w:eastAsia="Times New Roman" w:hAnsi="Times New Roman"/>
          <w:sz w:val="18"/>
          <w:szCs w:val="18"/>
          <w:color w:val="auto"/>
        </w:rPr>
        <w:t>.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w:t>
      </w:r>
    </w:p>
    <w:p>
      <w:pPr>
        <w:spacing w:after="0" w:line="183" w:lineRule="exact"/>
        <w:rPr>
          <w:rFonts w:ascii="Times New Roman" w:cs="Times New Roman" w:eastAsia="Times New Roman" w:hAnsi="Times New Roman"/>
          <w:sz w:val="18"/>
          <w:szCs w:val="18"/>
          <w:color w:val="auto"/>
        </w:rPr>
      </w:pPr>
    </w:p>
    <w:p>
      <w:pPr>
        <w:ind w:right="20" w:firstLine="987"/>
        <w:spacing w:after="0" w:line="261" w:lineRule="auto"/>
        <w:tabs>
          <w:tab w:leader="none" w:pos="123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and Timing of Payment of Performance Units/Shares</w:t>
      </w:r>
      <w:r>
        <w:rPr>
          <w:rFonts w:ascii="Times New Roman" w:cs="Times New Roman" w:eastAsia="Times New Roman" w:hAnsi="Times New Roman"/>
          <w:sz w:val="18"/>
          <w:szCs w:val="18"/>
          <w:color w:val="auto"/>
        </w:rPr>
        <w:t>. Payment of earned Performance Units/Shares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spacing w:after="0" w:line="179" w:lineRule="exact"/>
        <w:rPr>
          <w:rFonts w:ascii="Times New Roman" w:cs="Times New Roman" w:eastAsia="Times New Roman" w:hAnsi="Times New Roman"/>
          <w:sz w:val="18"/>
          <w:szCs w:val="18"/>
          <w:color w:val="auto"/>
        </w:rPr>
      </w:pPr>
    </w:p>
    <w:p>
      <w:pPr>
        <w:ind w:right="560" w:firstLine="987"/>
        <w:spacing w:after="0" w:line="282" w:lineRule="auto"/>
        <w:tabs>
          <w:tab w:leader="none" w:pos="121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 of Performance Units/Shares</w:t>
      </w:r>
      <w:r>
        <w:rPr>
          <w:rFonts w:ascii="Times New Roman" w:cs="Times New Roman" w:eastAsia="Times New Roman" w:hAnsi="Times New Roman"/>
          <w:sz w:val="18"/>
          <w:szCs w:val="18"/>
          <w:color w:val="auto"/>
        </w:rPr>
        <w:t>. On the date set forth in the Award Agreement, all unearned or unvested Performance Units/Shares will be forfeited to the Company, and again will be available for grant under the Plan.</w:t>
      </w:r>
    </w:p>
    <w:p>
      <w:pPr>
        <w:spacing w:after="0" w:line="161" w:lineRule="exact"/>
        <w:rPr>
          <w:rFonts w:ascii="Times New Roman" w:cs="Times New Roman" w:eastAsia="Times New Roman" w:hAnsi="Times New Roman"/>
          <w:sz w:val="18"/>
          <w:szCs w:val="18"/>
          <w:color w:val="auto"/>
        </w:rPr>
      </w:pPr>
    </w:p>
    <w:p>
      <w:pPr>
        <w:ind w:firstLine="436"/>
        <w:spacing w:after="0" w:line="253" w:lineRule="auto"/>
        <w:tabs>
          <w:tab w:leader="none" w:pos="70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Section 409A</w:t>
      </w:r>
      <w:r>
        <w:rPr>
          <w:rFonts w:ascii="Times New Roman" w:cs="Times New Roman" w:eastAsia="Times New Roman" w:hAnsi="Times New Roman"/>
          <w:sz w:val="18"/>
          <w:szCs w:val="18"/>
          <w:color w:val="auto"/>
        </w:rPr>
        <w:t>. Awards will be designed and operated in such a manner that they are either exempt from the application of, or comply with, the requirements of Section 409A such that the grant, payment, settlement or deferral will not be subject to the additional tax or interest applicable under Section 409A, except as otherwise determined in the sole discretion of the Administrator. The Plan and each Award Agreement under the Plan is intended to be exempt from or meet the requirements of Section 409A and will be construed and interpreted in accordance with such intent (including with respect to any ambiguities or ambiguous terms),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of its Parent or Subsidiaries have any responsibility, liability, or obligation to reimburse, indemnify, or hold harmless a Participant (or any other person) in respect of Awards, for any taxes, penalties or interest that may be imposed on, or other costs incurred by, Participant (or any other person) as a result of Section 409A.</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19" w:name="page20"/>
    <w:bookmarkEnd w:id="19"/>
    <w:p>
      <w:pPr>
        <w:jc w:val="both"/>
        <w:ind w:left="-20" w:right="140" w:firstLine="436"/>
        <w:spacing w:after="0" w:line="261" w:lineRule="auto"/>
        <w:tabs>
          <w:tab w:leader="none" w:pos="69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Leaves of Absence/Transfer Between Locations</w:t>
      </w:r>
      <w:r>
        <w:rPr>
          <w:rFonts w:ascii="Times New Roman" w:cs="Times New Roman" w:eastAsia="Times New Roman" w:hAnsi="Times New Roman"/>
          <w:sz w:val="18"/>
          <w:szCs w:val="18"/>
          <w:color w:val="auto"/>
        </w:rPr>
        <w:t>. Unless the Administrator provides otherwise or as otherwise required by Applicable Laws,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of its Subsidiaries.</w:t>
      </w:r>
    </w:p>
    <w:p>
      <w:pPr>
        <w:spacing w:after="0" w:line="179" w:lineRule="exact"/>
        <w:rPr>
          <w:rFonts w:ascii="Times New Roman" w:cs="Times New Roman" w:eastAsia="Times New Roman" w:hAnsi="Times New Roman"/>
          <w:sz w:val="18"/>
          <w:szCs w:val="18"/>
          <w:color w:val="auto"/>
        </w:rPr>
      </w:pPr>
    </w:p>
    <w:p>
      <w:pPr>
        <w:ind w:left="-20" w:firstLine="436"/>
        <w:spacing w:after="0" w:line="258" w:lineRule="auto"/>
        <w:tabs>
          <w:tab w:leader="none" w:pos="69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Limited Transferability of Awards</w:t>
      </w:r>
      <w:r>
        <w:rPr>
          <w:rFonts w:ascii="Times New Roman" w:cs="Times New Roman" w:eastAsia="Times New Roman" w:hAnsi="Times New Roman"/>
          <w:sz w:val="18"/>
          <w:szCs w:val="18"/>
          <w:color w:val="auto"/>
        </w:rPr>
        <w:t>. Unless determined otherwise by the Administrator (and subject to Section 4(c) of the Plan), Awards may not be sold, pledged, assigned, hypothecated, transferred, or disposed of in any manner other than by will or by the laws of descent and distribution (which, for purposes of clarification, shall be deemed to include through a beneficiary designation if available in accordance with Section 6(e)), and may be exercised, during the lifetime of the Participant, only by the Participant. If the Administrator makes an Award transferable, such Award will contain such additional terms and conditions as the Administrator deems appropriate.</w:t>
      </w:r>
    </w:p>
    <w:p>
      <w:pPr>
        <w:spacing w:after="0" w:line="183"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Dissolution or Liquidation; Merger or Change in Control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right="280" w:firstLine="987"/>
        <w:spacing w:after="0" w:line="274" w:lineRule="auto"/>
        <w:tabs>
          <w:tab w:leader="none" w:pos="1216"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Adjustments</w:t>
      </w:r>
      <w:r>
        <w:rPr>
          <w:rFonts w:ascii="Times New Roman" w:cs="Times New Roman" w:eastAsia="Times New Roman" w:hAnsi="Times New Roman"/>
          <w:sz w:val="17"/>
          <w:szCs w:val="17"/>
          <w:color w:val="auto"/>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and numerical Share limit in Section 3.</w:t>
      </w:r>
    </w:p>
    <w:p>
      <w:pPr>
        <w:spacing w:after="0" w:line="172" w:lineRule="exact"/>
        <w:rPr>
          <w:rFonts w:ascii="Times New Roman" w:cs="Times New Roman" w:eastAsia="Times New Roman" w:hAnsi="Times New Roman"/>
          <w:sz w:val="17"/>
          <w:szCs w:val="17"/>
          <w:color w:val="auto"/>
        </w:rPr>
      </w:pPr>
    </w:p>
    <w:p>
      <w:pPr>
        <w:ind w:left="-20" w:right="160" w:firstLine="987"/>
        <w:spacing w:after="0" w:line="266" w:lineRule="auto"/>
        <w:tabs>
          <w:tab w:leader="none" w:pos="122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Dissolution or Liquidation</w:t>
      </w:r>
      <w:r>
        <w:rPr>
          <w:rFonts w:ascii="Times New Roman" w:cs="Times New Roman" w:eastAsia="Times New Roman" w:hAnsi="Times New Roman"/>
          <w:sz w:val="18"/>
          <w:szCs w:val="18"/>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75" w:lineRule="exact"/>
        <w:rPr>
          <w:rFonts w:ascii="Times New Roman" w:cs="Times New Roman" w:eastAsia="Times New Roman" w:hAnsi="Times New Roman"/>
          <w:sz w:val="18"/>
          <w:szCs w:val="18"/>
          <w:color w:val="auto"/>
        </w:rPr>
      </w:pPr>
    </w:p>
    <w:p>
      <w:pPr>
        <w:ind w:left="-20" w:right="80" w:firstLine="987"/>
        <w:spacing w:after="0" w:line="254" w:lineRule="auto"/>
        <w:tabs>
          <w:tab w:leader="none" w:pos="121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or Change in Control</w:t>
      </w:r>
      <w:r>
        <w:rPr>
          <w:rFonts w:ascii="Times New Roman" w:cs="Times New Roman" w:eastAsia="Times New Roman" w:hAnsi="Times New Roman"/>
          <w:sz w:val="18"/>
          <w:szCs w:val="18"/>
          <w:color w:val="auto"/>
        </w:rPr>
        <w:t>.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 (i) Awards will be assumed, or substantially equivalent awards will be substituted, by the acquiring or succeeding corporation (or an affiliate thereof) with appropriate adjustments as to the number and kind of shares and prices; (ii) upon written notice to a Participant, that the Participant’s Awards will terminate upon or immediately prior to the consummation of such merger or Change in Control; (iii)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(iv) (A) the termination of an Award in exchange for an amount of cash and/or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60" w:top="270" w:right="459" w:bottom="1440" w:gutter="0" w:footer="0" w:header="0"/>
        </w:sectPr>
      </w:pPr>
    </w:p>
    <w:bookmarkStart w:id="20" w:name="page21"/>
    <w:bookmarkEnd w:id="20"/>
    <w:p>
      <w:pPr>
        <w:ind w:right="2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(B) the replacement of such Award with other rights or property selected by the Administrator in its sole discretion; or (v) any combination of the foregoing. In taking any of the actions permitted under this Section 14(c), the Administrator will not be obligated to treat all Awards, all Awards held by a Participant, all Awards of the same type, or all portions of Awards, similarly.</w:t>
      </w:r>
    </w:p>
    <w:p>
      <w:pPr>
        <w:spacing w:after="0" w:line="189"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In the event that the successor corporation does not assume or substitute for the Award (or portion thereof), the Participant will fully vest in and have the right to exercise his or her outstanding Options and Stock Appreciation Rights (or portions thereof) not assumed or substituted for, including Shares as to which such Awards would not otherwise be vested or exercisable, all restrictions on Restricted Stock, Restricted Stock Units, Performance Shares and Performance Units (or portions thereof) not assumed or substituted for will lapse, and, with respect to Awards with performance-based vesting (or portions thereof) not assumed or substituted for, all performance goals or other vesting criteria will be deemed achieved at one hundred percent (100%) of target levels and all other terms and conditions met, in each case, unless specifically provided otherwise under the applicable Award Agreement or other written agreement between the Participant and the Company or any of its Subsidiaries or Parents, as applicable. In addition, unless specifically provided otherwise under the applicable Award Agreement or other written agreement between the Participant and the Company or any of its Subsidiaries or Parents, as applicable, if an Option or Stock Appreciation Right (or portion thereof) is not assumed or substituted in the event of a merger or Change in Control, the Administrator will notify the Participant in writing or electronically that the Option or Stock Appreciation Right (or its applicable portion) will be exercisable for a period of time determined by the Administrator in its sole discretion, and the Option or Stock Appreciation Right (or its applicable portion) will terminate upon the expiration of such period.</w:t>
      </w:r>
    </w:p>
    <w:p>
      <w:pPr>
        <w:spacing w:after="0" w:line="190"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For the purposes of this Section 14(c),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merger or Change in Control.</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70" w:right="479" w:bottom="1440" w:gutter="0" w:footer="0" w:header="0"/>
        </w:sectPr>
      </w:pPr>
    </w:p>
    <w:bookmarkStart w:id="21" w:name="page22"/>
    <w:bookmarkEnd w:id="21"/>
    <w:p>
      <w:pPr>
        <w:ind w:right="40" w:firstLine="991"/>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in this Section 14(c) to the contrary, an Award that vests, is earned or paid-out upon the satisfaction of one or more performance goals will not be considered assumed if the Company or its successor modifies any of such performance goals without the Participant’s consent, in all cases, unless specifically provided otherwise under the applicable Award Agreement or other written agreement between the Participant and the Company or any of its Subsidiaries or Parents, as applicable; provided, however, a modification to such performance goals only to reflect the successor corporation’s post-Change in Control corporate structure will not be deemed to invalidate an otherwise valid Award assumption.</w:t>
      </w:r>
    </w:p>
    <w:p>
      <w:pPr>
        <w:spacing w:after="0" w:line="168" w:lineRule="exact"/>
        <w:rPr>
          <w:sz w:val="20"/>
          <w:szCs w:val="20"/>
          <w:color w:val="auto"/>
        </w:rPr>
      </w:pPr>
    </w:p>
    <w:p>
      <w:pPr>
        <w:ind w:right="180" w:firstLine="991"/>
        <w:spacing w:after="0" w:line="258" w:lineRule="auto"/>
        <w:rPr>
          <w:sz w:val="20"/>
          <w:szCs w:val="20"/>
          <w:color w:val="auto"/>
        </w:rPr>
      </w:pPr>
      <w:r>
        <w:rPr>
          <w:rFonts w:ascii="Times New Roman" w:cs="Times New Roman" w:eastAsia="Times New Roman" w:hAnsi="Times New Roman"/>
          <w:sz w:val="18"/>
          <w:szCs w:val="18"/>
          <w:color w:val="auto"/>
        </w:rPr>
        <w:t>Notwithstanding anything in this Section 14(c) to the contrary, and unless otherwise provided in an Award Agreement, if an Award that vests, is earned or paid-out under an Award Agreement is subject to Section 409A and if the change in control definition contained in the Award Agreement (or other agreement related to the Award, as applicable) does not comply with the definition of “change in control” for purposes of a distribution under Section 409A, then any payment of an amount that is otherwise accelerated under this Section will be delayed until the earliest time that such payment would be permissible under Section 409A without triggering any penalties applicable under Section 409A.</w:t>
      </w:r>
    </w:p>
    <w:p>
      <w:pPr>
        <w:spacing w:after="0" w:line="183" w:lineRule="exact"/>
        <w:rPr>
          <w:sz w:val="20"/>
          <w:szCs w:val="20"/>
          <w:color w:val="auto"/>
        </w:rPr>
      </w:pPr>
    </w:p>
    <w:p>
      <w:pPr>
        <w:ind w:left="700" w:hanging="264"/>
        <w:spacing w:after="0"/>
        <w:tabs>
          <w:tab w:leader="none" w:pos="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40" w:firstLine="987"/>
        <w:spacing w:after="0" w:line="258" w:lineRule="auto"/>
        <w:tabs>
          <w:tab w:leader="none" w:pos="123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Requirements</w:t>
      </w:r>
      <w:r>
        <w:rPr>
          <w:rFonts w:ascii="Times New Roman" w:cs="Times New Roman" w:eastAsia="Times New Roman" w:hAnsi="Times New Roman"/>
          <w:sz w:val="18"/>
          <w:szCs w:val="18"/>
          <w:color w:val="auto"/>
        </w:rPr>
        <w:t>. Prior to the delivery of any Shares or cash pursuant to an Award (or exercise thereof) or such earlier time as any tax withholdings are due, the Company (or any of its Parent, Subsidiaries, or affiliates employing or retaining the services of a Participant, as applicable) will have the power and the right to deduct or withhold, or require a Participant to remit to the Company (or any of its Parent, Subsidiaries, or affiliates, as applicable) or a relevant tax authority, an amount sufficient to satisfy U.S. federal, state, local, non-U.S., and other taxes (including the Participant’s FICA obligation) required to be withheld or paid with respect to such Award (or exercise thereof).</w:t>
      </w:r>
    </w:p>
    <w:p>
      <w:pPr>
        <w:spacing w:after="0" w:line="183" w:lineRule="exact"/>
        <w:rPr>
          <w:rFonts w:ascii="Times New Roman" w:cs="Times New Roman" w:eastAsia="Times New Roman" w:hAnsi="Times New Roman"/>
          <w:sz w:val="18"/>
          <w:szCs w:val="18"/>
          <w:color w:val="auto"/>
        </w:rPr>
      </w:pPr>
    </w:p>
    <w:p>
      <w:pPr>
        <w:ind w:firstLine="987"/>
        <w:spacing w:after="0" w:line="252" w:lineRule="auto"/>
        <w:tabs>
          <w:tab w:leader="none" w:pos="124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Arrangements</w:t>
      </w:r>
      <w:r>
        <w:rPr>
          <w:rFonts w:ascii="Times New Roman" w:cs="Times New Roman" w:eastAsia="Times New Roman" w:hAnsi="Times New Roman"/>
          <w:sz w:val="18"/>
          <w:szCs w:val="18"/>
          <w:color w:val="auto"/>
        </w:rPr>
        <w:t>. The Administrator, in its sole discretion and pursuant to such procedures as it may specify from time to time, may permit a Participant to satisfy such tax liability or withholding obligation, in whole or in part by such methods as the Administrator shall determine, including, without limitation, (i) paying cash, (ii) electing to have the Company withhold otherwise deliverable cash or Shares having a fair market value equal to the minimum statutory amount required to be withheld or such greater amount as the Administrator may determine if such amount would not have adverse accounting consequences, as the Administrator determines in its sole discretion, (iii) delivering to the Company already-owned Shares having a fair market value equal to the statutory amount required to be withheld or such greater amount as the Administrator may determine, in each case, provided the delivery of such Shares will not result in any adverse accounting consequences, as the Administrator determines in its sole discretion, (iv) selling a sufficient number of Shares otherwise deliverable to the Participant through such means as the Administrator may determine in its sole discretion (whether through a broker or otherwise) equal to the amount required to be withheld or paid, (v) such other consideration and method of payment for the meeting of tax liabilities or withholding obligations as the Administrator may determine to the extent permitted by Applicable Laws, or (vi) any combination of the foregoing methods of payment. The amount of the withholding requirement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taxes are required to be withheld.</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22" w:name="page23"/>
    <w:bookmarkEnd w:id="22"/>
    <w:p>
      <w:pPr>
        <w:ind w:left="-20" w:firstLine="436"/>
        <w:spacing w:after="0" w:line="261" w:lineRule="auto"/>
        <w:tabs>
          <w:tab w:leader="none" w:pos="69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Effect on Employment or Service</w:t>
      </w:r>
      <w:r>
        <w:rPr>
          <w:rFonts w:ascii="Times New Roman" w:cs="Times New Roman" w:eastAsia="Times New Roman" w:hAnsi="Times New Roman"/>
          <w:sz w:val="18"/>
          <w:szCs w:val="18"/>
          <w:color w:val="auto"/>
        </w:rPr>
        <w:t>. Neither the Plan nor any Award will confer upon a Participant any right with respect to continuing the Participant’s relationship as a Service Provider with the Company or its Subsidiaries or Parents, as applicable, nor will they interfere in any way with the Participant’s right or the right of the Company and its Subsidiaries or Parents, as applicable, to terminate such relationship at any time, with or without cause, to the extent permitted by Applicable Laws.</w:t>
      </w:r>
    </w:p>
    <w:p>
      <w:pPr>
        <w:spacing w:after="0" w:line="179" w:lineRule="exact"/>
        <w:rPr>
          <w:rFonts w:ascii="Times New Roman" w:cs="Times New Roman" w:eastAsia="Times New Roman" w:hAnsi="Times New Roman"/>
          <w:sz w:val="18"/>
          <w:szCs w:val="18"/>
          <w:color w:val="auto"/>
        </w:rPr>
      </w:pPr>
    </w:p>
    <w:p>
      <w:pPr>
        <w:ind w:left="-20" w:right="140" w:firstLine="436"/>
        <w:spacing w:after="0" w:line="266" w:lineRule="auto"/>
        <w:tabs>
          <w:tab w:leader="none" w:pos="69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Grant</w:t>
      </w:r>
      <w:r>
        <w:rPr>
          <w:rFonts w:ascii="Times New Roman" w:cs="Times New Roman" w:eastAsia="Times New Roman" w:hAnsi="Times New Roman"/>
          <w:sz w:val="18"/>
          <w:szCs w:val="18"/>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75"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right="40" w:firstLine="987"/>
        <w:spacing w:after="0" w:line="282" w:lineRule="auto"/>
        <w:tabs>
          <w:tab w:leader="none" w:pos="121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The Plan will become effective upon its adoption by the Board or its designated Committee (as applicable) (such date of adoption,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w:t>
      </w:r>
      <w:r>
        <w:rPr>
          <w:rFonts w:ascii="Times New Roman" w:cs="Times New Roman" w:eastAsia="Times New Roman" w:hAnsi="Times New Roman"/>
          <w:sz w:val="18"/>
          <w:szCs w:val="18"/>
          <w:color w:val="auto"/>
        </w:rPr>
        <w:t>. Unless sooner terminated under Section 19, the Plan will continue in effect for ten (10) years from the Effective Date.</w:t>
      </w:r>
    </w:p>
    <w:p>
      <w:pPr>
        <w:spacing w:after="0" w:line="225"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Termination of the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Termination</w:t>
      </w:r>
      <w:r>
        <w:rPr>
          <w:rFonts w:ascii="Times New Roman" w:cs="Times New Roman" w:eastAsia="Times New Roman" w:hAnsi="Times New Roman"/>
          <w:sz w:val="18"/>
          <w:szCs w:val="18"/>
          <w:color w:val="auto"/>
        </w:rPr>
        <w:t>. The Administrator may at any time amend, alter, suspend or terminate the Plan.</w:t>
      </w:r>
    </w:p>
    <w:p>
      <w:pPr>
        <w:spacing w:after="0" w:line="225" w:lineRule="exact"/>
        <w:rPr>
          <w:rFonts w:ascii="Times New Roman" w:cs="Times New Roman" w:eastAsia="Times New Roman" w:hAnsi="Times New Roman"/>
          <w:sz w:val="18"/>
          <w:szCs w:val="18"/>
          <w:color w:val="auto"/>
        </w:rPr>
      </w:pPr>
    </w:p>
    <w:p>
      <w:pPr>
        <w:ind w:left="-20" w:right="80" w:firstLine="987"/>
        <w:spacing w:after="0" w:line="282" w:lineRule="auto"/>
        <w:tabs>
          <w:tab w:leader="none" w:pos="122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Company will obtain stockholder approval of any Plan amendment to the extent that the Administrator (in its discretion) determines such approval is necessary and desirable to comply with Applicable Laws.</w:t>
      </w:r>
    </w:p>
    <w:p>
      <w:pPr>
        <w:spacing w:after="0" w:line="161" w:lineRule="exact"/>
        <w:rPr>
          <w:rFonts w:ascii="Times New Roman" w:cs="Times New Roman" w:eastAsia="Times New Roman" w:hAnsi="Times New Roman"/>
          <w:sz w:val="18"/>
          <w:szCs w:val="18"/>
          <w:color w:val="auto"/>
        </w:rPr>
      </w:pPr>
    </w:p>
    <w:p>
      <w:pPr>
        <w:ind w:left="-20" w:firstLine="987"/>
        <w:spacing w:after="0" w:line="261" w:lineRule="auto"/>
        <w:tabs>
          <w:tab w:leader="none" w:pos="121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Amendment or Termination</w:t>
      </w:r>
      <w:r>
        <w:rPr>
          <w:rFonts w:ascii="Times New Roman" w:cs="Times New Roman" w:eastAsia="Times New Roman" w:hAnsi="Times New Roman"/>
          <w:sz w:val="18"/>
          <w:szCs w:val="18"/>
          <w:color w:val="auto"/>
        </w:rPr>
        <w:t>. No amendment, alteration, suspension or termination of 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79"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Upon Issuance of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20" w:right="340" w:firstLine="987"/>
        <w:spacing w:after="0" w:line="266" w:lineRule="auto"/>
        <w:tabs>
          <w:tab w:leader="none" w:pos="121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Compliance</w:t>
      </w:r>
      <w:r>
        <w:rPr>
          <w:rFonts w:ascii="Times New Roman" w:cs="Times New Roman" w:eastAsia="Times New Roman" w:hAnsi="Times New Roman"/>
          <w:sz w:val="18"/>
          <w:szCs w:val="18"/>
          <w:color w:val="auto"/>
        </w:rPr>
        <w:t>. Shares will not be issued pursuant to the exercise or vesting of an Award unless the exercise or vesting of such Award and the issuance and delivery of such Shares will comply with Applicable Laws and will be further subject to the approval of counsel for the Company with respect to such compliance.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0"/>
          </w:cols>
          <w:pgMar w:left="460" w:top="270" w:right="479" w:bottom="1440" w:gutter="0" w:footer="0" w:header="0"/>
        </w:sectPr>
      </w:pPr>
    </w:p>
    <w:bookmarkStart w:id="23" w:name="page24"/>
    <w:bookmarkEnd w:id="23"/>
    <w:p>
      <w:pPr>
        <w:ind w:left="-40" w:right="120" w:firstLine="987"/>
        <w:spacing w:after="0" w:line="266" w:lineRule="auto"/>
        <w:tabs>
          <w:tab w:leader="none" w:pos="120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Investment Representations</w:t>
      </w:r>
      <w:r>
        <w:rPr>
          <w:rFonts w:ascii="Times New Roman" w:cs="Times New Roman" w:eastAsia="Times New Roman" w:hAnsi="Times New Roman"/>
          <w:sz w:val="18"/>
          <w:szCs w:val="18"/>
          <w:color w:val="auto"/>
        </w:rPr>
        <w:t>. As a condition to the exercise or vesting of an Award, the Company may require the person exercising or vesting in such Award to represent and warrant at the time of any such exercise or vesting that the Shares are being acquired only for investment and without any present intention to sell or distribute such Shares if, in the opinion of counsel for the Company, such a representation is required.</w:t>
      </w:r>
    </w:p>
    <w:p>
      <w:pPr>
        <w:spacing w:after="0" w:line="175" w:lineRule="exact"/>
        <w:rPr>
          <w:rFonts w:ascii="Times New Roman" w:cs="Times New Roman" w:eastAsia="Times New Roman" w:hAnsi="Times New Roman"/>
          <w:sz w:val="18"/>
          <w:szCs w:val="18"/>
          <w:color w:val="auto"/>
        </w:rPr>
      </w:pPr>
    </w:p>
    <w:p>
      <w:pPr>
        <w:ind w:left="-40" w:firstLine="436"/>
        <w:spacing w:after="0" w:line="256" w:lineRule="auto"/>
        <w:tabs>
          <w:tab w:leader="none" w:pos="67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Inability to Obtain Authority</w:t>
      </w:r>
      <w:r>
        <w:rPr>
          <w:rFonts w:ascii="Times New Roman" w:cs="Times New Roman" w:eastAsia="Times New Roman" w:hAnsi="Times New Roman"/>
          <w:sz w:val="18"/>
          <w:szCs w:val="18"/>
          <w:color w:val="auto"/>
        </w:rPr>
        <w:t>. The inability of the Company to obtain authority from any regulatory body having jurisdiction or to complete or comply with the requirements of any registration or other qualification of the Shares under any U.S. state or federal law or non-U.S. law or under the rules and regulations of the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will relieve the Company of any liability in respect of the failure to issue or sell such Shares as to which such requisite authority, registration, qualification or rule compliance will not have been obtained.</w:t>
      </w:r>
    </w:p>
    <w:p>
      <w:pPr>
        <w:spacing w:after="0" w:line="187" w:lineRule="exact"/>
        <w:rPr>
          <w:rFonts w:ascii="Times New Roman" w:cs="Times New Roman" w:eastAsia="Times New Roman" w:hAnsi="Times New Roman"/>
          <w:sz w:val="18"/>
          <w:szCs w:val="18"/>
          <w:color w:val="auto"/>
        </w:rPr>
      </w:pPr>
    </w:p>
    <w:p>
      <w:pPr>
        <w:ind w:left="-40" w:right="40" w:firstLine="436"/>
        <w:spacing w:after="0" w:line="269" w:lineRule="auto"/>
        <w:tabs>
          <w:tab w:leader="none" w:pos="67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Forfeiture Events</w:t>
      </w:r>
      <w:r>
        <w:rPr>
          <w:rFonts w:ascii="Times New Roman" w:cs="Times New Roman" w:eastAsia="Times New Roman" w:hAnsi="Times New Roman"/>
          <w:sz w:val="17"/>
          <w:szCs w:val="17"/>
          <w:color w:val="auto"/>
        </w:rPr>
        <w:t>. The Administrator may specify in an Award Agreement that the Participant’s rights, payments, and benefits with respect to an Award will be subject to the reduction, cancellation, forfeiture, recoupment, reimbursement, or reacquisition upon the occurrence of certain specified events, in addition to any otherwise applicable vesting or performance conditions of an Award. Notwithstanding any provisions to the contrary under this Plan, an Award shall be subject to the Company’s clawback policy that may be in effect at grant, and any clawback policy that the Company may establish (and/or amend) from time to time to comply with Applicable Laws (including without limitation pursuant to the listing standards of any national securities exchange or association on which the Company’s securities are listed or as may be required by the Dodd-Frank Wall Street Reform and Consumer Protection Act) (collectively, the “</w:t>
      </w:r>
      <w:r>
        <w:rPr>
          <w:rFonts w:ascii="Times New Roman" w:cs="Times New Roman" w:eastAsia="Times New Roman" w:hAnsi="Times New Roman"/>
          <w:sz w:val="17"/>
          <w:szCs w:val="17"/>
          <w:u w:val="single" w:color="auto"/>
          <w:color w:val="auto"/>
        </w:rPr>
        <w:t>Clawback Policy</w:t>
      </w:r>
      <w:r>
        <w:rPr>
          <w:rFonts w:ascii="Times New Roman" w:cs="Times New Roman" w:eastAsia="Times New Roman" w:hAnsi="Times New Roman"/>
          <w:sz w:val="17"/>
          <w:szCs w:val="17"/>
          <w:color w:val="auto"/>
        </w:rPr>
        <w:t>”). The Administrator may require a Participant to forfeit, return or reimburse the Company all or a portion of the Award and any amounts paid thereunder pursuant to the terms of the Clawback Policy or as necessary or appropriate to comply with Applicable Laws. Unless this Section 22 specifically is mentioned and waived in an Award Agreement or other document, no recovery of compensation under a Clawback Policy or otherwise will constitute an event that triggers or contributes to any right of a Participant to resign for “good reason” or “constructive termination” (or similar term) under any agreement with the Company or any Parent or Subsidiary of the Company.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40"/>
          </w:cols>
          <w:pgMar w:left="480" w:top="270" w:right="479" w:bottom="1440" w:gutter="0" w:footer="0" w:header="0"/>
        </w:sectPr>
      </w:pPr>
    </w:p>
    <w:bookmarkStart w:id="24" w:name="page25"/>
    <w:bookmarkEnd w:id="2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ALX ONCOLOGY HOLDINGS INC.</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2025 INDUCEMENT EQUITY INCENTIVE PLAN</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STOCK OPTION AGREEMENT</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NOTICE OF STOCK OPTION GRANT</w:t>
      </w:r>
    </w:p>
    <w:p>
      <w:pPr>
        <w:spacing w:after="0" w:line="22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Unless otherwise defined herein, the terms defined in the ALX Oncology Holdings Inc. 2025 Inducement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shall have the same defined meanings in this Stock Option Agreement, which includes the Notice of Stock Option Grant (the “</w:t>
      </w:r>
      <w:r>
        <w:rPr>
          <w:rFonts w:ascii="Times New Roman" w:cs="Times New Roman" w:eastAsia="Times New Roman" w:hAnsi="Times New Roman"/>
          <w:sz w:val="18"/>
          <w:szCs w:val="18"/>
          <w:u w:val="single" w:color="auto"/>
          <w:color w:val="auto"/>
        </w:rPr>
        <w:t>Notice of Grant</w:t>
      </w:r>
      <w:r>
        <w:rPr>
          <w:rFonts w:ascii="Times New Roman" w:cs="Times New Roman" w:eastAsia="Times New Roman" w:hAnsi="Times New Roman"/>
          <w:sz w:val="18"/>
          <w:szCs w:val="18"/>
          <w:color w:val="auto"/>
        </w:rPr>
        <w:t xml:space="preserve">”), the Terms and Conditions of Stock Option Grant, attached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the Exercise Notice, attached hereto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color w:val="auto"/>
        </w:rPr>
        <w:t>, and all other exhibits, appendices, and addenda attached hereto (together, the “</w:t>
      </w:r>
      <w:r>
        <w:rPr>
          <w:rFonts w:ascii="Times New Roman" w:cs="Times New Roman" w:eastAsia="Times New Roman" w:hAnsi="Times New Roman"/>
          <w:sz w:val="18"/>
          <w:szCs w:val="18"/>
          <w:u w:val="single" w:color="auto"/>
          <w:color w:val="auto"/>
        </w:rPr>
        <w:t>Option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Participant Name: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Address: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undersigned Participant has been granted an Option to purchase Common Stock of the Company, subject to the terms and conditions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and this Option Agreement, as follows:</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Grant Number:</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of Grant: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Vesting Commencement Date:</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Exercise Price per Share:</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Number of Shares Subject to Option:</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Exercise Price:</w:t>
      </w:r>
    </w:p>
    <w:p>
      <w:pPr>
        <w:spacing w:after="0" w:line="117" w:lineRule="exact"/>
        <w:rPr>
          <w:sz w:val="20"/>
          <w:szCs w:val="20"/>
          <w:color w:val="auto"/>
        </w:rPr>
      </w:pPr>
    </w:p>
    <w:p>
      <w:pPr>
        <w:ind w:left="660"/>
        <w:spacing w:after="0"/>
        <w:tabs>
          <w:tab w:leader="none" w:pos="6020" w:val="left"/>
        </w:tabs>
        <w:rPr>
          <w:sz w:val="20"/>
          <w:szCs w:val="20"/>
          <w:color w:val="auto"/>
        </w:rPr>
      </w:pPr>
      <w:r>
        <w:rPr>
          <w:rFonts w:ascii="Times New Roman" w:cs="Times New Roman" w:eastAsia="Times New Roman" w:hAnsi="Times New Roman"/>
          <w:sz w:val="18"/>
          <w:szCs w:val="18"/>
          <w:color w:val="auto"/>
        </w:rPr>
        <w:t>Type of Option:</w:t>
      </w:r>
      <w:r>
        <w:rPr>
          <w:sz w:val="20"/>
          <w:szCs w:val="20"/>
          <w:color w:val="auto"/>
        </w:rPr>
        <w:tab/>
      </w:r>
      <w:r>
        <w:rPr>
          <w:rFonts w:ascii="Times New Roman" w:cs="Times New Roman" w:eastAsia="Times New Roman" w:hAnsi="Times New Roman"/>
          <w:sz w:val="17"/>
          <w:szCs w:val="17"/>
          <w:color w:val="auto"/>
        </w:rPr>
        <w:t>Nonstatutory Stock Option</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Term/Expiration Date: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Subject to any acceleration provisions contained in the Plan, this Option Agreement or any other written agreement authorized by the Administrator between Participant and the Company (or any Parent or Subsidiary of the Company, as applicable) governing the terms of this Option, this Option shall vest and be exercisable, in whole or in part, according to the following vesting schedule:</w:t>
      </w:r>
    </w:p>
    <w:p>
      <w:pPr>
        <w:sectPr>
          <w:pgSz w:w="11900" w:h="16838" w:orient="portrait"/>
          <w:cols w:equalWidth="0" w:num="1">
            <w:col w:w="10920"/>
          </w:cols>
          <w:pgMar w:left="440" w:top="266" w:right="539" w:bottom="1440" w:gutter="0" w:footer="0" w:header="0"/>
        </w:sectPr>
      </w:pPr>
    </w:p>
    <w:bookmarkStart w:id="25" w:name="page26"/>
    <w:bookmarkEnd w:id="2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[INSERT VESTING SCHEDULE]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Termination Period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This Option shall be exercisable, to the extent vested, for three (3) months after Participant ceases to be a Service Provider, unless such cessation is due to Participant’s death or Disability, in which case this Option shall be exercisable, to the extent vested, for twelve (12) months after Participant ceases to be a Service Provider. Notwithstanding the foregoing sentence, in no event may this Option be exercised after the Term/Expiration Date as provided above and this Option may be subject to earlier termination as provided in Section 14 of the Plan.</w:t>
      </w:r>
    </w:p>
    <w:p>
      <w:pPr>
        <w:spacing w:after="0" w:line="180"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By Participant’s signature and the signature of the representative of the Company below, Participant and the Company agree that this Option is granted under and governed by the terms and conditions of the Plan and this Option Agreement, including the Terms and Conditions of Stock Option Grant,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Exercise Notice,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and all other exhibits, appendices and addenda attached hereto, all of which are made a part of this document. Participant acknowledges receipt of a copy of the Plan. Participant has reviewed the Plan and this Option Agreement in their entirety, has had an opportunity to obtain the advice of counsel prior to executing this Option Agreement and fully understands all provisions of the Plan and the Option Agreement. Participant hereby agrees to accept as binding, conclusive and final all decisions or interpretations of the Administrator upon any questions relating to the Plan or this Option Agreement. Participant further agrees to notify the Company upon any change in Participant’s residence address indicated above.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Participant</w:t>
            </w:r>
          </w:p>
        </w:tc>
        <w:tc>
          <w:tcPr>
            <w:tcW w:w="6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ALX ONCOLOGY HOLDINGS INC.</w:t>
            </w:r>
          </w:p>
        </w:tc>
        <w:tc>
          <w:tcPr>
            <w:tcW w:w="0" w:type="dxa"/>
            <w:vAlign w:val="bottom"/>
          </w:tcPr>
          <w:p>
            <w:pPr>
              <w:spacing w:after="0"/>
              <w:rPr>
                <w:sz w:val="1"/>
                <w:szCs w:val="1"/>
                <w:color w:val="auto"/>
              </w:rPr>
            </w:pPr>
          </w:p>
        </w:tc>
      </w:tr>
      <w:tr>
        <w:trPr>
          <w:trHeight w:val="432"/>
        </w:trPr>
        <w:tc>
          <w:tcPr>
            <w:tcW w:w="4860" w:type="dxa"/>
            <w:vAlign w:val="bottom"/>
          </w:tcPr>
          <w:p>
            <w:pPr>
              <w:spacing w:after="0"/>
              <w:rPr>
                <w:sz w:val="24"/>
                <w:szCs w:val="24"/>
                <w:color w:val="auto"/>
              </w:rPr>
            </w:pPr>
          </w:p>
        </w:tc>
        <w:tc>
          <w:tcPr>
            <w:tcW w:w="1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60" w:type="dxa"/>
            <w:vAlign w:val="bottom"/>
            <w:tcBorders>
              <w:bottom w:val="single" w:sz="8" w:color="auto"/>
            </w:tcBorders>
          </w:tcPr>
          <w:p>
            <w:pPr>
              <w:spacing w:after="0"/>
              <w:rPr>
                <w:sz w:val="20"/>
                <w:szCs w:val="20"/>
                <w:color w:val="auto"/>
              </w:rPr>
            </w:pPr>
          </w:p>
        </w:tc>
        <w:tc>
          <w:tcPr>
            <w:tcW w:w="176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Print Name:</w:t>
            </w:r>
          </w:p>
        </w:tc>
        <w:tc>
          <w:tcPr>
            <w:tcW w:w="44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8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Print Name</w:t>
            </w:r>
          </w:p>
        </w:tc>
        <w:tc>
          <w:tcPr>
            <w:tcW w:w="1760" w:type="dxa"/>
            <w:vAlign w:val="bottom"/>
            <w:vMerge w:val="continue"/>
          </w:tcPr>
          <w:p>
            <w:pPr>
              <w:spacing w:after="0"/>
              <w:rPr>
                <w:sz w:val="15"/>
                <w:szCs w:val="15"/>
                <w:color w:val="auto"/>
              </w:rPr>
            </w:pPr>
          </w:p>
        </w:tc>
        <w:tc>
          <w:tcPr>
            <w:tcW w:w="44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93"/>
        </w:trPr>
        <w:tc>
          <w:tcPr>
            <w:tcW w:w="4860" w:type="dxa"/>
            <w:vAlign w:val="bottom"/>
          </w:tcPr>
          <w:p>
            <w:pPr>
              <w:spacing w:after="0"/>
              <w:rPr>
                <w:sz w:val="24"/>
                <w:szCs w:val="24"/>
                <w:color w:val="auto"/>
              </w:rPr>
            </w:pPr>
          </w:p>
        </w:tc>
        <w:tc>
          <w:tcPr>
            <w:tcW w:w="61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372"/>
        </w:trPr>
        <w:tc>
          <w:tcPr>
            <w:tcW w:w="4860" w:type="dxa"/>
            <w:vAlign w:val="bottom"/>
          </w:tcPr>
          <w:p>
            <w:pPr>
              <w:spacing w:after="0"/>
              <w:rPr>
                <w:sz w:val="24"/>
                <w:szCs w:val="24"/>
                <w:color w:val="auto"/>
              </w:rPr>
            </w:pPr>
          </w:p>
        </w:tc>
        <w:tc>
          <w:tcPr>
            <w:tcW w:w="1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w:t>
            </w:r>
          </w:p>
        </w:tc>
        <w:tc>
          <w:tcPr>
            <w:tcW w:w="44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ALX ONCOLOGY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INDUCEMENT EQUITY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OPTION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TERMS AND CONDITIONS OF STOCK OPTION GRANT</w:t>
      </w:r>
    </w:p>
    <w:p>
      <w:pPr>
        <w:spacing w:after="0" w:line="229" w:lineRule="exact"/>
        <w:rPr>
          <w:sz w:val="20"/>
          <w:szCs w:val="20"/>
          <w:color w:val="auto"/>
        </w:rPr>
      </w:pPr>
    </w:p>
    <w:p>
      <w:pPr>
        <w:ind w:firstLine="436"/>
        <w:spacing w:after="0" w:line="258" w:lineRule="auto"/>
        <w:tabs>
          <w:tab w:leader="none" w:pos="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Option</w:t>
      </w:r>
      <w:r>
        <w:rPr>
          <w:rFonts w:ascii="Times New Roman" w:cs="Times New Roman" w:eastAsia="Times New Roman" w:hAnsi="Times New Roman"/>
          <w:sz w:val="18"/>
          <w:szCs w:val="18"/>
          <w:color w:val="auto"/>
        </w:rPr>
        <w:t>. The Company hereby grants to the individual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named in the Notice of Stock Option Grant of this Option Agreement (the “</w:t>
      </w:r>
      <w:r>
        <w:rPr>
          <w:rFonts w:ascii="Times New Roman" w:cs="Times New Roman" w:eastAsia="Times New Roman" w:hAnsi="Times New Roman"/>
          <w:sz w:val="18"/>
          <w:szCs w:val="18"/>
          <w:u w:val="single" w:color="auto"/>
          <w:color w:val="auto"/>
        </w:rPr>
        <w:t>Notice of Grant</w:t>
      </w:r>
      <w:r>
        <w:rPr>
          <w:rFonts w:ascii="Times New Roman" w:cs="Times New Roman" w:eastAsia="Times New Roman" w:hAnsi="Times New Roman"/>
          <w:sz w:val="18"/>
          <w:szCs w:val="18"/>
          <w:color w:val="auto"/>
        </w:rPr>
        <w:t>”), an option (the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constituting a Nonstatutory Stock Option, to purchase the number of Shares set forth in the Notice of Grant, at the exercise price per Share set forth in the Notice of Grant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subject to all of the terms and conditions in this Option Agreement and the Plan, which is incorporated herein by reference. Subject to Section 19 of the Plan, in the event of a conflict between the terms and conditions of the Plan and this Option Agreement, the terms and conditions of the Plan shall prevail.</w:t>
      </w:r>
    </w:p>
    <w:p>
      <w:pPr>
        <w:spacing w:after="0" w:line="183" w:lineRule="exact"/>
        <w:rPr>
          <w:rFonts w:ascii="Times New Roman" w:cs="Times New Roman" w:eastAsia="Times New Roman" w:hAnsi="Times New Roman"/>
          <w:sz w:val="18"/>
          <w:szCs w:val="18"/>
          <w:color w:val="auto"/>
        </w:rPr>
      </w:pPr>
    </w:p>
    <w:p>
      <w:pPr>
        <w:ind w:right="60" w:firstLine="436"/>
        <w:spacing w:after="0" w:line="258" w:lineRule="auto"/>
        <w:tabs>
          <w:tab w:leader="none" w:pos="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 Except as provided in Section 3, the Option awarded by this Option Agreement will vest in accordance with the vesting provisions set forth in the Notice of Grant. Unless specifically provided otherwise in this Option Agreement or other written agreement authorized by the Administrator between Participant and the Company or any Parent or Subsidiary of the Company, as applicable, Shares subject to this Option that are scheduled to vest on a certain date or upon the occurrence of a certain condition will not vest in accordance with any of the provisions of this Option Agreement, unless Participant will have been continuously a Service Provider from the Date of Grant until the date such vesting occurs.</w:t>
      </w:r>
    </w:p>
    <w:p>
      <w:pPr>
        <w:spacing w:after="0" w:line="183" w:lineRule="exact"/>
        <w:rPr>
          <w:rFonts w:ascii="Times New Roman" w:cs="Times New Roman" w:eastAsia="Times New Roman" w:hAnsi="Times New Roman"/>
          <w:sz w:val="18"/>
          <w:szCs w:val="18"/>
          <w:color w:val="auto"/>
        </w:rPr>
      </w:pPr>
    </w:p>
    <w:p>
      <w:pPr>
        <w:ind w:right="140" w:firstLine="436"/>
        <w:spacing w:after="0" w:line="266" w:lineRule="auto"/>
        <w:tabs>
          <w:tab w:leader="none" w:pos="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 Discretion</w:t>
      </w:r>
      <w:r>
        <w:rPr>
          <w:rFonts w:ascii="Times New Roman" w:cs="Times New Roman" w:eastAsia="Times New Roman" w:hAnsi="Times New Roman"/>
          <w:sz w:val="18"/>
          <w:szCs w:val="18"/>
          <w:color w:val="auto"/>
        </w:rPr>
        <w:t>.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w:t>
      </w:r>
    </w:p>
    <w:p>
      <w:pPr>
        <w:spacing w:after="0" w:line="17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360" w:firstLine="987"/>
        <w:spacing w:after="0" w:line="282" w:lineRule="auto"/>
        <w:tabs>
          <w:tab w:leader="none" w:pos="123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Exercise</w:t>
      </w:r>
      <w:r>
        <w:rPr>
          <w:rFonts w:ascii="Times New Roman" w:cs="Times New Roman" w:eastAsia="Times New Roman" w:hAnsi="Times New Roman"/>
          <w:sz w:val="18"/>
          <w:szCs w:val="18"/>
          <w:color w:val="auto"/>
        </w:rPr>
        <w:t>. This Option shall be exercisable during its term in accordance with the Vesting Schedule set out in the Notice of Grant and with the applicable provisions of the Plan and this Option Agreement.</w:t>
      </w:r>
    </w:p>
    <w:p>
      <w:pPr>
        <w:spacing w:after="0" w:line="161"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This Option shall be exercisable by delivery of an exercise notice (the “</w:t>
      </w:r>
      <w:r>
        <w:rPr>
          <w:rFonts w:ascii="Times New Roman" w:cs="Times New Roman" w:eastAsia="Times New Roman" w:hAnsi="Times New Roman"/>
          <w:sz w:val="18"/>
          <w:szCs w:val="18"/>
          <w:u w:val="single" w:color="auto"/>
          <w:color w:val="auto"/>
        </w:rPr>
        <w:t>Exercise Notice</w:t>
      </w:r>
      <w:r>
        <w:rPr>
          <w:rFonts w:ascii="Times New Roman" w:cs="Times New Roman" w:eastAsia="Times New Roman" w:hAnsi="Times New Roman"/>
          <w:sz w:val="18"/>
          <w:szCs w:val="18"/>
          <w:color w:val="auto"/>
        </w:rPr>
        <w:t xml:space="preserve">”) in the form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Notice of Grant or in a manner and pursuant to such procedures as the Administrator may determine, which shall state the election to exercise the Option, the number of Shares with respect to which the Option is being exercised (the “</w:t>
      </w:r>
      <w:r>
        <w:rPr>
          <w:rFonts w:ascii="Times New Roman" w:cs="Times New Roman" w:eastAsia="Times New Roman" w:hAnsi="Times New Roman"/>
          <w:sz w:val="18"/>
          <w:szCs w:val="18"/>
          <w:u w:val="single" w:color="auto"/>
          <w:color w:val="auto"/>
        </w:rPr>
        <w:t>Exercised Shares</w:t>
      </w:r>
      <w:r>
        <w:rPr>
          <w:rFonts w:ascii="Times New Roman" w:cs="Times New Roman" w:eastAsia="Times New Roman" w:hAnsi="Times New Roman"/>
          <w:sz w:val="18"/>
          <w:szCs w:val="18"/>
          <w:color w:val="auto"/>
        </w:rPr>
        <w:t>”), and such other representations and agreements as may be required by the Company. The Exercise Notice shall be completed by Participant and delivered to the Company, accompanied by payment of the aggregate Exercise Price as to all Exercised Shares, together with any applicable Withholding Obligations (as defined below). This Option shall be deemed to be exercised upon receipt by the Company of such fully executed Exercise Notice accompanied by the aggregate Exercise Price, together with any applicable Withholding Obligations.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27" w:name="page28"/>
    <w:bookmarkEnd w:id="27"/>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Shares shall be issued pursuant to the exercise of an Option unless such issuance and such exercise comply with Applicable Laws. Assuming such compliance, for income tax purposes the Shares shall be considered transferred to Participant on the date on which the Option is exercised with respect to such Shares.</w:t>
      </w:r>
    </w:p>
    <w:p>
      <w:pPr>
        <w:spacing w:after="0" w:line="176" w:lineRule="exact"/>
        <w:rPr>
          <w:sz w:val="20"/>
          <w:szCs w:val="20"/>
          <w:color w:val="auto"/>
        </w:rPr>
      </w:pPr>
    </w:p>
    <w:p>
      <w:pPr>
        <w:ind w:left="4" w:right="440" w:firstLine="436"/>
        <w:spacing w:after="0" w:line="282" w:lineRule="auto"/>
        <w:tabs>
          <w:tab w:leader="none" w:pos="62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Payment</w:t>
      </w:r>
      <w:r>
        <w:rPr>
          <w:rFonts w:ascii="Times New Roman" w:cs="Times New Roman" w:eastAsia="Times New Roman" w:hAnsi="Times New Roman"/>
          <w:sz w:val="18"/>
          <w:szCs w:val="18"/>
          <w:color w:val="auto"/>
        </w:rPr>
        <w:t>. Payment of the aggregate Exercise Price shall be by any of the following, or a combination thereof, at the election of Participant:</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received by the Company under a formal cashless exercise program adopted by the Company in connection with the</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or</w:t>
      </w:r>
    </w:p>
    <w:p>
      <w:pPr>
        <w:spacing w:after="0" w:line="206" w:lineRule="exact"/>
        <w:rPr>
          <w:rFonts w:ascii="Times New Roman" w:cs="Times New Roman" w:eastAsia="Times New Roman" w:hAnsi="Times New Roman"/>
          <w:sz w:val="18"/>
          <w:szCs w:val="18"/>
          <w:color w:val="auto"/>
        </w:rPr>
      </w:pPr>
    </w:p>
    <w:p>
      <w:pPr>
        <w:ind w:left="4" w:right="220" w:firstLine="987"/>
        <w:spacing w:after="0" w:line="266" w:lineRule="auto"/>
        <w:tabs>
          <w:tab w:leader="none" w:pos="125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Participant is a U.S. employee, surrender of other Shares which (i) shall be valued at its fair market value on the date of surrender, and (ii) must be owned free and clear of any liens, claims, encumbrances or security interests, if accepting such Shares, in the sole discretion of the Administrator, shall not result in any adverse accounting consequences to the Company.</w:t>
      </w:r>
    </w:p>
    <w:p>
      <w:pPr>
        <w:spacing w:after="0" w:line="176" w:lineRule="exact"/>
        <w:rPr>
          <w:sz w:val="20"/>
          <w:szCs w:val="20"/>
          <w:color w:val="auto"/>
        </w:rPr>
      </w:pPr>
    </w:p>
    <w:p>
      <w:pPr>
        <w:ind w:left="4" w:right="440" w:firstLine="440"/>
        <w:spacing w:after="0" w:line="282" w:lineRule="auto"/>
        <w:rPr>
          <w:sz w:val="20"/>
          <w:szCs w:val="20"/>
          <w:color w:val="auto"/>
        </w:rPr>
      </w:pPr>
      <w:r>
        <w:rPr>
          <w:rFonts w:ascii="Times New Roman" w:cs="Times New Roman" w:eastAsia="Times New Roman" w:hAnsi="Times New Roman"/>
          <w:sz w:val="18"/>
          <w:szCs w:val="18"/>
          <w:color w:val="auto"/>
        </w:rPr>
        <w:t>A non-U.S. resident’s methods of exercise may be restricted by the terms and conditions of any appendix to this Agreement for Participant’s country (including the Country Addendum, as defined below).</w:t>
      </w:r>
    </w:p>
    <w:p>
      <w:pPr>
        <w:spacing w:after="0" w:line="162" w:lineRule="exact"/>
        <w:rPr>
          <w:sz w:val="20"/>
          <w:szCs w:val="20"/>
          <w:color w:val="auto"/>
        </w:rPr>
      </w:pPr>
    </w:p>
    <w:p>
      <w:pPr>
        <w:ind w:left="4" w:right="820" w:firstLine="436"/>
        <w:spacing w:after="0" w:line="282" w:lineRule="auto"/>
        <w:tabs>
          <w:tab w:leader="none" w:pos="62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Non-Transferability of Option</w:t>
      </w:r>
      <w:r>
        <w:rPr>
          <w:rFonts w:ascii="Times New Roman" w:cs="Times New Roman" w:eastAsia="Times New Roman" w:hAnsi="Times New Roman"/>
          <w:sz w:val="18"/>
          <w:szCs w:val="18"/>
          <w:color w:val="auto"/>
        </w:rPr>
        <w:t>. This Option may not be transferred in any manner otherwise than by will or by the laws of descent or distribution and may be exercised during the lifetime of Participant only by Participant.</w:t>
      </w:r>
    </w:p>
    <w:p>
      <w:pPr>
        <w:spacing w:after="0" w:line="161" w:lineRule="exact"/>
        <w:rPr>
          <w:rFonts w:ascii="Times New Roman" w:cs="Times New Roman" w:eastAsia="Times New Roman" w:hAnsi="Times New Roman"/>
          <w:sz w:val="18"/>
          <w:szCs w:val="18"/>
          <w:color w:val="auto"/>
        </w:rPr>
      </w:pPr>
    </w:p>
    <w:p>
      <w:pPr>
        <w:ind w:left="4" w:right="80" w:firstLine="436"/>
        <w:spacing w:after="0" w:line="282" w:lineRule="auto"/>
        <w:tabs>
          <w:tab w:leader="none" w:pos="62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Option</w:t>
      </w:r>
      <w:r>
        <w:rPr>
          <w:rFonts w:ascii="Times New Roman" w:cs="Times New Roman" w:eastAsia="Times New Roman" w:hAnsi="Times New Roman"/>
          <w:sz w:val="18"/>
          <w:szCs w:val="18"/>
          <w:color w:val="auto"/>
        </w:rPr>
        <w:t>. This Option may be exercised only within the term set out in the Notice of Grant, and may be exercised during such term only in accordance with the Plan and the terms of this Option Agreement.</w:t>
      </w:r>
    </w:p>
    <w:p>
      <w:pPr>
        <w:spacing w:after="0" w:line="161"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Obligations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200" w:firstLine="987"/>
        <w:spacing w:after="0" w:line="269" w:lineRule="auto"/>
        <w:tabs>
          <w:tab w:leader="none" w:pos="1240" w:val="left"/>
        </w:tabs>
        <w:numPr>
          <w:ilvl w:val="2"/>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Responsibility for Taxes</w:t>
      </w:r>
      <w:r>
        <w:rPr>
          <w:rFonts w:ascii="Times New Roman" w:cs="Times New Roman" w:eastAsia="Times New Roman" w:hAnsi="Times New Roman"/>
          <w:sz w:val="17"/>
          <w:szCs w:val="17"/>
          <w:color w:val="auto"/>
        </w:rPr>
        <w:t>. Participant acknowledges that, regardless of any action taken by the Company or, if different, Participant’s employer or any Parent or Subsidiary of the Company to which Participant is providing services (together, the “</w:t>
      </w:r>
      <w:r>
        <w:rPr>
          <w:rFonts w:ascii="Times New Roman" w:cs="Times New Roman" w:eastAsia="Times New Roman" w:hAnsi="Times New Roman"/>
          <w:sz w:val="17"/>
          <w:szCs w:val="17"/>
          <w:u w:val="single" w:color="auto"/>
          <w:color w:val="auto"/>
        </w:rPr>
        <w:t>Service Recipients</w:t>
      </w:r>
      <w:r>
        <w:rPr>
          <w:rFonts w:ascii="Times New Roman" w:cs="Times New Roman" w:eastAsia="Times New Roman" w:hAnsi="Times New Roman"/>
          <w:sz w:val="17"/>
          <w:szCs w:val="17"/>
          <w:color w:val="auto"/>
        </w:rPr>
        <w:t>”), the ultimate liability for any tax and/or social insurance liability obligations and requirements in connection with the Option, including, without limitation, (i) all federal, state, and local taxes (including Participant’s Federal Insurance Contributions Act (FICA) obligations) that are required to be withheld by any Service Recipient or other payment of tax-related items related to Participant’s participation in the Plan and legally applicable to Participant,</w:t>
      </w:r>
    </w:p>
    <w:p>
      <w:pPr>
        <w:spacing w:after="0" w:line="2" w:lineRule="exact"/>
        <w:rPr>
          <w:rFonts w:ascii="Times New Roman" w:cs="Times New Roman" w:eastAsia="Times New Roman" w:hAnsi="Times New Roman"/>
          <w:sz w:val="17"/>
          <w:szCs w:val="17"/>
          <w:color w:val="auto"/>
        </w:rPr>
      </w:pPr>
    </w:p>
    <w:p>
      <w:pPr>
        <w:ind w:left="4" w:hanging="4"/>
        <w:spacing w:after="0" w:line="252" w:lineRule="auto"/>
        <w:tabs>
          <w:tab w:leader="none" w:pos="26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and, to the extent required by any Service Recipient, the Service Recipient’s fringe benefit tax liability, if any, associated with the grant, vesting, or exercise of the Option or sale of Shares, and (iii) any other Service Recipient taxes the responsibility for which Participant has, or has agreed to bear, with respect to the Option (or exercise thereof or issuance of Shares thereunder) (collectively, the “</w:t>
      </w:r>
      <w:r>
        <w:rPr>
          <w:rFonts w:ascii="Times New Roman" w:cs="Times New Roman" w:eastAsia="Times New Roman" w:hAnsi="Times New Roman"/>
          <w:sz w:val="18"/>
          <w:szCs w:val="18"/>
          <w:u w:val="single" w:color="auto"/>
          <w:color w:val="auto"/>
        </w:rPr>
        <w:t>Tax Obligations</w:t>
      </w:r>
      <w:r>
        <w:rPr>
          <w:rFonts w:ascii="Times New Roman" w:cs="Times New Roman" w:eastAsia="Times New Roman" w:hAnsi="Times New Roman"/>
          <w:sz w:val="18"/>
          <w:szCs w:val="18"/>
          <w:color w:val="auto"/>
        </w:rPr>
        <w:t>”),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Option, including, but not limited to, the grant, vesting or exercise of the Option, the subsequent sale</w:t>
      </w:r>
    </w:p>
    <w:p>
      <w:pPr>
        <w:spacing w:after="0" w:line="12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4"/>
          </w:cols>
          <w:pgMar w:left="436" w:top="270" w:right="479" w:bottom="1440" w:gutter="0" w:footer="0" w:header="0"/>
        </w:sectPr>
      </w:pPr>
    </w:p>
    <w:bookmarkStart w:id="28" w:name="page29"/>
    <w:bookmarkEnd w:id="28"/>
    <w:p>
      <w:pPr>
        <w:ind w:right="1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Shares acquired pursuant to such exercise and the receipt of any dividends or other distributions, and (B) makes any commitment to and is under any obligation to structure the terms of the grant or any aspect of the Option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applicable Service Recipient(s) (or former employer, as applicable) may be required to withhold or account for Withholding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w:t>
      </w:r>
    </w:p>
    <w:p>
      <w:pPr>
        <w:spacing w:after="0" w:line="189" w:lineRule="exact"/>
        <w:rPr>
          <w:sz w:val="20"/>
          <w:szCs w:val="20"/>
          <w:color w:val="auto"/>
        </w:rPr>
      </w:pPr>
    </w:p>
    <w:p>
      <w:pPr>
        <w:ind w:firstLine="987"/>
        <w:spacing w:after="0" w:line="252" w:lineRule="auto"/>
        <w:tabs>
          <w:tab w:leader="none" w:pos="124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Pursuant to such procedures as the Administrator may specify from time to time, the applicable Service Recipient(s) will withhold the amount required to be withheld for the payment of Tax Obligations (the “</w:t>
      </w:r>
      <w:r>
        <w:rPr>
          <w:rFonts w:ascii="Times New Roman" w:cs="Times New Roman" w:eastAsia="Times New Roman" w:hAnsi="Times New Roman"/>
          <w:sz w:val="18"/>
          <w:szCs w:val="18"/>
          <w:u w:val="single" w:color="auto"/>
          <w:color w:val="auto"/>
        </w:rPr>
        <w:t>Withholding Obligations</w:t>
      </w:r>
      <w:r>
        <w:rPr>
          <w:rFonts w:ascii="Times New Roman" w:cs="Times New Roman" w:eastAsia="Times New Roman" w:hAnsi="Times New Roman"/>
          <w:sz w:val="18"/>
          <w:szCs w:val="18"/>
          <w:color w:val="auto"/>
        </w:rPr>
        <w:t>”). The Administrator, in its sole discretion and pursuant to such procedures as it may specify from time to time, may permit Participant to satisfy such Withholding Obligations, in whole or in part (without limitation), if permissible by applicable local law, by (i) paying cash in U.S. dollars, (ii) having the Company withhold otherwise deliverable Shares having a fair market value equal to the minimum amount that is necessary to meet the withholding requirement for such Withholding Obligations (or such greater amount as Participant may elect if permitted by the Administrator, if such greater amount would not result in adverse financial accounting consequences) (“</w:t>
      </w:r>
      <w:r>
        <w:rPr>
          <w:rFonts w:ascii="Times New Roman" w:cs="Times New Roman" w:eastAsia="Times New Roman" w:hAnsi="Times New Roman"/>
          <w:sz w:val="18"/>
          <w:szCs w:val="18"/>
          <w:u w:val="single" w:color="auto"/>
          <w:color w:val="auto"/>
        </w:rPr>
        <w:t>Net Share Withholding</w:t>
      </w:r>
      <w:r>
        <w:rPr>
          <w:rFonts w:ascii="Times New Roman" w:cs="Times New Roman" w:eastAsia="Times New Roman" w:hAnsi="Times New Roman"/>
          <w:sz w:val="18"/>
          <w:szCs w:val="18"/>
          <w:color w:val="auto"/>
        </w:rPr>
        <w:t>”), (iii) withholding the amount of such Withholding Obligations from Participant’s wages or other cash compensation paid to Participant by the applicable Service Recipient(s), (iv) delivering to the Company Shares that Participant owns and that have vested with a fair market value equal to the Withholding Obligations (or such greater amount as Participant may elect if permitted by the Administrator, if such greater amount would not result in adverse financial accounting consequences), or (v) selling a sufficient number of such Shares otherwise deliverable to Participant, through such means as the Company may determine in its sole discretion (whether through a broker or otherwise) equal to the minimum amount that is necessary to meet the withholding requirement for such Withholding Obligations (or such greater amount as Participant may elect if permitted by the Administrator, if such greater amount would not result in adverse financial accounting consequences) (“</w:t>
      </w:r>
      <w:r>
        <w:rPr>
          <w:rFonts w:ascii="Times New Roman" w:cs="Times New Roman" w:eastAsia="Times New Roman" w:hAnsi="Times New Roman"/>
          <w:sz w:val="18"/>
          <w:szCs w:val="18"/>
          <w:u w:val="single" w:color="auto"/>
          <w:color w:val="auto"/>
        </w:rPr>
        <w:t>Sell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Cover</w:t>
      </w:r>
      <w:r>
        <w:rPr>
          <w:rFonts w:ascii="Times New Roman" w:cs="Times New Roman" w:eastAsia="Times New Roman" w:hAnsi="Times New Roman"/>
          <w:sz w:val="18"/>
          <w:szCs w:val="18"/>
          <w:color w:val="auto"/>
        </w:rPr>
        <w:t>”). To the extent determined appropriate by the Administrator in its discretion, the Administrator will have the right (but not the obligation) to satisfy any Withholding Obligations by reducing the Net Share Withholding. If Net Share Withholding is the method by which such Withholding Obligations are satisfied, the Company will not withhold on a fractional Share basis to satisfy any portion of the Withholding Obligations and, unless the Company determines otherwise, no refund will be made to Participant for the value of the portion of a Share, if any, withheld in excess of the Withholding Obligations. If a Sell to Cover is the method by which Withholding Obligations are satisfied, Participant agrees that as part of the Sell to Cover, additional Shares may be sold to satisfy any associated broker or other fees. Only whole Shares will be sold pursuant to a Sell to Cover. Any proceeds from the sale of Shares pursuant to a Sell to Cover that are in excess of the Withholding Obligations and any associated broker or other fees will be paid to Participant in accordance with procedures the Company may specify from time to time.</w:t>
      </w:r>
    </w:p>
    <w:p>
      <w:pPr>
        <w:spacing w:after="0" w:line="187" w:lineRule="exact"/>
        <w:rPr>
          <w:rFonts w:ascii="Times New Roman" w:cs="Times New Roman" w:eastAsia="Times New Roman" w:hAnsi="Times New Roman"/>
          <w:sz w:val="18"/>
          <w:szCs w:val="18"/>
          <w:color w:val="auto"/>
        </w:rPr>
      </w:pPr>
    </w:p>
    <w:p>
      <w:pPr>
        <w:ind w:right="100" w:firstLine="987"/>
        <w:spacing w:after="0" w:line="261" w:lineRule="auto"/>
        <w:tabs>
          <w:tab w:leader="none" w:pos="123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xml:space="preserve"> Under Section 409A, a stock right (such as the Option) that vests after December 31, 2004 (or that vested on or prior to such date but which was materially modified after October 3, 2004), that was granted with a per share exercise price that is determined by the Internal Revenue Service (the “</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to be less than the fair market value of an underlying share on the date of grant (a “</w:t>
      </w:r>
      <w:r>
        <w:rPr>
          <w:rFonts w:ascii="Times New Roman" w:cs="Times New Roman" w:eastAsia="Times New Roman" w:hAnsi="Times New Roman"/>
          <w:sz w:val="18"/>
          <w:szCs w:val="18"/>
          <w:u w:val="single" w:color="auto"/>
          <w:color w:val="auto"/>
        </w:rPr>
        <w:t>discount option</w:t>
      </w:r>
      <w:r>
        <w:rPr>
          <w:rFonts w:ascii="Times New Roman" w:cs="Times New Roman" w:eastAsia="Times New Roman" w:hAnsi="Times New Roman"/>
          <w:sz w:val="18"/>
          <w:szCs w:val="18"/>
          <w:color w:val="auto"/>
        </w:rPr>
        <w:t>”) may be considered “deferred compensation.” A stock right that is a “discount option” may result in (i) income recognition by the recipient of the stock right prior to</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29" w:name="page30"/>
    <w:bookmarkEnd w:id="29"/>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exercise of the stock right, (ii) an additional twenty percent (20%) federal income tax, and (iii) potential penalty and interest charges. The “discount option” may also result in additional state income, penalty and interest tax to the recipient of the stock right.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shall be solely responsible for Participant’s costs related to such a determination. In no event will the Company or any of its Parent or Subsidiaries have any responsibility, liability, or obligation to reimburse, indemnify, or hold harmless Participant (or any other person) in respect of this Option or any other Awards, for any taxes, penalties or interest that may be imposed on, or other costs incurred by, Participant (or any other person) as a result of Section 409A.</w:t>
      </w:r>
    </w:p>
    <w:p>
      <w:pPr>
        <w:spacing w:after="0" w:line="192" w:lineRule="exact"/>
        <w:rPr>
          <w:sz w:val="20"/>
          <w:szCs w:val="20"/>
          <w:color w:val="auto"/>
        </w:rPr>
      </w:pPr>
    </w:p>
    <w:p>
      <w:pPr>
        <w:ind w:right="20" w:firstLine="436"/>
        <w:spacing w:after="0" w:line="258" w:lineRule="auto"/>
        <w:tabs>
          <w:tab w:leader="none" w:pos="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83" w:lineRule="exact"/>
        <w:rPr>
          <w:rFonts w:ascii="Times New Roman" w:cs="Times New Roman" w:eastAsia="Times New Roman" w:hAnsi="Times New Roman"/>
          <w:sz w:val="18"/>
          <w:szCs w:val="18"/>
          <w:color w:val="auto"/>
        </w:rPr>
      </w:pPr>
    </w:p>
    <w:p>
      <w:pPr>
        <w:ind w:firstLine="436"/>
        <w:spacing w:after="0" w:line="258" w:lineRule="auto"/>
        <w:tabs>
          <w:tab w:leader="none" w:pos="71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Governing Law</w:t>
      </w:r>
      <w:r>
        <w:rPr>
          <w:rFonts w:ascii="Times New Roman" w:cs="Times New Roman" w:eastAsia="Times New Roman" w:hAnsi="Times New Roman"/>
          <w:sz w:val="18"/>
          <w:szCs w:val="18"/>
          <w:color w:val="auto"/>
        </w:rPr>
        <w:t>. The Plan is incorporated herein by reference. The Plan and this Option Agreement constitute the entire agreement of the parties with respect to the subject matter hereof and supersede in their entirety all prior undertakings and agreements of the Company and Participant with respect to the subject matter hereof, and may not be modified adversely to Participant’s interest except by means of a writing signed by the Company and Participant. This Option Agreement is governed by the internal substantive laws but not the choice of law rules of the State of Delaware.</w:t>
      </w:r>
    </w:p>
    <w:p>
      <w:pPr>
        <w:spacing w:after="0" w:line="183" w:lineRule="exact"/>
        <w:rPr>
          <w:rFonts w:ascii="Times New Roman" w:cs="Times New Roman" w:eastAsia="Times New Roman" w:hAnsi="Times New Roman"/>
          <w:sz w:val="18"/>
          <w:szCs w:val="18"/>
          <w:color w:val="auto"/>
        </w:rPr>
      </w:pPr>
    </w:p>
    <w:p>
      <w:pPr>
        <w:ind w:right="20" w:firstLine="436"/>
        <w:spacing w:after="0" w:line="253" w:lineRule="auto"/>
        <w:tabs>
          <w:tab w:leader="none" w:pos="70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Guarantee of Continued Service</w:t>
      </w:r>
      <w:r>
        <w:rPr>
          <w:rFonts w:ascii="Times New Roman" w:cs="Times New Roman" w:eastAsia="Times New Roman" w:hAnsi="Times New Roman"/>
          <w:sz w:val="18"/>
          <w:szCs w:val="18"/>
          <w:color w:val="auto"/>
        </w:rPr>
        <w:t>. PARTICIPANT ACKNOWLEDGES AND AGREES THAT THE VESTING OF SHARES PURSUANT TO THE VESTING SCHEDULE HEREOF IS EARNED ONLY BY CONTINUING AS A SERVICE PROVIDER THROUGH THE APPLICABLE VESTING DATE(S), WHICH UNLESS PROVIDED OTHERWISE UNDER APPLICABLE LAWS IS AT THE WILL OF THE APPLICABLE SERVICE RECIPIENT AND NOT THROUGH THE ACT OF BEING HIRED, BEING GRANTED THIS OPTION OR ACQUIRING SHARES HEREUNDER. PARTICIPANT FURTHER ACKNOWLEDGES AND AGREES THAT THIS OPTION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30" w:name="page31"/>
    <w:bookmarkEnd w:id="30"/>
    <w:p>
      <w:pPr>
        <w:ind w:left="700" w:hanging="264"/>
        <w:spacing w:after="0"/>
        <w:tabs>
          <w:tab w:leader="none" w:pos="7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Nature of Grant</w:t>
      </w:r>
      <w:r>
        <w:rPr>
          <w:rFonts w:ascii="Times New Roman" w:cs="Times New Roman" w:eastAsia="Times New Roman" w:hAnsi="Times New Roman"/>
          <w:sz w:val="18"/>
          <w:szCs w:val="18"/>
          <w:color w:val="auto"/>
        </w:rPr>
        <w:t>. In accepting the Option, Participant acknowledges, understands and agrees that:</w:t>
      </w:r>
    </w:p>
    <w:p>
      <w:pPr>
        <w:spacing w:after="0" w:line="225" w:lineRule="exact"/>
        <w:rPr>
          <w:rFonts w:ascii="Times New Roman" w:cs="Times New Roman" w:eastAsia="Times New Roman" w:hAnsi="Times New Roman"/>
          <w:sz w:val="18"/>
          <w:szCs w:val="18"/>
          <w:color w:val="auto"/>
        </w:rPr>
      </w:pPr>
    </w:p>
    <w:p>
      <w:pPr>
        <w:ind w:right="40" w:firstLine="987"/>
        <w:spacing w:after="0" w:line="282" w:lineRule="auto"/>
        <w:tabs>
          <w:tab w:leader="none" w:pos="123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Option is voluntary and occasional and does not create any contractual or other right to receive future grants of options, or benefits in lieu of options, even if options have been granted in the past;</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option or other grants, if any, will be at the sole discretion of the Administrator;</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is voluntarily participating in the Plan;</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and any Shares acquired under the Plan are not intended to replace any pension rights or compensation;</w:t>
      </w:r>
    </w:p>
    <w:p>
      <w:pPr>
        <w:spacing w:after="0" w:line="225" w:lineRule="exact"/>
        <w:rPr>
          <w:rFonts w:ascii="Times New Roman" w:cs="Times New Roman" w:eastAsia="Times New Roman" w:hAnsi="Times New Roman"/>
          <w:sz w:val="18"/>
          <w:szCs w:val="18"/>
          <w:color w:val="auto"/>
        </w:rPr>
      </w:pPr>
    </w:p>
    <w:p>
      <w:pPr>
        <w:jc w:val="both"/>
        <w:ind w:right="100" w:firstLine="987"/>
        <w:spacing w:after="0" w:line="266" w:lineRule="auto"/>
        <w:tabs>
          <w:tab w:leader="none" w:pos="123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and Shares acquired under the Plan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75"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Shares underlying the Option is unknown, indeterminable, and cannot be predicted with certainty;</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underlying Shares do not increase in value, the Option will have no value;</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Participant exercises the Option and acquires Shares, the value of such Shares may increase or decrease in value, even below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Price;</w:t>
      </w:r>
    </w:p>
    <w:p>
      <w:pPr>
        <w:spacing w:after="0" w:line="206" w:lineRule="exact"/>
        <w:rPr>
          <w:rFonts w:ascii="Times New Roman" w:cs="Times New Roman" w:eastAsia="Times New Roman" w:hAnsi="Times New Roman"/>
          <w:sz w:val="18"/>
          <w:szCs w:val="18"/>
          <w:color w:val="auto"/>
        </w:rPr>
      </w:pPr>
    </w:p>
    <w:p>
      <w:pPr>
        <w:ind w:firstLine="987"/>
        <w:spacing w:after="0" w:line="252" w:lineRule="auto"/>
        <w:tabs>
          <w:tab w:leader="none" w:pos="120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Option, Participant’s status as a Service Provider will be considered terminated as of the date Participant is no longer actively providing services to the Company or any Parent or Subsidiary of the Company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Option Agreement (including by reference in the Notice of Grant to other arrangements or contracts) or determined by the Administrator, (i) Participant’s right to vest in the Option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and (ii) the period (if any) during which Participant may exercise the Option after such termination of Participant’s engagement as a Service Provider will commence on the date Participant ceases to actively provide services and will not be extended by any notice period mandated under employment laws in the jurisdiction where Participant is employed or terms of Participant’s engagement agreement, if any; the Administrator shall have the exclusive discretion to determine when Participant is no longer actively providing services for purposes of this Option grant (including whether Participant may still be considered to be providing services while on a leave of absence and consistent with local law). Further, for the avoidance of doubt, Participant shall not be entitled to any pro rata vesting of any Shares subject to the Option should Participant’s status as a Service Provider cease before the Option has fully vested (e.g., if the Option vests monthly on the 10th of each month and Participant ceases providing services on March 1 before the Option has become fully vested, Participant shall not be entitled to any vesting of the Shares subject to the Option that were scheduled to vest on the immediately following vesting date of March 10);</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31" w:name="page32"/>
    <w:bookmarkEnd w:id="31"/>
    <w:p>
      <w:pPr>
        <w:jc w:val="both"/>
        <w:ind w:right="240" w:firstLine="987"/>
        <w:spacing w:after="0" w:line="266" w:lineRule="auto"/>
        <w:tabs>
          <w:tab w:leader="none" w:pos="1206"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otherwise provided in the Plan or by the Administrator in its discretion, the Option and the benefits evidenced by this Option Agreement do not create any entitlement to have the Option or any such benefits transferred to, or assumed by, another company nor be exchanged, cashed out or substituted for, in connection with any corporate transaction affecting the Shares; and</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provisions apply only if Participant is providing services outside the United States:</w:t>
      </w:r>
    </w:p>
    <w:p>
      <w:pPr>
        <w:spacing w:after="0" w:line="225"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and the Shares subject to the Option are not part of normal or expected compensation or salary for any purpose;</w:t>
      </w:r>
    </w:p>
    <w:p>
      <w:pPr>
        <w:spacing w:after="0" w:line="225" w:lineRule="exact"/>
        <w:rPr>
          <w:rFonts w:ascii="Times New Roman" w:cs="Times New Roman" w:eastAsia="Times New Roman" w:hAnsi="Times New Roman"/>
          <w:sz w:val="18"/>
          <w:szCs w:val="18"/>
          <w:color w:val="auto"/>
        </w:rPr>
      </w:pPr>
    </w:p>
    <w:p>
      <w:pPr>
        <w:ind w:right="40" w:firstLine="1428"/>
        <w:spacing w:after="0" w:line="266" w:lineRule="auto"/>
        <w:tabs>
          <w:tab w:leader="none" w:pos="1697"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acknowledges and agrees that no Service Recipient shall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 and</w:t>
      </w:r>
    </w:p>
    <w:p>
      <w:pPr>
        <w:spacing w:after="0" w:line="175" w:lineRule="exact"/>
        <w:rPr>
          <w:rFonts w:ascii="Times New Roman" w:cs="Times New Roman" w:eastAsia="Times New Roman" w:hAnsi="Times New Roman"/>
          <w:sz w:val="18"/>
          <w:szCs w:val="18"/>
          <w:color w:val="auto"/>
        </w:rPr>
      </w:pPr>
    </w:p>
    <w:p>
      <w:pPr>
        <w:ind w:right="100" w:firstLine="1428"/>
        <w:spacing w:after="0" w:line="255" w:lineRule="auto"/>
        <w:tabs>
          <w:tab w:leader="none" w:pos="1747"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or entitlement to compensation or damages shall arise from forfeiture of the Option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Option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88" w:lineRule="exact"/>
        <w:rPr>
          <w:rFonts w:ascii="Times New Roman" w:cs="Times New Roman" w:eastAsia="Times New Roman" w:hAnsi="Times New Roman"/>
          <w:sz w:val="18"/>
          <w:szCs w:val="18"/>
          <w:color w:val="auto"/>
        </w:rPr>
      </w:pPr>
    </w:p>
    <w:p>
      <w:pPr>
        <w:ind w:firstLine="436"/>
        <w:spacing w:after="0" w:line="261" w:lineRule="auto"/>
        <w:tabs>
          <w:tab w:leader="none" w:pos="71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Advice Regarding Grant</w:t>
      </w:r>
      <w:r>
        <w:rPr>
          <w:rFonts w:ascii="Times New Roman" w:cs="Times New Roman" w:eastAsia="Times New Roman" w:hAnsi="Times New Roman"/>
          <w:sz w:val="18"/>
          <w:szCs w:val="18"/>
          <w:color w:val="auto"/>
        </w:rPr>
        <w:t>. The Company is not providing any tax, legal or financial advice, nor is the Company making any recommendations regarding Participant’s participation in the Plan, or Participant’s acquisition or sale of the Shares underlying the Option. Participant is hereby advised to consult with his or her own personal tax, legal and financial advisers regarding his or her participation in the Plan before taking any action related to the Plan.</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Data Privacy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Participant hereby explicitly and unambiguously consents to the collection, use and transfer, in electronic or other form, of</w:t>
      </w:r>
    </w:p>
    <w:p>
      <w:pPr>
        <w:spacing w:after="0" w:line="31" w:lineRule="exact"/>
        <w:rPr>
          <w:rFonts w:ascii="Times New Roman" w:cs="Times New Roman" w:eastAsia="Times New Roman" w:hAnsi="Times New Roman"/>
          <w:sz w:val="18"/>
          <w:szCs w:val="18"/>
          <w:color w:val="auto"/>
        </w:rPr>
      </w:pPr>
    </w:p>
    <w:p>
      <w:pPr>
        <w:ind w:right="2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Participant’s personal data as described in this Option Agreement and any other Option grant materials by and among, as applicable, the Service Recipients for the exclusive purpose of implementing, administering and managing Participant’s participation in the Plan.</w:t>
      </w:r>
    </w:p>
    <w:p>
      <w:pPr>
        <w:spacing w:after="0" w:line="177"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Options or any other entitlement to Shares awarded, canceled, exercised, vested, unvested or outstanding in Participant’s favor (“</w:t>
      </w:r>
      <w:r>
        <w:rPr>
          <w:rFonts w:ascii="Times New Roman" w:cs="Times New Roman" w:eastAsia="Times New Roman" w:hAnsi="Times New Roman"/>
          <w:sz w:val="18"/>
          <w:szCs w:val="18"/>
          <w:b w:val="1"/>
          <w:bCs w:val="1"/>
          <w:i w:val="1"/>
          <w:iCs w:val="1"/>
          <w:u w:val="single" w:color="auto"/>
          <w:color w:val="auto"/>
        </w:rPr>
        <w:t>Data</w:t>
      </w:r>
      <w:r>
        <w:rPr>
          <w:rFonts w:ascii="Times New Roman" w:cs="Times New Roman" w:eastAsia="Times New Roman" w:hAnsi="Times New Roman"/>
          <w:sz w:val="18"/>
          <w:szCs w:val="18"/>
          <w:b w:val="1"/>
          <w:bCs w:val="1"/>
          <w:i w:val="1"/>
          <w:iCs w:val="1"/>
          <w:color w:val="auto"/>
        </w:rPr>
        <w:t>”), for the exclusive purpose of implementing, administering and managing the Plan.</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20"/>
          </w:cols>
          <w:pgMar w:left="440" w:top="270" w:right="539" w:bottom="1440" w:gutter="0" w:footer="0" w:header="0"/>
        </w:sectPr>
      </w:pPr>
    </w:p>
    <w:bookmarkStart w:id="32" w:name="page33"/>
    <w:bookmarkEnd w:id="32"/>
    <w:p>
      <w:pPr>
        <w:ind w:firstLine="4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Options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96" w:lineRule="exact"/>
        <w:rPr>
          <w:sz w:val="20"/>
          <w:szCs w:val="20"/>
          <w:color w:val="auto"/>
        </w:rPr>
      </w:pPr>
    </w:p>
    <w:p>
      <w:pPr>
        <w:ind w:right="220" w:firstLine="436"/>
        <w:spacing w:after="0" w:line="266" w:lineRule="auto"/>
        <w:tabs>
          <w:tab w:leader="none" w:pos="71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for Notices</w:t>
      </w:r>
      <w:r>
        <w:rPr>
          <w:rFonts w:ascii="Times New Roman" w:cs="Times New Roman" w:eastAsia="Times New Roman" w:hAnsi="Times New Roman"/>
          <w:sz w:val="18"/>
          <w:szCs w:val="18"/>
          <w:color w:val="auto"/>
        </w:rPr>
        <w:t>. Any notice to be given to the Company under the terms of this Option Agreement will be addressed to the Company at ALX Oncology Holdings Inc., 323 Allerton Avenue, South San Francisco, California 94080, or at such other address as the Company may hereafter designate in writing.</w:t>
      </w:r>
    </w:p>
    <w:p>
      <w:pPr>
        <w:spacing w:after="0" w:line="175" w:lineRule="exact"/>
        <w:rPr>
          <w:rFonts w:ascii="Times New Roman" w:cs="Times New Roman" w:eastAsia="Times New Roman" w:hAnsi="Times New Roman"/>
          <w:sz w:val="18"/>
          <w:szCs w:val="18"/>
          <w:color w:val="auto"/>
        </w:rPr>
      </w:pPr>
    </w:p>
    <w:p>
      <w:pPr>
        <w:jc w:val="both"/>
        <w:ind w:firstLine="436"/>
        <w:spacing w:after="0" w:line="261" w:lineRule="auto"/>
        <w:tabs>
          <w:tab w:leader="none" w:pos="71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Company may assign any of its rights under this Option Agreement to single or multiple assignees, and this Option Agreement shall inure to the benefit of the successors and assigns of the Company. Subject to the restriction on transfer herein set forth, this Option Agreement shall be binding upon Participant and Participant’s executors, administrators, heirs, successors and assigns. The rights and obligations of Participant under this Option Agreement may be assigned only with the prior written consent of the Company.</w:t>
      </w:r>
    </w:p>
    <w:p>
      <w:pPr>
        <w:spacing w:after="0" w:line="179" w:lineRule="exact"/>
        <w:rPr>
          <w:rFonts w:ascii="Times New Roman" w:cs="Times New Roman" w:eastAsia="Times New Roman" w:hAnsi="Times New Roman"/>
          <w:sz w:val="18"/>
          <w:szCs w:val="18"/>
          <w:color w:val="auto"/>
        </w:rPr>
      </w:pPr>
    </w:p>
    <w:p>
      <w:pPr>
        <w:ind w:firstLine="436"/>
        <w:spacing w:after="0" w:line="258" w:lineRule="auto"/>
        <w:tabs>
          <w:tab w:leader="none" w:pos="71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Conditions to Issuance of Stock</w:t>
      </w:r>
      <w:r>
        <w:rPr>
          <w:rFonts w:ascii="Times New Roman" w:cs="Times New Roman" w:eastAsia="Times New Roman" w:hAnsi="Times New Roman"/>
          <w:sz w:val="18"/>
          <w:szCs w:val="18"/>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6" w:right="459" w:bottom="1440" w:gutter="0" w:footer="0" w:header="0"/>
        </w:sectPr>
      </w:pPr>
    </w:p>
    <w:bookmarkStart w:id="33" w:name="page34"/>
    <w:bookmarkEnd w:id="33"/>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condition to the exercise of the Options or the purchase by, or issuance of Shares, to Participant (or his or her estate) hereunder, such exercise, purchase or issuance will not occur unless and until such listing, registration, qualification, rule compliance, clearance, consent or approval will have been completed, effected or obtained free of any conditions not acceptable to the Company. Subject to the terms of the Option Agreement and the Plan, the Company will not be required to issue any certificate or certificates for (or make any entry on the books of the Company or of a duly authorized transfer agent of the Company of) the Shares hereunder prior to the lapse of such reasonable period of time following the date of exercise of the Option as the Administrator may establish from time to time for reasons of administrative convenience.</w:t>
      </w:r>
    </w:p>
    <w:p>
      <w:pPr>
        <w:spacing w:after="0" w:line="187" w:lineRule="exact"/>
        <w:rPr>
          <w:sz w:val="20"/>
          <w:szCs w:val="20"/>
          <w:color w:val="auto"/>
        </w:rPr>
      </w:pPr>
    </w:p>
    <w:p>
      <w:pPr>
        <w:ind w:right="200" w:firstLine="436"/>
        <w:spacing w:after="0" w:line="282" w:lineRule="auto"/>
        <w:tabs>
          <w:tab w:leader="none" w:pos="71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Language</w:t>
      </w:r>
      <w:r>
        <w:rPr>
          <w:rFonts w:ascii="Times New Roman" w:cs="Times New Roman" w:eastAsia="Times New Roman" w:hAnsi="Times New Roman"/>
          <w:sz w:val="18"/>
          <w:szCs w:val="18"/>
          <w:color w:val="auto"/>
        </w:rPr>
        <w:t>. If Participant has received this Option Agreement or any other document related to the Plan translated into a language other than English and if the meaning of the translated version is different than the English version, the English version will control.</w:t>
      </w:r>
    </w:p>
    <w:p>
      <w:pPr>
        <w:spacing w:after="0" w:line="161" w:lineRule="exact"/>
        <w:rPr>
          <w:rFonts w:ascii="Times New Roman" w:cs="Times New Roman" w:eastAsia="Times New Roman" w:hAnsi="Times New Roman"/>
          <w:sz w:val="18"/>
          <w:szCs w:val="18"/>
          <w:color w:val="auto"/>
        </w:rPr>
      </w:pPr>
    </w:p>
    <w:p>
      <w:pPr>
        <w:ind w:right="60" w:firstLine="436"/>
        <w:spacing w:after="0" w:line="256" w:lineRule="auto"/>
        <w:tabs>
          <w:tab w:leader="none" w:pos="71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Administrator will have the power to interpret the Plan and this Option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Option Agreement.</w:t>
      </w:r>
    </w:p>
    <w:p>
      <w:pPr>
        <w:spacing w:after="0" w:line="187" w:lineRule="exact"/>
        <w:rPr>
          <w:rFonts w:ascii="Times New Roman" w:cs="Times New Roman" w:eastAsia="Times New Roman" w:hAnsi="Times New Roman"/>
          <w:sz w:val="18"/>
          <w:szCs w:val="18"/>
          <w:color w:val="auto"/>
        </w:rPr>
      </w:pPr>
    </w:p>
    <w:p>
      <w:pPr>
        <w:ind w:right="60" w:firstLine="436"/>
        <w:spacing w:after="0" w:line="261" w:lineRule="auto"/>
        <w:tabs>
          <w:tab w:leader="none" w:pos="71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 and Acceptance</w:t>
      </w:r>
      <w:r>
        <w:rPr>
          <w:rFonts w:ascii="Times New Roman" w:cs="Times New Roman" w:eastAsia="Times New Roman" w:hAnsi="Times New Roman"/>
          <w:sz w:val="18"/>
          <w:szCs w:val="18"/>
          <w:color w:val="auto"/>
        </w:rPr>
        <w:t>. The Company may, in its sole discretion, decide to deliver any documents related to the Option awarded under the Plan or future options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79" w:lineRule="exact"/>
        <w:rPr>
          <w:rFonts w:ascii="Times New Roman" w:cs="Times New Roman" w:eastAsia="Times New Roman" w:hAnsi="Times New Roman"/>
          <w:sz w:val="18"/>
          <w:szCs w:val="18"/>
          <w:color w:val="auto"/>
        </w:rPr>
      </w:pPr>
    </w:p>
    <w:p>
      <w:pPr>
        <w:ind w:right="260" w:firstLine="436"/>
        <w:spacing w:after="0" w:line="282" w:lineRule="auto"/>
        <w:tabs>
          <w:tab w:leader="none" w:pos="71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Captions provided herein are for convenience only and are not to serve as a basis for interpretation or construction of this Option Agreement.</w:t>
      </w:r>
    </w:p>
    <w:p>
      <w:pPr>
        <w:spacing w:after="0" w:line="161" w:lineRule="exact"/>
        <w:rPr>
          <w:rFonts w:ascii="Times New Roman" w:cs="Times New Roman" w:eastAsia="Times New Roman" w:hAnsi="Times New Roman"/>
          <w:sz w:val="18"/>
          <w:szCs w:val="18"/>
          <w:color w:val="auto"/>
        </w:rPr>
      </w:pPr>
    </w:p>
    <w:p>
      <w:pPr>
        <w:ind w:right="160" w:firstLine="436"/>
        <w:spacing w:after="0" w:line="266" w:lineRule="auto"/>
        <w:tabs>
          <w:tab w:leader="none" w:pos="71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Agreement Severable</w:t>
      </w:r>
      <w:r>
        <w:rPr>
          <w:rFonts w:ascii="Times New Roman" w:cs="Times New Roman" w:eastAsia="Times New Roman" w:hAnsi="Times New Roman"/>
          <w:sz w:val="18"/>
          <w:szCs w:val="18"/>
          <w:color w:val="auto"/>
        </w:rPr>
        <w:t>. In the event that any provision in this Option Agreement will be held invalid or unenforceable, such provision will be severable from, and such invalidity or unenforceability will not be construed to have any effect on, the remaining provisions of this Option Agreement.</w:t>
      </w:r>
    </w:p>
    <w:p>
      <w:pPr>
        <w:spacing w:after="0" w:line="175" w:lineRule="exact"/>
        <w:rPr>
          <w:rFonts w:ascii="Times New Roman" w:cs="Times New Roman" w:eastAsia="Times New Roman" w:hAnsi="Times New Roman"/>
          <w:sz w:val="18"/>
          <w:szCs w:val="18"/>
          <w:color w:val="auto"/>
        </w:rPr>
      </w:pPr>
    </w:p>
    <w:p>
      <w:pPr>
        <w:jc w:val="both"/>
        <w:ind w:right="200" w:firstLine="436"/>
        <w:spacing w:after="0" w:line="266" w:lineRule="auto"/>
        <w:tabs>
          <w:tab w:leader="none" w:pos="71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Suspension or Termination of the Plan</w:t>
      </w:r>
      <w:r>
        <w:rPr>
          <w:rFonts w:ascii="Times New Roman" w:cs="Times New Roman" w:eastAsia="Times New Roman" w:hAnsi="Times New Roman"/>
          <w:sz w:val="18"/>
          <w:szCs w:val="18"/>
          <w:color w:val="auto"/>
        </w:rPr>
        <w:t>. By accepting this Option, Participant expressly warrants that he or she has received an Option under the Plan, and has received, read and understood a description of the Plan. Participant understands that the Plan is discretionary in nature and may be amended, suspended or terminated by the Administrator at any time.</w:t>
      </w:r>
    </w:p>
    <w:p>
      <w:pPr>
        <w:spacing w:after="0" w:line="175" w:lineRule="exact"/>
        <w:rPr>
          <w:rFonts w:ascii="Times New Roman" w:cs="Times New Roman" w:eastAsia="Times New Roman" w:hAnsi="Times New Roman"/>
          <w:sz w:val="18"/>
          <w:szCs w:val="18"/>
          <w:color w:val="auto"/>
        </w:rPr>
      </w:pPr>
    </w:p>
    <w:p>
      <w:pPr>
        <w:ind w:right="40" w:firstLine="436"/>
        <w:spacing w:after="0" w:line="256" w:lineRule="auto"/>
        <w:tabs>
          <w:tab w:leader="none" w:pos="71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Country Addendum</w:t>
      </w:r>
      <w:r>
        <w:rPr>
          <w:rFonts w:ascii="Times New Roman" w:cs="Times New Roman" w:eastAsia="Times New Roman" w:hAnsi="Times New Roman"/>
          <w:sz w:val="18"/>
          <w:szCs w:val="18"/>
          <w:color w:val="auto"/>
        </w:rPr>
        <w:t>. Notwithstanding any provisions in this Option Agreement, this Option shall be subject to any special terms and conditions set forth in an appendix (if any) to this Option Agreement for any country whose laws are applicable to Participant and this Option (as determined by the Administrator in its sole discretion) (the “</w:t>
      </w:r>
      <w:r>
        <w:rPr>
          <w:rFonts w:ascii="Times New Roman" w:cs="Times New Roman" w:eastAsia="Times New Roman" w:hAnsi="Times New Roman"/>
          <w:sz w:val="18"/>
          <w:szCs w:val="18"/>
          <w:u w:val="single" w:color="auto"/>
          <w:color w:val="auto"/>
        </w:rPr>
        <w:t>Country Addendum</w:t>
      </w:r>
      <w:r>
        <w:rPr>
          <w:rFonts w:ascii="Times New Roman" w:cs="Times New Roman" w:eastAsia="Times New Roman" w:hAnsi="Times New Roman"/>
          <w:sz w:val="18"/>
          <w:szCs w:val="18"/>
          <w:color w:val="auto"/>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(if any) constitutes a part of this Option Agreement.</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440" w:top="270" w:right="499" w:bottom="1440" w:gutter="0" w:footer="0" w:header="0"/>
        </w:sectPr>
      </w:pPr>
    </w:p>
    <w:bookmarkStart w:id="34" w:name="page35"/>
    <w:bookmarkEnd w:id="34"/>
    <w:p>
      <w:pPr>
        <w:ind w:left="-20" w:right="140" w:firstLine="436"/>
        <w:spacing w:after="0" w:line="256" w:lineRule="auto"/>
        <w:tabs>
          <w:tab w:leader="none" w:pos="69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Modifications to the Option Agreement</w:t>
      </w:r>
      <w:r>
        <w:rPr>
          <w:rFonts w:ascii="Times New Roman" w:cs="Times New Roman" w:eastAsia="Times New Roman" w:hAnsi="Times New Roman"/>
          <w:sz w:val="18"/>
          <w:szCs w:val="18"/>
          <w:color w:val="auto"/>
        </w:rPr>
        <w:t>. This Option Agreement constitutes the entire understanding of the parties on the subjects covered. Participant expressly warrants that he or she is not accepting this Option Agreement in reliance on any promises, representations, or inducements other than those contained herein. Modifications to this Option Agreement or the Plan can be made only in an express written contract executed by a duly authorized officer of the Company. Notwithstanding anything to the contrary in the Plan or this Option Agreement, the Company reserves the right to revise this Option Agreement as it deems necessary or advisable, in its sole discretion and without the consent of Participant, to comply with Section 409A or to otherwise avoid imposition of any additional tax or income recognition under Section 409A in connection with the Option.</w:t>
      </w:r>
    </w:p>
    <w:p>
      <w:pPr>
        <w:spacing w:after="0" w:line="187" w:lineRule="exact"/>
        <w:rPr>
          <w:rFonts w:ascii="Times New Roman" w:cs="Times New Roman" w:eastAsia="Times New Roman" w:hAnsi="Times New Roman"/>
          <w:sz w:val="18"/>
          <w:szCs w:val="18"/>
          <w:color w:val="auto"/>
        </w:rPr>
      </w:pPr>
    </w:p>
    <w:p>
      <w:pPr>
        <w:ind w:left="-20" w:firstLine="436"/>
        <w:spacing w:after="0" w:line="261" w:lineRule="auto"/>
        <w:tabs>
          <w:tab w:leader="none" w:pos="69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Either party’s failure to enforce any provision or provisions of this Option Agreement shall not in any way be construed as a waiver of any such provision or provisions, nor prevent that party from thereafter enforcing each and every other provision of this Option Agreement. The rights granted both parties herein are cumulative and shall not constitute a waiver of either party’s right to assert all other legal remedies available to it under the circumstances.</w:t>
      </w:r>
    </w:p>
    <w:p>
      <w:pPr>
        <w:spacing w:after="0" w:line="179" w:lineRule="exact"/>
        <w:rPr>
          <w:rFonts w:ascii="Times New Roman" w:cs="Times New Roman" w:eastAsia="Times New Roman" w:hAnsi="Times New Roman"/>
          <w:sz w:val="18"/>
          <w:szCs w:val="18"/>
          <w:color w:val="auto"/>
        </w:rPr>
      </w:pPr>
    </w:p>
    <w:p>
      <w:pPr>
        <w:ind w:left="-20" w:right="60" w:firstLine="436"/>
        <w:spacing w:after="0" w:line="258" w:lineRule="auto"/>
        <w:tabs>
          <w:tab w:leader="none" w:pos="69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Consequences</w:t>
      </w:r>
      <w:r>
        <w:rPr>
          <w:rFonts w:ascii="Times New Roman" w:cs="Times New Roman" w:eastAsia="Times New Roman" w:hAnsi="Times New Roman"/>
          <w:sz w:val="18"/>
          <w:szCs w:val="18"/>
          <w:color w:val="auto"/>
        </w:rPr>
        <w:t>. Participant has reviewed with his or her own tax advisers the U.S. federal, state, local and non-U.S. tax consequences of this investment and the transactions contemplated by this Option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Option Agreement.</w:t>
      </w:r>
    </w:p>
    <w:p>
      <w:pPr>
        <w:spacing w:after="0" w:line="183" w:lineRule="exact"/>
        <w:rPr>
          <w:sz w:val="20"/>
          <w:szCs w:val="20"/>
          <w:color w:val="auto"/>
        </w:rPr>
      </w:pPr>
    </w:p>
    <w:p>
      <w:pPr>
        <w:jc w:val="center"/>
        <w:ind w:right="20"/>
        <w:spacing w:after="0"/>
        <w:tabs>
          <w:tab w:leader="none" w:pos="160" w:val="left"/>
          <w:tab w:leader="none" w:pos="160" w:val="left"/>
        </w:tabs>
        <w:rPr>
          <w:sz w:val="20"/>
          <w:szCs w:val="20"/>
          <w:color w:val="auto"/>
        </w:rPr>
      </w:pPr>
      <w:r>
        <w:rPr>
          <w:rFonts w:ascii="Times New Roman" w:cs="Times New Roman" w:eastAsia="Times New Roman" w:hAnsi="Times New Roman"/>
          <w:sz w:val="18"/>
          <w:szCs w:val="18"/>
          <w:color w:val="auto"/>
        </w:rPr>
        <w:t xml:space="preserve">*    </w:t>
        <w:tab/>
        <w:t xml:space="preserve">*    </w:t>
      </w:r>
      <w:r>
        <w:rPr>
          <w:sz w:val="20"/>
          <w:szCs w:val="20"/>
          <w:color w:val="auto"/>
        </w:rPr>
        <w:tab/>
      </w:r>
      <w:r>
        <w:rPr>
          <w:rFonts w:ascii="Times New Roman" w:cs="Times New Roman" w:eastAsia="Times New Roman" w:hAnsi="Times New Roman"/>
          <w:sz w:val="16"/>
          <w:szCs w:val="16"/>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60" w:top="270" w:right="459" w:bottom="1440" w:gutter="0" w:footer="0" w:header="0"/>
        </w:sectPr>
      </w:pPr>
    </w:p>
    <w:bookmarkStart w:id="35" w:name="page36"/>
    <w:bookmarkEnd w:id="35"/>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ALX ONCOLOGY HOLDINGS INC.</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2025 INDUCEMENT EQUITY INCENTIVE PLAN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80" w:type="dxa"/>
            <w:vAlign w:val="bottom"/>
            <w:gridSpan w:val="11"/>
          </w:tcPr>
          <w:p>
            <w:pPr>
              <w:jc w:val="center"/>
              <w:ind w:right="3520"/>
              <w:spacing w:after="0"/>
              <w:rPr>
                <w:sz w:val="20"/>
                <w:szCs w:val="20"/>
                <w:color w:val="auto"/>
              </w:rPr>
            </w:pPr>
            <w:r>
              <w:rPr>
                <w:rFonts w:ascii="Times New Roman" w:cs="Times New Roman" w:eastAsia="Times New Roman" w:hAnsi="Times New Roman"/>
                <w:sz w:val="18"/>
                <w:szCs w:val="18"/>
                <w:b w:val="1"/>
                <w:bCs w:val="1"/>
                <w:color w:val="auto"/>
                <w:w w:val="99"/>
              </w:rPr>
              <w:t>STOCK OPTION AGREEMENT</w:t>
            </w:r>
          </w:p>
        </w:tc>
      </w:tr>
      <w:tr>
        <w:trPr>
          <w:trHeight w:val="391"/>
        </w:trPr>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140" w:type="dxa"/>
            <w:vAlign w:val="bottom"/>
            <w:gridSpan w:val="10"/>
          </w:tcPr>
          <w:p>
            <w:pPr>
              <w:jc w:val="center"/>
              <w:ind w:right="4460"/>
              <w:spacing w:after="0"/>
              <w:rPr>
                <w:sz w:val="20"/>
                <w:szCs w:val="20"/>
                <w:color w:val="auto"/>
              </w:rPr>
            </w:pPr>
            <w:r>
              <w:rPr>
                <w:rFonts w:ascii="Times New Roman" w:cs="Times New Roman" w:eastAsia="Times New Roman" w:hAnsi="Times New Roman"/>
                <w:sz w:val="18"/>
                <w:szCs w:val="18"/>
                <w:b w:val="1"/>
                <w:bCs w:val="1"/>
                <w:color w:val="auto"/>
              </w:rPr>
              <w:t>EXERCISE NOTICE</w:t>
            </w:r>
          </w:p>
        </w:tc>
      </w:tr>
      <w:tr>
        <w:trPr>
          <w:trHeight w:val="434"/>
        </w:trPr>
        <w:tc>
          <w:tcPr>
            <w:tcW w:w="3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ALX Oncology Holdings Inc.</w:t>
            </w:r>
          </w:p>
        </w:tc>
        <w:tc>
          <w:tcPr>
            <w:tcW w:w="9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16"/>
        </w:trPr>
        <w:tc>
          <w:tcPr>
            <w:tcW w:w="3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323 Allerton Avenue</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4"/>
        </w:trPr>
        <w:tc>
          <w:tcPr>
            <w:tcW w:w="3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South San Francisco, California 94080</w:t>
            </w: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32"/>
        </w:trPr>
        <w:tc>
          <w:tcPr>
            <w:tcW w:w="3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Attention: Stock Administration</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92"/>
        </w:trPr>
        <w:tc>
          <w:tcPr>
            <w:tcW w:w="3720" w:type="dxa"/>
            <w:vAlign w:val="bottom"/>
            <w:gridSpan w:val="7"/>
          </w:tcPr>
          <w:p>
            <w:pPr>
              <w:ind w:left="440"/>
              <w:spacing w:after="0"/>
              <w:rPr>
                <w:sz w:val="20"/>
                <w:szCs w:val="20"/>
                <w:color w:val="auto"/>
              </w:rPr>
            </w:pPr>
            <w:r>
              <w:rPr>
                <w:rFonts w:ascii="Times New Roman" w:cs="Times New Roman" w:eastAsia="Times New Roman" w:hAnsi="Times New Roman"/>
                <w:sz w:val="18"/>
                <w:szCs w:val="18"/>
                <w:color w:val="auto"/>
                <w:w w:val="96"/>
              </w:rPr>
              <w:t>1. Exercise of Option. Effective as of today,  </w:t>
            </w:r>
          </w:p>
        </w:tc>
        <w:tc>
          <w:tcPr>
            <w:tcW w:w="7080" w:type="dxa"/>
            <w:vAlign w:val="bottom"/>
            <w:gridSpan w:val="11"/>
          </w:tcPr>
          <w:p>
            <w:pPr>
              <w:ind w:left="100"/>
              <w:spacing w:after="0"/>
              <w:rPr>
                <w:sz w:val="20"/>
                <w:szCs w:val="20"/>
                <w:color w:val="auto"/>
              </w:rPr>
            </w:pPr>
            <w:r>
              <w:rPr>
                <w:rFonts w:ascii="Times New Roman" w:cs="Times New Roman" w:eastAsia="Times New Roman" w:hAnsi="Times New Roman"/>
                <w:sz w:val="18"/>
                <w:szCs w:val="18"/>
                <w:color w:val="auto"/>
              </w:rPr>
              <w:t>                  ,             , the undersigned (“Participant”) hereby elects to exercise Participant’s</w:t>
            </w:r>
          </w:p>
        </w:tc>
      </w:tr>
      <w:tr>
        <w:trPr>
          <w:trHeight w:val="20"/>
        </w:trPr>
        <w:tc>
          <w:tcPr>
            <w:tcW w:w="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37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 xml:space="preserve">option (the “Option”) to purchase                    </w:t>
            </w:r>
          </w:p>
        </w:tc>
        <w:tc>
          <w:tcPr>
            <w:tcW w:w="7080" w:type="dxa"/>
            <w:vAlign w:val="bottom"/>
            <w:gridSpan w:val="11"/>
          </w:tcPr>
          <w:p>
            <w:pPr>
              <w:ind w:left="40"/>
              <w:spacing w:after="0" w:line="196" w:lineRule="exact"/>
              <w:rPr>
                <w:sz w:val="20"/>
                <w:szCs w:val="20"/>
                <w:color w:val="auto"/>
              </w:rPr>
            </w:pPr>
            <w:r>
              <w:rPr>
                <w:rFonts w:ascii="Times New Roman" w:cs="Times New Roman" w:eastAsia="Times New Roman" w:hAnsi="Times New Roman"/>
                <w:sz w:val="18"/>
                <w:szCs w:val="18"/>
                <w:color w:val="auto"/>
              </w:rPr>
              <w:t>shares of the Common Stock (the “Shares”) of ALX Oncology Holdings Inc. (the “Company”)</w:t>
            </w:r>
          </w:p>
        </w:tc>
      </w:tr>
      <w:tr>
        <w:trPr>
          <w:trHeight w:val="20"/>
        </w:trPr>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under and pursuant to the 2025 Inducement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xml:space="preserve">”) and the Stock Option Agreement dated     , including the Notice of Stock Option Grant, and the Terms and Conditions of Stock Option Grant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thereto and other exhibits, appendices and addenda attached thereto (the “</w:t>
      </w:r>
      <w:r>
        <w:rPr>
          <w:rFonts w:ascii="Times New Roman" w:cs="Times New Roman" w:eastAsia="Times New Roman" w:hAnsi="Times New Roman"/>
          <w:sz w:val="18"/>
          <w:szCs w:val="18"/>
          <w:u w:val="single" w:color="auto"/>
          <w:color w:val="auto"/>
        </w:rPr>
        <w:t>Option Agreement</w:t>
      </w:r>
      <w:r>
        <w:rPr>
          <w:rFonts w:ascii="Times New Roman" w:cs="Times New Roman" w:eastAsia="Times New Roman" w:hAnsi="Times New Roman"/>
          <w:sz w:val="18"/>
          <w:szCs w:val="18"/>
          <w:color w:val="auto"/>
        </w:rPr>
        <w:t>”). Unless otherwise defined herein, capitalized terms used in this Exercise Notice will be ascribed the same defined meanings as set forth in the Option Agreement (or the Plan or other written agreement as specified in the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5416550</wp:posOffset>
            </wp:positionH>
            <wp:positionV relativeFrom="paragraph">
              <wp:posOffset>-448310</wp:posOffset>
            </wp:positionV>
            <wp:extent cx="2286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160" w:lineRule="exact"/>
        <w:rPr>
          <w:sz w:val="20"/>
          <w:szCs w:val="20"/>
          <w:color w:val="auto"/>
        </w:rPr>
      </w:pPr>
    </w:p>
    <w:p>
      <w:pPr>
        <w:ind w:right="80" w:firstLine="436"/>
        <w:spacing w:after="0" w:line="282" w:lineRule="auto"/>
        <w:tabs>
          <w:tab w:leader="none" w:pos="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Payment</w:t>
      </w:r>
      <w:r>
        <w:rPr>
          <w:rFonts w:ascii="Times New Roman" w:cs="Times New Roman" w:eastAsia="Times New Roman" w:hAnsi="Times New Roman"/>
          <w:sz w:val="18"/>
          <w:szCs w:val="18"/>
          <w:color w:val="auto"/>
        </w:rPr>
        <w:t>. Participant herewith delivers to the Company the full purchase price of the Shares, as set forth in the Option Agreement, and any Withholding Obligations to be paid in connection with the exercise of the Option.</w:t>
      </w:r>
    </w:p>
    <w:p>
      <w:pPr>
        <w:spacing w:after="0" w:line="161" w:lineRule="exact"/>
        <w:rPr>
          <w:rFonts w:ascii="Times New Roman" w:cs="Times New Roman" w:eastAsia="Times New Roman" w:hAnsi="Times New Roman"/>
          <w:sz w:val="18"/>
          <w:szCs w:val="18"/>
          <w:color w:val="auto"/>
        </w:rPr>
      </w:pPr>
    </w:p>
    <w:p>
      <w:pPr>
        <w:ind w:firstLine="436"/>
        <w:spacing w:after="0" w:line="282" w:lineRule="auto"/>
        <w:tabs>
          <w:tab w:leader="none" w:pos="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of Participant</w:t>
      </w:r>
      <w:r>
        <w:rPr>
          <w:rFonts w:ascii="Times New Roman" w:cs="Times New Roman" w:eastAsia="Times New Roman" w:hAnsi="Times New Roman"/>
          <w:sz w:val="18"/>
          <w:szCs w:val="18"/>
          <w:color w:val="auto"/>
        </w:rPr>
        <w:t>. Participant acknowledges that Participant has received, read and understood the Plan and the Option Agreement and agrees to abide by and be bound by their terms and conditions.</w:t>
      </w:r>
    </w:p>
    <w:p>
      <w:pPr>
        <w:spacing w:after="0" w:line="161" w:lineRule="exact"/>
        <w:rPr>
          <w:rFonts w:ascii="Times New Roman" w:cs="Times New Roman" w:eastAsia="Times New Roman" w:hAnsi="Times New Roman"/>
          <w:sz w:val="18"/>
          <w:szCs w:val="18"/>
          <w:color w:val="auto"/>
        </w:rPr>
      </w:pPr>
    </w:p>
    <w:p>
      <w:pPr>
        <w:ind w:right="60" w:firstLine="436"/>
        <w:spacing w:after="0" w:line="258" w:lineRule="auto"/>
        <w:tabs>
          <w:tab w:leader="none" w:pos="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Until the issuance of the Shares (as evidenced by the appropriate entry on the books of the Company or of a duly authorized transfer agent of the Company), no right to vote or receive dividends or any other rights as a stockholder shall exist with respect to the Common Stock subject to the Option, notwithstanding the exercise of the Option. The Shares so acquired shall be issued to Participant as soon as practicable after the Option is exercised in accordance with the Option Agreement. No adjustment shall be made for a dividend or other right for which the record date is prior to the date of issuance except as provided in Section 14 of the Plan.</w:t>
      </w:r>
    </w:p>
    <w:p>
      <w:pPr>
        <w:spacing w:after="0" w:line="183" w:lineRule="exact"/>
        <w:rPr>
          <w:rFonts w:ascii="Times New Roman" w:cs="Times New Roman" w:eastAsia="Times New Roman" w:hAnsi="Times New Roman"/>
          <w:sz w:val="18"/>
          <w:szCs w:val="18"/>
          <w:color w:val="auto"/>
        </w:rPr>
      </w:pPr>
    </w:p>
    <w:p>
      <w:pPr>
        <w:ind w:right="140" w:firstLine="436"/>
        <w:spacing w:after="0" w:line="266" w:lineRule="auto"/>
        <w:tabs>
          <w:tab w:leader="none" w:pos="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Consultation</w:t>
      </w:r>
      <w:r>
        <w:rPr>
          <w:rFonts w:ascii="Times New Roman" w:cs="Times New Roman" w:eastAsia="Times New Roman" w:hAnsi="Times New Roman"/>
          <w:sz w:val="18"/>
          <w:szCs w:val="18"/>
          <w:color w:val="auto"/>
        </w:rPr>
        <w:t>. Participant understands that Participant may suffer adverse tax consequences as a result of Participant’s purchase or disposition of the Shares. Participant represents that Participant has consulted with any tax consultants Participant deems advisable in connection with the purchase or disposition of the Shares and that Participant is not relying on the Company for any tax advice.</w:t>
      </w:r>
    </w:p>
    <w:p>
      <w:pPr>
        <w:sectPr>
          <w:pgSz w:w="11900" w:h="16838" w:orient="portrait"/>
          <w:cols w:equalWidth="0" w:num="1">
            <w:col w:w="10940"/>
          </w:cols>
          <w:pgMar w:left="440" w:top="266" w:right="519" w:bottom="1440" w:gutter="0" w:footer="0" w:header="0"/>
        </w:sectPr>
      </w:pPr>
    </w:p>
    <w:bookmarkStart w:id="36" w:name="page37"/>
    <w:bookmarkEnd w:id="36"/>
    <w:p>
      <w:pPr>
        <w:ind w:right="20" w:firstLine="436"/>
        <w:spacing w:after="0" w:line="266" w:lineRule="auto"/>
        <w:tabs>
          <w:tab w:leader="none" w:pos="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Interpretation</w:t>
      </w:r>
      <w:r>
        <w:rPr>
          <w:rFonts w:ascii="Times New Roman" w:cs="Times New Roman" w:eastAsia="Times New Roman" w:hAnsi="Times New Roman"/>
          <w:sz w:val="18"/>
          <w:szCs w:val="18"/>
          <w:color w:val="auto"/>
        </w:rPr>
        <w:t>. Any dispute regarding the interpretation of this Exercise Notice shall be submitted by Participant or by the Company forthwith to the Administrator, which shall review such dispute at its next regular meeting. The resolution of such a dispute by the Administrator shall be final and binding on all parties to the maximum extent permitted by law.</w:t>
      </w:r>
    </w:p>
    <w:p>
      <w:pPr>
        <w:spacing w:after="0" w:line="175" w:lineRule="exact"/>
        <w:rPr>
          <w:rFonts w:ascii="Times New Roman" w:cs="Times New Roman" w:eastAsia="Times New Roman" w:hAnsi="Times New Roman"/>
          <w:sz w:val="18"/>
          <w:szCs w:val="18"/>
          <w:color w:val="auto"/>
        </w:rPr>
      </w:pPr>
    </w:p>
    <w:p>
      <w:pPr>
        <w:ind w:right="140" w:firstLine="436"/>
        <w:spacing w:after="0" w:line="266" w:lineRule="auto"/>
        <w:tabs>
          <w:tab w:leader="none" w:pos="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Severability</w:t>
      </w:r>
      <w:r>
        <w:rPr>
          <w:rFonts w:ascii="Times New Roman" w:cs="Times New Roman" w:eastAsia="Times New Roman" w:hAnsi="Times New Roman"/>
          <w:sz w:val="18"/>
          <w:szCs w:val="18"/>
          <w:color w:val="auto"/>
        </w:rPr>
        <w:t>. This Exercise Notice is governed by the internal substantive laws, but not the choice of law rules, of the State of Delaware. In the event that any provision hereof becomes or is declared by a court of competent jurisdiction to be illegal, unenforceable or void, this Exercise Notice shall continue in full force and effect.</w:t>
      </w:r>
    </w:p>
    <w:p>
      <w:pPr>
        <w:spacing w:after="0" w:line="175" w:lineRule="exact"/>
        <w:rPr>
          <w:rFonts w:ascii="Times New Roman" w:cs="Times New Roman" w:eastAsia="Times New Roman" w:hAnsi="Times New Roman"/>
          <w:sz w:val="18"/>
          <w:szCs w:val="18"/>
          <w:color w:val="auto"/>
        </w:rPr>
      </w:pPr>
    </w:p>
    <w:p>
      <w:pPr>
        <w:ind w:right="40" w:firstLine="436"/>
        <w:spacing w:after="0" w:line="258" w:lineRule="auto"/>
        <w:tabs>
          <w:tab w:leader="none" w:pos="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Plan and Option Agreement are incorporated herein by reference. The Plan and the Option Agreement (including this Exercise Notice and any exhibits, appendices, and addenda attached to the Notice of Stock Option Grant of the Option Agreement) constitute the entire agreement of the parties with respect to the subject matter hereof and supersede in their entirety all prior undertakings and agreements of the Company and Participant with respect to the subject matter hereof, and may not be modified adversely to Participant’s interest except by means of a writing signed by the Company and Participant.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Submitted by:</w:t>
            </w:r>
          </w:p>
        </w:tc>
        <w:tc>
          <w:tcPr>
            <w:tcW w:w="5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Accepted by:</w:t>
            </w:r>
          </w:p>
        </w:tc>
      </w:t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PARTICIPANT</w:t>
            </w:r>
          </w:p>
        </w:tc>
        <w:tc>
          <w:tcPr>
            <w:tcW w:w="66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ALX ONCOLOGY HOLDINGS INC.</w:t>
            </w:r>
          </w:p>
        </w:tc>
      </w:tr>
      <w:tr>
        <w:trPr>
          <w:trHeight w:val="270"/>
        </w:trPr>
        <w:tc>
          <w:tcPr>
            <w:tcW w:w="5280" w:type="dxa"/>
            <w:vAlign w:val="bottom"/>
            <w:tcBorders>
              <w:bottom w:val="single" w:sz="8" w:color="auto"/>
            </w:tcBorders>
          </w:tcPr>
          <w:p>
            <w:pPr>
              <w:spacing w:after="0"/>
              <w:rPr>
                <w:sz w:val="23"/>
                <w:szCs w:val="23"/>
                <w:color w:val="auto"/>
              </w:rPr>
            </w:pPr>
          </w:p>
        </w:tc>
        <w:tc>
          <w:tcPr>
            <w:tcW w:w="660" w:type="dxa"/>
            <w:vAlign w:val="bottom"/>
          </w:tcPr>
          <w:p>
            <w:pPr>
              <w:spacing w:after="0"/>
              <w:rPr>
                <w:sz w:val="23"/>
                <w:szCs w:val="23"/>
                <w:color w:val="auto"/>
              </w:rPr>
            </w:pPr>
          </w:p>
        </w:tc>
        <w:tc>
          <w:tcPr>
            <w:tcW w:w="5080" w:type="dxa"/>
            <w:vAlign w:val="bottom"/>
            <w:tcBorders>
              <w:bottom w:val="single" w:sz="8" w:color="auto"/>
            </w:tcBorders>
          </w:tcPr>
          <w:p>
            <w:pPr>
              <w:spacing w:after="0"/>
              <w:rPr>
                <w:sz w:val="23"/>
                <w:szCs w:val="23"/>
                <w:color w:val="auto"/>
              </w:rPr>
            </w:pPr>
          </w:p>
        </w:tc>
      </w:tr>
      <w:tr>
        <w:trPr>
          <w:trHeight w:val="25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66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r>
      <w:tr>
        <w:trPr>
          <w:trHeight w:val="283"/>
        </w:trPr>
        <w:tc>
          <w:tcPr>
            <w:tcW w:w="528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5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Print Name</w:t>
            </w:r>
          </w:p>
        </w:tc>
        <w:tc>
          <w:tcPr>
            <w:tcW w:w="66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Print Name</w:t>
            </w:r>
          </w:p>
        </w:tc>
      </w:tr>
      <w:tr>
        <w:trPr>
          <w:trHeight w:val="283"/>
        </w:trPr>
        <w:tc>
          <w:tcPr>
            <w:tcW w:w="5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50"/>
        </w:trPr>
        <w:tc>
          <w:tcPr>
            <w:tcW w:w="5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r>
      <w:tr>
        <w:trPr>
          <w:trHeight w:val="48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66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r>
      <w:tr>
        <w:trPr>
          <w:trHeight w:val="432"/>
        </w:trPr>
        <w:tc>
          <w:tcPr>
            <w:tcW w:w="528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439"/>
        </w:trPr>
        <w:tc>
          <w:tcPr>
            <w:tcW w:w="528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277"/>
        </w:trPr>
        <w:tc>
          <w:tcPr>
            <w:tcW w:w="5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pacing w:after="0" w:line="2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Date Received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ALX ONCOLOGY HOLDINGS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2025 INDUCEMENT EQUITY INCENTIVE PLAN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RESTRICTED STOCK UNIT AGREEMENT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NOTICE OF RESTRICTED STOCK UNIT GRANT</w:t>
      </w:r>
    </w:p>
    <w:p>
      <w:pPr>
        <w:spacing w:after="0" w:line="22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Unless otherwise defined herein, the terms defined in the ALX Oncology Holdings Inc. 2025 Inducement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will have the same defined meanings in this Restricted Stock Unit Agreement which includes the Notice of Restricted Stock Unit Grant (the “</w:t>
      </w:r>
      <w:r>
        <w:rPr>
          <w:rFonts w:ascii="Times New Roman" w:cs="Times New Roman" w:eastAsia="Times New Roman" w:hAnsi="Times New Roman"/>
          <w:sz w:val="18"/>
          <w:szCs w:val="18"/>
          <w:u w:val="single" w:color="auto"/>
          <w:color w:val="auto"/>
        </w:rPr>
        <w:t>Notice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xml:space="preserve">”), the Terms and Conditions of Restricted Stock Unit Grant,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and all other exhibits, appendices, and addenda attached hereto (the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Participant Name: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Address:</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The undersigned Participant has been granted an Award of Restricted Stock Units, subject to the terms and conditions of the Plan and this Award Agreement, as follows:</w:t>
      </w:r>
    </w:p>
    <w:p>
      <w:pPr>
        <w:spacing w:after="0" w:line="1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Grant Number:</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Date of Grant:</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Vesting Commencement Date:</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Total Number of</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Restricted Stock Units: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Vesting Schedule:</w:t>
      </w:r>
    </w:p>
    <w:p>
      <w:pPr>
        <w:spacing w:after="0" w:line="225"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Subject to any acceleration provisions contained in the Plan, this Award Agreement or any other written agreement authorized by the Administrator between Participant and the Company (or any Parent or Subsidiary of the Company, as applicable) governing the terms of this Award, the Restricted Stock Units will be scheduled to vest according to the following vesting schedule: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[INSERT VESTING SCHEDULE]</w:t>
      </w:r>
    </w:p>
    <w:p>
      <w:pPr>
        <w:spacing w:after="0" w:line="22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By Participant’s signature and the signature of the representative of the Company below, Participant and the Company agree that this Award of Restricted Stock Units is granted under and governed by the terms and conditions of the Plan and this Award Agreement, including the Terms and Conditions of Restricted Stock Unit Grant,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and all other exhibits, appendices and addenda attached hereto, all of which are made a part of this document. Participant</w:t>
      </w:r>
    </w:p>
    <w:p>
      <w:pPr>
        <w:sectPr>
          <w:pgSz w:w="11900" w:h="16838" w:orient="portrait"/>
          <w:cols w:equalWidth="0" w:num="1">
            <w:col w:w="11000"/>
          </w:cols>
          <w:pgMar w:left="440" w:top="266" w:right="459" w:bottom="1440" w:gutter="0" w:footer="0" w:header="0"/>
        </w:sectPr>
      </w:pPr>
    </w:p>
    <w:bookmarkStart w:id="38" w:name="page39"/>
    <w:bookmarkEnd w:id="38"/>
    <w:p>
      <w:pPr>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acknowledges receipt of a copy of the Plan. Participant has reviewed the Plan and this Award Agreement in their entirety, has had an opportunity to obtain the advice of counsel prior to executing this Award Agreement and fully understands all provisions of the Plan and this Award Agreement. Participant hereby agrees to accept as binding, conclusive and final all decisions or interpretations of the Administrator upon any questions relating to the Plan or this Award Agreement. Participant further agrees to notify the Company upon any change in Participant’s residence address indicated above.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Participant</w:t>
            </w:r>
          </w:p>
        </w:tc>
        <w:tc>
          <w:tcPr>
            <w:tcW w:w="3440" w:type="dxa"/>
            <w:vAlign w:val="bottom"/>
            <w:gridSpan w:val="13"/>
          </w:tcPr>
          <w:p>
            <w:pPr>
              <w:jc w:val="center"/>
              <w:spacing w:after="0"/>
              <w:rPr>
                <w:sz w:val="20"/>
                <w:szCs w:val="20"/>
                <w:color w:val="auto"/>
              </w:rPr>
            </w:pPr>
            <w:r>
              <w:rPr>
                <w:rFonts w:ascii="Times New Roman" w:cs="Times New Roman" w:eastAsia="Times New Roman" w:hAnsi="Times New Roman"/>
                <w:sz w:val="18"/>
                <w:szCs w:val="18"/>
                <w:b w:val="1"/>
                <w:bCs w:val="1"/>
                <w:color w:val="auto"/>
              </w:rPr>
              <w:t>    ALX ONCOLOGY HOLDINGS INC.</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24"/>
        </w:trPr>
        <w:tc>
          <w:tcPr>
            <w:tcW w:w="5400" w:type="dxa"/>
            <w:vAlign w:val="bottom"/>
          </w:tcPr>
          <w:p>
            <w:pPr>
              <w:spacing w:after="0"/>
              <w:rPr>
                <w:sz w:val="24"/>
                <w:szCs w:val="24"/>
                <w:color w:val="auto"/>
              </w:rPr>
            </w:pPr>
          </w:p>
        </w:tc>
        <w:tc>
          <w:tcPr>
            <w:tcW w:w="14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By:</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48"/>
        </w:trPr>
        <w:tc>
          <w:tcPr>
            <w:tcW w:w="5400" w:type="dxa"/>
            <w:vAlign w:val="bottom"/>
            <w:tcBorders>
              <w:bottom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91"/>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Print Name</w:t>
            </w:r>
          </w:p>
        </w:tc>
        <w:tc>
          <w:tcPr>
            <w:tcW w:w="14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w w:val="94"/>
              </w:rPr>
              <w:t>Print Name: 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28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40" w:type="dxa"/>
            <w:vAlign w:val="bottom"/>
          </w:tcPr>
          <w:p>
            <w:pPr>
              <w:spacing w:after="0"/>
              <w:rPr>
                <w:sz w:val="24"/>
                <w:szCs w:val="24"/>
                <w:color w:val="auto"/>
              </w:rPr>
            </w:pPr>
          </w:p>
        </w:tc>
      </w:tr>
      <w:tr>
        <w:trPr>
          <w:trHeight w:val="20"/>
        </w:trPr>
        <w:tc>
          <w:tcPr>
            <w:tcW w:w="5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5400" w:type="dxa"/>
            <w:vAlign w:val="bottom"/>
          </w:tcPr>
          <w:p>
            <w:pPr>
              <w:spacing w:after="0"/>
              <w:rPr>
                <w:sz w:val="24"/>
                <w:szCs w:val="24"/>
                <w:color w:val="auto"/>
              </w:rPr>
            </w:pPr>
          </w:p>
        </w:tc>
        <w:tc>
          <w:tcPr>
            <w:tcW w:w="14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 xml:space="preserve">Title: 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jc w:val="center"/>
              <w:ind w:right="4"/>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40" w:type="dxa"/>
            <w:vAlign w:val="bottom"/>
          </w:tcPr>
          <w:p>
            <w:pPr>
              <w:spacing w:after="0"/>
              <w:rPr>
                <w:sz w:val="24"/>
                <w:szCs w:val="24"/>
                <w:color w:val="auto"/>
              </w:rPr>
            </w:pPr>
          </w:p>
        </w:tc>
      </w:tr>
      <w:tr>
        <w:trPr>
          <w:trHeight w:val="385"/>
        </w:trPr>
        <w:tc>
          <w:tcPr>
            <w:tcW w:w="5400" w:type="dxa"/>
            <w:vAlign w:val="bottom"/>
          </w:tcPr>
          <w:p>
            <w:pPr>
              <w:spacing w:after="0"/>
              <w:rPr>
                <w:sz w:val="24"/>
                <w:szCs w:val="24"/>
                <w:color w:val="auto"/>
              </w:rPr>
            </w:pPr>
          </w:p>
        </w:tc>
        <w:tc>
          <w:tcPr>
            <w:tcW w:w="8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5"/>
              </w:rPr>
              <w:t>-2-</w:t>
            </w:r>
          </w:p>
        </w:tc>
        <w:tc>
          <w:tcPr>
            <w:tcW w:w="5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r>
    </w:tbl>
    <w:p>
      <w:pPr>
        <w:sectPr>
          <w:pgSz w:w="11900" w:h="16838" w:orient="portrait"/>
          <w:cols w:equalWidth="0" w:num="1">
            <w:col w:w="10940"/>
          </w:cols>
          <w:pgMar w:left="440" w:top="270" w:right="51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ALX ONCOLOGY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INDUCEMENT EQUITY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TERMS AND CONDITIONS OF RESTRICTED STOCK UNIT GRANT</w:t>
      </w:r>
    </w:p>
    <w:p>
      <w:pPr>
        <w:spacing w:after="0" w:line="229" w:lineRule="exact"/>
        <w:rPr>
          <w:sz w:val="20"/>
          <w:szCs w:val="20"/>
          <w:color w:val="auto"/>
        </w:rPr>
      </w:pPr>
    </w:p>
    <w:p>
      <w:pPr>
        <w:ind w:left="-20" w:right="160" w:firstLine="436"/>
        <w:spacing w:after="0" w:line="261" w:lineRule="auto"/>
        <w:tabs>
          <w:tab w:leader="none" w:pos="6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Restricted Stock Units</w:t>
      </w:r>
      <w:r>
        <w:rPr>
          <w:rFonts w:ascii="Times New Roman" w:cs="Times New Roman" w:eastAsia="Times New Roman" w:hAnsi="Times New Roman"/>
          <w:sz w:val="18"/>
          <w:szCs w:val="18"/>
          <w:color w:val="auto"/>
        </w:rPr>
        <w:t>. The Company hereby grants to the individual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named in the Notice of Restricted Stock Unit Grant of this Award Agreement (the “</w:t>
      </w:r>
      <w:r>
        <w:rPr>
          <w:rFonts w:ascii="Times New Roman" w:cs="Times New Roman" w:eastAsia="Times New Roman" w:hAnsi="Times New Roman"/>
          <w:sz w:val="18"/>
          <w:szCs w:val="18"/>
          <w:u w:val="single" w:color="auto"/>
          <w:color w:val="auto"/>
        </w:rPr>
        <w:t>Notice of Grant</w:t>
      </w:r>
      <w:r>
        <w:rPr>
          <w:rFonts w:ascii="Times New Roman" w:cs="Times New Roman" w:eastAsia="Times New Roman" w:hAnsi="Times New Roman"/>
          <w:sz w:val="18"/>
          <w:szCs w:val="18"/>
          <w:color w:val="auto"/>
        </w:rPr>
        <w:t>”) under the Plan an Award of Restricted Stock Units, and subject to the terms and conditions of this Award Agreement and the Plan, which is incorporated herein by reference. Subject to Section 19 of the Plan, in the event of a conflict between the terms and conditions of the Plan and this Award Agreement, the terms and conditions of the Plan shall prevail.</w:t>
      </w:r>
    </w:p>
    <w:p>
      <w:pPr>
        <w:spacing w:after="0" w:line="71" w:lineRule="exact"/>
        <w:rPr>
          <w:rFonts w:ascii="Times New Roman" w:cs="Times New Roman" w:eastAsia="Times New Roman" w:hAnsi="Times New Roman"/>
          <w:sz w:val="18"/>
          <w:szCs w:val="18"/>
          <w:color w:val="auto"/>
        </w:rPr>
      </w:pPr>
    </w:p>
    <w:p>
      <w:pPr>
        <w:ind w:left="-20" w:right="120" w:firstLine="436"/>
        <w:spacing w:after="0" w:line="261" w:lineRule="auto"/>
        <w:tabs>
          <w:tab w:leader="none" w:pos="6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Obligation to Pay</w:t>
      </w:r>
      <w:r>
        <w:rPr>
          <w:rFonts w:ascii="Times New Roman" w:cs="Times New Roman" w:eastAsia="Times New Roman" w:hAnsi="Times New Roman"/>
          <w:sz w:val="18"/>
          <w:szCs w:val="18"/>
          <w:color w:val="auto"/>
        </w:rPr>
        <w:t>. Each Restricted Stock Unit represents the right to receive a Share on the date it vests. Unless and until the Restricted Stock Units will have vested in the manner set forth in Section 3 or 4,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w:t>
      </w:r>
    </w:p>
    <w:p>
      <w:pPr>
        <w:spacing w:after="0" w:line="71" w:lineRule="exact"/>
        <w:rPr>
          <w:rFonts w:ascii="Times New Roman" w:cs="Times New Roman" w:eastAsia="Times New Roman" w:hAnsi="Times New Roman"/>
          <w:sz w:val="18"/>
          <w:szCs w:val="18"/>
          <w:color w:val="auto"/>
        </w:rPr>
      </w:pPr>
    </w:p>
    <w:p>
      <w:pPr>
        <w:ind w:left="-20" w:right="80" w:firstLine="436"/>
        <w:spacing w:after="0" w:line="256" w:lineRule="auto"/>
        <w:tabs>
          <w:tab w:leader="none" w:pos="6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 Except as provided in Section 4, and subject to Section 5, the Restricted Stock Units awarded by this Award Agreement will vest in accordance with the vesting provisions set forth in the Notice of Grant. Unless specifically provided otherwise in this Award Agreement or other written agreement authorized by the Administrator between Participant and the Company or any Parent or Subsidiary of the Company, as applicable, governing the terms of this Award, Restricted Stock Units scheduled to vest on a certain date or upon the occurrence of a certain condition will not vest in accordance with any of the provisions of this Award Agreement, unless Participant will have been continuously a Service Provider from the Date of Grant until the date such vesting occurs.</w:t>
      </w:r>
    </w:p>
    <w:p>
      <w:pPr>
        <w:spacing w:after="0" w:line="79" w:lineRule="exact"/>
        <w:rPr>
          <w:rFonts w:ascii="Times New Roman" w:cs="Times New Roman" w:eastAsia="Times New Roman" w:hAnsi="Times New Roman"/>
          <w:sz w:val="18"/>
          <w:szCs w:val="18"/>
          <w:color w:val="auto"/>
        </w:rPr>
      </w:pPr>
    </w:p>
    <w:p>
      <w:pPr>
        <w:ind w:left="600" w:hanging="184"/>
        <w:spacing w:after="0"/>
        <w:tabs>
          <w:tab w:leader="none" w:pos="6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after Vesting</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20" w:right="80" w:firstLine="987"/>
        <w:spacing w:after="0" w:line="258" w:lineRule="auto"/>
        <w:tabs>
          <w:tab w:leader="none" w:pos="121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Rule</w:t>
      </w:r>
      <w:r>
        <w:rPr>
          <w:rFonts w:ascii="Times New Roman" w:cs="Times New Roman" w:eastAsia="Times New Roman" w:hAnsi="Times New Roman"/>
          <w:sz w:val="18"/>
          <w:szCs w:val="18"/>
          <w:color w:val="auto"/>
        </w:rPr>
        <w:t>. Subject to Section 7, any Restricted Stock Units that vest will be paid to Participant (or in the event of Participant’s death, to his or her properly designated beneficiary or estate) in whole Shares. Subject to the provisions of Section 4(c), such vested Restricted Stock Units shall be paid in whole Shares as soon as practicable after vesting, but in each such case within sixty (60) days following the vesting date. In no event will Participant be permitted, directly or indirectly, to specify the taxable year of payment of any Restricted Stock Units payable under this Award Agreement.</w:t>
      </w:r>
    </w:p>
    <w:p>
      <w:pPr>
        <w:spacing w:after="0" w:line="75" w:lineRule="exact"/>
        <w:rPr>
          <w:rFonts w:ascii="Times New Roman" w:cs="Times New Roman" w:eastAsia="Times New Roman" w:hAnsi="Times New Roman"/>
          <w:sz w:val="18"/>
          <w:szCs w:val="18"/>
          <w:color w:val="auto"/>
        </w:rPr>
      </w:pPr>
    </w:p>
    <w:p>
      <w:pPr>
        <w:ind w:left="-20" w:firstLine="987"/>
        <w:spacing w:after="0" w:line="266" w:lineRule="auto"/>
        <w:tabs>
          <w:tab w:leader="none" w:pos="122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Discretionary Acceleration</w:t>
      </w:r>
      <w:r>
        <w:rPr>
          <w:rFonts w:ascii="Times New Roman" w:cs="Times New Roman" w:eastAsia="Times New Roman" w:hAnsi="Times New Roman"/>
          <w:sz w:val="18"/>
          <w:szCs w:val="18"/>
          <w:color w:val="auto"/>
        </w:rPr>
        <w:t>. The Administrator,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Administrator.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60" w:top="266" w:right="459" w:bottom="1440" w:gutter="0" w:footer="0" w:header="0"/>
        </w:sectPr>
      </w:pPr>
    </w:p>
    <w:bookmarkStart w:id="40" w:name="page41"/>
    <w:bookmarkEnd w:id="40"/>
    <w:p>
      <w:pPr>
        <w:ind w:left="1244" w:hanging="253"/>
        <w:spacing w:after="0"/>
        <w:tabs>
          <w:tab w:leader="none" w:pos="1244"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409A</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240" w:firstLine="1428"/>
        <w:spacing w:after="0" w:line="289" w:lineRule="auto"/>
        <w:tabs>
          <w:tab w:leader="none" w:pos="1651" w:val="left"/>
        </w:tabs>
        <w:numPr>
          <w:ilvl w:val="3"/>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Participant is a U.S. taxpayer, the payment of Shares vesting pursuant to this Award Agreement (including any discretionary acceleration under Section 4(b)) shall in all cases be paid at a time or in a manner that is exempt from, or complies with, Section 409A. The prior sentence may be superseded in a future agreement or amendment to this Award Agreement only by direct and specific reference to such sentence.</w:t>
      </w:r>
    </w:p>
    <w:p>
      <w:pPr>
        <w:spacing w:after="0" w:line="49" w:lineRule="exact"/>
        <w:rPr>
          <w:rFonts w:ascii="Times New Roman" w:cs="Times New Roman" w:eastAsia="Times New Roman" w:hAnsi="Times New Roman"/>
          <w:sz w:val="17"/>
          <w:szCs w:val="17"/>
          <w:color w:val="auto"/>
        </w:rPr>
      </w:pPr>
    </w:p>
    <w:p>
      <w:pPr>
        <w:ind w:left="4" w:right="20" w:firstLine="1428"/>
        <w:spacing w:after="0" w:line="257" w:lineRule="auto"/>
        <w:tabs>
          <w:tab w:leader="none" w:pos="1701" w:val="left"/>
        </w:tabs>
        <w:numPr>
          <w:ilvl w:val="3"/>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 Plan or this Award Agreement or any other agreement (whether entered into before, on or after the Date of Grant), if the vesting of the balance, or some lesser portion of the balance, of the Restricted Stock Units is accelerated in connection with the termination of Participant’s status as a Service Provider (provided that such termination is a “separation from service” within the meaning of</w:t>
      </w:r>
    </w:p>
    <w:p>
      <w:pPr>
        <w:spacing w:after="0" w:line="1" w:lineRule="exact"/>
        <w:rPr>
          <w:rFonts w:ascii="Times New Roman" w:cs="Times New Roman" w:eastAsia="Times New Roman" w:hAnsi="Times New Roman"/>
          <w:sz w:val="18"/>
          <w:szCs w:val="18"/>
          <w:color w:val="auto"/>
        </w:rPr>
      </w:pPr>
    </w:p>
    <w:p>
      <w:pPr>
        <w:ind w:left="4" w:right="4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Section 409A, as determined by the Administrator), other than due to Participant’s death, and if (x) Participant is a U.S. taxpayer and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the cessation of Participant’s status as a Service Provider, then the payment of such accelerated Restricted Stock Units will not be made until the date six</w:t>
      </w:r>
    </w:p>
    <w:p>
      <w:pPr>
        <w:ind w:left="4" w:hanging="4"/>
        <w:spacing w:after="0" w:line="255" w:lineRule="auto"/>
        <w:tabs>
          <w:tab w:leader="none" w:pos="25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and one (1) day following the date of cessation of Participant’s status as a Service Provider, unless Participant dies following his or her termination as a Service Provider, in which case, the Restricted Stock Units will be paid in Shares to Participant’s estate as soon as practicable following his or her death.</w:t>
      </w:r>
    </w:p>
    <w:p>
      <w:pPr>
        <w:spacing w:after="0" w:line="77" w:lineRule="exact"/>
        <w:rPr>
          <w:rFonts w:ascii="Times New Roman" w:cs="Times New Roman" w:eastAsia="Times New Roman" w:hAnsi="Times New Roman"/>
          <w:sz w:val="18"/>
          <w:szCs w:val="18"/>
          <w:color w:val="auto"/>
        </w:rPr>
      </w:pPr>
    </w:p>
    <w:p>
      <w:pPr>
        <w:ind w:left="4" w:right="20" w:firstLine="1428"/>
        <w:spacing w:after="0" w:line="253" w:lineRule="auto"/>
        <w:tabs>
          <w:tab w:leader="none" w:pos="1751" w:val="left"/>
        </w:tabs>
        <w:numPr>
          <w:ilvl w:val="3"/>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intent of this Award Agreement that it and all payments and benefits to U.S. taxpayers hereunder be exempt from, or comply with, the requirements of Section 409A so that none of the Restricted Stock Units provided under this Award Agreement or Shares issuable thereunder will be subject to the additional tax imposed under Section 409A, and any ambiguities or ambiguous terms herein will be interpreted to be so exempt or so comply. Each payment payable under this Award Agreement is intended to constitute a separate payment for purposes of Treasury Regulations Section 1.409A-2(b)(2). To the extent necessary to comply with Section 409A, references to termination of Participant’s status as a Service Provider, termination of employment, or similar phrases will be references to Participant’s “separation from service” within the meaning of</w:t>
      </w:r>
    </w:p>
    <w:p>
      <w:pPr>
        <w:spacing w:after="0" w:line="5" w:lineRule="exact"/>
        <w:rPr>
          <w:rFonts w:ascii="Times New Roman" w:cs="Times New Roman" w:eastAsia="Times New Roman" w:hAnsi="Times New Roman"/>
          <w:sz w:val="18"/>
          <w:szCs w:val="18"/>
          <w:color w:val="auto"/>
        </w:rPr>
      </w:pPr>
    </w:p>
    <w:p>
      <w:pPr>
        <w:ind w:left="4" w:right="2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409A. In no event will the Company or any Parent or Subsidiary of the Company have any responsibility, liability, or obligation to reimburse, indemnify, or hold harmless Participant (or any other person) for any taxes, penalties and interest that may be imposed, or other costs that may be incurred, as a result of Section 409A.</w:t>
      </w:r>
    </w:p>
    <w:p>
      <w:pPr>
        <w:spacing w:after="0" w:line="77" w:lineRule="exact"/>
        <w:rPr>
          <w:rFonts w:ascii="Times New Roman" w:cs="Times New Roman" w:eastAsia="Times New Roman" w:hAnsi="Times New Roman"/>
          <w:sz w:val="18"/>
          <w:szCs w:val="18"/>
          <w:color w:val="auto"/>
        </w:rPr>
      </w:pPr>
    </w:p>
    <w:p>
      <w:pPr>
        <w:ind w:left="4" w:right="20" w:firstLine="436"/>
        <w:spacing w:after="0" w:line="261" w:lineRule="auto"/>
        <w:tabs>
          <w:tab w:leader="none" w:pos="62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Upon Termination as a Service Provider</w:t>
      </w:r>
      <w:r>
        <w:rPr>
          <w:rFonts w:ascii="Times New Roman" w:cs="Times New Roman" w:eastAsia="Times New Roman" w:hAnsi="Times New Roman"/>
          <w:sz w:val="18"/>
          <w:szCs w:val="18"/>
          <w:color w:val="auto"/>
        </w:rPr>
        <w:t>. Unless specifically provided otherwise in this Award Agreement or other written agreement authorized by the Administrator between Participant and the Company or any of its Subsidiaries or Parents, as applicable, governing the terms of this Award, if Participant ceases to be a Service Provider for any or no reason, the then-unvested Restricted Stock Units awarded by this Award Agreement will thereupon be forfeited at no cost to the Company and Participant will have no further rights thereunder.</w:t>
      </w:r>
    </w:p>
    <w:p>
      <w:pPr>
        <w:spacing w:after="0" w:line="71" w:lineRule="exact"/>
        <w:rPr>
          <w:rFonts w:ascii="Times New Roman" w:cs="Times New Roman" w:eastAsia="Times New Roman" w:hAnsi="Times New Roman"/>
          <w:sz w:val="18"/>
          <w:szCs w:val="18"/>
          <w:color w:val="auto"/>
        </w:rPr>
      </w:pPr>
    </w:p>
    <w:p>
      <w:pPr>
        <w:ind w:left="4" w:right="20" w:firstLine="436"/>
        <w:spacing w:after="0" w:line="261" w:lineRule="auto"/>
        <w:tabs>
          <w:tab w:leader="none" w:pos="62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of Participant</w:t>
      </w:r>
      <w:r>
        <w:rPr>
          <w:rFonts w:ascii="Times New Roman" w:cs="Times New Roman" w:eastAsia="Times New Roman" w:hAnsi="Times New Roman"/>
          <w:sz w:val="18"/>
          <w:szCs w:val="18"/>
          <w:color w:val="auto"/>
        </w:rPr>
        <w:t>. Any distribution or delivery to be made to Participant under this Award Agreement, if Participant is then deceased, will be made to Participant’s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1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4"/>
          </w:cols>
          <w:pgMar w:left="436" w:top="270" w:right="479" w:bottom="1440" w:gutter="0" w:footer="0" w:header="0"/>
        </w:sectPr>
      </w:pPr>
    </w:p>
    <w:bookmarkStart w:id="41" w:name="page42"/>
    <w:bookmarkEnd w:id="41"/>
    <w:p>
      <w:pPr>
        <w:ind w:left="624" w:hanging="184"/>
        <w:spacing w:after="0"/>
        <w:tabs>
          <w:tab w:leader="none" w:pos="62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Tax Obligations</w:t>
      </w:r>
    </w:p>
    <w:p>
      <w:pPr>
        <w:spacing w:after="0" w:line="117" w:lineRule="exact"/>
        <w:rPr>
          <w:rFonts w:ascii="Times New Roman" w:cs="Times New Roman" w:eastAsia="Times New Roman" w:hAnsi="Times New Roman"/>
          <w:sz w:val="18"/>
          <w:szCs w:val="18"/>
          <w:color w:val="auto"/>
        </w:rPr>
      </w:pPr>
    </w:p>
    <w:p>
      <w:pPr>
        <w:ind w:left="4" w:right="80" w:firstLine="987"/>
        <w:spacing w:after="0" w:line="267" w:lineRule="auto"/>
        <w:tabs>
          <w:tab w:leader="none" w:pos="1240" w:val="left"/>
        </w:tabs>
        <w:numPr>
          <w:ilvl w:val="2"/>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Responsibility for Taxes</w:t>
      </w:r>
      <w:r>
        <w:rPr>
          <w:rFonts w:ascii="Times New Roman" w:cs="Times New Roman" w:eastAsia="Times New Roman" w:hAnsi="Times New Roman"/>
          <w:sz w:val="17"/>
          <w:szCs w:val="17"/>
          <w:color w:val="auto"/>
        </w:rPr>
        <w:t>. Participant acknowledges that, regardless of any action taken by the Company or, if different, Participant’s employer or any Parent or Subsidiary of the Company to which Participant is providing services (together, the “</w:t>
      </w:r>
      <w:r>
        <w:rPr>
          <w:rFonts w:ascii="Times New Roman" w:cs="Times New Roman" w:eastAsia="Times New Roman" w:hAnsi="Times New Roman"/>
          <w:sz w:val="17"/>
          <w:szCs w:val="17"/>
          <w:u w:val="single" w:color="auto"/>
          <w:color w:val="auto"/>
        </w:rPr>
        <w:t>Service Recipients</w:t>
      </w:r>
      <w:r>
        <w:rPr>
          <w:rFonts w:ascii="Times New Roman" w:cs="Times New Roman" w:eastAsia="Times New Roman" w:hAnsi="Times New Roman"/>
          <w:sz w:val="17"/>
          <w:szCs w:val="17"/>
          <w:color w:val="auto"/>
        </w:rPr>
        <w:t>”), the ultimate liability for any tax and/or social insurance liability obligations and requirements in connection with the Restricted Stock Units, including, without limitation, (i) all federal, state, and local taxes (including Participant’s Federal Insurance Contributions Act (FICA) obligations)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settlement of the Restricted Stock Units or sale of Shares, and (iii) any other Service Recipient taxes the responsibility for which Participant has, or has agreed to bear, with respect to the Restricted Stock Units (or settlement thereof or issuance of Shares thereunder) (collectively, the “</w:t>
      </w:r>
      <w:r>
        <w:rPr>
          <w:rFonts w:ascii="Times New Roman" w:cs="Times New Roman" w:eastAsia="Times New Roman" w:hAnsi="Times New Roman"/>
          <w:sz w:val="17"/>
          <w:szCs w:val="17"/>
          <w:u w:val="single" w:color="auto"/>
          <w:color w:val="auto"/>
        </w:rPr>
        <w:t>Tax Obligations</w:t>
      </w:r>
      <w:r>
        <w:rPr>
          <w:rFonts w:ascii="Times New Roman" w:cs="Times New Roman" w:eastAsia="Times New Roman" w:hAnsi="Times New Roman"/>
          <w:sz w:val="17"/>
          <w:szCs w:val="17"/>
          <w:color w:val="auto"/>
        </w:rPr>
        <w:t>”),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Restricted Stock Units, including, but not limited to, the grant, vesting or settlement of the Restricted Stock Units, the subsequent sale of Shares acquired pursuant to such settlement and the receipt of any dividends or other distributions, and</w:t>
      </w:r>
    </w:p>
    <w:p>
      <w:pPr>
        <w:ind w:left="4" w:right="100" w:hanging="4"/>
        <w:spacing w:after="0" w:line="253" w:lineRule="auto"/>
        <w:tabs>
          <w:tab w:leader="none" w:pos="28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any commitment to and is under any obligation to structure the terms of the grant or any aspect of the Restricted Stock Units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applicable Service Recipient(s) (or former employer, as applicable) may be required to withhold or account for Tax Obligations in more than one jurisdiction.</w:t>
      </w:r>
    </w:p>
    <w:p>
      <w:pPr>
        <w:spacing w:after="0" w:line="78" w:lineRule="exact"/>
        <w:rPr>
          <w:rFonts w:ascii="Times New Roman" w:cs="Times New Roman" w:eastAsia="Times New Roman" w:hAnsi="Times New Roman"/>
          <w:sz w:val="18"/>
          <w:szCs w:val="18"/>
          <w:color w:val="auto"/>
        </w:rPr>
      </w:pPr>
    </w:p>
    <w:p>
      <w:pPr>
        <w:ind w:left="4" w:firstLine="987"/>
        <w:spacing w:after="0" w:line="253" w:lineRule="auto"/>
        <w:tabs>
          <w:tab w:leader="none" w:pos="1250"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Pursuant to such procedures as the Administrator may specify from time to time, the applicable Service Recipient(s) will withhold the amount required to be withheld for the payment of Tax Obligations (the “</w:t>
      </w:r>
      <w:r>
        <w:rPr>
          <w:rFonts w:ascii="Times New Roman" w:cs="Times New Roman" w:eastAsia="Times New Roman" w:hAnsi="Times New Roman"/>
          <w:sz w:val="18"/>
          <w:szCs w:val="18"/>
          <w:u w:val="single" w:color="auto"/>
          <w:color w:val="auto"/>
        </w:rPr>
        <w:t>Withholding Obligations</w:t>
      </w:r>
      <w:r>
        <w:rPr>
          <w:rFonts w:ascii="Times New Roman" w:cs="Times New Roman" w:eastAsia="Times New Roman" w:hAnsi="Times New Roman"/>
          <w:sz w:val="18"/>
          <w:szCs w:val="18"/>
          <w:color w:val="auto"/>
        </w:rPr>
        <w:t>”). The Administrator, in its sole discretion and pursuant to such procedures as it may specify from time to time, may permit Participant to satisfy such Withholding Obligations, in whole or in part (without limitation), if permissible by applicable local law, by: (i) paying cash in U.S. dollars, (ii) having the Company withhold otherwise deliverable Shares having a fair market value equal to the minimum amount that is necessary to meet the withholding requirement for such Withholding Obligations (or such greater amount as Participant may elect if permitted by the Administrator, if such greater amount would not result in adverse financial accounting consequences) (“</w:t>
      </w:r>
      <w:r>
        <w:rPr>
          <w:rFonts w:ascii="Times New Roman" w:cs="Times New Roman" w:eastAsia="Times New Roman" w:hAnsi="Times New Roman"/>
          <w:sz w:val="18"/>
          <w:szCs w:val="18"/>
          <w:u w:val="single" w:color="auto"/>
          <w:color w:val="auto"/>
        </w:rPr>
        <w:t>Net Share Withholding</w:t>
      </w:r>
      <w:r>
        <w:rPr>
          <w:rFonts w:ascii="Times New Roman" w:cs="Times New Roman" w:eastAsia="Times New Roman" w:hAnsi="Times New Roman"/>
          <w:sz w:val="18"/>
          <w:szCs w:val="18"/>
          <w:color w:val="auto"/>
        </w:rPr>
        <w:t>”), (iii) withholding the amount of such Withholding Obligations from Participant’s wages or other cash compensation paid to Participant by the applicable Service Recipient(s), (iv) delivering to the Company Shares that Participant owns and that already have vested with a fair market value equal to the Withholding Obligations (or such greater amount as Participant may elect if permitted by the Administrator, if such greater amount would not result in adverse financial accounting consequences), (v) selling a sufficient number of such Shares otherwise deliverable to Participant, through such means as the Company may determine in its sole discretion (whether through a broker or otherwise) equal to the minimum amount</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42" w:name="page43"/>
    <w:bookmarkEnd w:id="4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is necessary to meet the withholding requirement for such Withholding Obligations (or such greater amount as Participant may elect if permitted by the Administrator, if such greater amount would not result in adverse financial accounting consequences) (“</w:t>
      </w:r>
      <w:r>
        <w:rPr>
          <w:rFonts w:ascii="Times New Roman" w:cs="Times New Roman" w:eastAsia="Times New Roman" w:hAnsi="Times New Roman"/>
          <w:sz w:val="18"/>
          <w:szCs w:val="18"/>
          <w:u w:val="single" w:color="auto"/>
          <w:color w:val="auto"/>
        </w:rPr>
        <w:t>Sell to Cover</w:t>
      </w:r>
      <w:r>
        <w:rPr>
          <w:rFonts w:ascii="Times New Roman" w:cs="Times New Roman" w:eastAsia="Times New Roman" w:hAnsi="Times New Roman"/>
          <w:sz w:val="18"/>
          <w:szCs w:val="18"/>
          <w:color w:val="auto"/>
        </w:rPr>
        <w:t>”), or (vi) such other means as the Administrator deems appropriate. If the Withholding Obligations are satisfied by withholding in Shares, for tax purposes, Participant is deemed to have been issued the full number of Shares subject to the vested Restricted Stock Units, notwithstanding that a number of the Shares are held back solely for the purpose of paying the Withholding Obligations. To the extent determined appropriate by the Administrator in its discretion, the Administrator will have the right (but not the obligation) to satisfy any Withholding Obligations by Net Share Withholding. If Net Share Withholding is the method by which such Withholding Obligations are satisfied, the Company will not withhold on a fractional Share basis to satisfy any portion of the Withholding Obligations and, unless the Company determines otherwise, no refund will be made to Participant for the value of the portion of a Share, if any, withheld in excess of the Withholding Obligations. If a Sell to Cover is the method by which Withholding Obligations are satisfied, Participant agrees that as part of the Sell to Cover, additional Shares may be sold to satisfy any associated broker or other fees. Only whole Shares will be sold pursuant to a Sell to Cover. Any proceeds from the sale of Shares pursuant to a Sell to Cover that are in excess of the Withholding Obligations and any associated broker or other fees will be paid to Participant in accordance with procedures the Company may specify from time to time.</w:t>
      </w:r>
    </w:p>
    <w:p>
      <w:pPr>
        <w:spacing w:after="0" w:line="82" w:lineRule="exact"/>
        <w:rPr>
          <w:sz w:val="20"/>
          <w:szCs w:val="20"/>
          <w:color w:val="auto"/>
        </w:rPr>
      </w:pPr>
    </w:p>
    <w:p>
      <w:pPr>
        <w:ind w:right="140" w:firstLine="987"/>
        <w:spacing w:after="0" w:line="258" w:lineRule="auto"/>
        <w:tabs>
          <w:tab w:leader="none" w:pos="123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Consequences</w:t>
      </w:r>
      <w:r>
        <w:rPr>
          <w:rFonts w:ascii="Times New Roman" w:cs="Times New Roman" w:eastAsia="Times New Roman" w:hAnsi="Times New Roman"/>
          <w:sz w:val="18"/>
          <w:szCs w:val="18"/>
          <w:color w:val="auto"/>
        </w:rPr>
        <w:t>. Participant has reviewed with his or her own tax advisers the U.S. federal, state, local and non-U.S. tax consequences of this investment and the transactions contemplated by this Award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Award Agreement.</w:t>
      </w:r>
    </w:p>
    <w:p>
      <w:pPr>
        <w:spacing w:after="0" w:line="75" w:lineRule="exact"/>
        <w:rPr>
          <w:rFonts w:ascii="Times New Roman" w:cs="Times New Roman" w:eastAsia="Times New Roman" w:hAnsi="Times New Roman"/>
          <w:sz w:val="18"/>
          <w:szCs w:val="18"/>
          <w:color w:val="auto"/>
        </w:rPr>
      </w:pPr>
    </w:p>
    <w:p>
      <w:pPr>
        <w:ind w:right="40" w:firstLine="987"/>
        <w:spacing w:after="0" w:line="255" w:lineRule="auto"/>
        <w:tabs>
          <w:tab w:leader="none" w:pos="124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Obligation to Deliver Shares</w:t>
      </w:r>
      <w:r>
        <w:rPr>
          <w:rFonts w:ascii="Times New Roman" w:cs="Times New Roman" w:eastAsia="Times New Roman" w:hAnsi="Times New Roman"/>
          <w:sz w:val="18"/>
          <w:szCs w:val="18"/>
          <w:color w:val="auto"/>
        </w:rPr>
        <w:t>. For clarification purposes, in no event will the Company issue Participant any Shares unless and until arrangements satisfactory to the Administrator have been made for the payment of Participant’s Withholding Obligations. If Participant fails to make satisfactory arrangements for the payment of such Withholding Obligations hereunder at the time any applicable Restricted Stock Units otherwise are scheduled to vest pursuant to Sections 3 or 4 or Participant’s Withholding Obligations otherwise become due, Participant permanently will forfeit such Restricted Stock Units to which Participant’s Withholding Obligation relates and any right to receive Shares thereunder and such Restricted Stock Units will be returned to the Company at no cost to the Company. Participant acknowledges and agrees that the Company may permanently refuse to issue or deliver the Shares if such Withholding Obligations are not delivered at the time they are due.</w:t>
      </w:r>
    </w:p>
    <w:p>
      <w:pPr>
        <w:spacing w:after="0" w:line="80" w:lineRule="exact"/>
        <w:rPr>
          <w:rFonts w:ascii="Times New Roman" w:cs="Times New Roman" w:eastAsia="Times New Roman" w:hAnsi="Times New Roman"/>
          <w:sz w:val="18"/>
          <w:szCs w:val="18"/>
          <w:color w:val="auto"/>
        </w:rPr>
      </w:pPr>
    </w:p>
    <w:p>
      <w:pPr>
        <w:ind w:right="40" w:firstLine="436"/>
        <w:spacing w:after="0" w:line="258" w:lineRule="auto"/>
        <w:tabs>
          <w:tab w:leader="none" w:pos="6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43" w:name="page44"/>
    <w:bookmarkEnd w:id="43"/>
    <w:p>
      <w:pPr>
        <w:ind w:right="80" w:firstLine="436"/>
        <w:spacing w:after="0" w:line="253" w:lineRule="auto"/>
        <w:tabs>
          <w:tab w:leader="none" w:pos="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Guarantee of Continued Service</w:t>
      </w:r>
      <w:r>
        <w:rPr>
          <w:rFonts w:ascii="Times New Roman" w:cs="Times New Roman" w:eastAsia="Times New Roman" w:hAnsi="Times New Roman"/>
          <w:sz w:val="18"/>
          <w:szCs w:val="18"/>
          <w:color w:val="auto"/>
        </w:rPr>
        <w:t>. PARTICIPANT ACKNOWLEDGES AND AGREES THAT THE VESTING OF THE RESTRICTED STOCK UNITS PURSUANT TO THE VESTING SCHEDULE HEREOF IS EARNED ONLY BY CONTINUING AS A SERVICE PROVIDER THROUGH THE APPLICABLE VESTING DATE(S), WHICH UNLESS PROVIDED OTHERWISE UNDER APPLICABLE LAWS IS AT THE WILL OF THE APPLICABLE SERVICE RECIPIENT AND NOT THROUGH THE ACT OF BEING HIRED, BEING GRANTED THIS RESTRICTED STOCK UNIT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spacing w:after="0" w:line="83" w:lineRule="exact"/>
        <w:rPr>
          <w:rFonts w:ascii="Times New Roman" w:cs="Times New Roman" w:eastAsia="Times New Roman" w:hAnsi="Times New Roman"/>
          <w:sz w:val="18"/>
          <w:szCs w:val="18"/>
          <w:color w:val="auto"/>
        </w:rPr>
      </w:pPr>
    </w:p>
    <w:p>
      <w:pPr>
        <w:ind w:right="200" w:firstLine="436"/>
        <w:spacing w:after="0" w:line="258" w:lineRule="auto"/>
        <w:tabs>
          <w:tab w:leader="none" w:pos="71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is Not Transferable</w:t>
      </w:r>
      <w:r>
        <w:rPr>
          <w:rFonts w:ascii="Times New Roman" w:cs="Times New Roman" w:eastAsia="Times New Roman" w:hAnsi="Times New Roman"/>
          <w:sz w:val="18"/>
          <w:szCs w:val="18"/>
          <w:color w:val="auto"/>
        </w:rPr>
        <w:t>. Except to the limited extent provided in Section 6, this Award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Award, or any right or privilege conferred hereby, or upon any attempted sale under any execution, attachment or similar process, this Award and the rights and privileges conferred hereby immediately will become null and void.</w:t>
      </w:r>
    </w:p>
    <w:p>
      <w:pPr>
        <w:spacing w:after="0" w:line="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Grant</w:t>
      </w:r>
      <w:r>
        <w:rPr>
          <w:rFonts w:ascii="Times New Roman" w:cs="Times New Roman" w:eastAsia="Times New Roman" w:hAnsi="Times New Roman"/>
          <w:sz w:val="18"/>
          <w:szCs w:val="18"/>
          <w:color w:val="auto"/>
        </w:rPr>
        <w:t>. In accepting this Award of Restricted Stock Units, Participant acknowledges, understands and agrees that:</w:t>
      </w:r>
    </w:p>
    <w:p>
      <w:pPr>
        <w:spacing w:after="0" w:line="117" w:lineRule="exact"/>
        <w:rPr>
          <w:rFonts w:ascii="Times New Roman" w:cs="Times New Roman" w:eastAsia="Times New Roman" w:hAnsi="Times New Roman"/>
          <w:sz w:val="18"/>
          <w:szCs w:val="18"/>
          <w:color w:val="auto"/>
        </w:rPr>
      </w:pPr>
    </w:p>
    <w:p>
      <w:pPr>
        <w:ind w:right="180" w:firstLine="987"/>
        <w:spacing w:after="0" w:line="282" w:lineRule="auto"/>
        <w:tabs>
          <w:tab w:leader="none" w:pos="123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in the past;</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Restricted Stock Units or other grants, if any, will be at the sole discretion of the Administrator;</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is voluntarily participating in the Plan;</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Units and the Shares subject to the Restricted Stock Units are not intended to replace any pension rights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w:t>
      </w:r>
    </w:p>
    <w:p>
      <w:pPr>
        <w:spacing w:after="0" w:line="98" w:lineRule="exact"/>
        <w:rPr>
          <w:rFonts w:ascii="Times New Roman" w:cs="Times New Roman" w:eastAsia="Times New Roman" w:hAnsi="Times New Roman"/>
          <w:sz w:val="18"/>
          <w:szCs w:val="18"/>
          <w:color w:val="auto"/>
        </w:rPr>
      </w:pPr>
    </w:p>
    <w:p>
      <w:pPr>
        <w:ind w:right="120" w:firstLine="987"/>
        <w:spacing w:after="0" w:line="266" w:lineRule="auto"/>
        <w:tabs>
          <w:tab w:leader="none" w:pos="123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Units and the Shares subject to the Restricted Stock Units,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67" w:lineRule="exact"/>
        <w:rPr>
          <w:rFonts w:ascii="Times New Roman" w:cs="Times New Roman" w:eastAsia="Times New Roman" w:hAnsi="Times New Roman"/>
          <w:sz w:val="18"/>
          <w:szCs w:val="18"/>
          <w:color w:val="auto"/>
        </w:rPr>
      </w:pPr>
    </w:p>
    <w:p>
      <w:pPr>
        <w:ind w:left="5400" w:hanging="4413"/>
        <w:spacing w:after="0" w:line="454" w:lineRule="auto"/>
        <w:tabs>
          <w:tab w:leader="none" w:pos="1213"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Shares underlying the Restricted Stock Units is unknown, indeterminable and cannot be predicted with certainty; -7-</w:t>
      </w:r>
    </w:p>
    <w:p>
      <w:pPr>
        <w:sectPr>
          <w:pgSz w:w="11900" w:h="16838" w:orient="portrait"/>
          <w:cols w:equalWidth="0" w:num="1">
            <w:col w:w="10980"/>
          </w:cols>
          <w:pgMar w:left="440" w:top="270" w:right="479" w:bottom="1440" w:gutter="0" w:footer="0" w:header="0"/>
        </w:sectPr>
      </w:pPr>
    </w:p>
    <w:bookmarkStart w:id="44" w:name="page45"/>
    <w:bookmarkEnd w:id="44"/>
    <w:p>
      <w:pPr>
        <w:ind w:firstLine="987"/>
        <w:spacing w:after="0" w:line="252" w:lineRule="auto"/>
        <w:tabs>
          <w:tab w:leader="none" w:pos="124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the Restricted Stock Units,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Participant’s right to vest in the Restricted Stock Units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shall have the exclusive discretion to determine when Participant is no longer actively providing services for purposes of this Award of Restricted Stock Units (including whether Participant may still be considered to be providing services while on a leave of absence and consistent with local law). Further, for the avoidance of doubt, Participant shall not be entitled to any pro rata vesting of any Restricted Stock Units should Participant’s status as a Service Provider cease before the Restricted Stock Units have fully vested (e.g., if Participant’s status as a Service Provider ceases on March 1 before all of the Restricted Stock Units have vested, Participant shall not be entitled to any vesting of the Restricted Stock Units that were scheduled to vest on the immediately following vesting date of March 10);</w:t>
      </w:r>
    </w:p>
    <w:p>
      <w:pPr>
        <w:spacing w:after="0" w:line="89" w:lineRule="exact"/>
        <w:rPr>
          <w:rFonts w:ascii="Times New Roman" w:cs="Times New Roman" w:eastAsia="Times New Roman" w:hAnsi="Times New Roman"/>
          <w:sz w:val="18"/>
          <w:szCs w:val="18"/>
          <w:color w:val="auto"/>
        </w:rPr>
      </w:pPr>
    </w:p>
    <w:p>
      <w:pPr>
        <w:ind w:right="20" w:firstLine="987"/>
        <w:spacing w:after="0" w:line="266" w:lineRule="auto"/>
        <w:tabs>
          <w:tab w:leader="none" w:pos="124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Plan or by the Administrator in its discretion, the Restricted Stock Units and the benefits evidenced by this Award Agreement do not create any entitlement to have the Restricted Stock Units or any such benefits transferred to, or assumed by, another company nor be exchanged, cashed out or substituted for, in connection with any corporate transaction affecting the Shares; and</w:t>
      </w:r>
    </w:p>
    <w:p>
      <w:pPr>
        <w:spacing w:after="0" w:line="67"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provisions apply only if Participant is providing services outside the United States:</w:t>
      </w:r>
    </w:p>
    <w:p>
      <w:pPr>
        <w:spacing w:after="0" w:line="117" w:lineRule="exact"/>
        <w:rPr>
          <w:sz w:val="20"/>
          <w:szCs w:val="20"/>
          <w:color w:val="auto"/>
        </w:rPr>
      </w:pPr>
    </w:p>
    <w:p>
      <w:pPr>
        <w:ind w:right="180" w:firstLine="1428"/>
        <w:spacing w:after="0" w:line="282" w:lineRule="auto"/>
        <w:tabs>
          <w:tab w:leader="none" w:pos="164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Units and the Shares subject to the Restricted Stock Units are not part of normal or expected compensation or salary for any purpose;</w:t>
      </w:r>
    </w:p>
    <w:p>
      <w:pPr>
        <w:spacing w:after="0" w:line="53" w:lineRule="exact"/>
        <w:rPr>
          <w:rFonts w:ascii="Times New Roman" w:cs="Times New Roman" w:eastAsia="Times New Roman" w:hAnsi="Times New Roman"/>
          <w:sz w:val="18"/>
          <w:szCs w:val="18"/>
          <w:color w:val="auto"/>
        </w:rPr>
      </w:pPr>
    </w:p>
    <w:p>
      <w:pPr>
        <w:ind w:right="120" w:firstLine="1428"/>
        <w:spacing w:after="0" w:line="266" w:lineRule="auto"/>
        <w:tabs>
          <w:tab w:leader="none" w:pos="169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acknowledges and agrees that no Service Recipient shall be liable for any foreign exchange rate fluctuation between Participant’s local currency and the United States Dollar that may affect the value of the Restricted Stock Units or of any amounts due to Participant pursuant to the settlement of the Restricted Stock Units or the subsequent sale of any Shares acquired upon settlement; and</w:t>
      </w:r>
    </w:p>
    <w:p>
      <w:pPr>
        <w:spacing w:after="0" w:line="67" w:lineRule="exact"/>
        <w:rPr>
          <w:rFonts w:ascii="Times New Roman" w:cs="Times New Roman" w:eastAsia="Times New Roman" w:hAnsi="Times New Roman"/>
          <w:sz w:val="18"/>
          <w:szCs w:val="18"/>
          <w:color w:val="auto"/>
        </w:rPr>
      </w:pPr>
    </w:p>
    <w:p>
      <w:pPr>
        <w:ind w:right="100" w:firstLine="1428"/>
        <w:spacing w:after="0" w:line="254" w:lineRule="auto"/>
        <w:tabs>
          <w:tab w:leader="none" w:pos="174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or entitlement to compensation or damages shall arise from forfeiture of the Restricted Stock Units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Restricted Stock Units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45" w:name="page46"/>
    <w:bookmarkEnd w:id="45"/>
    <w:p>
      <w:pPr>
        <w:ind w:left="700" w:hanging="264"/>
        <w:spacing w:after="0"/>
        <w:tabs>
          <w:tab w:leader="none" w:pos="7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Advice Regarding Grant</w:t>
      </w:r>
      <w:r>
        <w:rPr>
          <w:rFonts w:ascii="Times New Roman" w:cs="Times New Roman" w:eastAsia="Times New Roman" w:hAnsi="Times New Roman"/>
          <w:sz w:val="18"/>
          <w:szCs w:val="18"/>
          <w:color w:val="auto"/>
        </w:rPr>
        <w:t>. The Company is not providing any tax, legal or financial advice, nor is the Company making any</w:t>
      </w:r>
    </w:p>
    <w:p>
      <w:pPr>
        <w:spacing w:after="0" w:line="27" w:lineRule="exact"/>
        <w:rPr>
          <w:rFonts w:ascii="Times New Roman" w:cs="Times New Roman" w:eastAsia="Times New Roman" w:hAnsi="Times New Roman"/>
          <w:sz w:val="18"/>
          <w:szCs w:val="18"/>
          <w:color w:val="auto"/>
        </w:rPr>
      </w:pPr>
    </w:p>
    <w:p>
      <w:pPr>
        <w:ind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recommendations regarding Participant’s participation in the Plan, or Participant’s acquisition or sale of the Shares underlying the Restricted Stock Units. Participant is hereby advised to consult with his or her own personal tax, legal and financial advisers regarding his or her participation in the Plan before taking any action related to the Plan.</w:t>
      </w:r>
    </w:p>
    <w:p>
      <w:pPr>
        <w:spacing w:after="0" w:line="73" w:lineRule="exact"/>
        <w:rPr>
          <w:rFonts w:ascii="Times New Roman" w:cs="Times New Roman" w:eastAsia="Times New Roman" w:hAnsi="Times New Roman"/>
          <w:sz w:val="18"/>
          <w:szCs w:val="18"/>
          <w:color w:val="auto"/>
        </w:rPr>
      </w:pPr>
    </w:p>
    <w:p>
      <w:pPr>
        <w:jc w:val="both"/>
        <w:ind w:right="100" w:firstLine="436"/>
        <w:spacing w:after="0" w:line="268" w:lineRule="auto"/>
        <w:tabs>
          <w:tab w:leader="none" w:pos="71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Data Privacy</w:t>
      </w:r>
      <w:r>
        <w:rPr>
          <w:rFonts w:ascii="Times New Roman" w:cs="Times New Roman" w:eastAsia="Times New Roman" w:hAnsi="Times New Roman"/>
          <w:sz w:val="18"/>
          <w:szCs w:val="18"/>
          <w:b w:val="1"/>
          <w:bCs w:val="1"/>
          <w:i w:val="1"/>
          <w:iCs w:val="1"/>
          <w:color w:val="auto"/>
        </w:rPr>
        <w:t>. Participant hereby explicitly and unambiguously consents to the collection, use and transfer, in electronic or other form, of Participant’s personal data as described in this Award Agreement and any other Restricted Stock Unit grant materials by and among, as applicable, the Service Recipients for the exclusive purpose of implementing, administering and managing Participant’s participation in the Plan.</w:t>
      </w:r>
    </w:p>
    <w:p>
      <w:pPr>
        <w:spacing w:after="0" w:line="171" w:lineRule="exact"/>
        <w:rPr>
          <w:sz w:val="20"/>
          <w:szCs w:val="20"/>
          <w:color w:val="auto"/>
        </w:rPr>
      </w:pPr>
    </w:p>
    <w:p>
      <w:pPr>
        <w:ind w:right="8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Restricted Stock Units or any other entitlement to Shares awarded, canceled, exercised, vested, unvested or outstanding in Participant’s favor (“</w:t>
      </w:r>
      <w:r>
        <w:rPr>
          <w:rFonts w:ascii="Times New Roman" w:cs="Times New Roman" w:eastAsia="Times New Roman" w:hAnsi="Times New Roman"/>
          <w:sz w:val="18"/>
          <w:szCs w:val="18"/>
          <w:b w:val="1"/>
          <w:bCs w:val="1"/>
          <w:i w:val="1"/>
          <w:iCs w:val="1"/>
          <w:u w:val="single" w:color="auto"/>
          <w:color w:val="auto"/>
        </w:rPr>
        <w:t>Data</w:t>
      </w:r>
      <w:r>
        <w:rPr>
          <w:rFonts w:ascii="Times New Roman" w:cs="Times New Roman" w:eastAsia="Times New Roman" w:hAnsi="Times New Roman"/>
          <w:sz w:val="18"/>
          <w:szCs w:val="18"/>
          <w:b w:val="1"/>
          <w:bCs w:val="1"/>
          <w:i w:val="1"/>
          <w:iCs w:val="1"/>
          <w:color w:val="auto"/>
        </w:rPr>
        <w:t>”), for the exclusive purpose of implementing, administering and managing the Plan.</w:t>
      </w:r>
    </w:p>
    <w:p>
      <w:pPr>
        <w:spacing w:after="0" w:line="17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Restricted Stock Units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46" w:name="page47"/>
    <w:bookmarkEnd w:id="46"/>
    <w:p>
      <w:pPr>
        <w:ind w:right="240" w:firstLine="436"/>
        <w:spacing w:after="0" w:line="266" w:lineRule="auto"/>
        <w:tabs>
          <w:tab w:leader="none" w:pos="71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Address for Notices</w:t>
      </w:r>
      <w:r>
        <w:rPr>
          <w:rFonts w:ascii="Times New Roman" w:cs="Times New Roman" w:eastAsia="Times New Roman" w:hAnsi="Times New Roman"/>
          <w:sz w:val="18"/>
          <w:szCs w:val="18"/>
          <w:color w:val="auto"/>
        </w:rPr>
        <w:t>. Any notice to be given to the Company under the terms of this Award Agreement will be addressed to the Company at ALX Oncology Holdings Inc., 323 Allerton Avenue, South San Francisco, California 94080, or at such other address as the Company may hereafter designate in writing.</w:t>
      </w:r>
    </w:p>
    <w:p>
      <w:pPr>
        <w:spacing w:after="0" w:line="67" w:lineRule="exact"/>
        <w:rPr>
          <w:rFonts w:ascii="Times New Roman" w:cs="Times New Roman" w:eastAsia="Times New Roman" w:hAnsi="Times New Roman"/>
          <w:sz w:val="18"/>
          <w:szCs w:val="18"/>
          <w:color w:val="auto"/>
        </w:rPr>
      </w:pPr>
    </w:p>
    <w:p>
      <w:pPr>
        <w:ind w:right="60" w:firstLine="436"/>
        <w:spacing w:after="0" w:line="261" w:lineRule="auto"/>
        <w:tabs>
          <w:tab w:leader="none" w:pos="71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be assigned only with the prior written consent of the Company.</w:t>
      </w:r>
    </w:p>
    <w:p>
      <w:pPr>
        <w:spacing w:after="0" w:line="71" w:lineRule="exact"/>
        <w:rPr>
          <w:rFonts w:ascii="Times New Roman" w:cs="Times New Roman" w:eastAsia="Times New Roman" w:hAnsi="Times New Roman"/>
          <w:sz w:val="18"/>
          <w:szCs w:val="18"/>
          <w:color w:val="auto"/>
        </w:rPr>
      </w:pPr>
    </w:p>
    <w:p>
      <w:pPr>
        <w:ind w:firstLine="436"/>
        <w:spacing w:after="0" w:line="253" w:lineRule="auto"/>
        <w:tabs>
          <w:tab w:leader="none" w:pos="71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Conditions to Issuance of Stock</w:t>
      </w:r>
      <w:r>
        <w:rPr>
          <w:rFonts w:ascii="Times New Roman" w:cs="Times New Roman" w:eastAsia="Times New Roman" w:hAnsi="Times New Roman"/>
          <w:sz w:val="18"/>
          <w:szCs w:val="18"/>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will not be required to issue any certificate or certificates for (or make any entry on the books of the Company or of a duly authorized transfer agent of the Company of) the Shares hereunder prior to the lapse of such reasonable period of time following the date of vesting of the Restricted Stock Units as the Administrator may establish from time to time for reasons of administrative convenience.</w:t>
      </w:r>
    </w:p>
    <w:p>
      <w:pPr>
        <w:spacing w:after="0" w:line="86" w:lineRule="exact"/>
        <w:rPr>
          <w:rFonts w:ascii="Times New Roman" w:cs="Times New Roman" w:eastAsia="Times New Roman" w:hAnsi="Times New Roman"/>
          <w:sz w:val="18"/>
          <w:szCs w:val="18"/>
          <w:color w:val="auto"/>
        </w:rPr>
      </w:pPr>
    </w:p>
    <w:p>
      <w:pPr>
        <w:ind w:right="260" w:firstLine="436"/>
        <w:spacing w:after="0" w:line="282" w:lineRule="auto"/>
        <w:tabs>
          <w:tab w:leader="none" w:pos="71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Language</w:t>
      </w:r>
      <w:r>
        <w:rPr>
          <w:rFonts w:ascii="Times New Roman" w:cs="Times New Roman" w:eastAsia="Times New Roman" w:hAnsi="Times New Roman"/>
          <w:sz w:val="18"/>
          <w:szCs w:val="18"/>
          <w:color w:val="auto"/>
        </w:rPr>
        <w:t>. If Participant has received this Award Agreement or any other document related to the Plan translated into a language other than English and if the meaning of the translated version is different than the English version, the English version will control.</w:t>
      </w:r>
    </w:p>
    <w:p>
      <w:pPr>
        <w:spacing w:after="0" w:line="53" w:lineRule="exact"/>
        <w:rPr>
          <w:rFonts w:ascii="Times New Roman" w:cs="Times New Roman" w:eastAsia="Times New Roman" w:hAnsi="Times New Roman"/>
          <w:sz w:val="18"/>
          <w:szCs w:val="18"/>
          <w:color w:val="auto"/>
        </w:rPr>
      </w:pPr>
    </w:p>
    <w:p>
      <w:pPr>
        <w:ind w:right="40" w:firstLine="436"/>
        <w:spacing w:after="0" w:line="256" w:lineRule="auto"/>
        <w:tabs>
          <w:tab w:leader="none" w:pos="71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79" w:lineRule="exact"/>
        <w:rPr>
          <w:rFonts w:ascii="Times New Roman" w:cs="Times New Roman" w:eastAsia="Times New Roman" w:hAnsi="Times New Roman"/>
          <w:sz w:val="18"/>
          <w:szCs w:val="18"/>
          <w:color w:val="auto"/>
        </w:rPr>
      </w:pPr>
    </w:p>
    <w:p>
      <w:pPr>
        <w:ind w:right="60" w:firstLine="436"/>
        <w:spacing w:after="0" w:line="261" w:lineRule="auto"/>
        <w:tabs>
          <w:tab w:leader="none" w:pos="71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 and Acceptance</w:t>
      </w:r>
      <w:r>
        <w:rPr>
          <w:rFonts w:ascii="Times New Roman" w:cs="Times New Roman" w:eastAsia="Times New Roman" w:hAnsi="Times New Roman"/>
          <w:sz w:val="18"/>
          <w:szCs w:val="18"/>
          <w:color w:val="auto"/>
        </w:rPr>
        <w:t>. The Company may, in its sole discretion, decide to deliver any documents related to the Restricted Stock Units awarded under the Plan or future Restricted Stock Units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47" w:name="page48"/>
    <w:bookmarkEnd w:id="47"/>
    <w:p>
      <w:pPr>
        <w:ind w:left="-436" w:right="320" w:firstLine="436"/>
        <w:spacing w:after="0" w:line="282" w:lineRule="auto"/>
        <w:tabs>
          <w:tab w:leader="none" w:pos="27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Captions</w:t>
      </w:r>
      <w:r>
        <w:rPr>
          <w:rFonts w:ascii="Times New Roman" w:cs="Times New Roman" w:eastAsia="Times New Roman" w:hAnsi="Times New Roman"/>
          <w:sz w:val="18"/>
          <w:szCs w:val="18"/>
          <w:color w:val="auto"/>
        </w:rPr>
        <w:t>. Captions provided herein are for convenience only and are not to serve as a basis for interpretation or construction of this Award Agreement.</w:t>
      </w:r>
    </w:p>
    <w:p>
      <w:pPr>
        <w:spacing w:after="0" w:line="53" w:lineRule="exact"/>
        <w:rPr>
          <w:rFonts w:ascii="Times New Roman" w:cs="Times New Roman" w:eastAsia="Times New Roman" w:hAnsi="Times New Roman"/>
          <w:sz w:val="18"/>
          <w:szCs w:val="18"/>
          <w:color w:val="auto"/>
        </w:rPr>
      </w:pPr>
    </w:p>
    <w:p>
      <w:pPr>
        <w:ind w:left="-436" w:right="80" w:firstLine="436"/>
        <w:spacing w:after="0" w:line="266" w:lineRule="auto"/>
        <w:tabs>
          <w:tab w:leader="none" w:pos="27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Suspension or Termination of the Plan</w:t>
      </w:r>
      <w:r>
        <w:rPr>
          <w:rFonts w:ascii="Times New Roman" w:cs="Times New Roman" w:eastAsia="Times New Roman" w:hAnsi="Times New Roman"/>
          <w:sz w:val="18"/>
          <w:szCs w:val="18"/>
          <w:color w:val="auto"/>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Administrator at any time.</w:t>
      </w:r>
    </w:p>
    <w:p>
      <w:pPr>
        <w:spacing w:after="0" w:line="67" w:lineRule="exact"/>
        <w:rPr>
          <w:rFonts w:ascii="Times New Roman" w:cs="Times New Roman" w:eastAsia="Times New Roman" w:hAnsi="Times New Roman"/>
          <w:sz w:val="18"/>
          <w:szCs w:val="18"/>
          <w:color w:val="auto"/>
        </w:rPr>
      </w:pPr>
    </w:p>
    <w:p>
      <w:pPr>
        <w:ind w:left="-436" w:right="20" w:firstLine="436"/>
        <w:spacing w:after="0" w:line="256" w:lineRule="auto"/>
        <w:tabs>
          <w:tab w:leader="none" w:pos="27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Country Addendum</w:t>
      </w:r>
      <w:r>
        <w:rPr>
          <w:rFonts w:ascii="Times New Roman" w:cs="Times New Roman" w:eastAsia="Times New Roman" w:hAnsi="Times New Roman"/>
          <w:sz w:val="18"/>
          <w:szCs w:val="18"/>
          <w:color w:val="auto"/>
        </w:rPr>
        <w:t>. Notwithstanding any provisions in this Award Agreement, the Restricted Stock Unit grant shall be subject to any special terms and conditions set forth in an appendix (if any) to this Award Agreement for any country whose laws are applicable to Participant and this Award of Restricted Stock Units (as determined by the Administrator in its sole discretion) (the “</w:t>
      </w:r>
      <w:r>
        <w:rPr>
          <w:rFonts w:ascii="Times New Roman" w:cs="Times New Roman" w:eastAsia="Times New Roman" w:hAnsi="Times New Roman"/>
          <w:sz w:val="18"/>
          <w:szCs w:val="18"/>
          <w:u w:val="single" w:color="auto"/>
          <w:color w:val="auto"/>
        </w:rPr>
        <w:t>Country Addendum</w:t>
      </w:r>
      <w:r>
        <w:rPr>
          <w:rFonts w:ascii="Times New Roman" w:cs="Times New Roman" w:eastAsia="Times New Roman" w:hAnsi="Times New Roman"/>
          <w:sz w:val="18"/>
          <w:szCs w:val="18"/>
          <w:color w:val="auto"/>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(if any) constitutes a part of this Award Agreement.</w:t>
      </w:r>
    </w:p>
    <w:p>
      <w:pPr>
        <w:spacing w:after="0" w:line="79" w:lineRule="exact"/>
        <w:rPr>
          <w:rFonts w:ascii="Times New Roman" w:cs="Times New Roman" w:eastAsia="Times New Roman" w:hAnsi="Times New Roman"/>
          <w:sz w:val="18"/>
          <w:szCs w:val="18"/>
          <w:color w:val="auto"/>
        </w:rPr>
      </w:pPr>
    </w:p>
    <w:p>
      <w:pPr>
        <w:ind w:left="-436" w:right="180" w:firstLine="436"/>
        <w:spacing w:after="0" w:line="274" w:lineRule="auto"/>
        <w:tabs>
          <w:tab w:leader="none" w:pos="274"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Modifications to the Award Agreement</w:t>
      </w:r>
      <w:r>
        <w:rPr>
          <w:rFonts w:ascii="Times New Roman" w:cs="Times New Roman" w:eastAsia="Times New Roman" w:hAnsi="Times New Roman"/>
          <w:sz w:val="17"/>
          <w:szCs w:val="17"/>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Restricted Stock Units.</w:t>
      </w:r>
    </w:p>
    <w:p>
      <w:pPr>
        <w:spacing w:after="0" w:line="64" w:lineRule="exact"/>
        <w:rPr>
          <w:rFonts w:ascii="Times New Roman" w:cs="Times New Roman" w:eastAsia="Times New Roman" w:hAnsi="Times New Roman"/>
          <w:sz w:val="17"/>
          <w:szCs w:val="17"/>
          <w:color w:val="auto"/>
        </w:rPr>
      </w:pPr>
    </w:p>
    <w:p>
      <w:pPr>
        <w:ind w:left="-436" w:firstLine="436"/>
        <w:spacing w:after="0" w:line="261" w:lineRule="auto"/>
        <w:tabs>
          <w:tab w:leader="none" w:pos="27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71" w:lineRule="exact"/>
        <w:rPr>
          <w:rFonts w:ascii="Times New Roman" w:cs="Times New Roman" w:eastAsia="Times New Roman" w:hAnsi="Times New Roman"/>
          <w:sz w:val="18"/>
          <w:szCs w:val="18"/>
          <w:color w:val="auto"/>
        </w:rPr>
      </w:pPr>
    </w:p>
    <w:p>
      <w:pPr>
        <w:ind w:left="-436" w:right="40" w:firstLine="436"/>
        <w:spacing w:after="0" w:line="266" w:lineRule="auto"/>
        <w:tabs>
          <w:tab w:leader="none" w:pos="27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Severability</w:t>
      </w:r>
      <w:r>
        <w:rPr>
          <w:rFonts w:ascii="Times New Roman" w:cs="Times New Roman" w:eastAsia="Times New Roman" w:hAnsi="Times New Roman"/>
          <w:sz w:val="18"/>
          <w:szCs w:val="18"/>
          <w:color w:val="auto"/>
        </w:rPr>
        <w:t>. This Award Agreement and the Restricted Stock Units are governed by the internal substantive laws, but not the choice of law rules, of the State of Delaware. In the event that any provision hereof becomes or is declared by a court of competent jurisdiction to be illegal, unenforceable or void, this Award Agreement shall continue in full force and effect.</w:t>
      </w:r>
    </w:p>
    <w:p>
      <w:pPr>
        <w:spacing w:after="0" w:line="67" w:lineRule="exact"/>
        <w:rPr>
          <w:rFonts w:ascii="Times New Roman" w:cs="Times New Roman" w:eastAsia="Times New Roman" w:hAnsi="Times New Roman"/>
          <w:sz w:val="18"/>
          <w:szCs w:val="18"/>
          <w:color w:val="auto"/>
        </w:rPr>
      </w:pPr>
    </w:p>
    <w:p>
      <w:pPr>
        <w:ind w:left="-436" w:right="120" w:firstLine="436"/>
        <w:spacing w:after="0" w:line="261" w:lineRule="auto"/>
        <w:tabs>
          <w:tab w:leader="none" w:pos="27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Plan is incorporated herein by reference. The Plan and this Award Agreement (including the exhibits, appendices, and addenda attached to the Notice of Grant)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pacing w:after="0" w:line="180"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 * *</w:t>
      </w:r>
    </w:p>
    <w:p>
      <w:pPr>
        <w:spacing w:after="0" w:line="15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64"/>
          </w:cols>
          <w:pgMar w:left="876" w:top="270" w:right="45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-45085</wp:posOffset>
            </wp:positionV>
            <wp:extent cx="1156970" cy="5397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1156970" cy="539750"/>
                    </a:xfrm>
                    <a:prstGeom prst="rect">
                      <a:avLst/>
                    </a:prstGeom>
                    <a:noFill/>
                  </pic:spPr>
                </pic:pic>
              </a:graphicData>
            </a:graphic>
          </wp:anchor>
        </w:drawing>
      </w:r>
    </w:p>
    <w:p>
      <w:pPr>
        <w:spacing w:after="0" w:line="92"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650 Page Mill Road</w:t>
      </w:r>
    </w:p>
    <w:p>
      <w:pPr>
        <w:spacing w:after="0" w:line="2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Palo Alto, California 94304-1050</w:t>
      </w:r>
    </w:p>
    <w:p>
      <w:pPr>
        <w:spacing w:after="0" w:line="112"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5"/>
          <w:szCs w:val="15"/>
          <w:color w:val="auto"/>
        </w:rPr>
        <w:t>O</w:t>
      </w:r>
      <w:r>
        <w:rPr>
          <w:rFonts w:ascii="Times New Roman" w:cs="Times New Roman" w:eastAsia="Times New Roman" w:hAnsi="Times New Roman"/>
          <w:sz w:val="17"/>
          <w:szCs w:val="17"/>
          <w:color w:val="auto"/>
        </w:rPr>
        <w:t>: 650.493.9300</w:t>
      </w:r>
    </w:p>
    <w:p>
      <w:pPr>
        <w:spacing w:after="0" w:line="39"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5"/>
          <w:szCs w:val="15"/>
          <w:color w:val="auto"/>
        </w:rPr>
        <w:t>F</w:t>
      </w:r>
      <w:r>
        <w:rPr>
          <w:rFonts w:ascii="Times New Roman" w:cs="Times New Roman" w:eastAsia="Times New Roman" w:hAnsi="Times New Roman"/>
          <w:sz w:val="17"/>
          <w:szCs w:val="17"/>
          <w:color w:val="auto"/>
        </w:rPr>
        <w:t>: 650.493.6811</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January 17,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ALX Oncology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323 Allerton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Re: Registration Statement on Form S-8</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We have examined the Registration Statement on Form S-8 (the “Registration Statement”) to be filed by ALX Oncology Holdings Inc., a Delaware corporation (the “Company”), with the Securities and Exchange Commission on or about the date hereof, relating to the registration under the Securities Act of 1933, as amended, of (i) 2,122,116 shares of common stock, par value $0.001 per share (“Common Stock”), reserved for issuance pursuant to the Company’s Amended and Restated 2020 Equity Incentive Plan, (ii) 530,529 shares of Common Stock reserved for issuance pursuant to the Company’s 2020 Employee Stock Purchase Plan, as amended and (iii) 1,500,000 shares of Common Stock reserved for issuance pursuant to the Company’s 2025 Inducement Equity Incentive Plan (which plans are referred to herein as the “Plans” and which shares of Common Stock are referred to herein as the “Shares”).</w:t>
      </w:r>
    </w:p>
    <w:p>
      <w:pPr>
        <w:spacing w:after="0" w:line="189"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On the basis of the foregoing, and in reliance thereon, we are of the opinion that the Shares, when issued and sold in the manner referred to in the Plans and pursuant to the agreements that accompany the Plans, will be legally and validly issued, fully paid, and nonassessable.</w:t>
      </w:r>
    </w:p>
    <w:p>
      <w:pPr>
        <w:spacing w:after="0" w:line="162"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We consent to the use of this opinion as an exhibit to the Registration Statement and further consent to the use of our name wherever appearing in the Registration Statement and any amendments thereto.</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Wilson Sonsini Goodrich &amp; Rosati, P.C.</w:t>
      </w:r>
    </w:p>
    <w:p>
      <w:pPr>
        <w:sectPr>
          <w:pgSz w:w="11900" w:h="16838" w:orient="portrait"/>
          <w:cols w:equalWidth="0" w:num="1">
            <w:col w:w="11020"/>
          </w:cols>
          <w:pgMar w:left="440" w:top="117" w:right="4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We consent to the use of our report dated March 7, 2024, with respect to the consolidated financial statements of ALX Oncology Holdings Inc., incorporated herein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17, 2025</w:t>
      </w:r>
    </w:p>
    <w:p>
      <w:pPr>
        <w:sectPr>
          <w:pgSz w:w="11900" w:h="16838" w:orient="portrait"/>
          <w:cols w:equalWidth="0" w:num="1">
            <w:col w:w="11020"/>
          </w:cols>
          <w:pgMar w:left="440" w:top="117" w:right="4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107.1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S-8</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1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ALX ONCOLOGY HOLDINGS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1 – Newly Registered Securities</w:t>
      </w:r>
    </w:p>
    <w:p>
      <w:pPr>
        <w:spacing w:after="0" w:line="254" w:lineRule="exact"/>
        <w:rPr>
          <w:sz w:val="20"/>
          <w:szCs w:val="20"/>
          <w:color w:val="auto"/>
        </w:rPr>
      </w:pPr>
    </w:p>
    <w:tbl>
      <w:tblPr>
        <w:tblLayout w:type="fixed"/>
        <w:tblInd w:w="1030" w:type="dxa"/>
        <w:tblCellMar>
          <w:top w:w="0" w:type="dxa"/>
          <w:left w:w="0" w:type="dxa"/>
          <w:bottom w:w="0" w:type="dxa"/>
          <w:right w:w="0" w:type="dxa"/>
        </w:tblCellMar>
      </w:tblPr>
      <w:tr>
        <w:trPr>
          <w:trHeight w:val="144"/>
        </w:trPr>
        <w:tc>
          <w:tcPr>
            <w:tcW w:w="960" w:type="dxa"/>
            <w:vAlign w:val="bottom"/>
            <w:tcBorders>
              <w:top w:val="single" w:sz="8" w:color="auto"/>
              <w:left w:val="single" w:sz="8" w:color="auto"/>
              <w:right w:val="single" w:sz="8" w:color="auto"/>
            </w:tcBorders>
          </w:tcPr>
          <w:p>
            <w:pPr>
              <w:spacing w:after="0"/>
              <w:rPr>
                <w:sz w:val="12"/>
                <w:szCs w:val="12"/>
                <w:color w:val="auto"/>
              </w:rPr>
            </w:pPr>
          </w:p>
        </w:tc>
        <w:tc>
          <w:tcPr>
            <w:tcW w:w="2700" w:type="dxa"/>
            <w:vAlign w:val="bottom"/>
            <w:tcBorders>
              <w:top w:val="single" w:sz="8" w:color="auto"/>
              <w:right w:val="single" w:sz="8" w:color="auto"/>
            </w:tcBorders>
          </w:tcPr>
          <w:p>
            <w:pPr>
              <w:spacing w:after="0"/>
              <w:rPr>
                <w:sz w:val="12"/>
                <w:szCs w:val="12"/>
                <w:color w:val="auto"/>
              </w:rPr>
            </w:pPr>
          </w:p>
        </w:tc>
        <w:tc>
          <w:tcPr>
            <w:tcW w:w="680" w:type="dxa"/>
            <w:vAlign w:val="bottom"/>
            <w:tcBorders>
              <w:top w:val="single" w:sz="8" w:color="auto"/>
              <w:right w:val="single" w:sz="8" w:color="auto"/>
            </w:tcBorders>
          </w:tcPr>
          <w:p>
            <w:pPr>
              <w:spacing w:after="0"/>
              <w:rPr>
                <w:sz w:val="12"/>
                <w:szCs w:val="12"/>
                <w:color w:val="auto"/>
              </w:rPr>
            </w:pPr>
          </w:p>
        </w:tc>
        <w:tc>
          <w:tcPr>
            <w:tcW w:w="1080" w:type="dxa"/>
            <w:vAlign w:val="bottom"/>
            <w:tcBorders>
              <w:top w:val="single" w:sz="8" w:color="auto"/>
              <w:right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Proposed</w:t>
            </w:r>
          </w:p>
        </w:tc>
        <w:tc>
          <w:tcPr>
            <w:tcW w:w="11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9"/>
              </w:rPr>
              <w:t>Maximum</w:t>
            </w:r>
          </w:p>
        </w:tc>
        <w:tc>
          <w:tcPr>
            <w:tcW w:w="84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960" w:type="dxa"/>
            <w:vAlign w:val="bottom"/>
            <w:tcBorders>
              <w:left w:val="single" w:sz="8" w:color="auto"/>
              <w:right w:val="single" w:sz="8" w:color="auto"/>
            </w:tcBorders>
          </w:tcPr>
          <w:p>
            <w:pPr>
              <w:spacing w:after="0"/>
              <w:rPr>
                <w:sz w:val="10"/>
                <w:szCs w:val="10"/>
                <w:color w:val="auto"/>
              </w:rPr>
            </w:pPr>
          </w:p>
        </w:tc>
        <w:tc>
          <w:tcPr>
            <w:tcW w:w="270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5"/>
              </w:rPr>
              <w:t>Maximum</w:t>
            </w:r>
          </w:p>
        </w:tc>
        <w:tc>
          <w:tcPr>
            <w:tcW w:w="1140" w:type="dxa"/>
            <w:vAlign w:val="bottom"/>
            <w:tcBorders>
              <w:right w:val="single" w:sz="8" w:color="auto"/>
            </w:tcBorders>
            <w:vMerge w:val="continue"/>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60" w:type="dxa"/>
            <w:vAlign w:val="bottom"/>
            <w:tcBorders>
              <w:left w:val="single" w:sz="8" w:color="auto"/>
              <w:right w:val="single" w:sz="8" w:color="auto"/>
            </w:tcBorders>
          </w:tcPr>
          <w:p>
            <w:pPr>
              <w:spacing w:after="0"/>
              <w:rPr>
                <w:sz w:val="11"/>
                <w:szCs w:val="11"/>
                <w:color w:val="auto"/>
              </w:rPr>
            </w:pPr>
          </w:p>
        </w:tc>
        <w:tc>
          <w:tcPr>
            <w:tcW w:w="2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108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11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8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 of</w:t>
            </w:r>
          </w:p>
        </w:tc>
        <w:tc>
          <w:tcPr>
            <w:tcW w:w="0" w:type="dxa"/>
            <w:vAlign w:val="bottom"/>
          </w:tcPr>
          <w:p>
            <w:pPr>
              <w:spacing w:after="0"/>
              <w:rPr>
                <w:sz w:val="1"/>
                <w:szCs w:val="1"/>
                <w:color w:val="auto"/>
              </w:rPr>
            </w:pPr>
          </w:p>
        </w:tc>
      </w:tr>
      <w:tr>
        <w:trPr>
          <w:trHeight w:val="135"/>
        </w:trPr>
        <w:tc>
          <w:tcPr>
            <w:tcW w:w="960" w:type="dxa"/>
            <w:vAlign w:val="bottom"/>
            <w:tcBorders>
              <w:left w:val="single" w:sz="8" w:color="auto"/>
              <w:right w:val="single" w:sz="8" w:color="auto"/>
            </w:tcBorders>
          </w:tcPr>
          <w:p>
            <w:pPr>
              <w:spacing w:after="0"/>
              <w:rPr>
                <w:sz w:val="11"/>
                <w:szCs w:val="11"/>
                <w:color w:val="auto"/>
              </w:rPr>
            </w:pPr>
          </w:p>
        </w:tc>
        <w:tc>
          <w:tcPr>
            <w:tcW w:w="2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Class</w:t>
            </w: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10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11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Registration</w:t>
            </w:r>
          </w:p>
        </w:tc>
        <w:tc>
          <w:tcPr>
            <w:tcW w:w="0" w:type="dxa"/>
            <w:vAlign w:val="bottom"/>
          </w:tcPr>
          <w:p>
            <w:pPr>
              <w:spacing w:after="0"/>
              <w:rPr>
                <w:sz w:val="1"/>
                <w:szCs w:val="1"/>
                <w:color w:val="auto"/>
              </w:rPr>
            </w:pPr>
          </w:p>
        </w:tc>
      </w:tr>
      <w:tr>
        <w:trPr>
          <w:trHeight w:val="174"/>
        </w:trPr>
        <w:tc>
          <w:tcPr>
            <w:tcW w:w="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0"/>
              </w:rPr>
              <w:t>Security Type </w:t>
            </w: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Title</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Registered (1)</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Unit</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Price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Rate</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c>
          <w:tcPr>
            <w:tcW w:w="0" w:type="dxa"/>
            <w:vAlign w:val="bottom"/>
          </w:tcPr>
          <w:p>
            <w:pPr>
              <w:spacing w:after="0"/>
              <w:rPr>
                <w:sz w:val="1"/>
                <w:szCs w:val="1"/>
                <w:color w:val="auto"/>
              </w:rPr>
            </w:pPr>
          </w:p>
        </w:tc>
      </w:tr>
      <w:tr>
        <w:trPr>
          <w:trHeight w:val="206"/>
        </w:trPr>
        <w:tc>
          <w:tcPr>
            <w:tcW w:w="960" w:type="dxa"/>
            <w:vAlign w:val="bottom"/>
            <w:tcBorders>
              <w:left w:val="single" w:sz="8" w:color="auto"/>
              <w:right w:val="single" w:sz="8" w:color="auto"/>
            </w:tcBorders>
          </w:tcPr>
          <w:p>
            <w:pPr>
              <w:jc w:val="center"/>
              <w:ind w:left="37"/>
              <w:spacing w:after="0" w:line="206" w:lineRule="exact"/>
              <w:rPr>
                <w:sz w:val="20"/>
                <w:szCs w:val="20"/>
                <w:color w:val="auto"/>
              </w:rPr>
            </w:pPr>
            <w:r>
              <w:rPr>
                <w:rFonts w:ascii="Times New Roman" w:cs="Times New Roman" w:eastAsia="Times New Roman" w:hAnsi="Times New Roman"/>
                <w:sz w:val="18"/>
                <w:szCs w:val="18"/>
                <w:color w:val="auto"/>
                <w:w w:val="99"/>
              </w:rPr>
              <w:t>Equity</w:t>
            </w:r>
          </w:p>
        </w:tc>
        <w:tc>
          <w:tcPr>
            <w:tcW w:w="270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rPr>
              <w:t>Common Stock,  </w:t>
            </w:r>
          </w:p>
        </w:tc>
        <w:tc>
          <w:tcPr>
            <w:tcW w:w="68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0" w:type="dxa"/>
            <w:vAlign w:val="bottom"/>
            <w:tcBorders>
              <w:left w:val="single" w:sz="8" w:color="auto"/>
              <w:right w:val="single" w:sz="8" w:color="auto"/>
            </w:tcBorders>
          </w:tcPr>
          <w:p>
            <w:pPr>
              <w:spacing w:after="0"/>
              <w:rPr>
                <w:sz w:val="18"/>
                <w:szCs w:val="18"/>
                <w:color w:val="auto"/>
              </w:rPr>
            </w:pP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$0.001 par value per share, reserved</w:t>
            </w:r>
          </w:p>
        </w:tc>
        <w:tc>
          <w:tcPr>
            <w:tcW w:w="68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Borders>
              <w:left w:val="single" w:sz="8" w:color="auto"/>
              <w:right w:val="single" w:sz="8" w:color="auto"/>
            </w:tcBorders>
          </w:tcPr>
          <w:p>
            <w:pPr>
              <w:spacing w:after="0"/>
              <w:rPr>
                <w:sz w:val="18"/>
                <w:szCs w:val="18"/>
                <w:color w:val="auto"/>
              </w:rPr>
            </w:pP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for issuance pursuant to the</w:t>
            </w:r>
          </w:p>
        </w:tc>
        <w:tc>
          <w:tcPr>
            <w:tcW w:w="68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Borders>
              <w:left w:val="single" w:sz="8" w:color="auto"/>
              <w:right w:val="single" w:sz="8" w:color="auto"/>
            </w:tcBorders>
          </w:tcPr>
          <w:p>
            <w:pPr>
              <w:spacing w:after="0"/>
              <w:rPr>
                <w:sz w:val="18"/>
                <w:szCs w:val="18"/>
                <w:color w:val="auto"/>
              </w:rPr>
            </w:pP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Amended and Restated 2020 Equity</w:t>
            </w:r>
          </w:p>
        </w:tc>
        <w:tc>
          <w:tcPr>
            <w:tcW w:w="68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$3,543,933.72</w:t>
            </w:r>
          </w:p>
        </w:tc>
        <w:tc>
          <w:tcPr>
            <w:tcW w:w="8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960" w:type="dxa"/>
            <w:vAlign w:val="bottom"/>
            <w:tcBorders>
              <w:left w:val="single" w:sz="8" w:color="auto"/>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Incentive Plan</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2,122,116 (2) </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$1.67 (3) </w:t>
            </w:r>
          </w:p>
        </w:tc>
        <w:tc>
          <w:tcPr>
            <w:tcW w:w="1140" w:type="dxa"/>
            <w:vAlign w:val="bottom"/>
            <w:tcBorders>
              <w:bottom w:val="single" w:sz="8" w:color="auto"/>
              <w:right w:val="single" w:sz="8" w:color="auto"/>
            </w:tcBorders>
            <w:vMerge w:val="continue"/>
          </w:tcPr>
          <w:p>
            <w:pPr>
              <w:spacing w:after="0"/>
              <w:rPr>
                <w:sz w:val="20"/>
                <w:szCs w:val="20"/>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0.0001531</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$542.58</w:t>
            </w:r>
          </w:p>
        </w:tc>
        <w:tc>
          <w:tcPr>
            <w:tcW w:w="0" w:type="dxa"/>
            <w:vAlign w:val="bottom"/>
          </w:tcPr>
          <w:p>
            <w:pPr>
              <w:spacing w:after="0"/>
              <w:rPr>
                <w:sz w:val="1"/>
                <w:szCs w:val="1"/>
                <w:color w:val="auto"/>
              </w:rPr>
            </w:pPr>
          </w:p>
        </w:tc>
      </w:tr>
      <w:tr>
        <w:trPr>
          <w:trHeight w:val="211"/>
        </w:trPr>
        <w:tc>
          <w:tcPr>
            <w:tcW w:w="960" w:type="dxa"/>
            <w:vAlign w:val="bottom"/>
            <w:tcBorders>
              <w:left w:val="single" w:sz="8" w:color="auto"/>
              <w:right w:val="single" w:sz="8" w:color="auto"/>
            </w:tcBorders>
          </w:tcPr>
          <w:p>
            <w:pPr>
              <w:jc w:val="center"/>
              <w:ind w:left="37"/>
              <w:spacing w:after="0"/>
              <w:rPr>
                <w:sz w:val="20"/>
                <w:szCs w:val="20"/>
                <w:color w:val="auto"/>
              </w:rPr>
            </w:pPr>
            <w:r>
              <w:rPr>
                <w:rFonts w:ascii="Times New Roman" w:cs="Times New Roman" w:eastAsia="Times New Roman" w:hAnsi="Times New Roman"/>
                <w:sz w:val="18"/>
                <w:szCs w:val="18"/>
                <w:color w:val="auto"/>
                <w:w w:val="99"/>
              </w:rPr>
              <w:t>Equity</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68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Borders>
              <w:left w:val="single" w:sz="8" w:color="auto"/>
              <w:right w:val="single" w:sz="8" w:color="auto"/>
            </w:tcBorders>
          </w:tcPr>
          <w:p>
            <w:pPr>
              <w:spacing w:after="0"/>
              <w:rPr>
                <w:sz w:val="18"/>
                <w:szCs w:val="18"/>
                <w:color w:val="auto"/>
              </w:rPr>
            </w:pP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 share, reserved for issuance</w:t>
            </w:r>
          </w:p>
        </w:tc>
        <w:tc>
          <w:tcPr>
            <w:tcW w:w="68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Borders>
              <w:left w:val="single" w:sz="8" w:color="auto"/>
              <w:right w:val="single" w:sz="8" w:color="auto"/>
            </w:tcBorders>
          </w:tcPr>
          <w:p>
            <w:pPr>
              <w:spacing w:after="0"/>
              <w:rPr>
                <w:sz w:val="18"/>
                <w:szCs w:val="18"/>
                <w:color w:val="auto"/>
              </w:rPr>
            </w:pP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pursuant to the 2020 Employee</w:t>
            </w:r>
          </w:p>
        </w:tc>
        <w:tc>
          <w:tcPr>
            <w:tcW w:w="68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960" w:type="dxa"/>
            <w:vAlign w:val="bottom"/>
            <w:tcBorders>
              <w:left w:val="single" w:sz="8" w:color="auto"/>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Stock Purchase Plan</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auto"/>
              <w:right w:val="single" w:sz="8" w:color="auto"/>
            </w:tcBorders>
          </w:tcPr>
          <w:p>
            <w:pPr>
              <w:jc w:val="right"/>
              <w:ind w:right="41"/>
              <w:spacing w:after="0"/>
              <w:rPr>
                <w:sz w:val="20"/>
                <w:szCs w:val="20"/>
                <w:color w:val="auto"/>
              </w:rPr>
            </w:pPr>
            <w:r>
              <w:rPr>
                <w:rFonts w:ascii="Times New Roman" w:cs="Times New Roman" w:eastAsia="Times New Roman" w:hAnsi="Times New Roman"/>
                <w:sz w:val="18"/>
                <w:szCs w:val="18"/>
                <w:color w:val="auto"/>
              </w:rPr>
              <w:t>530,529 (4)</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$1.42 (5)</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$753,351.18</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0.0001531</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$115.34</w:t>
            </w:r>
          </w:p>
        </w:tc>
        <w:tc>
          <w:tcPr>
            <w:tcW w:w="0" w:type="dxa"/>
            <w:vAlign w:val="bottom"/>
          </w:tcPr>
          <w:p>
            <w:pPr>
              <w:spacing w:after="0"/>
              <w:rPr>
                <w:sz w:val="1"/>
                <w:szCs w:val="1"/>
                <w:color w:val="auto"/>
              </w:rPr>
            </w:pPr>
          </w:p>
        </w:tc>
      </w:tr>
      <w:tr>
        <w:trPr>
          <w:trHeight w:val="211"/>
        </w:trPr>
        <w:tc>
          <w:tcPr>
            <w:tcW w:w="960" w:type="dxa"/>
            <w:vAlign w:val="bottom"/>
            <w:tcBorders>
              <w:left w:val="single" w:sz="8" w:color="auto"/>
              <w:right w:val="single" w:sz="8" w:color="auto"/>
            </w:tcBorders>
          </w:tcPr>
          <w:p>
            <w:pPr>
              <w:jc w:val="center"/>
              <w:ind w:left="37"/>
              <w:spacing w:after="0"/>
              <w:rPr>
                <w:sz w:val="20"/>
                <w:szCs w:val="20"/>
                <w:color w:val="auto"/>
              </w:rPr>
            </w:pPr>
            <w:r>
              <w:rPr>
                <w:rFonts w:ascii="Times New Roman" w:cs="Times New Roman" w:eastAsia="Times New Roman" w:hAnsi="Times New Roman"/>
                <w:sz w:val="18"/>
                <w:szCs w:val="18"/>
                <w:color w:val="auto"/>
                <w:w w:val="99"/>
              </w:rPr>
              <w:t>Equity</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68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Borders>
              <w:left w:val="single" w:sz="8" w:color="auto"/>
              <w:right w:val="single" w:sz="8" w:color="auto"/>
            </w:tcBorders>
          </w:tcPr>
          <w:p>
            <w:pPr>
              <w:spacing w:after="0"/>
              <w:rPr>
                <w:sz w:val="18"/>
                <w:szCs w:val="18"/>
                <w:color w:val="auto"/>
              </w:rPr>
            </w:pP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 share, reserved for issuance</w:t>
            </w:r>
          </w:p>
        </w:tc>
        <w:tc>
          <w:tcPr>
            <w:tcW w:w="68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Borders>
              <w:left w:val="single" w:sz="8" w:color="auto"/>
              <w:right w:val="single" w:sz="8" w:color="auto"/>
            </w:tcBorders>
          </w:tcPr>
          <w:p>
            <w:pPr>
              <w:spacing w:after="0"/>
              <w:rPr>
                <w:sz w:val="18"/>
                <w:szCs w:val="18"/>
                <w:color w:val="auto"/>
              </w:rPr>
            </w:pP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pursuant to the 2025 Inducement</w:t>
            </w:r>
          </w:p>
        </w:tc>
        <w:tc>
          <w:tcPr>
            <w:tcW w:w="68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960" w:type="dxa"/>
            <w:vAlign w:val="bottom"/>
            <w:tcBorders>
              <w:left w:val="single" w:sz="8" w:color="auto"/>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 Plan</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auto"/>
              <w:right w:val="single" w:sz="8" w:color="auto"/>
            </w:tcBorders>
          </w:tcPr>
          <w:p>
            <w:pPr>
              <w:jc w:val="right"/>
              <w:ind w:right="101"/>
              <w:spacing w:after="0"/>
              <w:rPr>
                <w:sz w:val="20"/>
                <w:szCs w:val="20"/>
                <w:color w:val="auto"/>
              </w:rPr>
            </w:pPr>
            <w:r>
              <w:rPr>
                <w:rFonts w:ascii="Times New Roman" w:cs="Times New Roman" w:eastAsia="Times New Roman" w:hAnsi="Times New Roman"/>
                <w:sz w:val="18"/>
                <w:szCs w:val="18"/>
                <w:color w:val="auto"/>
              </w:rPr>
              <w:t>1,500,000</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$1.67 (3)</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$2,505,000.00 </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0.0001531</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$383.52</w:t>
            </w:r>
          </w:p>
        </w:tc>
        <w:tc>
          <w:tcPr>
            <w:tcW w:w="0" w:type="dxa"/>
            <w:vAlign w:val="bottom"/>
          </w:tcPr>
          <w:p>
            <w:pPr>
              <w:spacing w:after="0"/>
              <w:rPr>
                <w:sz w:val="1"/>
                <w:szCs w:val="1"/>
                <w:color w:val="auto"/>
              </w:rPr>
            </w:pPr>
          </w:p>
        </w:tc>
      </w:tr>
      <w:tr>
        <w:trPr>
          <w:trHeight w:val="239"/>
        </w:trPr>
        <w:tc>
          <w:tcPr>
            <w:tcW w:w="960" w:type="dxa"/>
            <w:vAlign w:val="bottom"/>
            <w:tcBorders>
              <w:left w:val="single" w:sz="8" w:color="auto"/>
              <w:bottom w:val="single" w:sz="8" w:color="auto"/>
            </w:tcBorders>
          </w:tcPr>
          <w:p>
            <w:pPr>
              <w:spacing w:after="0"/>
              <w:rPr>
                <w:sz w:val="20"/>
                <w:szCs w:val="20"/>
                <w:color w:val="auto"/>
              </w:rPr>
            </w:pPr>
          </w:p>
        </w:tc>
        <w:tc>
          <w:tcPr>
            <w:tcW w:w="2700" w:type="dxa"/>
            <w:vAlign w:val="bottom"/>
            <w:tcBorders>
              <w:bottom w:val="single" w:sz="8" w:color="auto"/>
            </w:tcBorders>
          </w:tcPr>
          <w:p>
            <w:pPr>
              <w:jc w:val="center"/>
              <w:ind w:left="834"/>
              <w:spacing w:after="0"/>
              <w:rPr>
                <w:sz w:val="20"/>
                <w:szCs w:val="20"/>
                <w:color w:val="auto"/>
              </w:rPr>
            </w:pPr>
            <w:r>
              <w:rPr>
                <w:rFonts w:ascii="Times New Roman" w:cs="Times New Roman" w:eastAsia="Times New Roman" w:hAnsi="Times New Roman"/>
                <w:sz w:val="18"/>
                <w:szCs w:val="18"/>
                <w:color w:val="auto"/>
                <w:w w:val="98"/>
              </w:rPr>
              <w:t>Total Offering Amount</w:t>
            </w:r>
          </w:p>
        </w:tc>
        <w:tc>
          <w:tcPr>
            <w:tcW w:w="68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$6,802,284.90</w:t>
            </w:r>
          </w:p>
        </w:tc>
        <w:tc>
          <w:tcPr>
            <w:tcW w:w="84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$1,041.44</w:t>
            </w:r>
          </w:p>
        </w:tc>
        <w:tc>
          <w:tcPr>
            <w:tcW w:w="0" w:type="dxa"/>
            <w:vAlign w:val="bottom"/>
          </w:tcPr>
          <w:p>
            <w:pPr>
              <w:spacing w:after="0"/>
              <w:rPr>
                <w:sz w:val="1"/>
                <w:szCs w:val="1"/>
                <w:color w:val="auto"/>
              </w:rPr>
            </w:pPr>
          </w:p>
        </w:tc>
      </w:tr>
      <w:tr>
        <w:trPr>
          <w:trHeight w:val="236"/>
        </w:trPr>
        <w:tc>
          <w:tcPr>
            <w:tcW w:w="960" w:type="dxa"/>
            <w:vAlign w:val="bottom"/>
            <w:tcBorders>
              <w:left w:val="single" w:sz="8" w:color="auto"/>
              <w:bottom w:val="single" w:sz="8" w:color="auto"/>
            </w:tcBorders>
          </w:tcPr>
          <w:p>
            <w:pPr>
              <w:spacing w:after="0"/>
              <w:rPr>
                <w:sz w:val="20"/>
                <w:szCs w:val="20"/>
                <w:color w:val="auto"/>
              </w:rPr>
            </w:pPr>
          </w:p>
        </w:tc>
        <w:tc>
          <w:tcPr>
            <w:tcW w:w="2700" w:type="dxa"/>
            <w:vAlign w:val="bottom"/>
            <w:tcBorders>
              <w:bottom w:val="single" w:sz="8" w:color="auto"/>
            </w:tcBorders>
          </w:tcPr>
          <w:p>
            <w:pPr>
              <w:jc w:val="center"/>
              <w:ind w:left="854"/>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68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7"/>
        </w:trPr>
        <w:tc>
          <w:tcPr>
            <w:tcW w:w="960" w:type="dxa"/>
            <w:vAlign w:val="bottom"/>
            <w:tcBorders>
              <w:left w:val="single" w:sz="8" w:color="auto"/>
              <w:bottom w:val="single" w:sz="8" w:color="auto"/>
            </w:tcBorders>
          </w:tcPr>
          <w:p>
            <w:pPr>
              <w:spacing w:after="0"/>
              <w:rPr>
                <w:sz w:val="20"/>
                <w:szCs w:val="20"/>
                <w:color w:val="auto"/>
              </w:rPr>
            </w:pPr>
          </w:p>
        </w:tc>
        <w:tc>
          <w:tcPr>
            <w:tcW w:w="2700" w:type="dxa"/>
            <w:vAlign w:val="bottom"/>
            <w:tcBorders>
              <w:bottom w:val="single" w:sz="8" w:color="auto"/>
            </w:tcBorders>
          </w:tcPr>
          <w:p>
            <w:pPr>
              <w:jc w:val="center"/>
              <w:ind w:left="834"/>
              <w:spacing w:after="0"/>
              <w:rPr>
                <w:sz w:val="20"/>
                <w:szCs w:val="20"/>
                <w:color w:val="auto"/>
              </w:rPr>
            </w:pPr>
            <w:r>
              <w:rPr>
                <w:rFonts w:ascii="Times New Roman" w:cs="Times New Roman" w:eastAsia="Times New Roman" w:hAnsi="Times New Roman"/>
                <w:sz w:val="18"/>
                <w:szCs w:val="18"/>
                <w:color w:val="auto"/>
                <w:w w:val="98"/>
              </w:rPr>
              <w:t>Net Fee Due</w:t>
            </w:r>
          </w:p>
        </w:tc>
        <w:tc>
          <w:tcPr>
            <w:tcW w:w="68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$1,041.44</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60" w:right="40" w:hanging="255"/>
        <w:spacing w:after="0" w:line="253" w:lineRule="auto"/>
        <w:rPr>
          <w:sz w:val="20"/>
          <w:szCs w:val="20"/>
          <w:color w:val="auto"/>
        </w:rPr>
      </w:pPr>
      <w:r>
        <w:rPr>
          <w:rFonts w:ascii="Times New Roman" w:cs="Times New Roman" w:eastAsia="Times New Roman" w:hAnsi="Times New Roman"/>
          <w:sz w:val="18"/>
          <w:szCs w:val="18"/>
          <w:color w:val="auto"/>
        </w:rPr>
        <w:t>(1) Represents shares of common stock, par value $0.001 per share (“Common Stock”) of ALX Oncology Holdings Inc. (the “Registrant”) available for issuance pursuant to awards granted pursuant to the Registrant’s Amended and Restated 2020 Equity Incentive Plan (the “2020 Plan”), 2020 Employee Stock Purchase Plan (the “2020 ESPP”) and 2025 Inducement Equity Incentive Plan (the “2025 Plan”). In addition, pursuant to Rule 416(a) of the Securities Act of 1933, as amended (the “Securities Act”), this Registration Statement shall also cover any additional shares of the Registrant’s Common Stock that become issuable under the 2020 Plan, the 2020 ESPP and the 2025 Plan by reason of any stock dividend, stock split, recapitalization or other similar transaction effected without the Registrant’s receipt of consideration that results in an increase in the number of the outstanding shares of common stock.</w:t>
      </w:r>
    </w:p>
    <w:p>
      <w:pPr>
        <w:spacing w:after="0" w:line="3" w:lineRule="exact"/>
        <w:rPr>
          <w:sz w:val="20"/>
          <w:szCs w:val="20"/>
          <w:color w:val="auto"/>
        </w:rPr>
      </w:pPr>
    </w:p>
    <w:p>
      <w:pPr>
        <w:ind w:left="260" w:right="160" w:hanging="255"/>
        <w:spacing w:after="0" w:line="250" w:lineRule="auto"/>
        <w:rPr>
          <w:sz w:val="20"/>
          <w:szCs w:val="20"/>
          <w:color w:val="auto"/>
        </w:rPr>
      </w:pPr>
      <w:r>
        <w:rPr>
          <w:rFonts w:ascii="Times New Roman" w:cs="Times New Roman" w:eastAsia="Times New Roman" w:hAnsi="Times New Roman"/>
          <w:sz w:val="18"/>
          <w:szCs w:val="18"/>
          <w:color w:val="auto"/>
        </w:rPr>
        <w:t>(2) Reflects an automatic increase on January 1, 2025 to the number of shares of Common Stock reserved for issuance pursuant to future awards under the 2020 Plan, which annual increase is provided for in the 2020 Plan.</w:t>
      </w:r>
    </w:p>
    <w:p>
      <w:pPr>
        <w:spacing w:after="0" w:line="1" w:lineRule="exact"/>
        <w:rPr>
          <w:sz w:val="20"/>
          <w:szCs w:val="20"/>
          <w:color w:val="auto"/>
        </w:rPr>
      </w:pPr>
    </w:p>
    <w:p>
      <w:pPr>
        <w:jc w:val="both"/>
        <w:ind w:left="260" w:right="60" w:hanging="255"/>
        <w:spacing w:after="0" w:line="250" w:lineRule="auto"/>
        <w:rPr>
          <w:sz w:val="20"/>
          <w:szCs w:val="20"/>
          <w:color w:val="auto"/>
        </w:rPr>
      </w:pPr>
      <w:r>
        <w:rPr>
          <w:rFonts w:ascii="Times New Roman" w:cs="Times New Roman" w:eastAsia="Times New Roman" w:hAnsi="Times New Roman"/>
          <w:sz w:val="18"/>
          <w:szCs w:val="18"/>
          <w:color w:val="auto"/>
        </w:rPr>
        <w:t>(3) Estimated in accordance with paragraphs (c) and (h) of Rule 457 of the Securities Act solely for the purpose of calculating the registration fee on the basis of $1.67 per share, which is the average of the high and low prices of the Registrant’s Common Stock, as reported on the Nasdaq Global Select Market, on January 14, 2025.</w:t>
      </w:r>
    </w:p>
    <w:p>
      <w:pPr>
        <w:spacing w:after="0" w:line="1" w:lineRule="exact"/>
        <w:rPr>
          <w:sz w:val="20"/>
          <w:szCs w:val="20"/>
          <w:color w:val="auto"/>
        </w:rPr>
      </w:pPr>
    </w:p>
    <w:p>
      <w:pPr>
        <w:ind w:left="260" w:right="400" w:hanging="255"/>
        <w:spacing w:after="0" w:line="250" w:lineRule="auto"/>
        <w:rPr>
          <w:sz w:val="20"/>
          <w:szCs w:val="20"/>
          <w:color w:val="auto"/>
        </w:rPr>
      </w:pPr>
      <w:r>
        <w:rPr>
          <w:rFonts w:ascii="Times New Roman" w:cs="Times New Roman" w:eastAsia="Times New Roman" w:hAnsi="Times New Roman"/>
          <w:sz w:val="18"/>
          <w:szCs w:val="18"/>
          <w:color w:val="auto"/>
        </w:rPr>
        <w:t>(4) Reflects an automatic increase on January 1, 2025 to the number of shares of Common Stock reserved for issuance under the 2020 ESPP, which annual increase is provided for in the 2020 ESPP.</w:t>
      </w:r>
    </w:p>
    <w:p>
      <w:pPr>
        <w:spacing w:after="0" w:line="1" w:lineRule="exact"/>
        <w:rPr>
          <w:sz w:val="20"/>
          <w:szCs w:val="20"/>
          <w:color w:val="auto"/>
        </w:rPr>
      </w:pPr>
    </w:p>
    <w:p>
      <w:pPr>
        <w:ind w:left="260" w:right="120" w:hanging="255"/>
        <w:spacing w:after="0" w:line="253" w:lineRule="auto"/>
        <w:rPr>
          <w:sz w:val="20"/>
          <w:szCs w:val="20"/>
          <w:color w:val="auto"/>
        </w:rPr>
      </w:pPr>
      <w:r>
        <w:rPr>
          <w:rFonts w:ascii="Times New Roman" w:cs="Times New Roman" w:eastAsia="Times New Roman" w:hAnsi="Times New Roman"/>
          <w:sz w:val="18"/>
          <w:szCs w:val="18"/>
          <w:color w:val="auto"/>
        </w:rPr>
        <w:t>(5) Estimated in accordance with Rules 457(h) solely for the purpose of calculating the registration fee on the basis of 85% of $1.67 per share, which is the average of the high and low prices of the Registrant’s Common Stock, as reported on the Nasdaq Global Select Market, on January 14, 2025. Pursuant to the 2020 ESPP, the purchase price of the shares of Common Stock reserved for issuance thereunder will be at least 85% of the lower of the fair market value of Common Stock on the Enrollment Date or the Exercise Date (as such terms are defined in the 2020 ESPP).</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1)"/>
      <w:numFmt w:val="decimal"/>
      <w:start w:val="1"/>
    </w:lvl>
  </w:abstractNum>
  <w:abstractNum w:abstractNumId="1">
    <w:nsid w:val="3006C83E"/>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2">
    <w:nsid w:val="614FD4A1"/>
    <w:multiLevelType w:val="hybridMultilevel"/>
    <w:lvl w:ilvl="0">
      <w:lvlJc w:val="left"/>
      <w:lvlText w:val="%1"/>
      <w:numFmt w:val="upperLetter"/>
      <w:start w:val="1"/>
    </w:lvl>
    <w:lvl w:ilvl="1">
      <w:lvlJc w:val="left"/>
      <w:lvlText w:val="(%2)"/>
      <w:numFmt w:val="decimal"/>
      <w:start w:val="2"/>
    </w:lvl>
  </w:abstractNum>
  <w:abstractNum w:abstractNumId="3">
    <w:nsid w:val="419AC241"/>
    <w:multiLevelType w:val="hybridMultilevel"/>
    <w:lvl w:ilvl="0">
      <w:lvlJc w:val="left"/>
      <w:lvlText w:val="%1."/>
      <w:numFmt w:val="upperLetter"/>
      <w:start w:val="2"/>
    </w:lvl>
    <w:lvl w:ilvl="1">
      <w:lvlJc w:val="left"/>
      <w:lvlText w:val="%2"/>
      <w:numFmt w:val="decimal"/>
      <w:start w:val="1"/>
    </w:lvl>
  </w:abstractNum>
  <w:abstractNum w:abstractNumId="4">
    <w:nsid w:val="5577F8E1"/>
    <w:multiLevelType w:val="hybridMultilevel"/>
    <w:lvl w:ilvl="0">
      <w:lvlJc w:val="left"/>
      <w:lvlText w:val="%1."/>
      <w:numFmt w:val="decimal"/>
      <w:start w:val="1"/>
    </w:lvl>
  </w:abstractNum>
  <w:abstractNum w:abstractNumId="5">
    <w:nsid w:val="440BADFC"/>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6">
    <w:nsid w:val="507236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7">
    <w:nsid w:val="3804823E"/>
    <w:multiLevelType w:val="hybridMultilevel"/>
    <w:lvl w:ilvl="0">
      <w:lvlJc w:val="left"/>
      <w:lvlText w:val="(%1)"/>
      <w:numFmt w:val="lowerLetter"/>
      <w:start w:val="7"/>
    </w:lvl>
    <w:lvl w:ilvl="1">
      <w:lvlJc w:val="left"/>
      <w:lvlText w:val="(%2)"/>
      <w:numFmt w:val="lowerLetter"/>
      <w:start w:val="9"/>
    </w:lvl>
  </w:abstractNum>
  <w:abstractNum w:abstractNumId="8">
    <w:nsid w:val="77465F01"/>
    <w:multiLevelType w:val="hybridMultilevel"/>
    <w:lvl w:ilvl="0">
      <w:lvlJc w:val="left"/>
      <w:lvlText w:val="%1"/>
      <w:numFmt w:val="upperLetter"/>
      <w:start w:val="1"/>
    </w:lvl>
    <w:lvl w:ilvl="1">
      <w:lvlJc w:val="left"/>
      <w:lvlText w:val="(%2)"/>
      <w:numFmt w:val="lowerRoman"/>
      <w:start w:val="2"/>
    </w:lvl>
  </w:abstractNum>
  <w:abstractNum w:abstractNumId="9">
    <w:nsid w:val="7724C67E"/>
    <w:multiLevelType w:val="hybridMultilevel"/>
    <w:lvl w:ilvl="0">
      <w:lvlJc w:val="left"/>
      <w:lvlText w:val="(%1)"/>
      <w:numFmt w:val="upperLetter"/>
      <w:start w:val="1"/>
    </w:lvl>
    <w:lvl w:ilvl="1">
      <w:lvlJc w:val="left"/>
      <w:lvlText w:val="%2"/>
      <w:numFmt w:val="lowerRoman"/>
      <w:start w:val="1"/>
    </w:lvl>
  </w:abstractNum>
  <w:abstractNum w:abstractNumId="10">
    <w:nsid w:val="5C482A97"/>
    <w:multiLevelType w:val="hybridMultilevel"/>
    <w:lvl w:ilvl="0">
      <w:lvlJc w:val="left"/>
      <w:lvlText w:val="%1"/>
      <w:numFmt w:val="lowerLetter"/>
      <w:start w:val="1"/>
    </w:lvl>
    <w:lvl w:ilvl="1">
      <w:lvlJc w:val="left"/>
      <w:lvlText w:val="(%2)"/>
      <w:numFmt w:val="lowerLetter"/>
      <w:start w:val="8"/>
    </w:lvl>
  </w:abstractNum>
  <w:abstractNum w:abstractNumId="11">
    <w:nsid w:val="2463B9EA"/>
    <w:multiLevelType w:val="hybridMultilevel"/>
    <w:lvl w:ilvl="0">
      <w:lvlJc w:val="left"/>
      <w:lvlText w:val="(%1)"/>
      <w:numFmt w:val="lowerLetter"/>
      <w:start w:val="35"/>
    </w:lvl>
    <w:lvl w:ilvl="1">
      <w:lvlJc w:val="left"/>
      <w:lvlText w:val="(%2)"/>
      <w:numFmt w:val="lowerLetter"/>
      <w:start w:val="13"/>
    </w:lvl>
  </w:abstractNum>
  <w:abstractNum w:abstractNumId="12">
    <w:nsid w:val="5E884ADC"/>
    <w:multiLevelType w:val="hybridMultilevel"/>
    <w:lvl w:ilvl="0">
      <w:lvlJc w:val="left"/>
      <w:lvlText w:val="(%1)"/>
      <w:numFmt w:val="lowerLetter"/>
      <w:start w:val="15"/>
    </w:lvl>
    <w:lvl w:ilvl="1">
      <w:lvlJc w:val="left"/>
      <w:lvlText w:val="(%2)"/>
      <w:numFmt w:val="lowerRoman"/>
      <w:start w:val="1"/>
    </w:lvl>
  </w:abstractNum>
  <w:abstractNum w:abstractNumId="13">
    <w:nsid w:val="51EAD36B"/>
    <w:multiLevelType w:val="hybridMultilevel"/>
    <w:lvl w:ilvl="0">
      <w:lvlJc w:val="left"/>
      <w:lvlText w:val="(%1)"/>
      <w:numFmt w:val="lowerLetter"/>
      <w:start w:val="22"/>
    </w:lvl>
  </w:abstractNum>
  <w:abstractNum w:abstractNumId="14">
    <w:nsid w:val="2D517796"/>
    <w:multiLevelType w:val="hybridMultilevel"/>
    <w:lvl w:ilvl="0">
      <w:lvlJc w:val="left"/>
      <w:lvlText w:val="(%1)"/>
      <w:numFmt w:val="lowerLetter"/>
      <w:start w:val="27"/>
    </w:lvl>
  </w:abstractNum>
  <w:abstractNum w:abstractNumId="15">
    <w:nsid w:val="580BD78F"/>
    <w:multiLevelType w:val="hybridMultilevel"/>
    <w:lvl w:ilvl="0">
      <w:lvlJc w:val="left"/>
      <w:lvlText w:val="%1"/>
      <w:numFmt w:val="decimal"/>
      <w:start w:val="1"/>
    </w:lvl>
    <w:lvl w:ilvl="1">
      <w:lvlJc w:val="left"/>
      <w:lvlText w:val="(%2)"/>
      <w:numFmt w:val="lowerLetter"/>
      <w:start w:val="37"/>
    </w:lvl>
  </w:abstractNum>
  <w:abstractNum w:abstractNumId="16">
    <w:nsid w:val="153EA438"/>
    <w:multiLevelType w:val="hybridMultilevel"/>
    <w:lvl w:ilvl="0">
      <w:lvlJc w:val="left"/>
      <w:lvlText w:val="%1."/>
      <w:numFmt w:val="decimal"/>
      <w:start w:val="3"/>
    </w:lvl>
    <w:lvl w:ilvl="1">
      <w:lvlJc w:val="left"/>
      <w:lvlText w:val="(%2)"/>
      <w:numFmt w:val="lowerLetter"/>
      <w:start w:val="1"/>
    </w:lvl>
  </w:abstractNum>
  <w:abstractNum w:abstractNumId="17">
    <w:nsid w:val="3855585C"/>
    <w:multiLevelType w:val="hybridMultilevel"/>
    <w:lvl w:ilvl="0">
      <w:lvlJc w:val="left"/>
      <w:lvlText w:val="(%1)"/>
      <w:numFmt w:val="lowerRoman"/>
      <w:start w:val="1"/>
    </w:lvl>
  </w:abstractNum>
  <w:abstractNum w:abstractNumId="18">
    <w:nsid w:val="70A64E2A"/>
    <w:multiLevelType w:val="hybridMultilevel"/>
    <w:lvl w:ilvl="0">
      <w:lvlJc w:val="left"/>
      <w:lvlText w:val="%1"/>
      <w:numFmt w:val="lowerLetter"/>
      <w:start w:val="1"/>
    </w:lvl>
    <w:lvl w:ilvl="1">
      <w:lvlJc w:val="left"/>
      <w:lvlText w:val="(%2)"/>
      <w:numFmt w:val="lowerRoman"/>
      <w:start w:val="2"/>
    </w:lvl>
  </w:abstractNum>
  <w:abstractNum w:abstractNumId="19">
    <w:nsid w:val="6A2342EC"/>
    <w:multiLevelType w:val="hybridMultilevel"/>
    <w:lvl w:ilvl="0">
      <w:lvlJc w:val="left"/>
      <w:lvlText w:val="(%1)"/>
      <w:numFmt w:val="lowerLetter"/>
      <w:start w:val="2"/>
    </w:lvl>
    <w:lvl w:ilvl="1">
      <w:lvlJc w:val="left"/>
      <w:lvlText w:val="(%2)"/>
      <w:numFmt w:val="lowerRoman"/>
      <w:start w:val="1"/>
    </w:lvl>
  </w:abstractNum>
  <w:abstractNum w:abstractNumId="20">
    <w:nsid w:val="2A487CB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8"/>
    </w:lvl>
  </w:abstractNum>
  <w:abstractNum w:abstractNumId="21">
    <w:nsid w:val="1D4ED43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2">
    <w:nsid w:val="725A06F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3">
    <w:nsid w:val="2CD89A32"/>
    <w:multiLevelType w:val="hybridMultilevel"/>
    <w:lvl w:ilvl="0">
      <w:lvlJc w:val="left"/>
      <w:lvlText w:val="(%1)"/>
      <w:numFmt w:val="lowerLetter"/>
      <w:start w:val="3"/>
    </w:lvl>
    <w:lvl w:ilvl="1">
      <w:lvlJc w:val="left"/>
      <w:lvlText w:val="(%2)"/>
      <w:numFmt w:val="lowerRoman"/>
      <w:start w:val="1"/>
    </w:lvl>
  </w:abstractNum>
  <w:abstractNum w:abstractNumId="24">
    <w:nsid w:val="57E4CCAF"/>
    <w:multiLevelType w:val="hybridMultilevel"/>
    <w:lvl w:ilvl="0">
      <w:lvlJc w:val="left"/>
      <w:lvlText w:val="(%1)"/>
      <w:numFmt w:val="lowerRoman"/>
      <w:start w:val="2"/>
    </w:lvl>
  </w:abstractNum>
  <w:abstractNum w:abstractNumId="25">
    <w:nsid w:val="7A6D8D3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22"/>
    </w:lvl>
    <w:lvl w:ilvl="4">
      <w:lvlJc w:val="left"/>
      <w:lvlText w:val="(%5)"/>
      <w:numFmt w:val="decimal"/>
      <w:start w:val="1"/>
    </w:lvl>
  </w:abstractNum>
  <w:abstractNum w:abstractNumId="26">
    <w:nsid w:val="4B588F54"/>
    <w:multiLevelType w:val="hybridMultilevel"/>
    <w:lvl w:ilvl="0">
      <w:lvlJc w:val="left"/>
      <w:lvlText w:val="(%1)"/>
      <w:numFmt w:val="decimal"/>
      <w:start w:val="30"/>
    </w:lvl>
    <w:lvl w:ilvl="1">
      <w:lvlJc w:val="left"/>
      <w:lvlText w:val="%2."/>
      <w:numFmt w:val="decimal"/>
      <w:start w:val="7"/>
    </w:lvl>
    <w:lvl w:ilvl="2">
      <w:lvlJc w:val="left"/>
      <w:lvlText w:val="(%3)"/>
      <w:numFmt w:val="lowerLetter"/>
      <w:start w:val="1"/>
    </w:lvl>
    <w:lvl w:ilvl="3">
      <w:lvlJc w:val="left"/>
      <w:lvlText w:val="%4"/>
      <w:numFmt w:val="lowerLetter"/>
      <w:start w:val="1"/>
    </w:lvl>
    <w:lvl w:ilvl="4">
      <w:lvlJc w:val="left"/>
      <w:lvlText w:val="%5"/>
      <w:numFmt w:val="decimal"/>
      <w:start w:val="1"/>
    </w:lvl>
  </w:abstractNum>
  <w:abstractNum w:abstractNumId="27">
    <w:nsid w:val="542289EC"/>
    <w:multiLevelType w:val="hybridMultilevel"/>
    <w:lvl w:ilvl="0">
      <w:lvlJc w:val="left"/>
      <w:lvlText w:val="(%1)"/>
      <w:numFmt w:val="lowerLetter"/>
      <w:start w:val="6"/>
    </w:lvl>
    <w:lvl w:ilvl="1">
      <w:lvlJc w:val="left"/>
      <w:lvlText w:val="(%2)"/>
      <w:numFmt w:val="lowerRoman"/>
      <w:start w:val="1"/>
    </w:lvl>
  </w:abstractNum>
  <w:abstractNum w:abstractNumId="28">
    <w:nsid w:val="6DE91B18"/>
    <w:multiLevelType w:val="hybridMultilevel"/>
    <w:lvl w:ilvl="0">
      <w:lvlJc w:val="left"/>
      <w:lvlText w:val="%1."/>
      <w:numFmt w:val="decimal"/>
      <w:start w:val="8"/>
    </w:lvl>
    <w:lvl w:ilvl="1">
      <w:lvlJc w:val="left"/>
      <w:lvlText w:val="(%2)"/>
      <w:numFmt w:val="lowerLetter"/>
      <w:start w:val="1"/>
    </w:lvl>
  </w:abstractNum>
  <w:abstractNum w:abstractNumId="29">
    <w:nsid w:val="38437FDB"/>
    <w:multiLevelType w:val="hybridMultilevel"/>
    <w:lvl w:ilvl="0">
      <w:lvlJc w:val="left"/>
      <w:lvlText w:val="%1"/>
      <w:numFmt w:val="decimal"/>
      <w:start w:val="1"/>
    </w:lvl>
    <w:lvl w:ilvl="1">
      <w:lvlJc w:val="left"/>
      <w:lvlText w:val="(%2)"/>
      <w:numFmt w:val="lowerLetter"/>
      <w:start w:val="7"/>
    </w:lvl>
  </w:abstractNum>
  <w:abstractNum w:abstractNumId="30">
    <w:nsid w:val="7644A45C"/>
    <w:multiLevelType w:val="hybridMultilevel"/>
    <w:lvl w:ilvl="0">
      <w:lvlJc w:val="left"/>
      <w:lvlText w:val="%1."/>
      <w:numFmt w:val="decimal"/>
      <w:start w:val="9"/>
    </w:lvl>
    <w:lvl w:ilvl="1">
      <w:lvlJc w:val="left"/>
      <w:lvlText w:val="(%2)"/>
      <w:numFmt w:val="lowerLetter"/>
      <w:start w:val="1"/>
    </w:lvl>
  </w:abstractNum>
  <w:abstractNum w:abstractNumId="31">
    <w:nsid w:val="32FFF902"/>
    <w:multiLevelType w:val="hybridMultilevel"/>
    <w:lvl w:ilvl="0">
      <w:lvlJc w:val="left"/>
      <w:lvlText w:val="%1"/>
      <w:numFmt w:val="decimal"/>
      <w:start w:val="1"/>
    </w:lvl>
    <w:lvl w:ilvl="1">
      <w:lvlJc w:val="left"/>
      <w:lvlText w:val="(%2)"/>
      <w:numFmt w:val="lowerLetter"/>
      <w:start w:val="2"/>
    </w:lvl>
  </w:abstractNum>
  <w:abstractNum w:abstractNumId="32">
    <w:nsid w:val="684A481A"/>
    <w:multiLevelType w:val="hybridMultilevel"/>
    <w:lvl w:ilvl="0">
      <w:lvlJc w:val="left"/>
      <w:lvlText w:val="%1."/>
      <w:numFmt w:val="decimal"/>
      <w:start w:val="11"/>
    </w:lvl>
    <w:lvl w:ilvl="1">
      <w:lvlJc w:val="left"/>
      <w:lvlText w:val="%2"/>
      <w:numFmt w:val="lowerLetter"/>
      <w:start w:val="1"/>
    </w:lvl>
  </w:abstractNum>
  <w:abstractNum w:abstractNumId="33">
    <w:nsid w:val="579478FE"/>
    <w:multiLevelType w:val="hybridMultilevel"/>
    <w:lvl w:ilvl="0">
      <w:lvlJc w:val="left"/>
      <w:lvlText w:val="%1."/>
      <w:numFmt w:val="decimal"/>
      <w:start w:val="12"/>
    </w:lvl>
    <w:lvl w:ilvl="1">
      <w:lvlJc w:val="left"/>
      <w:lvlText w:val="(%2)"/>
      <w:numFmt w:val="lowerLetter"/>
      <w:start w:val="1"/>
    </w:lvl>
  </w:abstractNum>
  <w:abstractNum w:abstractNumId="34">
    <w:nsid w:val="749ABB43"/>
    <w:multiLevelType w:val="hybridMultilevel"/>
    <w:lvl w:ilvl="0">
      <w:lvlJc w:val="left"/>
      <w:lvlText w:val="%1."/>
      <w:numFmt w:val="decimal"/>
      <w:start w:val="15"/>
    </w:lvl>
    <w:lvl w:ilvl="1">
      <w:lvlJc w:val="left"/>
      <w:lvlText w:val="(%2)"/>
      <w:numFmt w:val="lowerLetter"/>
      <w:start w:val="1"/>
    </w:lvl>
  </w:abstractNum>
  <w:abstractNum w:abstractNumId="35">
    <w:nsid w:val="3DC240FB"/>
    <w:multiLevelType w:val="hybridMultilevel"/>
    <w:lvl w:ilvl="0">
      <w:lvlJc w:val="left"/>
      <w:lvlText w:val="%1."/>
      <w:numFmt w:val="decimal"/>
      <w:start w:val="16"/>
    </w:lvl>
    <w:lvl w:ilvl="1">
      <w:lvlJc w:val="left"/>
      <w:lvlText w:val="(%2)"/>
      <w:numFmt w:val="lowerLetter"/>
      <w:start w:val="1"/>
    </w:lvl>
  </w:abstractNum>
  <w:abstractNum w:abstractNumId="36">
    <w:nsid w:val="1BA026FA"/>
    <w:multiLevelType w:val="hybridMultilevel"/>
    <w:lvl w:ilvl="0">
      <w:lvlJc w:val="left"/>
      <w:lvlText w:val="%1"/>
      <w:numFmt w:val="decimal"/>
      <w:start w:val="1"/>
    </w:lvl>
    <w:lvl w:ilvl="1">
      <w:lvlJc w:val="left"/>
      <w:lvlText w:val="(%2)"/>
      <w:numFmt w:val="lowerLetter"/>
      <w:start w:val="2"/>
    </w:lvl>
  </w:abstractNum>
  <w:abstractNum w:abstractNumId="37">
    <w:nsid w:val="79A1DEAA"/>
    <w:multiLevelType w:val="hybridMultilevel"/>
    <w:lvl w:ilvl="0">
      <w:lvlJc w:val="left"/>
      <w:lvlText w:val="%1."/>
      <w:numFmt w:val="decimal"/>
      <w:start w:val="21"/>
    </w:lvl>
    <w:lvl w:ilvl="1">
      <w:lvlJc w:val="left"/>
      <w:lvlText w:val="%2"/>
      <w:numFmt w:val="lowerLetter"/>
      <w:start w:val="1"/>
    </w:lvl>
  </w:abstractNum>
  <w:abstractNum w:abstractNumId="38">
    <w:nsid w:val="75C6C33A"/>
    <w:multiLevelType w:val="hybridMultilevel"/>
    <w:lvl w:ilvl="0">
      <w:lvlJc w:val="left"/>
      <w:lvlText w:val="%1."/>
      <w:numFmt w:val="decimal"/>
      <w:start w:val="1"/>
    </w:lvl>
    <w:lvl w:ilvl="1">
      <w:lvlJc w:val="left"/>
      <w:lvlText w:val="(%2)"/>
      <w:numFmt w:val="lowerLetter"/>
      <w:start w:val="1"/>
    </w:lvl>
  </w:abstractNum>
  <w:abstractNum w:abstractNumId="39">
    <w:nsid w:val="12E685FB"/>
    <w:multiLevelType w:val="hybridMultilevel"/>
    <w:lvl w:ilvl="0">
      <w:lvlJc w:val="left"/>
      <w:lvlText w:val="%1."/>
      <w:numFmt w:val="decimal"/>
      <w:start w:val="5"/>
    </w:lvl>
    <w:lvl w:ilvl="1">
      <w:lvlJc w:val="left"/>
      <w:lvlText w:val="(%2)"/>
      <w:numFmt w:val="lowerLetter"/>
      <w:start w:val="1"/>
    </w:lvl>
  </w:abstractNum>
  <w:abstractNum w:abstractNumId="40">
    <w:nsid w:val="70C6A529"/>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41">
    <w:nsid w:val="520EEDD1"/>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42">
    <w:nsid w:val="374A3FE6"/>
    <w:multiLevelType w:val="hybridMultilevel"/>
    <w:lvl w:ilvl="0">
      <w:lvlJc w:val="left"/>
      <w:lvlText w:val="(%1)"/>
      <w:numFmt w:val="lowerLetter"/>
      <w:start w:val="2"/>
    </w:lvl>
  </w:abstractNum>
  <w:abstractNum w:abstractNumId="43">
    <w:nsid w:val="4F4EF005"/>
    <w:multiLevelType w:val="hybridMultilevel"/>
    <w:lvl w:ilvl="0">
      <w:lvlJc w:val="left"/>
      <w:lvlText w:val="%1."/>
      <w:numFmt w:val="decimal"/>
      <w:start w:val="9"/>
    </w:lvl>
  </w:abstractNum>
  <w:abstractNum w:abstractNumId="44">
    <w:nsid w:val="23F9C13C"/>
    <w:multiLevelType w:val="hybridMultilevel"/>
    <w:lvl w:ilvl="0">
      <w:lvlJc w:val="left"/>
      <w:lvlText w:val="%1."/>
      <w:numFmt w:val="decimal"/>
      <w:start w:val="12"/>
    </w:lvl>
    <w:lvl w:ilvl="1">
      <w:lvlJc w:val="left"/>
      <w:lvlText w:val="(%2)"/>
      <w:numFmt w:val="lowerLetter"/>
      <w:start w:val="1"/>
    </w:lvl>
  </w:abstractNum>
  <w:abstractNum w:abstractNumId="45">
    <w:nsid w:val="649BB77C"/>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abstractNum>
  <w:abstractNum w:abstractNumId="46">
    <w:nsid w:val="275AC794"/>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47">
    <w:nsid w:val="39386575"/>
    <w:multiLevelType w:val="hybridMultilevel"/>
    <w:lvl w:ilvl="0">
      <w:lvlJc w:val="left"/>
      <w:lvlText w:val="%1."/>
      <w:numFmt w:val="decimal"/>
      <w:start w:val="15"/>
    </w:lvl>
  </w:abstractNum>
  <w:abstractNum w:abstractNumId="48">
    <w:nsid w:val="1CF10FD8"/>
    <w:multiLevelType w:val="hybridMultilevel"/>
    <w:lvl w:ilvl="0">
      <w:lvlJc w:val="left"/>
      <w:lvlText w:val="%1."/>
      <w:numFmt w:val="decimal"/>
      <w:start w:val="18"/>
    </w:lvl>
  </w:abstractNum>
  <w:abstractNum w:abstractNumId="49">
    <w:nsid w:val="180115BE"/>
    <w:multiLevelType w:val="hybridMultilevel"/>
    <w:lvl w:ilvl="0">
      <w:lvlJc w:val="left"/>
      <w:lvlText w:val="%1."/>
      <w:numFmt w:val="decimal"/>
      <w:start w:val="25"/>
    </w:lvl>
  </w:abstractNum>
  <w:abstractNum w:abstractNumId="50">
    <w:nsid w:val="235BA861"/>
    <w:multiLevelType w:val="hybridMultilevel"/>
    <w:lvl w:ilvl="0">
      <w:lvlJc w:val="left"/>
      <w:lvlText w:val="%1."/>
      <w:numFmt w:val="decimal"/>
      <w:start w:val="2"/>
    </w:lvl>
  </w:abstractNum>
  <w:abstractNum w:abstractNumId="51">
    <w:nsid w:val="47398C89"/>
    <w:multiLevelType w:val="hybridMultilevel"/>
    <w:lvl w:ilvl="0">
      <w:lvlJc w:val="left"/>
      <w:lvlText w:val="%1."/>
      <w:numFmt w:val="decimal"/>
      <w:start w:val="6"/>
    </w:lvl>
  </w:abstractNum>
  <w:abstractNum w:abstractNumId="52">
    <w:nsid w:val="354FE9F9"/>
    <w:multiLevelType w:val="hybridMultilevel"/>
    <w:lvl w:ilvl="0">
      <w:lvlJc w:val="left"/>
      <w:lvlText w:val="%1."/>
      <w:numFmt w:val="decimal"/>
      <w:start w:val="1"/>
    </w:lvl>
    <w:lvl w:ilvl="1">
      <w:lvlJc w:val="left"/>
      <w:lvlText w:val="(%2)"/>
      <w:numFmt w:val="lowerLetter"/>
      <w:start w:val="1"/>
    </w:lvl>
  </w:abstractNum>
  <w:abstractNum w:abstractNumId="53">
    <w:nsid w:val="15B5AF5C"/>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54">
    <w:nsid w:val="741226BB"/>
    <w:multiLevelType w:val="hybridMultilevel"/>
    <w:lvl w:ilvl="0">
      <w:lvlJc w:val="left"/>
      <w:lvlText w:val="(%1)"/>
      <w:numFmt w:val="decimal"/>
      <w:start w:val="6"/>
    </w:lvl>
    <w:lvl w:ilvl="1">
      <w:lvlJc w:val="left"/>
      <w:lvlText w:val="%2."/>
      <w:numFmt w:val="decimal"/>
      <w:start w:val="4"/>
    </w:lvl>
    <w:lvl w:ilvl="2">
      <w:lvlJc w:val="left"/>
      <w:lvlText w:val="%3"/>
      <w:numFmt w:val="lowerLetter"/>
      <w:start w:val="1"/>
    </w:lvl>
    <w:lvl w:ilvl="3">
      <w:lvlJc w:val="left"/>
      <w:lvlText w:val="(%4)"/>
      <w:numFmt w:val="lowerRoman"/>
      <w:start w:val="3"/>
    </w:lvl>
  </w:abstractNum>
  <w:abstractNum w:abstractNumId="55">
    <w:nsid w:val="D34B6A8"/>
    <w:multiLevelType w:val="hybridMultilevel"/>
    <w:lvl w:ilvl="0">
      <w:lvlJc w:val="left"/>
      <w:lvlText w:val="%1"/>
      <w:numFmt w:val="upperLetter"/>
      <w:start w:val="1"/>
    </w:lvl>
    <w:lvl w:ilvl="1">
      <w:lvlJc w:val="left"/>
      <w:lvlText w:val="%2."/>
      <w:numFmt w:val="decimal"/>
      <w:start w:val="7"/>
    </w:lvl>
    <w:lvl w:ilvl="2">
      <w:lvlJc w:val="left"/>
      <w:lvlText w:val="(%3)"/>
      <w:numFmt w:val="lowerLetter"/>
      <w:start w:val="1"/>
    </w:lvl>
  </w:abstractNum>
  <w:abstractNum w:abstractNumId="56">
    <w:nsid w:val="10233C99"/>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2"/>
    </w:lvl>
  </w:abstractNum>
  <w:abstractNum w:abstractNumId="57">
    <w:nsid w:val="3F6AB60F"/>
    <w:multiLevelType w:val="hybridMultilevel"/>
    <w:lvl w:ilvl="0">
      <w:lvlJc w:val="left"/>
      <w:lvlText w:val="%1"/>
      <w:numFmt w:val="decimal"/>
      <w:start w:val="1"/>
    </w:lvl>
    <w:lvl w:ilvl="1">
      <w:lvlJc w:val="left"/>
      <w:lvlText w:val="(%2)"/>
      <w:numFmt w:val="lowerLetter"/>
      <w:start w:val="3"/>
    </w:lvl>
  </w:abstractNum>
  <w:abstractNum w:abstractNumId="58">
    <w:nsid w:val="61574095"/>
    <w:multiLevelType w:val="hybridMultilevel"/>
    <w:lvl w:ilvl="0">
      <w:lvlJc w:val="left"/>
      <w:lvlText w:val="%1."/>
      <w:numFmt w:val="decimal"/>
      <w:start w:val="8"/>
    </w:lvl>
    <w:lvl w:ilvl="1">
      <w:lvlJc w:val="left"/>
      <w:lvlText w:val="%2"/>
      <w:numFmt w:val="lowerLetter"/>
      <w:start w:val="1"/>
    </w:lvl>
  </w:abstractNum>
  <w:abstractNum w:abstractNumId="59">
    <w:nsid w:val="7E0C57B1"/>
    <w:multiLevelType w:val="hybridMultilevel"/>
    <w:lvl w:ilvl="0">
      <w:lvlJc w:val="left"/>
      <w:lvlText w:val="%1."/>
      <w:numFmt w:val="decimal"/>
      <w:start w:val="9"/>
    </w:lvl>
    <w:lvl w:ilvl="1">
      <w:lvlJc w:val="left"/>
      <w:lvlText w:val="(%2)"/>
      <w:numFmt w:val="lowerLetter"/>
      <w:start w:val="1"/>
    </w:lvl>
  </w:abstractNum>
  <w:abstractNum w:abstractNumId="60">
    <w:nsid w:val="77AE35EB"/>
    <w:multiLevelType w:val="hybridMultilevel"/>
    <w:lvl w:ilvl="0">
      <w:lvlJc w:val="left"/>
      <w:lvlText w:val="(%1)"/>
      <w:numFmt w:val="lowerLetter"/>
      <w:start w:val="7"/>
    </w:lvl>
    <w:lvl w:ilvl="1">
      <w:lvlJc w:val="left"/>
      <w:lvlText w:val="(%2)"/>
      <w:numFmt w:val="lowerLetter"/>
      <w:start w:val="9"/>
    </w:lvl>
  </w:abstractNum>
  <w:abstractNum w:abstractNumId="61">
    <w:nsid w:val="579BE4F1"/>
    <w:multiLevelType w:val="hybridMultilevel"/>
    <w:lvl w:ilvl="0">
      <w:lvlJc w:val="left"/>
      <w:lvlText w:val="(%1)"/>
      <w:numFmt w:val="lowerRoman"/>
      <w:start w:val="1"/>
    </w:lvl>
  </w:abstractNum>
  <w:abstractNum w:abstractNumId="62">
    <w:nsid w:val="310C50B3"/>
    <w:multiLevelType w:val="hybridMultilevel"/>
    <w:lvl w:ilvl="0">
      <w:lvlJc w:val="left"/>
      <w:lvlText w:val="%1."/>
      <w:numFmt w:val="decimal"/>
      <w:start w:val="12"/>
    </w:lvl>
  </w:abstractNum>
  <w:abstractNum w:abstractNumId="63">
    <w:nsid w:val="5FF87E05"/>
    <w:multiLevelType w:val="hybridMultilevel"/>
    <w:lvl w:ilvl="0">
      <w:lvlJc w:val="left"/>
      <w:lvlText w:val="%1."/>
      <w:numFmt w:val="decimal"/>
      <w:start w:val="14"/>
    </w:lvl>
  </w:abstractNum>
  <w:abstractNum w:abstractNumId="64">
    <w:nsid w:val="2F305DEF"/>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jpeg"/><Relationship Id="rId17" Type="http://schemas.openxmlformats.org/officeDocument/2006/relationships/hyperlink" Target="http://www.sec.gov/ix?doc=/Archives/edgar/data/1810182/000095017024027955/alxo-20231231.htm" TargetMode="External"/><Relationship Id="rId18" Type="http://schemas.openxmlformats.org/officeDocument/2006/relationships/hyperlink" Target="http://www.sec.gov/Archives/edgar/data/1810182/000119312520191878/d936945d8a12b.htm" TargetMode="External"/><Relationship Id="rId21" Type="http://schemas.openxmlformats.org/officeDocument/2006/relationships/hyperlink" Target="http://www.sec.gov/Archives/edgar/data/1810182/000119312520181021/d913838dex42.htm" TargetMode="External"/><Relationship Id="rId22" Type="http://schemas.openxmlformats.org/officeDocument/2006/relationships/hyperlink" Target="http://www.sec.gov/Archives/edgar/data/1810182/000119312520191500/d913838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2025-01-17T15:45:53Z</dcterms:created>
  <dcterms:modified xsi:type="dcterms:W3CDTF">2025-01-17T15:45:53Z</dcterms:modified>
</cp:coreProperties>
</file>