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81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103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Graham G. Walmsley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LOGOS GLOBAL MANAGEMENT, LP</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 LETTERMAN DRIVE, BLDG D, SUITE D3-700</w:t>
      </w:r>
    </w:p>
    <w:p>
      <w:pPr>
        <w:spacing w:after="0" w:line="296"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28" w:lineRule="exact"/>
        <w:rPr>
          <w:sz w:val="24"/>
          <w:szCs w:val="24"/>
          <w:color w:val="auto"/>
        </w:rPr>
      </w:pPr>
    </w:p>
    <w:p>
      <w:pPr>
        <w:ind w:left="120" w:right="54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94129 FRANCISCO</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ind w:left="60"/>
              <w:spacing w:after="0"/>
              <w:rPr>
                <w:sz w:val="20"/>
                <w:szCs w:val="20"/>
                <w:color w:val="auto"/>
              </w:rPr>
            </w:pPr>
            <w:r>
              <w:rPr>
                <w:rFonts w:ascii="Arial" w:cs="Arial" w:eastAsia="Arial" w:hAnsi="Arial"/>
                <w:sz w:val="12"/>
                <w:szCs w:val="12"/>
                <w:color w:val="auto"/>
              </w:rPr>
              <w:t>2.</w:t>
            </w:r>
          </w:p>
        </w:tc>
        <w:tc>
          <w:tcPr>
            <w:tcW w:w="364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ALX ONCOLOGY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ALXO</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0" w:type="dxa"/>
            <w:vAlign w:val="bottom"/>
            <w:vMerge w:val="restart"/>
          </w:tcPr>
          <w:p>
            <w:pPr>
              <w:ind w:left="60"/>
              <w:spacing w:after="0" w:line="199" w:lineRule="exact"/>
              <w:rPr>
                <w:sz w:val="20"/>
                <w:szCs w:val="20"/>
                <w:color w:val="auto"/>
              </w:rPr>
            </w:pPr>
            <w:r>
              <w:rPr>
                <w:rFonts w:ascii="Arial" w:cs="Arial" w:eastAsia="Arial" w:hAnsi="Arial"/>
                <w:sz w:val="20"/>
                <w:szCs w:val="20"/>
                <w:color w:val="auto"/>
              </w:rPr>
              <w:t>]</w:t>
            </w: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vMerge w:val="continue"/>
          </w:tcPr>
          <w:p>
            <w:pPr>
              <w:spacing w:after="0"/>
              <w:rPr>
                <w:sz w:val="14"/>
                <w:szCs w:val="14"/>
                <w:color w:val="auto"/>
              </w:rPr>
            </w:pPr>
          </w:p>
        </w:tc>
        <w:tc>
          <w:tcPr>
            <w:tcW w:w="3640" w:type="dxa"/>
            <w:vAlign w:val="bottom"/>
          </w:tcPr>
          <w:p>
            <w:pPr>
              <w:spacing w:after="0"/>
              <w:rPr>
                <w:sz w:val="14"/>
                <w:szCs w:val="14"/>
                <w:color w:val="auto"/>
              </w:rPr>
            </w:pPr>
          </w:p>
        </w:tc>
        <w:tc>
          <w:tcPr>
            <w:tcW w:w="480" w:type="dxa"/>
            <w:vAlign w:val="bottom"/>
          </w:tcPr>
          <w:p>
            <w:pPr>
              <w:ind w:left="260"/>
              <w:spacing w:after="0" w:line="163" w:lineRule="exact"/>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36"/>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68"/>
        </w:trPr>
        <w:tc>
          <w:tcPr>
            <w:tcW w:w="200" w:type="dxa"/>
            <w:vAlign w:val="bottom"/>
            <w:tcBorders>
              <w:bottom w:val="single" w:sz="8" w:color="2C2C2C"/>
            </w:tcBorders>
          </w:tcPr>
          <w:p>
            <w:pPr>
              <w:spacing w:after="0"/>
              <w:rPr>
                <w:sz w:val="5"/>
                <w:szCs w:val="5"/>
                <w:color w:val="auto"/>
              </w:rPr>
            </w:pPr>
          </w:p>
        </w:tc>
        <w:tc>
          <w:tcPr>
            <w:tcW w:w="364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0" w:type="dxa"/>
            <w:vAlign w:val="bottom"/>
          </w:tcPr>
          <w:p>
            <w:pPr>
              <w:ind w:left="60"/>
              <w:spacing w:after="0"/>
              <w:rPr>
                <w:sz w:val="20"/>
                <w:szCs w:val="20"/>
                <w:color w:val="auto"/>
              </w:rPr>
            </w:pPr>
            <w:r>
              <w:rPr>
                <w:rFonts w:ascii="Arial" w:cs="Arial" w:eastAsia="Arial" w:hAnsi="Arial"/>
                <w:sz w:val="12"/>
                <w:szCs w:val="12"/>
                <w:color w:val="auto"/>
              </w:rPr>
              <w:t>3.</w:t>
            </w:r>
          </w:p>
        </w:tc>
        <w:tc>
          <w:tcPr>
            <w:tcW w:w="3640" w:type="dxa"/>
            <w:vAlign w:val="bottom"/>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07/21/2020</w:t>
            </w: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0" w:type="dxa"/>
            <w:vAlign w:val="bottom"/>
            <w:tcBorders>
              <w:bottom w:val="single" w:sz="8" w:color="2C2C2C"/>
            </w:tcBorders>
          </w:tcPr>
          <w:p>
            <w:pPr>
              <w:spacing w:after="0"/>
              <w:rPr>
                <w:sz w:val="20"/>
                <w:szCs w:val="20"/>
                <w:color w:val="auto"/>
              </w:rPr>
            </w:pPr>
          </w:p>
        </w:tc>
        <w:tc>
          <w:tcPr>
            <w:tcW w:w="3640" w:type="dxa"/>
            <w:vAlign w:val="bottom"/>
            <w:tcBorders>
              <w:bottom w:val="single" w:sz="8" w:color="2C2C2C"/>
            </w:tcBorders>
          </w:tcPr>
          <w:p>
            <w:pPr>
              <w:spacing w:after="0"/>
              <w:rPr>
                <w:sz w:val="20"/>
                <w:szCs w:val="20"/>
                <w:color w:val="auto"/>
              </w:rPr>
            </w:pPr>
          </w:p>
        </w:tc>
        <w:tc>
          <w:tcPr>
            <w:tcW w:w="328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0" w:type="dxa"/>
            <w:vAlign w:val="bottom"/>
          </w:tcPr>
          <w:p>
            <w:pPr>
              <w:ind w:left="60"/>
              <w:spacing w:after="0"/>
              <w:rPr>
                <w:sz w:val="20"/>
                <w:szCs w:val="20"/>
                <w:color w:val="auto"/>
              </w:rPr>
            </w:pPr>
            <w:r>
              <w:rPr>
                <w:rFonts w:ascii="Arial" w:cs="Arial" w:eastAsia="Arial" w:hAnsi="Arial"/>
                <w:sz w:val="12"/>
                <w:szCs w:val="12"/>
                <w:color w:val="auto"/>
              </w:rPr>
              <w:t>4.</w:t>
            </w:r>
          </w:p>
        </w:tc>
        <w:tc>
          <w:tcPr>
            <w:tcW w:w="364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2">
            <w:col w:w="3500" w:space="340"/>
            <w:col w:w="7240"/>
          </w:cols>
          <w:pgMar w:left="460" w:top="220" w:right="359" w:bottom="1440" w:gutter="0" w:footer="0" w:header="0"/>
          <w:type w:val="continuous"/>
        </w:sectPr>
      </w:pPr>
    </w:p>
    <w:p>
      <w:pPr>
        <w:spacing w:after="0" w:line="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72935" cy="151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151003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gridSpan w:val="2"/>
          </w:tcPr>
          <w:p>
            <w:pPr>
              <w:ind w:left="82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jc w:val="center"/>
              <w:ind w:left="695"/>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800" w:type="dxa"/>
            <w:vAlign w:val="bottom"/>
            <w:gridSpan w:val="3"/>
            <w:vMerge w:val="restart"/>
          </w:tcPr>
          <w:p>
            <w:pPr>
              <w:jc w:val="center"/>
              <w:ind w:left="675"/>
              <w:spacing w:after="0"/>
              <w:rPr>
                <w:sz w:val="20"/>
                <w:szCs w:val="20"/>
                <w:color w:val="auto"/>
              </w:rPr>
            </w:pPr>
            <w:r>
              <w:rPr>
                <w:rFonts w:ascii="Arial" w:cs="Arial" w:eastAsia="Arial" w:hAnsi="Arial"/>
                <w:sz w:val="16"/>
                <w:szCs w:val="16"/>
                <w:color w:val="0000FF"/>
                <w:w w:val="92"/>
              </w:rPr>
              <w:t>07/21/2020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0000FF"/>
              </w:rPr>
              <w:t>C</w:t>
            </w:r>
          </w:p>
        </w:tc>
        <w:tc>
          <w:tcPr>
            <w:tcW w:w="940" w:type="dxa"/>
            <w:vAlign w:val="bottom"/>
            <w:gridSpan w:val="2"/>
            <w:vMerge w:val="restart"/>
          </w:tcPr>
          <w:p>
            <w:pPr>
              <w:jc w:val="right"/>
              <w:ind w:right="82"/>
              <w:spacing w:after="0"/>
              <w:rPr>
                <w:sz w:val="20"/>
                <w:szCs w:val="20"/>
                <w:color w:val="auto"/>
              </w:rPr>
            </w:pPr>
            <w:r>
              <w:rPr>
                <w:rFonts w:ascii="Arial" w:cs="Arial" w:eastAsia="Arial" w:hAnsi="Arial"/>
                <w:sz w:val="16"/>
                <w:szCs w:val="16"/>
                <w:color w:val="0000FF"/>
              </w:rPr>
              <w:t>2,105,901</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177"/>
              <w:spacing w:after="0"/>
              <w:rPr>
                <w:sz w:val="20"/>
                <w:szCs w:val="20"/>
                <w:color w:val="auto"/>
              </w:rPr>
            </w:pPr>
            <w:r>
              <w:rPr>
                <w:rFonts w:ascii="Arial" w:cs="Arial" w:eastAsia="Arial" w:hAnsi="Arial"/>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right"/>
              <w:ind w:right="183"/>
              <w:spacing w:after="0"/>
              <w:rPr>
                <w:sz w:val="20"/>
                <w:szCs w:val="20"/>
                <w:color w:val="auto"/>
              </w:rPr>
            </w:pPr>
            <w:r>
              <w:rPr>
                <w:rFonts w:ascii="Arial" w:cs="Arial" w:eastAsia="Arial" w:hAnsi="Arial"/>
                <w:sz w:val="16"/>
                <w:szCs w:val="16"/>
                <w:color w:val="0000FF"/>
              </w:rPr>
              <w:t>2,161,981</w:t>
            </w:r>
            <w:r>
              <w:rPr>
                <w:rFonts w:ascii="Arial" w:cs="Arial" w:eastAsia="Arial" w:hAnsi="Arial"/>
                <w:sz w:val="20"/>
                <w:szCs w:val="20"/>
                <w:color w:val="008000"/>
                <w:vertAlign w:val="superscript"/>
              </w:rPr>
              <w:t>(2)</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(3)</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20"/>
                <w:szCs w:val="20"/>
                <w:color w:val="auto"/>
              </w:rPr>
            </w:pPr>
          </w:p>
        </w:tc>
        <w:tc>
          <w:tcPr>
            <w:tcW w:w="1800" w:type="dxa"/>
            <w:vAlign w:val="bottom"/>
            <w:gridSpan w:val="3"/>
            <w:vMerge w:val="restart"/>
          </w:tcPr>
          <w:p>
            <w:pPr>
              <w:jc w:val="center"/>
              <w:ind w:left="675"/>
              <w:spacing w:after="0"/>
              <w:rPr>
                <w:sz w:val="20"/>
                <w:szCs w:val="20"/>
                <w:color w:val="auto"/>
              </w:rPr>
            </w:pPr>
            <w:r>
              <w:rPr>
                <w:rFonts w:ascii="Arial" w:cs="Arial" w:eastAsia="Arial" w:hAnsi="Arial"/>
                <w:sz w:val="16"/>
                <w:szCs w:val="16"/>
                <w:color w:val="0000FF"/>
                <w:w w:val="92"/>
              </w:rPr>
              <w:t>07/21/2020</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0000FF"/>
              </w:rPr>
              <w:t>P</w:t>
            </w:r>
          </w:p>
        </w:tc>
        <w:tc>
          <w:tcPr>
            <w:tcW w:w="940" w:type="dxa"/>
            <w:vAlign w:val="bottom"/>
            <w:gridSpan w:val="2"/>
            <w:vMerge w:val="restart"/>
          </w:tcPr>
          <w:p>
            <w:pPr>
              <w:jc w:val="right"/>
              <w:ind w:right="142"/>
              <w:spacing w:after="0"/>
              <w:rPr>
                <w:sz w:val="20"/>
                <w:szCs w:val="20"/>
                <w:color w:val="auto"/>
              </w:rPr>
            </w:pPr>
            <w:r>
              <w:rPr>
                <w:rFonts w:ascii="Arial" w:cs="Arial" w:eastAsia="Arial" w:hAnsi="Arial"/>
                <w:sz w:val="16"/>
                <w:szCs w:val="16"/>
                <w:color w:val="0000FF"/>
              </w:rPr>
              <w:t>975,000</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right="7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19</w:t>
            </w:r>
          </w:p>
        </w:tc>
        <w:tc>
          <w:tcPr>
            <w:tcW w:w="20" w:type="dxa"/>
            <w:vAlign w:val="bottom"/>
          </w:tcPr>
          <w:p>
            <w:pPr>
              <w:spacing w:after="0"/>
              <w:rPr>
                <w:sz w:val="20"/>
                <w:szCs w:val="20"/>
                <w:color w:val="auto"/>
              </w:rPr>
            </w:pPr>
          </w:p>
        </w:tc>
        <w:tc>
          <w:tcPr>
            <w:tcW w:w="1180" w:type="dxa"/>
            <w:vAlign w:val="bottom"/>
            <w:gridSpan w:val="2"/>
            <w:vMerge w:val="restart"/>
          </w:tcPr>
          <w:p>
            <w:pPr>
              <w:jc w:val="right"/>
              <w:ind w:right="303"/>
              <w:spacing w:after="0"/>
              <w:rPr>
                <w:sz w:val="20"/>
                <w:szCs w:val="20"/>
                <w:color w:val="auto"/>
              </w:rPr>
            </w:pPr>
            <w:r>
              <w:rPr>
                <w:rFonts w:ascii="Arial" w:cs="Arial" w:eastAsia="Arial" w:hAnsi="Arial"/>
                <w:sz w:val="16"/>
                <w:szCs w:val="16"/>
                <w:color w:val="0000FF"/>
              </w:rPr>
              <w:t>975,000</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2"/>
                <w:szCs w:val="12"/>
                <w:color w:val="0000FF"/>
              </w:rPr>
              <w:t>Convertible</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right"/>
              <w:ind w:right="182"/>
              <w:spacing w:after="0"/>
              <w:rPr>
                <w:sz w:val="20"/>
                <w:szCs w:val="20"/>
                <w:color w:val="auto"/>
              </w:rPr>
            </w:pPr>
            <w:r>
              <w:rPr>
                <w:rFonts w:ascii="Arial" w:cs="Arial" w:eastAsia="Arial" w:hAnsi="Arial"/>
                <w:sz w:val="12"/>
                <w:szCs w:val="12"/>
                <w:color w:val="0000FF"/>
              </w:rPr>
              <w:t>07/21/2020</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jc w:val="center"/>
              <w:ind w:right="303"/>
              <w:spacing w:after="0"/>
              <w:rPr>
                <w:sz w:val="20"/>
                <w:szCs w:val="20"/>
                <w:color w:val="auto"/>
              </w:rPr>
            </w:pPr>
            <w:r>
              <w:rPr>
                <w:rFonts w:ascii="Arial" w:cs="Arial" w:eastAsia="Arial" w:hAnsi="Arial"/>
                <w:sz w:val="12"/>
                <w:szCs w:val="12"/>
                <w:color w:val="0000FF"/>
                <w:w w:val="91"/>
              </w:rPr>
              <w:t>C</w:t>
            </w:r>
          </w:p>
        </w:tc>
        <w:tc>
          <w:tcPr>
            <w:tcW w:w="1000" w:type="dxa"/>
            <w:vAlign w:val="bottom"/>
            <w:vMerge w:val="restart"/>
          </w:tcPr>
          <w:p>
            <w:pPr>
              <w:ind w:left="380"/>
              <w:spacing w:after="0"/>
              <w:rPr>
                <w:sz w:val="20"/>
                <w:szCs w:val="20"/>
                <w:color w:val="auto"/>
              </w:rPr>
            </w:pPr>
            <w:r>
              <w:rPr>
                <w:rFonts w:ascii="Arial" w:cs="Arial" w:eastAsia="Arial" w:hAnsi="Arial"/>
                <w:sz w:val="12"/>
                <w:szCs w:val="12"/>
                <w:color w:val="0000FF"/>
              </w:rPr>
              <w:t>2,105,901</w:t>
            </w:r>
          </w:p>
        </w:tc>
        <w:tc>
          <w:tcPr>
            <w:tcW w:w="760" w:type="dxa"/>
            <w:vAlign w:val="bottom"/>
            <w:gridSpan w:val="2"/>
          </w:tcPr>
          <w:p>
            <w:pPr>
              <w:ind w:left="260"/>
              <w:spacing w:after="0"/>
              <w:rPr>
                <w:sz w:val="20"/>
                <w:szCs w:val="20"/>
                <w:color w:val="auto"/>
              </w:rPr>
            </w:pPr>
            <w:r>
              <w:rPr>
                <w:rFonts w:ascii="Arial" w:cs="Arial" w:eastAsia="Arial" w:hAnsi="Arial"/>
                <w:sz w:val="10"/>
                <w:szCs w:val="10"/>
                <w:color w:val="008000"/>
              </w:rPr>
              <w:t>(1)</w:t>
            </w:r>
          </w:p>
        </w:tc>
        <w:tc>
          <w:tcPr>
            <w:tcW w:w="620" w:type="dxa"/>
            <w:vAlign w:val="bottom"/>
          </w:tcPr>
          <w:p>
            <w:pPr>
              <w:ind w:left="220"/>
              <w:spacing w:after="0"/>
              <w:rPr>
                <w:sz w:val="20"/>
                <w:szCs w:val="20"/>
                <w:color w:val="auto"/>
              </w:rPr>
            </w:pPr>
            <w:r>
              <w:rPr>
                <w:rFonts w:ascii="Arial" w:cs="Arial" w:eastAsia="Arial" w:hAnsi="Arial"/>
                <w:sz w:val="10"/>
                <w:szCs w:val="10"/>
                <w:color w:val="008000"/>
              </w:rPr>
              <w:t>(1)</w:t>
            </w:r>
          </w:p>
        </w:tc>
        <w:tc>
          <w:tcPr>
            <w:tcW w:w="660" w:type="dxa"/>
            <w:vAlign w:val="bottom"/>
            <w:gridSpan w:val="2"/>
          </w:tcPr>
          <w:p>
            <w:pPr>
              <w:ind w:left="80"/>
              <w:spacing w:after="0" w:line="121" w:lineRule="exact"/>
              <w:rPr>
                <w:sz w:val="20"/>
                <w:szCs w:val="20"/>
                <w:color w:val="auto"/>
              </w:rPr>
            </w:pPr>
            <w:r>
              <w:rPr>
                <w:rFonts w:ascii="Arial" w:cs="Arial" w:eastAsia="Arial" w:hAnsi="Arial"/>
                <w:sz w:val="12"/>
                <w:szCs w:val="12"/>
                <w:color w:val="0000FF"/>
              </w:rPr>
              <w:t>Common</w:t>
            </w:r>
          </w:p>
        </w:tc>
        <w:tc>
          <w:tcPr>
            <w:tcW w:w="720" w:type="dxa"/>
            <w:vAlign w:val="bottom"/>
            <w:vMerge w:val="restart"/>
          </w:tcPr>
          <w:p>
            <w:pPr>
              <w:ind w:left="20"/>
              <w:spacing w:after="0"/>
              <w:rPr>
                <w:sz w:val="20"/>
                <w:szCs w:val="20"/>
                <w:color w:val="auto"/>
              </w:rPr>
            </w:pPr>
            <w:r>
              <w:rPr>
                <w:rFonts w:ascii="Arial" w:cs="Arial" w:eastAsia="Arial" w:hAnsi="Arial"/>
                <w:sz w:val="16"/>
                <w:szCs w:val="16"/>
                <w:color w:val="0000FF"/>
                <w:w w:val="95"/>
              </w:rPr>
              <w:t>2,105,901</w:t>
            </w:r>
          </w:p>
        </w:tc>
        <w:tc>
          <w:tcPr>
            <w:tcW w:w="20" w:type="dxa"/>
            <w:vAlign w:val="bottom"/>
          </w:tcPr>
          <w:p>
            <w:pPr>
              <w:spacing w:after="0"/>
              <w:rPr>
                <w:sz w:val="10"/>
                <w:szCs w:val="10"/>
                <w:color w:val="auto"/>
              </w:rPr>
            </w:pPr>
          </w:p>
        </w:tc>
        <w:tc>
          <w:tcPr>
            <w:tcW w:w="700" w:type="dxa"/>
            <w:vAlign w:val="bottom"/>
          </w:tcPr>
          <w:p>
            <w:pPr>
              <w:ind w:left="260"/>
              <w:spacing w:after="0"/>
              <w:rPr>
                <w:sz w:val="20"/>
                <w:szCs w:val="20"/>
                <w:color w:val="auto"/>
              </w:rPr>
            </w:pPr>
            <w:r>
              <w:rPr>
                <w:rFonts w:ascii="Arial" w:cs="Arial" w:eastAsia="Arial" w:hAnsi="Arial"/>
                <w:sz w:val="10"/>
                <w:szCs w:val="10"/>
                <w:color w:val="008000"/>
              </w:rPr>
              <w:t>(1)</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10"/>
                <w:szCs w:val="10"/>
                <w:color w:val="auto"/>
              </w:rPr>
            </w:pP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4"/>
          </w:tcPr>
          <w:p>
            <w:pPr>
              <w:ind w:left="60"/>
              <w:spacing w:after="0" w:line="163"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-1573530</wp:posOffset>
            </wp:positionV>
            <wp:extent cx="7035800" cy="170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7075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20" w:hanging="3"/>
        <w:spacing w:after="0" w:line="271"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C Convertible Preferred Stock automatically converted into Common Stock on a 1:1 basis immediately prior to the completion of the Issuer's initial public offering of Common Stock and had no expiration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56,080 shares of Common Stock issued as payment of accrued dividends upon conversion of the preferred stock on July 21, 2020.</w:t>
      </w:r>
    </w:p>
    <w:p>
      <w:pPr>
        <w:spacing w:after="0" w:line="48" w:lineRule="exact"/>
        <w:rPr>
          <w:rFonts w:ascii="Arial" w:cs="Arial" w:eastAsia="Arial" w:hAnsi="Arial"/>
          <w:sz w:val="12"/>
          <w:szCs w:val="12"/>
          <w:color w:val="008000"/>
        </w:rPr>
      </w:pPr>
    </w:p>
    <w:p>
      <w:pPr>
        <w:ind w:left="40" w:right="520" w:hanging="3"/>
        <w:spacing w:after="0" w:line="307" w:lineRule="auto"/>
        <w:tabs>
          <w:tab w:leader="none" w:pos="16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Logos Opportunities Fund I, L.P. (LOF I LP). As a managing member of Logos Opportunities GP, LLC, the general partner of LOF I LP, the reporting person shares voting and dispositive power with respect to the shares held of record by LOF I LP but disclaims beneficial ownership of such shares except to the extent of his individual pecuniary interest therein.</w:t>
      </w:r>
    </w:p>
    <w:p>
      <w:pPr>
        <w:ind w:left="40" w:right="320" w:hanging="3"/>
        <w:spacing w:after="0" w:line="271"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Logos Global Master Fund, L.P. (LGMF LP). As a managing member of Logos GP LLC, the general partner of LGMF LP, the reporting person shares voting and dispositive power with respect to the shares held of record by LGMF LP but disclaims beneficial ownership of such shares except to the extent of his individual pecuniary interest therein.</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0"/>
              </w:rPr>
              <w:t>/s/ Peter Garcia, by power of</w:t>
            </w:r>
          </w:p>
        </w:tc>
        <w:tc>
          <w:tcPr>
            <w:tcW w:w="18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color w:val="0000FF"/>
                <w:w w:val="89"/>
              </w:rPr>
              <w:t>07/21/2020</w:t>
            </w:r>
          </w:p>
        </w:tc>
        <w:tc>
          <w:tcPr>
            <w:tcW w:w="0" w:type="dxa"/>
            <w:vAlign w:val="bottom"/>
          </w:tcPr>
          <w:p>
            <w:pPr>
              <w:spacing w:after="0"/>
              <w:rPr>
                <w:sz w:val="1"/>
                <w:szCs w:val="1"/>
                <w:color w:val="auto"/>
              </w:rPr>
            </w:pPr>
          </w:p>
        </w:tc>
      </w:tr>
      <w:tr>
        <w:trPr>
          <w:trHeight w:val="80"/>
        </w:trPr>
        <w:tc>
          <w:tcPr>
            <w:tcW w:w="204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attorney</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3"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7517"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2020-07-21T19:05:55Z</dcterms:created>
  <dcterms:modified xsi:type="dcterms:W3CDTF">2020-07-21T19:05:55Z</dcterms:modified>
</cp:coreProperties>
</file>