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17, 2020</w:t>
      </w:r>
    </w:p>
    <w:p>
      <w:pPr>
        <w:spacing w:after="0" w:line="11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42" w:lineRule="exact"/>
        <w:rPr>
          <w:sz w:val="24"/>
          <w:szCs w:val="24"/>
          <w:color w:val="auto"/>
        </w:rPr>
      </w:pPr>
    </w:p>
    <w:tbl>
      <w:tblPr>
        <w:tblLayout w:type="fixed"/>
        <w:tblInd w:w="1840" w:type="dxa"/>
        <w:tblCellMar>
          <w:top w:w="0" w:type="dxa"/>
          <w:left w:w="0" w:type="dxa"/>
          <w:bottom w:w="0" w:type="dxa"/>
          <w:right w:w="0" w:type="dxa"/>
        </w:tblCellMar>
      </w:tblPr>
      <w:tr>
        <w:trPr>
          <w:trHeight w:val="186"/>
        </w:trPr>
        <w:tc>
          <w:tcPr>
            <w:tcW w:w="1960" w:type="dxa"/>
            <w:vAlign w:val="bottom"/>
          </w:tcPr>
          <w:p>
            <w:pPr>
              <w:spacing w:after="0"/>
              <w:rPr>
                <w:sz w:val="16"/>
                <w:szCs w:val="16"/>
                <w:color w:val="auto"/>
              </w:rPr>
            </w:pPr>
          </w:p>
        </w:tc>
        <w:tc>
          <w:tcPr>
            <w:tcW w:w="5260" w:type="dxa"/>
            <w:vAlign w:val="bottom"/>
            <w:gridSpan w:val="3"/>
          </w:tcPr>
          <w:p>
            <w:pPr>
              <w:ind w:left="10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20"/>
        </w:trPr>
        <w:tc>
          <w:tcPr>
            <w:tcW w:w="1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400" w:type="dxa"/>
            <w:vAlign w:val="bottom"/>
          </w:tcPr>
          <w:p>
            <w:pPr>
              <w:spacing w:after="0"/>
              <w:rPr>
                <w:sz w:val="24"/>
                <w:szCs w:val="24"/>
                <w:color w:val="auto"/>
              </w:rPr>
            </w:pPr>
          </w:p>
        </w:tc>
      </w:tr>
      <w:tr>
        <w:trPr>
          <w:trHeight w:val="470"/>
        </w:trPr>
        <w:tc>
          <w:tcPr>
            <w:tcW w:w="196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Delaware</w:t>
            </w:r>
          </w:p>
        </w:tc>
        <w:tc>
          <w:tcPr>
            <w:tcW w:w="5260" w:type="dxa"/>
            <w:vAlign w:val="bottom"/>
            <w:gridSpan w:val="3"/>
          </w:tcPr>
          <w:p>
            <w:pPr>
              <w:jc w:val="center"/>
              <w:ind w:left="3739"/>
              <w:spacing w:after="0"/>
              <w:rPr>
                <w:sz w:val="20"/>
                <w:szCs w:val="20"/>
                <w:color w:val="auto"/>
              </w:rPr>
            </w:pPr>
            <w:r>
              <w:rPr>
                <w:rFonts w:ascii="Arial" w:cs="Arial" w:eastAsia="Arial" w:hAnsi="Arial"/>
                <w:sz w:val="18"/>
                <w:szCs w:val="18"/>
                <w:b w:val="1"/>
                <w:bCs w:val="1"/>
                <w:color w:val="auto"/>
                <w:w w:val="91"/>
              </w:rPr>
              <w:t>85-0642577</w:t>
            </w:r>
          </w:p>
        </w:tc>
      </w:tr>
      <w:tr>
        <w:trPr>
          <w:trHeight w:val="148"/>
        </w:trPr>
        <w:tc>
          <w:tcPr>
            <w:tcW w:w="19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40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960" w:type="dxa"/>
            <w:vAlign w:val="bottom"/>
          </w:tcPr>
          <w:p>
            <w:pPr>
              <w:jc w:val="center"/>
              <w:ind w:right="2"/>
              <w:spacing w:after="0"/>
              <w:rPr>
                <w:sz w:val="20"/>
                <w:szCs w:val="20"/>
                <w:color w:val="auto"/>
              </w:rPr>
            </w:pPr>
            <w:r>
              <w:rPr>
                <w:rFonts w:ascii="Arial" w:cs="Arial" w:eastAsia="Arial" w:hAnsi="Arial"/>
                <w:sz w:val="14"/>
                <w:szCs w:val="14"/>
                <w:b w:val="1"/>
                <w:bCs w:val="1"/>
                <w:color w:val="auto"/>
                <w:w w:val="94"/>
              </w:rPr>
              <w:t>incorporation or organization)</w:t>
            </w:r>
          </w:p>
        </w:tc>
        <w:tc>
          <w:tcPr>
            <w:tcW w:w="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0" w:type="dxa"/>
            <w:vAlign w:val="bottom"/>
          </w:tcPr>
          <w:p>
            <w:pPr>
              <w:jc w:val="center"/>
              <w:ind w:left="88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83"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866 Malcolm Road, Suite 100</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Burlingame, California 94010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 Amended and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Restated 2020 Equity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 2020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Employee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866 Malcolm Road,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Burlingame, California 94010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650-466-7125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Kenneth A. Clark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Tony Jeffries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E. Coke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Christina L. Poulsen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Wilson Sonsini Goodrich &amp; Rosati,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388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880" w:type="dxa"/>
            <w:vAlign w:val="bottom"/>
          </w:tcPr>
          <w:p>
            <w:pPr>
              <w:ind w:left="146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29" w:right="439" w:bottom="245"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139"/>
        </w:trPr>
        <w:tc>
          <w:tcPr>
            <w:tcW w:w="4640" w:type="dxa"/>
            <w:vAlign w:val="bottom"/>
            <w:tcBorders>
              <w:top w:val="single" w:sz="8" w:color="auto"/>
              <w:right w:val="single" w:sz="8" w:color="auto"/>
            </w:tcBorders>
          </w:tcPr>
          <w:p>
            <w:pPr>
              <w:spacing w:after="0"/>
              <w:rPr>
                <w:sz w:val="12"/>
                <w:szCs w:val="12"/>
                <w:color w:val="auto"/>
              </w:rPr>
            </w:pPr>
          </w:p>
        </w:tc>
        <w:tc>
          <w:tcPr>
            <w:tcW w:w="1560" w:type="dxa"/>
            <w:vAlign w:val="bottom"/>
            <w:tcBorders>
              <w:top w:val="single" w:sz="8" w:color="auto"/>
              <w:right w:val="single" w:sz="8" w:color="auto"/>
            </w:tcBorders>
          </w:tcPr>
          <w:p>
            <w:pPr>
              <w:spacing w:after="0"/>
              <w:rPr>
                <w:sz w:val="12"/>
                <w:szCs w:val="12"/>
                <w:color w:val="auto"/>
              </w:rPr>
            </w:pPr>
          </w:p>
        </w:tc>
        <w:tc>
          <w:tcPr>
            <w:tcW w:w="1620" w:type="dxa"/>
            <w:vAlign w:val="bottom"/>
            <w:tcBorders>
              <w:top w:val="single" w:sz="8" w:color="auto"/>
              <w:right w:val="single" w:sz="8" w:color="auto"/>
            </w:tcBorders>
            <w:vMerge w:val="restart"/>
          </w:tcPr>
          <w:p>
            <w:pPr>
              <w:jc w:val="center"/>
              <w:ind w:left="79"/>
              <w:spacing w:after="0"/>
              <w:rPr>
                <w:sz w:val="20"/>
                <w:szCs w:val="20"/>
                <w:color w:val="auto"/>
              </w:rPr>
            </w:pPr>
            <w:r>
              <w:rPr>
                <w:rFonts w:ascii="Arial" w:cs="Arial" w:eastAsia="Arial" w:hAnsi="Arial"/>
                <w:sz w:val="14"/>
                <w:szCs w:val="14"/>
                <w:b w:val="1"/>
                <w:bCs w:val="1"/>
                <w:color w:val="auto"/>
                <w:w w:val="89"/>
              </w:rPr>
              <w:t>Proposed</w:t>
            </w:r>
          </w:p>
        </w:tc>
        <w:tc>
          <w:tcPr>
            <w:tcW w:w="1620" w:type="dxa"/>
            <w:vAlign w:val="bottom"/>
            <w:tcBorders>
              <w:top w:val="single" w:sz="8" w:color="auto"/>
              <w:right w:val="single" w:sz="8" w:color="auto"/>
            </w:tcBorders>
          </w:tcPr>
          <w:p>
            <w:pPr>
              <w:jc w:val="center"/>
              <w:ind w:left="79"/>
              <w:spacing w:after="0" w:line="139" w:lineRule="exact"/>
              <w:rPr>
                <w:sz w:val="20"/>
                <w:szCs w:val="20"/>
                <w:color w:val="auto"/>
              </w:rPr>
            </w:pPr>
            <w:r>
              <w:rPr>
                <w:rFonts w:ascii="Arial" w:cs="Arial" w:eastAsia="Arial" w:hAnsi="Arial"/>
                <w:sz w:val="14"/>
                <w:szCs w:val="14"/>
                <w:b w:val="1"/>
                <w:bCs w:val="1"/>
                <w:color w:val="auto"/>
                <w:w w:val="89"/>
              </w:rPr>
              <w:t>Proposed</w:t>
            </w:r>
          </w:p>
        </w:tc>
        <w:tc>
          <w:tcPr>
            <w:tcW w:w="1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40" w:type="dxa"/>
            <w:vAlign w:val="bottom"/>
            <w:tcBorders>
              <w:right w:val="single" w:sz="8" w:color="auto"/>
            </w:tcBorders>
            <w:vMerge w:val="restart"/>
          </w:tcPr>
          <w:p>
            <w:pPr>
              <w:ind w:left="1760"/>
              <w:spacing w:after="0"/>
              <w:rPr>
                <w:sz w:val="20"/>
                <w:szCs w:val="20"/>
                <w:color w:val="auto"/>
              </w:rPr>
            </w:pPr>
            <w:r>
              <w:rPr>
                <w:rFonts w:ascii="Arial" w:cs="Arial" w:eastAsia="Arial" w:hAnsi="Arial"/>
                <w:sz w:val="14"/>
                <w:szCs w:val="14"/>
                <w:b w:val="1"/>
                <w:bCs w:val="1"/>
                <w:color w:val="auto"/>
              </w:rPr>
              <w:t>Title of Securities</w:t>
            </w:r>
          </w:p>
        </w:tc>
        <w:tc>
          <w:tcPr>
            <w:tcW w:w="1560" w:type="dxa"/>
            <w:vAlign w:val="bottom"/>
            <w:tcBorders>
              <w:right w:val="single" w:sz="8" w:color="auto"/>
            </w:tcBorders>
            <w:vMerge w:val="restart"/>
          </w:tcPr>
          <w:p>
            <w:pPr>
              <w:jc w:val="right"/>
              <w:ind w:right="476"/>
              <w:spacing w:after="0"/>
              <w:rPr>
                <w:sz w:val="20"/>
                <w:szCs w:val="20"/>
                <w:color w:val="auto"/>
              </w:rPr>
            </w:pPr>
            <w:r>
              <w:rPr>
                <w:rFonts w:ascii="Arial" w:cs="Arial" w:eastAsia="Arial" w:hAnsi="Arial"/>
                <w:sz w:val="14"/>
                <w:szCs w:val="14"/>
                <w:b w:val="1"/>
                <w:bCs w:val="1"/>
                <w:color w:val="auto"/>
              </w:rPr>
              <w:t>Amount</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ind w:left="99"/>
              <w:spacing w:after="0" w:line="149" w:lineRule="exact"/>
              <w:rPr>
                <w:sz w:val="20"/>
                <w:szCs w:val="20"/>
                <w:color w:val="auto"/>
              </w:rPr>
            </w:pPr>
            <w:r>
              <w:rPr>
                <w:rFonts w:ascii="Arial" w:cs="Arial" w:eastAsia="Arial" w:hAnsi="Arial"/>
                <w:sz w:val="14"/>
                <w:szCs w:val="14"/>
                <w:b w:val="1"/>
                <w:bCs w:val="1"/>
                <w:color w:val="auto"/>
                <w:w w:val="99"/>
              </w:rPr>
              <w:t>Maximum</w:t>
            </w:r>
          </w:p>
        </w:tc>
        <w:tc>
          <w:tcPr>
            <w:tcW w:w="1580" w:type="dxa"/>
            <w:vAlign w:val="bottom"/>
            <w:vMerge w:val="restart"/>
          </w:tcPr>
          <w:p>
            <w:pPr>
              <w:jc w:val="center"/>
              <w:ind w:left="76"/>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640" w:type="dxa"/>
            <w:vAlign w:val="bottom"/>
            <w:tcBorders>
              <w:right w:val="single" w:sz="8" w:color="auto"/>
            </w:tcBorders>
            <w:vMerge w:val="continue"/>
          </w:tcPr>
          <w:p>
            <w:pPr>
              <w:spacing w:after="0"/>
              <w:rPr>
                <w:sz w:val="12"/>
                <w:szCs w:val="12"/>
                <w:color w:val="auto"/>
              </w:rPr>
            </w:pPr>
          </w:p>
        </w:tc>
        <w:tc>
          <w:tcPr>
            <w:tcW w:w="15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ind w:left="79"/>
              <w:spacing w:after="0" w:line="149" w:lineRule="exact"/>
              <w:rPr>
                <w:sz w:val="20"/>
                <w:szCs w:val="20"/>
                <w:color w:val="auto"/>
              </w:rPr>
            </w:pPr>
            <w:r>
              <w:rPr>
                <w:rFonts w:ascii="Arial" w:cs="Arial" w:eastAsia="Arial" w:hAnsi="Arial"/>
                <w:sz w:val="14"/>
                <w:szCs w:val="14"/>
                <w:b w:val="1"/>
                <w:bCs w:val="1"/>
                <w:color w:val="auto"/>
                <w:w w:val="99"/>
              </w:rPr>
              <w:t>Maximum Offering</w:t>
            </w:r>
          </w:p>
        </w:tc>
        <w:tc>
          <w:tcPr>
            <w:tcW w:w="1620" w:type="dxa"/>
            <w:vAlign w:val="bottom"/>
            <w:tcBorders>
              <w:right w:val="single" w:sz="8" w:color="auto"/>
            </w:tcBorders>
          </w:tcPr>
          <w:p>
            <w:pPr>
              <w:jc w:val="center"/>
              <w:ind w:left="79"/>
              <w:spacing w:after="0" w:line="149" w:lineRule="exact"/>
              <w:rPr>
                <w:sz w:val="20"/>
                <w:szCs w:val="20"/>
                <w:color w:val="auto"/>
              </w:rPr>
            </w:pPr>
            <w:r>
              <w:rPr>
                <w:rFonts w:ascii="Arial" w:cs="Arial" w:eastAsia="Arial" w:hAnsi="Arial"/>
                <w:sz w:val="14"/>
                <w:szCs w:val="14"/>
                <w:b w:val="1"/>
                <w:bCs w:val="1"/>
                <w:color w:val="auto"/>
                <w:w w:val="92"/>
              </w:rPr>
              <w:t>Aggregate Offering</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tcBorders>
              <w:bottom w:val="single" w:sz="8" w:color="auto"/>
              <w:right w:val="single" w:sz="8" w:color="auto"/>
            </w:tcBorders>
          </w:tcPr>
          <w:p>
            <w:pPr>
              <w:ind w:left="1820"/>
              <w:spacing w:after="0"/>
              <w:rPr>
                <w:sz w:val="20"/>
                <w:szCs w:val="20"/>
                <w:color w:val="auto"/>
              </w:rPr>
            </w:pPr>
            <w:r>
              <w:rPr>
                <w:rFonts w:ascii="Arial" w:cs="Arial" w:eastAsia="Arial" w:hAnsi="Arial"/>
                <w:sz w:val="14"/>
                <w:szCs w:val="14"/>
                <w:b w:val="1"/>
                <w:bCs w:val="1"/>
                <w:color w:val="auto"/>
              </w:rPr>
              <w:t>to be Registered</w:t>
            </w:r>
          </w:p>
        </w:tc>
        <w:tc>
          <w:tcPr>
            <w:tcW w:w="1560" w:type="dxa"/>
            <w:vAlign w:val="bottom"/>
            <w:tcBorders>
              <w:bottom w:val="single" w:sz="8" w:color="auto"/>
              <w:right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to be Registered</w:t>
            </w:r>
            <w:r>
              <w:rPr>
                <w:rFonts w:ascii="Arial" w:cs="Arial" w:eastAsia="Arial" w:hAnsi="Arial"/>
                <w:sz w:val="12"/>
                <w:szCs w:val="12"/>
                <w:b w:val="1"/>
                <w:bCs w:val="1"/>
                <w:color w:val="auto"/>
              </w:rPr>
              <w:t>(1)</w:t>
            </w:r>
          </w:p>
        </w:tc>
        <w:tc>
          <w:tcPr>
            <w:tcW w:w="162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4"/>
                <w:szCs w:val="14"/>
                <w:b w:val="1"/>
                <w:bCs w:val="1"/>
                <w:color w:val="auto"/>
                <w:w w:val="94"/>
              </w:rPr>
              <w:t>Price Per Share</w:t>
            </w:r>
          </w:p>
        </w:tc>
        <w:tc>
          <w:tcPr>
            <w:tcW w:w="1620" w:type="dxa"/>
            <w:vAlign w:val="bottom"/>
            <w:tcBorders>
              <w:bottom w:val="single" w:sz="8" w:color="auto"/>
              <w:right w:val="single" w:sz="8" w:color="auto"/>
            </w:tcBorders>
          </w:tcPr>
          <w:p>
            <w:pPr>
              <w:jc w:val="center"/>
              <w:ind w:left="99"/>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tcBorders>
              <w:bottom w:val="single" w:sz="8" w:color="auto"/>
            </w:tcBorders>
          </w:tcPr>
          <w:p>
            <w:pPr>
              <w:jc w:val="center"/>
              <w:ind w:left="96"/>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95"/>
        </w:trPr>
        <w:tc>
          <w:tcPr>
            <w:tcW w:w="46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Common Stock, $0.001 par value per share, reserved for</w:t>
            </w:r>
          </w:p>
        </w:tc>
        <w:tc>
          <w:tcPr>
            <w:tcW w:w="15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0"/>
              </w:rPr>
              <w:t>issuance pursuant to the Amended and Restated 2020 Equity</w:t>
            </w:r>
          </w:p>
        </w:tc>
        <w:tc>
          <w:tcPr>
            <w:tcW w:w="15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Incentive Plan</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3,163,962</w:t>
            </w:r>
            <w:r>
              <w:rPr>
                <w:rFonts w:ascii="Arial" w:cs="Arial" w:eastAsia="Arial" w:hAnsi="Arial"/>
                <w:sz w:val="15"/>
                <w:szCs w:val="15"/>
                <w:color w:val="auto"/>
              </w:rPr>
              <w:t>(2)</w:t>
            </w:r>
          </w:p>
        </w:tc>
        <w:tc>
          <w:tcPr>
            <w:tcW w:w="162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8"/>
                <w:szCs w:val="18"/>
                <w:color w:val="auto"/>
                <w:w w:val="89"/>
              </w:rPr>
              <w:t>$19.00</w:t>
            </w:r>
            <w:r>
              <w:rPr>
                <w:rFonts w:ascii="Arial" w:cs="Arial" w:eastAsia="Arial" w:hAnsi="Arial"/>
                <w:sz w:val="15"/>
                <w:szCs w:val="15"/>
                <w:color w:val="auto"/>
                <w:w w:val="89"/>
              </w:rPr>
              <w:t>(3)</w:t>
            </w:r>
          </w:p>
        </w:tc>
        <w:tc>
          <w:tcPr>
            <w:tcW w:w="162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8"/>
                <w:szCs w:val="18"/>
                <w:color w:val="auto"/>
                <w:w w:val="89"/>
              </w:rPr>
              <w:t>$60,115,278</w:t>
            </w:r>
          </w:p>
        </w:tc>
        <w:tc>
          <w:tcPr>
            <w:tcW w:w="158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90"/>
              </w:rPr>
              <w:t>$7,803</w:t>
            </w:r>
          </w:p>
        </w:tc>
        <w:tc>
          <w:tcPr>
            <w:tcW w:w="0" w:type="dxa"/>
            <w:vAlign w:val="bottom"/>
          </w:tcPr>
          <w:p>
            <w:pPr>
              <w:spacing w:after="0"/>
              <w:rPr>
                <w:sz w:val="1"/>
                <w:szCs w:val="1"/>
                <w:color w:val="auto"/>
              </w:rPr>
            </w:pPr>
          </w:p>
        </w:tc>
      </w:tr>
      <w:tr>
        <w:trPr>
          <w:trHeight w:val="195"/>
        </w:trPr>
        <w:tc>
          <w:tcPr>
            <w:tcW w:w="46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Common Stock, $0.001 par value per share, reserved for</w:t>
            </w:r>
          </w:p>
        </w:tc>
        <w:tc>
          <w:tcPr>
            <w:tcW w:w="15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w w:val="90"/>
              </w:rPr>
              <w:t>issuance pursuant to options outstanding under the Amended</w:t>
            </w:r>
          </w:p>
        </w:tc>
        <w:tc>
          <w:tcPr>
            <w:tcW w:w="156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and Restated 2020 Equity Incentive Plan</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4,635,342</w:t>
            </w:r>
            <w:r>
              <w:rPr>
                <w:rFonts w:ascii="Arial" w:cs="Arial" w:eastAsia="Arial" w:hAnsi="Arial"/>
                <w:sz w:val="15"/>
                <w:szCs w:val="15"/>
                <w:color w:val="auto"/>
              </w:rPr>
              <w:t>(4)</w:t>
            </w:r>
          </w:p>
        </w:tc>
        <w:tc>
          <w:tcPr>
            <w:tcW w:w="162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8"/>
                <w:szCs w:val="18"/>
                <w:color w:val="auto"/>
                <w:w w:val="91"/>
              </w:rPr>
              <w:t>$6.25</w:t>
            </w:r>
            <w:r>
              <w:rPr>
                <w:rFonts w:ascii="Arial" w:cs="Arial" w:eastAsia="Arial" w:hAnsi="Arial"/>
                <w:sz w:val="15"/>
                <w:szCs w:val="15"/>
                <w:color w:val="auto"/>
                <w:w w:val="91"/>
              </w:rPr>
              <w:t>(5)</w:t>
            </w:r>
          </w:p>
        </w:tc>
        <w:tc>
          <w:tcPr>
            <w:tcW w:w="162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8"/>
                <w:szCs w:val="18"/>
                <w:color w:val="auto"/>
                <w:w w:val="89"/>
              </w:rPr>
              <w:t>$28,970,888</w:t>
            </w:r>
          </w:p>
        </w:tc>
        <w:tc>
          <w:tcPr>
            <w:tcW w:w="158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90"/>
              </w:rPr>
              <w:t>$3,761</w:t>
            </w:r>
          </w:p>
        </w:tc>
        <w:tc>
          <w:tcPr>
            <w:tcW w:w="0" w:type="dxa"/>
            <w:vAlign w:val="bottom"/>
          </w:tcPr>
          <w:p>
            <w:pPr>
              <w:spacing w:after="0"/>
              <w:rPr>
                <w:sz w:val="1"/>
                <w:szCs w:val="1"/>
                <w:color w:val="auto"/>
              </w:rPr>
            </w:pPr>
          </w:p>
        </w:tc>
      </w:tr>
      <w:tr>
        <w:trPr>
          <w:trHeight w:val="195"/>
        </w:trPr>
        <w:tc>
          <w:tcPr>
            <w:tcW w:w="46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Common Stock, $0.001 par value per share, reserved for</w:t>
            </w:r>
          </w:p>
        </w:tc>
        <w:tc>
          <w:tcPr>
            <w:tcW w:w="15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w w:val="88"/>
              </w:rPr>
              <w:t>issuance pursuant to the 2020 Employee Stock Purchase Plan</w:t>
            </w:r>
          </w:p>
        </w:tc>
        <w:tc>
          <w:tcPr>
            <w:tcW w:w="15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400,000</w:t>
            </w:r>
            <w:r>
              <w:rPr>
                <w:rFonts w:ascii="Arial" w:cs="Arial" w:eastAsia="Arial" w:hAnsi="Arial"/>
                <w:sz w:val="15"/>
                <w:szCs w:val="15"/>
                <w:color w:val="auto"/>
              </w:rPr>
              <w:t>(6)</w:t>
            </w:r>
          </w:p>
        </w:tc>
        <w:tc>
          <w:tcPr>
            <w:tcW w:w="162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8"/>
                <w:szCs w:val="18"/>
                <w:color w:val="auto"/>
                <w:w w:val="89"/>
              </w:rPr>
              <w:t>$16.15</w:t>
            </w:r>
            <w:r>
              <w:rPr>
                <w:rFonts w:ascii="Arial" w:cs="Arial" w:eastAsia="Arial" w:hAnsi="Arial"/>
                <w:sz w:val="15"/>
                <w:szCs w:val="15"/>
                <w:color w:val="auto"/>
                <w:w w:val="89"/>
              </w:rPr>
              <w:t>(7)</w:t>
            </w:r>
          </w:p>
        </w:tc>
        <w:tc>
          <w:tcPr>
            <w:tcW w:w="162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8"/>
                <w:szCs w:val="18"/>
                <w:color w:val="auto"/>
                <w:w w:val="90"/>
              </w:rPr>
              <w:t>$6,460,000</w:t>
            </w:r>
          </w:p>
        </w:tc>
        <w:tc>
          <w:tcPr>
            <w:tcW w:w="1580" w:type="dxa"/>
            <w:vAlign w:val="bottom"/>
            <w:tcBorders>
              <w:bottom w:val="single" w:sz="8" w:color="auto"/>
            </w:tcBorders>
          </w:tcPr>
          <w:p>
            <w:pPr>
              <w:jc w:val="center"/>
              <w:ind w:left="96"/>
              <w:spacing w:after="0"/>
              <w:rPr>
                <w:sz w:val="20"/>
                <w:szCs w:val="20"/>
                <w:color w:val="auto"/>
              </w:rPr>
            </w:pPr>
            <w:r>
              <w:rPr>
                <w:rFonts w:ascii="Arial" w:cs="Arial" w:eastAsia="Arial" w:hAnsi="Arial"/>
                <w:sz w:val="18"/>
                <w:szCs w:val="18"/>
                <w:color w:val="auto"/>
                <w:w w:val="89"/>
              </w:rPr>
              <w:t>$839</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right w:val="single" w:sz="8" w:color="auto"/>
            </w:tcBorders>
          </w:tcPr>
          <w:p>
            <w:pPr>
              <w:jc w:val="right"/>
              <w:ind w:right="176"/>
              <w:spacing w:after="0"/>
              <w:rPr>
                <w:sz w:val="20"/>
                <w:szCs w:val="20"/>
                <w:color w:val="auto"/>
              </w:rPr>
            </w:pPr>
            <w:r>
              <w:rPr>
                <w:rFonts w:ascii="Arial" w:cs="Arial" w:eastAsia="Arial" w:hAnsi="Arial"/>
                <w:sz w:val="18"/>
                <w:szCs w:val="18"/>
                <w:color w:val="auto"/>
              </w:rPr>
              <w:t>8,199,304</w:t>
            </w:r>
          </w:p>
        </w:tc>
        <w:tc>
          <w:tcPr>
            <w:tcW w:w="162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8"/>
                <w:szCs w:val="18"/>
                <w:color w:val="auto"/>
                <w:w w:val="89"/>
              </w:rPr>
              <w:t>$95,546,166</w:t>
            </w:r>
          </w:p>
        </w:tc>
        <w:tc>
          <w:tcPr>
            <w:tcW w:w="1580" w:type="dxa"/>
            <w:vAlign w:val="bottom"/>
            <w:tcBorders>
              <w:bottom w:val="single" w:sz="8" w:color="auto"/>
            </w:tcBorders>
          </w:tcPr>
          <w:p>
            <w:pPr>
              <w:jc w:val="center"/>
              <w:ind w:left="76"/>
              <w:spacing w:after="0"/>
              <w:rPr>
                <w:sz w:val="20"/>
                <w:szCs w:val="20"/>
                <w:color w:val="auto"/>
              </w:rPr>
            </w:pPr>
            <w:r>
              <w:rPr>
                <w:rFonts w:ascii="Arial" w:cs="Arial" w:eastAsia="Arial" w:hAnsi="Arial"/>
                <w:sz w:val="18"/>
                <w:szCs w:val="18"/>
                <w:color w:val="auto"/>
                <w:w w:val="89"/>
              </w:rPr>
              <w:t>$12,403</w:t>
            </w:r>
          </w:p>
        </w:tc>
        <w:tc>
          <w:tcPr>
            <w:tcW w:w="0" w:type="dxa"/>
            <w:vAlign w:val="bottom"/>
          </w:tcPr>
          <w:p>
            <w:pPr>
              <w:spacing w:after="0"/>
              <w:rPr>
                <w:sz w:val="1"/>
                <w:szCs w:val="1"/>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24" w:right="340" w:hanging="424"/>
        <w:spacing w:after="0" w:line="286"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of the Securities Act of 1933, as amended, this Registration Statement covers any additional shares of the Registrant’s common stock that become issuable under the Registrant’s Amended and Restated 2020 Equity Incentive Plan (the “2020 Plan”) and the 2020 Employee Stock Purchase Plan (the “2020 ESPP”) by reason of any stock dividend, stock split, recapitalization or other similar transaction effected without the Registrant’s receipt of consideration that results in an increase in the number of the outstanding shares of common stock.</w:t>
      </w:r>
    </w:p>
    <w:p>
      <w:pPr>
        <w:spacing w:after="0" w:line="1" w:lineRule="exact"/>
        <w:rPr>
          <w:rFonts w:ascii="Arial" w:cs="Arial" w:eastAsia="Arial" w:hAnsi="Arial"/>
          <w:sz w:val="16"/>
          <w:szCs w:val="16"/>
          <w:color w:val="auto"/>
        </w:rPr>
      </w:pPr>
    </w:p>
    <w:p>
      <w:pPr>
        <w:ind w:left="424" w:right="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pursuant to future awards under the 2020 Plan as of the effective date of the registration statement relating to the Registrant’s initial public offering (the “Registration Date”).</w:t>
      </w:r>
    </w:p>
    <w:p>
      <w:pPr>
        <w:ind w:left="424" w:right="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$19.00 per share, which is the initial public offering price per share of common stock set forth on the cover page of the Registrant’s Prospectus dated July 16, 2020 relating to its initial public offering.</w:t>
      </w:r>
    </w:p>
    <w:p>
      <w:pPr>
        <w:spacing w:after="0" w:line="1" w:lineRule="exact"/>
        <w:rPr>
          <w:rFonts w:ascii="Arial" w:cs="Arial" w:eastAsia="Arial" w:hAnsi="Arial"/>
          <w:sz w:val="18"/>
          <w:szCs w:val="18"/>
          <w:color w:val="auto"/>
        </w:rPr>
      </w:pPr>
    </w:p>
    <w:p>
      <w:pPr>
        <w:ind w:left="424" w:right="16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pursuant to options outstanding under the 2020 Plan as of the date of this Registration Statement. To the extent that the shares subject to awards under the 2020 Plan expire or terminate or any shares previously issued pursuant to the 2020 Plan are forfeited or repurchased by the Registrant, the shares of common stock subject to such awards will become available for issuance under the 2020 Plan.</w:t>
      </w:r>
    </w:p>
    <w:p>
      <w:pPr>
        <w:spacing w:after="0" w:line="1" w:lineRule="exact"/>
        <w:rPr>
          <w:rFonts w:ascii="Arial" w:cs="Arial" w:eastAsia="Arial" w:hAnsi="Arial"/>
          <w:sz w:val="18"/>
          <w:szCs w:val="18"/>
          <w:color w:val="auto"/>
        </w:rPr>
      </w:pPr>
    </w:p>
    <w:p>
      <w:pPr>
        <w:ind w:left="424" w:right="360" w:hanging="424"/>
        <w:spacing w:after="0" w:line="265"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 457(h) solely for the purpose of calculating the registration fee on the basis of $6.25, the weighted average price per share of outstanding stock option awards under the 2020 Plan as of the date of this Registration Statement.</w:t>
      </w: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reserved for issuance under the 2020 ESPP.</w:t>
      </w:r>
    </w:p>
    <w:p>
      <w:pPr>
        <w:spacing w:after="0" w:line="9" w:lineRule="exact"/>
        <w:rPr>
          <w:rFonts w:ascii="Arial" w:cs="Arial" w:eastAsia="Arial" w:hAnsi="Arial"/>
          <w:sz w:val="18"/>
          <w:szCs w:val="18"/>
          <w:color w:val="auto"/>
        </w:rPr>
      </w:pPr>
    </w:p>
    <w:p>
      <w:pPr>
        <w:ind w:left="424" w:right="40" w:hanging="424"/>
        <w:spacing w:after="0" w:line="25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85% of $19.00 per share, which is the initial public offering price per share of common stock set forth on the cover page of the Registrant’s Prospectus dated July 16, 2020 relating to its initial public offering. Pursuant to the 2020 ESPP, the purchase price of the shares of common stock reserved for issuance thereunder will be 85% of the lower of the fair market value of common stock on the Enrollment Date or the Exercise Date (as such terms are defined in the 2020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181610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20"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ALX Oncology Holdings Inc. (the “Registrant”) hereby incorporates by reference into this Registration Statement the following documents previously filed with the Securities and Exchange Commission (the “Commission”):</w:t>
      </w:r>
    </w:p>
    <w:p>
      <w:pPr>
        <w:spacing w:after="0" w:line="170" w:lineRule="exact"/>
        <w:rPr>
          <w:sz w:val="20"/>
          <w:szCs w:val="20"/>
          <w:color w:val="auto"/>
        </w:rPr>
      </w:pPr>
    </w:p>
    <w:p>
      <w:pPr>
        <w:ind w:firstLine="436"/>
        <w:spacing w:after="0" w:line="263"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w:t>
      </w:r>
      <w:hyperlink r:id="rId19">
        <w:r>
          <w:rPr>
            <w:rFonts w:ascii="Arial" w:cs="Arial" w:eastAsia="Arial" w:hAnsi="Arial"/>
            <w:sz w:val="18"/>
            <w:szCs w:val="18"/>
            <w:u w:val="single" w:color="auto"/>
            <w:color w:val="0000EE"/>
          </w:rPr>
          <w:t>Prospectus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dated July 16, 2020, filed with the Commission pursuant to Rule 424(b) under the Securities Act, relating to the Registration Statement on </w:t>
      </w:r>
      <w:hyperlink r:id="rId20">
        <w:r>
          <w:rPr>
            <w:rFonts w:ascii="Arial" w:cs="Arial" w:eastAsia="Arial" w:hAnsi="Arial"/>
            <w:sz w:val="18"/>
            <w:szCs w:val="18"/>
            <w:u w:val="single" w:color="auto"/>
            <w:color w:val="0000EE"/>
          </w:rPr>
          <w:t>Form S-1</w:t>
        </w:r>
      </w:hyperlink>
      <w:r>
        <w:rPr>
          <w:rFonts w:ascii="Arial" w:cs="Arial" w:eastAsia="Arial" w:hAnsi="Arial"/>
          <w:sz w:val="18"/>
          <w:szCs w:val="18"/>
          <w:color w:val="auto"/>
        </w:rPr>
        <w:t>, as amended (File No. 333-239490), which contains the Registrant’s audited financial statements for the latest fiscal year for which such statements have been filed; and</w:t>
      </w:r>
    </w:p>
    <w:p>
      <w:pPr>
        <w:spacing w:after="0" w:line="183"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Company’s Registration Statement on </w:t>
      </w:r>
      <w:hyperlink r:id="rId2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001-39386) filed with the Commission on July 13, 2020, pursuant to Section 12(b) of the Securities Exchange Act of 1934, as amended (the “Exchange Act”), including any amendment or report filed for the purpose of updating such description.</w:t>
      </w:r>
    </w:p>
    <w:p>
      <w:pPr>
        <w:spacing w:after="0" w:line="184" w:lineRule="exact"/>
        <w:rPr>
          <w:rFonts w:ascii="Arial" w:cs="Arial" w:eastAsia="Arial" w:hAnsi="Arial"/>
          <w:sz w:val="18"/>
          <w:szCs w:val="18"/>
          <w:color w:val="auto"/>
        </w:rPr>
      </w:pPr>
    </w:p>
    <w:p>
      <w:pPr>
        <w:jc w:val="both"/>
        <w:ind w:right="20" w:firstLine="440"/>
        <w:spacing w:after="0" w:line="296" w:lineRule="auto"/>
        <w:rPr>
          <w:sz w:val="20"/>
          <w:szCs w:val="20"/>
          <w:color w:val="auto"/>
        </w:rPr>
      </w:pPr>
      <w:r>
        <w:rPr>
          <w:rFonts w:ascii="Arial" w:cs="Arial" w:eastAsia="Arial" w:hAnsi="Arial"/>
          <w:sz w:val="16"/>
          <w:szCs w:val="16"/>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documents or information deemed to have been furnished and not filed in accordance with the rules of the Commission shall not be deemed incorporated by reference into this Registration Statement.</w:t>
      </w:r>
    </w:p>
    <w:p>
      <w:pPr>
        <w:spacing w:after="0" w:line="161" w:lineRule="exact"/>
        <w:rPr>
          <w:rFonts w:ascii="Arial" w:cs="Arial" w:eastAsia="Arial" w:hAnsi="Arial"/>
          <w:sz w:val="18"/>
          <w:szCs w:val="18"/>
          <w:color w:val="auto"/>
        </w:rPr>
      </w:pPr>
    </w:p>
    <w:p>
      <w:pPr>
        <w:ind w:right="100" w:firstLine="440"/>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 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Section 145 of the Delaware General Corporation Law authorizes a corporation’s board of directors to grant, and authorizes a court to award, indemnity to officers, directors, and other corporate agents, provided that the person acted in good faith and in a manner the person reasonably believed to be in the corporation’s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w:t>
      </w:r>
    </w:p>
    <w:p>
      <w:pPr>
        <w:spacing w:after="0" w:line="161"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The Registrant’s amended and restated certificate of incorporation to be in effect upon the completion of this offering contains provisions that limit the liability of its directors for monetary damages to the fullest extent permitted by the Delaware General Corporation Law. Consequently, the Registrant’s directors will not be personally liable to the Registrant or its stockholders for monetary damages for any breach of fiduciary duties as directors, except liability for the following:</w:t>
      </w:r>
    </w:p>
    <w:p>
      <w:pPr>
        <w:spacing w:after="0" w:line="92"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their duty of loyalty to the Registrant or its stockholders;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60" w:right="6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18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In addition, the Registrant’s amended and restated bylaws provide that the Registrant will indemnify, to the fullest extent permitted by law, any person who is or was a party or is threatened to be made a party to any action, suit, or proceeding by reason of the fact that they are or were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w:t>
      </w:r>
    </w:p>
    <w:p>
      <w:pPr>
        <w:sectPr>
          <w:pgSz w:w="11900" w:h="16838" w:orient="portrait"/>
          <w:cols w:equalWidth="0" w:num="1">
            <w:col w:w="10980"/>
          </w:cols>
          <w:pgMar w:left="440" w:top="270" w:right="479" w:bottom="1440" w:gutter="0" w:footer="0" w:header="0"/>
        </w:sectPr>
      </w:pPr>
    </w:p>
    <w:bookmarkStart w:id="4" w:name="page5"/>
    <w:bookmarkEnd w:id="4"/>
    <w:p>
      <w:pPr>
        <w:ind w:left="4"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also provide that the Registrant must advance expenses incurred by or on behalf of a director or officer in advance of the final disposition of any action or proceeding, subject to limited exceptions.</w:t>
      </w:r>
    </w:p>
    <w:p>
      <w:pPr>
        <w:spacing w:after="0" w:line="188" w:lineRule="exact"/>
        <w:rPr>
          <w:sz w:val="20"/>
          <w:szCs w:val="20"/>
          <w:color w:val="auto"/>
        </w:rPr>
      </w:pPr>
    </w:p>
    <w:p>
      <w:pPr>
        <w:ind w:left="4" w:right="180" w:firstLine="440"/>
        <w:spacing w:after="0" w:line="286" w:lineRule="auto"/>
        <w:rPr>
          <w:sz w:val="20"/>
          <w:szCs w:val="20"/>
          <w:color w:val="auto"/>
        </w:rPr>
      </w:pPr>
      <w:r>
        <w:rPr>
          <w:rFonts w:ascii="Arial" w:cs="Arial" w:eastAsia="Arial" w:hAnsi="Arial"/>
          <w:sz w:val="16"/>
          <w:szCs w:val="16"/>
          <w:color w:val="auto"/>
        </w:rPr>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w:t>
      </w:r>
    </w:p>
    <w:p>
      <w:pPr>
        <w:spacing w:after="0" w:line="1" w:lineRule="exact"/>
        <w:rPr>
          <w:sz w:val="20"/>
          <w:szCs w:val="20"/>
          <w:color w:val="auto"/>
        </w:rPr>
      </w:pPr>
    </w:p>
    <w:p>
      <w:pPr>
        <w:ind w:left="4" w:right="40" w:hanging="4"/>
        <w:spacing w:after="0" w:line="253"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The Registrant’s amended and restated certificate of incorporation to be in effect upon the completion of this offering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91"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Further, as permitted by the Delaware General Corporation Law, the Registrant has entered into separate indemnification agreements with each of its directors and certain executive officers that may be broader than the specific indemnification provisions contained in the Delaware General Corporation Law. These indemnification agreements require the Registrant, among other things, to indemnify its directors and executive officers against certain liabilities that may arise by reason of their status or service.</w:t>
      </w:r>
    </w:p>
    <w:p>
      <w:pPr>
        <w:spacing w:after="0" w:line="187"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The Registrant has obtained insurance policies under which, within the limits and subject to the limitations of the policies, coverage is provided to the Registrant’s directors and executive officers against certain expenses in connection with the defense of, and certain liabilities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 The coverage provided by these policies may apply whether or not the Registrant would have the power to indemnify such person against such liability under the provisions of the Delaware General Corporation Law.</w:t>
      </w:r>
    </w:p>
    <w:p>
      <w:pPr>
        <w:sectPr>
          <w:pgSz w:w="11900" w:h="16838" w:orient="portrait"/>
          <w:cols w:equalWidth="0" w:num="1">
            <w:col w:w="11004"/>
          </w:cols>
          <w:pgMar w:left="436" w:top="274" w:right="459" w:bottom="1440" w:gutter="0" w:footer="0" w:header="0"/>
        </w:sectPr>
      </w:pPr>
    </w:p>
    <w:bookmarkStart w:id="5" w:name="page6"/>
    <w:bookmarkEnd w:id="5"/>
    <w:p>
      <w:pPr>
        <w:jc w:val="both"/>
        <w:ind w:left="4" w:right="5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These indemnification provisions and the indemnification agreements entered into between the Registrant and the Registrant’s directors and executive officers may be sufficiently broad to permit indemnification of the Registrant’s directors and executive officers for liabilities (including reimbursement of expenses incurred) arising under the Securities Act.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257" w:lineRule="exact"/>
        <w:rPr>
          <w:sz w:val="20"/>
          <w:szCs w:val="20"/>
          <w:color w:val="auto"/>
        </w:rPr>
      </w:pPr>
    </w:p>
    <w:tbl>
      <w:tblPr>
        <w:tblLayout w:type="fixed"/>
        <w:tblInd w:w="4" w:type="dxa"/>
        <w:tblCellMar>
          <w:top w:w="0" w:type="dxa"/>
          <w:left w:w="0" w:type="dxa"/>
          <w:bottom w:w="0" w:type="dxa"/>
          <w:right w:w="0" w:type="dxa"/>
        </w:tblCellMar>
      </w:tblPr>
      <w:tr>
        <w:trPr>
          <w:trHeight w:val="203"/>
        </w:trPr>
        <w:tc>
          <w:tcPr>
            <w:tcW w:w="1300" w:type="dxa"/>
            <w:vAlign w:val="bottom"/>
            <w:gridSpan w:val="2"/>
          </w:tcPr>
          <w:p>
            <w:pPr>
              <w:jc w:val="right"/>
              <w:ind w:right="684"/>
              <w:spacing w:after="0"/>
              <w:rPr>
                <w:sz w:val="20"/>
                <w:szCs w:val="20"/>
                <w:color w:val="auto"/>
              </w:rPr>
            </w:pPr>
            <w:r>
              <w:rPr>
                <w:rFonts w:ascii="Arial" w:cs="Arial" w:eastAsia="Arial" w:hAnsi="Arial"/>
                <w:sz w:val="16"/>
                <w:szCs w:val="16"/>
                <w:b w:val="1"/>
                <w:bCs w:val="1"/>
                <w:color w:val="auto"/>
                <w:w w:val="97"/>
              </w:rPr>
              <w:t>Exhibit</w:t>
            </w:r>
          </w:p>
        </w:tc>
        <w:tc>
          <w:tcPr>
            <w:tcW w:w="540" w:type="dxa"/>
            <w:vAlign w:val="bottom"/>
          </w:tcPr>
          <w:p>
            <w:pPr>
              <w:spacing w:after="0"/>
              <w:rPr>
                <w:sz w:val="17"/>
                <w:szCs w:val="17"/>
                <w:color w:val="auto"/>
              </w:rPr>
            </w:pPr>
          </w:p>
        </w:tc>
        <w:tc>
          <w:tcPr>
            <w:tcW w:w="9180" w:type="dxa"/>
            <w:vAlign w:val="bottom"/>
          </w:tcPr>
          <w:p>
            <w:pPr>
              <w:spacing w:after="0"/>
              <w:rPr>
                <w:sz w:val="17"/>
                <w:szCs w:val="17"/>
                <w:color w:val="auto"/>
              </w:rPr>
            </w:pPr>
          </w:p>
        </w:tc>
      </w:tr>
      <w:tr>
        <w:trPr>
          <w:trHeight w:val="233"/>
        </w:trPr>
        <w:tc>
          <w:tcPr>
            <w:tcW w:w="1300" w:type="dxa"/>
            <w:vAlign w:val="bottom"/>
            <w:gridSpan w:val="2"/>
          </w:tcPr>
          <w:p>
            <w:pPr>
              <w:jc w:val="right"/>
              <w:ind w:right="644"/>
              <w:spacing w:after="0"/>
              <w:rPr>
                <w:sz w:val="20"/>
                <w:szCs w:val="20"/>
                <w:color w:val="auto"/>
              </w:rPr>
            </w:pPr>
            <w:r>
              <w:rPr>
                <w:rFonts w:ascii="Arial" w:cs="Arial" w:eastAsia="Arial" w:hAnsi="Arial"/>
                <w:sz w:val="16"/>
                <w:szCs w:val="16"/>
                <w:b w:val="1"/>
                <w:bCs w:val="1"/>
                <w:color w:val="auto"/>
                <w:w w:val="92"/>
              </w:rPr>
              <w:t>Number</w:t>
            </w:r>
          </w:p>
        </w:tc>
        <w:tc>
          <w:tcPr>
            <w:tcW w:w="540" w:type="dxa"/>
            <w:vAlign w:val="bottom"/>
          </w:tcPr>
          <w:p>
            <w:pPr>
              <w:spacing w:after="0"/>
              <w:rPr>
                <w:sz w:val="20"/>
                <w:szCs w:val="20"/>
                <w:color w:val="auto"/>
              </w:rPr>
            </w:pPr>
          </w:p>
        </w:tc>
        <w:tc>
          <w:tcPr>
            <w:tcW w:w="9180" w:type="dxa"/>
            <w:vAlign w:val="bottom"/>
          </w:tcPr>
          <w:p>
            <w:pPr>
              <w:ind w:left="4180"/>
              <w:spacing w:after="0"/>
              <w:rPr>
                <w:sz w:val="20"/>
                <w:szCs w:val="20"/>
                <w:color w:val="auto"/>
              </w:rPr>
            </w:pPr>
            <w:r>
              <w:rPr>
                <w:rFonts w:ascii="Arial" w:cs="Arial" w:eastAsia="Arial" w:hAnsi="Arial"/>
                <w:sz w:val="16"/>
                <w:szCs w:val="16"/>
                <w:b w:val="1"/>
                <w:bCs w:val="1"/>
                <w:color w:val="auto"/>
              </w:rPr>
              <w:t>Description</w:t>
            </w:r>
          </w:p>
        </w:tc>
      </w:tr>
      <w:tr>
        <w:trPr>
          <w:trHeight w:val="192"/>
        </w:trPr>
        <w:tc>
          <w:tcPr>
            <w:tcW w:w="580" w:type="dxa"/>
            <w:vAlign w:val="bottom"/>
            <w:tcBorders>
              <w:top w:val="single" w:sz="8" w:color="auto"/>
            </w:tcBorders>
          </w:tcPr>
          <w:p>
            <w:pPr>
              <w:jc w:val="right"/>
              <w:spacing w:after="0" w:line="192" w:lineRule="exact"/>
              <w:rPr>
                <w:sz w:val="20"/>
                <w:szCs w:val="20"/>
                <w:color w:val="auto"/>
              </w:rPr>
            </w:pPr>
            <w:r>
              <w:rPr>
                <w:rFonts w:ascii="Arial" w:cs="Arial" w:eastAsia="Arial" w:hAnsi="Arial"/>
                <w:sz w:val="18"/>
                <w:szCs w:val="18"/>
                <w:color w:val="auto"/>
              </w:rPr>
              <w:t>4.1</w:t>
            </w:r>
          </w:p>
        </w:tc>
        <w:tc>
          <w:tcPr>
            <w:tcW w:w="720" w:type="dxa"/>
            <w:vAlign w:val="bottom"/>
          </w:tcPr>
          <w:p>
            <w:pPr>
              <w:jc w:val="right"/>
              <w:ind w:right="464"/>
              <w:spacing w:after="0" w:line="171" w:lineRule="exact"/>
              <w:rPr>
                <w:sz w:val="20"/>
                <w:szCs w:val="20"/>
                <w:color w:val="auto"/>
              </w:rPr>
            </w:pPr>
            <w:r>
              <w:rPr>
                <w:rFonts w:ascii="Arial" w:cs="Arial" w:eastAsia="Arial" w:hAnsi="Arial"/>
                <w:sz w:val="15"/>
                <w:szCs w:val="15"/>
                <w:color w:val="auto"/>
                <w:w w:val="87"/>
              </w:rPr>
              <w:t>(1)</w:t>
            </w:r>
          </w:p>
        </w:tc>
        <w:tc>
          <w:tcPr>
            <w:tcW w:w="540" w:type="dxa"/>
            <w:vAlign w:val="bottom"/>
          </w:tcPr>
          <w:p>
            <w:pPr>
              <w:spacing w:after="0"/>
              <w:rPr>
                <w:sz w:val="16"/>
                <w:szCs w:val="16"/>
                <w:color w:val="auto"/>
              </w:rPr>
            </w:pPr>
          </w:p>
        </w:tc>
        <w:tc>
          <w:tcPr>
            <w:tcW w:w="9180" w:type="dxa"/>
            <w:vAlign w:val="bottom"/>
            <w:tcBorders>
              <w:top w:val="single" w:sz="8" w:color="auto"/>
            </w:tcBorders>
          </w:tcPr>
          <w:p>
            <w:pPr>
              <w:spacing w:after="0" w:line="192" w:lineRule="exact"/>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Specimen common stock certificate of the Registrant.</w:t>
              </w:r>
            </w:hyperlink>
          </w:p>
        </w:tc>
      </w:tr>
      <w:tr>
        <w:trPr>
          <w:trHeight w:val="216"/>
        </w:trPr>
        <w:tc>
          <w:tcPr>
            <w:tcW w:w="1300" w:type="dxa"/>
            <w:vAlign w:val="bottom"/>
            <w:gridSpan w:val="2"/>
          </w:tcPr>
          <w:p>
            <w:pPr>
              <w:jc w:val="right"/>
              <w:ind w:right="464"/>
              <w:spacing w:after="0"/>
              <w:rPr>
                <w:sz w:val="20"/>
                <w:szCs w:val="20"/>
                <w:color w:val="auto"/>
              </w:rPr>
            </w:pPr>
            <w:r>
              <w:rPr>
                <w:rFonts w:ascii="Arial" w:cs="Arial" w:eastAsia="Arial" w:hAnsi="Arial"/>
                <w:sz w:val="18"/>
                <w:szCs w:val="18"/>
                <w:color w:val="auto"/>
              </w:rPr>
              <w:t>4.2</w:t>
            </w:r>
            <w:r>
              <w:rPr>
                <w:rFonts w:ascii="Arial" w:cs="Arial" w:eastAsia="Arial" w:hAnsi="Arial"/>
                <w:sz w:val="15"/>
                <w:szCs w:val="15"/>
                <w:color w:val="auto"/>
              </w:rPr>
              <w:t>(2)</w:t>
            </w:r>
          </w:p>
        </w:tc>
        <w:tc>
          <w:tcPr>
            <w:tcW w:w="9720" w:type="dxa"/>
            <w:vAlign w:val="bottom"/>
            <w:gridSpan w:val="2"/>
          </w:tcPr>
          <w:p>
            <w:pPr>
              <w:ind w:left="540"/>
              <w:spacing w:after="0"/>
              <w:rPr>
                <w:rFonts w:ascii="Arial" w:cs="Arial" w:eastAsia="Arial" w:hAnsi="Arial"/>
                <w:sz w:val="18"/>
                <w:szCs w:val="18"/>
                <w:u w:val="single" w:color="auto"/>
                <w:color w:val="0000EE"/>
              </w:rPr>
            </w:pPr>
            <w:hyperlink r:id="rId26">
              <w:r>
                <w:rPr>
                  <w:rFonts w:ascii="Arial" w:cs="Arial" w:eastAsia="Arial" w:hAnsi="Arial"/>
                  <w:sz w:val="18"/>
                  <w:szCs w:val="18"/>
                  <w:u w:val="single" w:color="auto"/>
                  <w:color w:val="0000EE"/>
                </w:rPr>
                <w:t>Amended and Restated 2020 Equity Incentive Plan and forms of agreements thereunder.</w:t>
              </w:r>
            </w:hyperlink>
          </w:p>
        </w:tc>
      </w:tr>
      <w:tr>
        <w:trPr>
          <w:trHeight w:val="216"/>
        </w:trPr>
        <w:tc>
          <w:tcPr>
            <w:tcW w:w="1300" w:type="dxa"/>
            <w:vAlign w:val="bottom"/>
            <w:gridSpan w:val="2"/>
          </w:tcPr>
          <w:p>
            <w:pPr>
              <w:jc w:val="right"/>
              <w:ind w:right="464"/>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(3)</w:t>
            </w:r>
          </w:p>
        </w:tc>
        <w:tc>
          <w:tcPr>
            <w:tcW w:w="9720" w:type="dxa"/>
            <w:vAlign w:val="bottom"/>
            <w:gridSpan w:val="2"/>
          </w:tcPr>
          <w:p>
            <w:pPr>
              <w:ind w:left="540"/>
              <w:spacing w:after="0"/>
              <w:rPr>
                <w:rFonts w:ascii="Arial" w:cs="Arial" w:eastAsia="Arial" w:hAnsi="Arial"/>
                <w:sz w:val="18"/>
                <w:szCs w:val="18"/>
                <w:u w:val="single" w:color="auto"/>
                <w:color w:val="0000EE"/>
              </w:rPr>
            </w:pPr>
            <w:hyperlink r:id="rId27">
              <w:r>
                <w:rPr>
                  <w:rFonts w:ascii="Arial" w:cs="Arial" w:eastAsia="Arial" w:hAnsi="Arial"/>
                  <w:sz w:val="18"/>
                  <w:szCs w:val="18"/>
                  <w:u w:val="single" w:color="auto"/>
                  <w:color w:val="0000EE"/>
                </w:rPr>
                <w:t>2020 Employee Stock Purchase Plan.</w:t>
              </w:r>
            </w:hyperlink>
          </w:p>
        </w:tc>
      </w:tr>
      <w:tr>
        <w:trPr>
          <w:trHeight w:val="216"/>
        </w:trPr>
        <w:tc>
          <w:tcPr>
            <w:tcW w:w="1300" w:type="dxa"/>
            <w:vAlign w:val="bottom"/>
            <w:gridSpan w:val="2"/>
          </w:tcPr>
          <w:p>
            <w:pPr>
              <w:jc w:val="right"/>
              <w:ind w:right="644"/>
              <w:spacing w:after="0"/>
              <w:rPr>
                <w:sz w:val="20"/>
                <w:szCs w:val="20"/>
                <w:color w:val="auto"/>
              </w:rPr>
            </w:pPr>
            <w:r>
              <w:rPr>
                <w:rFonts w:ascii="Arial" w:cs="Arial" w:eastAsia="Arial" w:hAnsi="Arial"/>
                <w:sz w:val="18"/>
                <w:szCs w:val="18"/>
                <w:color w:val="auto"/>
              </w:rPr>
              <w:t>5.1</w:t>
            </w:r>
          </w:p>
        </w:tc>
        <w:tc>
          <w:tcPr>
            <w:tcW w:w="9720" w:type="dxa"/>
            <w:vAlign w:val="bottom"/>
            <w:gridSpan w:val="2"/>
          </w:tcPr>
          <w:p>
            <w:pPr>
              <w:ind w:left="5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Opinion of Wilson Sonsini Goodrich &amp; Rosati, P.C.</w:t>
              </w:r>
            </w:hyperlink>
          </w:p>
        </w:tc>
      </w:tr>
      <w:tr>
        <w:trPr>
          <w:trHeight w:val="216"/>
        </w:trPr>
        <w:tc>
          <w:tcPr>
            <w:tcW w:w="1300" w:type="dxa"/>
            <w:vAlign w:val="bottom"/>
            <w:gridSpan w:val="2"/>
          </w:tcPr>
          <w:p>
            <w:pPr>
              <w:jc w:val="right"/>
              <w:ind w:right="644"/>
              <w:spacing w:after="0"/>
              <w:rPr>
                <w:sz w:val="20"/>
                <w:szCs w:val="20"/>
                <w:color w:val="auto"/>
              </w:rPr>
            </w:pPr>
            <w:r>
              <w:rPr>
                <w:rFonts w:ascii="Arial" w:cs="Arial" w:eastAsia="Arial" w:hAnsi="Arial"/>
                <w:sz w:val="18"/>
                <w:szCs w:val="18"/>
                <w:color w:val="auto"/>
              </w:rPr>
              <w:t>23.1</w:t>
            </w:r>
          </w:p>
        </w:tc>
        <w:tc>
          <w:tcPr>
            <w:tcW w:w="9720" w:type="dxa"/>
            <w:vAlign w:val="bottom"/>
            <w:gridSpan w:val="2"/>
          </w:tcPr>
          <w:p>
            <w:pPr>
              <w:ind w:left="5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Consent of Independent Registered Public Accounting Firm as to the Registrant.</w:t>
              </w:r>
            </w:hyperlink>
          </w:p>
        </w:tc>
      </w:tr>
      <w:tr>
        <w:trPr>
          <w:trHeight w:val="216"/>
        </w:trPr>
        <w:tc>
          <w:tcPr>
            <w:tcW w:w="1300" w:type="dxa"/>
            <w:vAlign w:val="bottom"/>
            <w:gridSpan w:val="2"/>
          </w:tcPr>
          <w:p>
            <w:pPr>
              <w:jc w:val="right"/>
              <w:ind w:right="644"/>
              <w:spacing w:after="0"/>
              <w:rPr>
                <w:sz w:val="20"/>
                <w:szCs w:val="20"/>
                <w:color w:val="auto"/>
              </w:rPr>
            </w:pPr>
            <w:r>
              <w:rPr>
                <w:rFonts w:ascii="Arial" w:cs="Arial" w:eastAsia="Arial" w:hAnsi="Arial"/>
                <w:sz w:val="18"/>
                <w:szCs w:val="18"/>
                <w:color w:val="auto"/>
              </w:rPr>
              <w:t>23.2</w:t>
            </w:r>
          </w:p>
        </w:tc>
        <w:tc>
          <w:tcPr>
            <w:tcW w:w="9720" w:type="dxa"/>
            <w:vAlign w:val="bottom"/>
            <w:gridSpan w:val="2"/>
          </w:tcPr>
          <w:p>
            <w:pPr>
              <w:ind w:left="540"/>
              <w:spacing w:after="0"/>
              <w:rPr>
                <w:rFonts w:ascii="Arial" w:cs="Arial" w:eastAsia="Arial" w:hAnsi="Arial"/>
                <w:sz w:val="18"/>
                <w:szCs w:val="18"/>
                <w:color w:val="0000EE"/>
              </w:rPr>
            </w:pPr>
            <w:hyperlink w:anchor="page12">
              <w:r>
                <w:rPr>
                  <w:rFonts w:ascii="Arial" w:cs="Arial" w:eastAsia="Arial" w:hAnsi="Arial"/>
                  <w:sz w:val="18"/>
                  <w:szCs w:val="18"/>
                  <w:u w:val="single" w:color="auto"/>
                  <w:color w:val="0000EE"/>
                </w:rPr>
                <w:t>Consent of Independent Registered Public Accounting Firm as to ALX Oncology Limited</w:t>
              </w:r>
              <w:r>
                <w:rPr>
                  <w:rFonts w:ascii="Arial" w:cs="Arial" w:eastAsia="Arial" w:hAnsi="Arial"/>
                  <w:sz w:val="18"/>
                  <w:szCs w:val="18"/>
                  <w:color w:val="0000EE"/>
                </w:rPr>
                <w:t>.</w:t>
              </w:r>
            </w:hyperlink>
          </w:p>
        </w:tc>
      </w:tr>
      <w:tr>
        <w:trPr>
          <w:trHeight w:val="216"/>
        </w:trPr>
        <w:tc>
          <w:tcPr>
            <w:tcW w:w="1300" w:type="dxa"/>
            <w:vAlign w:val="bottom"/>
            <w:gridSpan w:val="2"/>
          </w:tcPr>
          <w:p>
            <w:pPr>
              <w:jc w:val="right"/>
              <w:ind w:right="644"/>
              <w:spacing w:after="0"/>
              <w:rPr>
                <w:sz w:val="20"/>
                <w:szCs w:val="20"/>
                <w:color w:val="auto"/>
              </w:rPr>
            </w:pPr>
            <w:r>
              <w:rPr>
                <w:rFonts w:ascii="Arial" w:cs="Arial" w:eastAsia="Arial" w:hAnsi="Arial"/>
                <w:sz w:val="18"/>
                <w:szCs w:val="18"/>
                <w:color w:val="auto"/>
              </w:rPr>
              <w:t>23.3</w:t>
            </w:r>
          </w:p>
        </w:tc>
        <w:tc>
          <w:tcPr>
            <w:tcW w:w="9720" w:type="dxa"/>
            <w:vAlign w:val="bottom"/>
            <w:gridSpan w:val="2"/>
          </w:tcPr>
          <w:p>
            <w:pPr>
              <w:ind w:left="54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Consent of Wilson Sonsini Goodrich &amp; Rosati, Professional Corporation (included in Exhibit 5.1).</w:t>
              </w:r>
            </w:hyperlink>
          </w:p>
        </w:tc>
      </w:tr>
      <w:tr>
        <w:trPr>
          <w:trHeight w:val="230"/>
        </w:trPr>
        <w:tc>
          <w:tcPr>
            <w:tcW w:w="1300" w:type="dxa"/>
            <w:vAlign w:val="bottom"/>
            <w:gridSpan w:val="2"/>
          </w:tcPr>
          <w:p>
            <w:pPr>
              <w:jc w:val="right"/>
              <w:ind w:right="644"/>
              <w:spacing w:after="0"/>
              <w:rPr>
                <w:sz w:val="20"/>
                <w:szCs w:val="20"/>
                <w:color w:val="auto"/>
              </w:rPr>
            </w:pPr>
            <w:r>
              <w:rPr>
                <w:rFonts w:ascii="Arial" w:cs="Arial" w:eastAsia="Arial" w:hAnsi="Arial"/>
                <w:sz w:val="18"/>
                <w:szCs w:val="18"/>
                <w:color w:val="auto"/>
              </w:rPr>
              <w:t>24.1</w:t>
            </w:r>
          </w:p>
        </w:tc>
        <w:tc>
          <w:tcPr>
            <w:tcW w:w="9720" w:type="dxa"/>
            <w:vAlign w:val="bottom"/>
            <w:gridSpan w:val="2"/>
          </w:tcPr>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Power of Attorney (contained on signature page hereto).</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100" w:hanging="424"/>
        <w:spacing w:after="0" w:line="258"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4.2 filed with the Registrant’s Registration Statement on Form S-1 (Registration No. 333-239490), filed with the Commission on June 26, 2020.</w:t>
      </w:r>
    </w:p>
    <w:p>
      <w:pPr>
        <w:spacing w:after="0" w:line="1" w:lineRule="exact"/>
        <w:rPr>
          <w:rFonts w:ascii="Arial" w:cs="Arial" w:eastAsia="Arial" w:hAnsi="Arial"/>
          <w:sz w:val="18"/>
          <w:szCs w:val="18"/>
          <w:color w:val="auto"/>
        </w:rPr>
      </w:pPr>
    </w:p>
    <w:p>
      <w:pPr>
        <w:ind w:left="424" w:right="200" w:hanging="424"/>
        <w:spacing w:after="0" w:line="25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10.2 filed with the Registrant’s Registration Statement on Form S-1/A (Registration No. 333-239490), filed with the Commission on July 13, 2020.</w:t>
      </w:r>
    </w:p>
    <w:p>
      <w:pPr>
        <w:ind w:left="424" w:right="200"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10.3 filed with the Registrant’s Registration Statement on Form S-1/A (Registration No. 333-239490), filed with the Commission on July 13, 2020.</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24" w:right="80" w:hanging="439"/>
        <w:spacing w:after="0" w:line="291" w:lineRule="auto"/>
        <w:tabs>
          <w:tab w:leader="none" w:pos="1424" w:val="left"/>
        </w:tabs>
        <w:numPr>
          <w:ilvl w:val="2"/>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ectPr>
          <w:pgSz w:w="11900" w:h="16838" w:orient="portrait"/>
          <w:cols w:equalWidth="0" w:num="1">
            <w:col w:w="11024"/>
          </w:cols>
          <w:pgMar w:left="436" w:top="274" w:right="439" w:bottom="1440" w:gutter="0" w:footer="0" w:header="0"/>
        </w:sectPr>
      </w:pPr>
    </w:p>
    <w:bookmarkStart w:id="6" w:name="page7"/>
    <w:bookmarkEnd w:id="6"/>
    <w:p>
      <w:pPr>
        <w:ind w:left="1424" w:right="20" w:hanging="439"/>
        <w:spacing w:after="0" w:line="277" w:lineRule="auto"/>
        <w:tabs>
          <w:tab w:leader="none" w:pos="142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pacing w:after="0" w:line="89" w:lineRule="exact"/>
        <w:rPr>
          <w:sz w:val="20"/>
          <w:szCs w:val="20"/>
          <w:color w:val="auto"/>
        </w:rPr>
      </w:pPr>
    </w:p>
    <w:p>
      <w:pPr>
        <w:jc w:val="both"/>
        <w:ind w:left="964" w:right="280" w:hanging="532"/>
        <w:spacing w:after="0" w:line="263"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8"/>
        </w:numPr>
        <w:rPr>
          <w:rFonts w:ascii="Arial" w:cs="Arial" w:eastAsia="Arial" w:hAnsi="Arial"/>
          <w:sz w:val="18"/>
          <w:szCs w:val="18"/>
          <w:color w:val="auto"/>
        </w:rPr>
      </w:pPr>
      <w:r>
        <w:rPr>
          <w:rFonts w:ascii="Arial" w:cs="Arial" w:eastAsia="Arial" w:hAnsi="Arial"/>
          <w:sz w:val="18"/>
          <w:szCs w:val="18"/>
          <w:color w:val="auto"/>
        </w:rPr>
        <w:t>It will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left="424" w:hanging="424"/>
        <w:spacing w:after="0" w:line="257"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4" w:lineRule="exact"/>
        <w:rPr>
          <w:rFonts w:ascii="Arial" w:cs="Arial" w:eastAsia="Arial" w:hAnsi="Arial"/>
          <w:sz w:val="18"/>
          <w:szCs w:val="18"/>
          <w:color w:val="auto"/>
        </w:rPr>
      </w:pPr>
    </w:p>
    <w:p>
      <w:pPr>
        <w:ind w:left="424" w:right="20" w:hanging="424"/>
        <w:spacing w:after="0" w:line="271"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64"/>
          </w:cols>
          <w:pgMar w:left="436" w:top="274" w:right="4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Burlingame, California, on the 17th day of July, 2020.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Jaume Pons, Ph.D. and Peter Garcia,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proxy and agent, or the individual’s substitute, may lawfully do or cause to be done by virtue hereof.</w:t>
      </w:r>
    </w:p>
    <w:p>
      <w:pPr>
        <w:spacing w:after="0" w:line="16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12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0"/>
        </w:trPr>
        <w:tc>
          <w:tcPr>
            <w:tcW w:w="4180" w:type="dxa"/>
            <w:vAlign w:val="bottom"/>
            <w:gridSpan w:val="6"/>
          </w:tcPr>
          <w:p>
            <w:pPr>
              <w:spacing w:after="0"/>
              <w:rPr>
                <w:sz w:val="20"/>
                <w:szCs w:val="20"/>
                <w:color w:val="auto"/>
              </w:rPr>
            </w:pPr>
            <w:r>
              <w:rPr>
                <w:rFonts w:ascii="Arial" w:cs="Arial" w:eastAsia="Arial" w:hAnsi="Arial"/>
                <w:sz w:val="18"/>
                <w:szCs w:val="18"/>
                <w:color w:val="auto"/>
              </w:rPr>
              <w:t>/s/ Jaume Pons</w:t>
            </w:r>
          </w:p>
        </w:tc>
        <w:tc>
          <w:tcPr>
            <w:tcW w:w="120" w:type="dxa"/>
            <w:vAlign w:val="bottom"/>
          </w:tcPr>
          <w:p>
            <w:pPr>
              <w:spacing w:after="0"/>
              <w:rPr>
                <w:sz w:val="23"/>
                <w:szCs w:val="23"/>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9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1"/>
              </w:rPr>
              <w:t>July 17, 2020</w:t>
            </w:r>
          </w:p>
        </w:tc>
        <w:tc>
          <w:tcPr>
            <w:tcW w:w="0" w:type="dxa"/>
            <w:vAlign w:val="bottom"/>
          </w:tcPr>
          <w:p>
            <w:pPr>
              <w:spacing w:after="0"/>
              <w:rPr>
                <w:sz w:val="1"/>
                <w:szCs w:val="1"/>
                <w:color w:val="auto"/>
              </w:rPr>
            </w:pPr>
          </w:p>
        </w:tc>
      </w:tr>
      <w:tr>
        <w:trPr>
          <w:trHeight w:val="224"/>
        </w:trPr>
        <w:tc>
          <w:tcPr>
            <w:tcW w:w="4180" w:type="dxa"/>
            <w:vAlign w:val="bottom"/>
            <w:gridSpan w:val="6"/>
          </w:tcPr>
          <w:p>
            <w:pPr>
              <w:spacing w:after="0"/>
              <w:rPr>
                <w:sz w:val="20"/>
                <w:szCs w:val="20"/>
                <w:color w:val="auto"/>
              </w:rPr>
            </w:pPr>
            <w:r>
              <w:rPr>
                <w:rFonts w:ascii="Arial" w:cs="Arial" w:eastAsia="Arial" w:hAnsi="Arial"/>
                <w:sz w:val="18"/>
                <w:szCs w:val="18"/>
                <w:color w:val="auto"/>
              </w:rPr>
              <w:t>Jaume Pons, Ph.D.</w:t>
            </w:r>
          </w:p>
        </w:tc>
        <w:tc>
          <w:tcPr>
            <w:tcW w:w="120" w:type="dxa"/>
            <w:vAlign w:val="bottom"/>
            <w:vMerge w:val="continue"/>
          </w:tcPr>
          <w:p>
            <w:pPr>
              <w:spacing w:after="0"/>
              <w:rPr>
                <w:sz w:val="19"/>
                <w:szCs w:val="19"/>
                <w:color w:val="auto"/>
              </w:rPr>
            </w:pPr>
          </w:p>
        </w:tc>
        <w:tc>
          <w:tcPr>
            <w:tcW w:w="4960" w:type="dxa"/>
            <w:vAlign w:val="bottom"/>
            <w:gridSpan w:val="2"/>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80" w:type="dxa"/>
            <w:vAlign w:val="bottom"/>
            <w:gridSpan w:val="6"/>
          </w:tcPr>
          <w:p>
            <w:pPr>
              <w:spacing w:after="0"/>
              <w:rPr>
                <w:sz w:val="20"/>
                <w:szCs w:val="20"/>
                <w:color w:val="auto"/>
              </w:rPr>
            </w:pPr>
            <w:r>
              <w:rPr>
                <w:rFonts w:ascii="Arial" w:cs="Arial" w:eastAsia="Arial" w:hAnsi="Arial"/>
                <w:sz w:val="18"/>
                <w:szCs w:val="18"/>
                <w:color w:val="auto"/>
              </w:rPr>
              <w:t>/s/ Peter Garcia</w:t>
            </w:r>
          </w:p>
        </w:tc>
        <w:tc>
          <w:tcPr>
            <w:tcW w:w="120" w:type="dxa"/>
            <w:vAlign w:val="bottom"/>
          </w:tcPr>
          <w:p>
            <w:pPr>
              <w:spacing w:after="0"/>
              <w:rPr>
                <w:sz w:val="23"/>
                <w:szCs w:val="23"/>
                <w:color w:val="auto"/>
              </w:rPr>
            </w:pPr>
          </w:p>
        </w:tc>
        <w:tc>
          <w:tcPr>
            <w:tcW w:w="4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9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1"/>
              </w:rPr>
              <w:t>July 17, 2020</w:t>
            </w:r>
          </w:p>
        </w:tc>
        <w:tc>
          <w:tcPr>
            <w:tcW w:w="0" w:type="dxa"/>
            <w:vAlign w:val="bottom"/>
          </w:tcPr>
          <w:p>
            <w:pPr>
              <w:spacing w:after="0"/>
              <w:rPr>
                <w:sz w:val="1"/>
                <w:szCs w:val="1"/>
                <w:color w:val="auto"/>
              </w:rPr>
            </w:pPr>
          </w:p>
        </w:tc>
      </w:tr>
      <w:tr>
        <w:trPr>
          <w:trHeight w:val="224"/>
        </w:trPr>
        <w:tc>
          <w:tcPr>
            <w:tcW w:w="4180" w:type="dxa"/>
            <w:vAlign w:val="bottom"/>
            <w:gridSpan w:val="6"/>
          </w:tcPr>
          <w:p>
            <w:pPr>
              <w:spacing w:after="0"/>
              <w:rPr>
                <w:sz w:val="20"/>
                <w:szCs w:val="20"/>
                <w:color w:val="auto"/>
              </w:rPr>
            </w:pPr>
            <w:r>
              <w:rPr>
                <w:rFonts w:ascii="Arial" w:cs="Arial" w:eastAsia="Arial" w:hAnsi="Arial"/>
                <w:sz w:val="18"/>
                <w:szCs w:val="18"/>
                <w:color w:val="auto"/>
              </w:rPr>
              <w:t>Peter Garcia</w:t>
            </w:r>
          </w:p>
        </w:tc>
        <w:tc>
          <w:tcPr>
            <w:tcW w:w="120" w:type="dxa"/>
            <w:vAlign w:val="bottom"/>
            <w:vMerge w:val="continue"/>
          </w:tcPr>
          <w:p>
            <w:pPr>
              <w:spacing w:after="0"/>
              <w:rPr>
                <w:sz w:val="19"/>
                <w:szCs w:val="19"/>
                <w:color w:val="auto"/>
              </w:rPr>
            </w:pPr>
          </w:p>
        </w:tc>
        <w:tc>
          <w:tcPr>
            <w:tcW w:w="4960" w:type="dxa"/>
            <w:vAlign w:val="bottom"/>
            <w:gridSpan w:val="2"/>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80" w:type="dxa"/>
            <w:vAlign w:val="bottom"/>
            <w:gridSpan w:val="6"/>
          </w:tcPr>
          <w:p>
            <w:pPr>
              <w:spacing w:after="0"/>
              <w:rPr>
                <w:sz w:val="20"/>
                <w:szCs w:val="20"/>
                <w:color w:val="auto"/>
              </w:rPr>
            </w:pPr>
            <w:r>
              <w:rPr>
                <w:rFonts w:ascii="Arial" w:cs="Arial" w:eastAsia="Arial" w:hAnsi="Arial"/>
                <w:sz w:val="18"/>
                <w:szCs w:val="18"/>
                <w:color w:val="auto"/>
              </w:rPr>
              <w:t>/s/ Steffen Pietzke</w:t>
            </w:r>
          </w:p>
        </w:tc>
        <w:tc>
          <w:tcPr>
            <w:tcW w:w="120" w:type="dxa"/>
            <w:vAlign w:val="bottom"/>
          </w:tcPr>
          <w:p>
            <w:pPr>
              <w:spacing w:after="0"/>
              <w:rPr>
                <w:sz w:val="23"/>
                <w:szCs w:val="23"/>
                <w:color w:val="auto"/>
              </w:rPr>
            </w:pPr>
          </w:p>
        </w:tc>
        <w:tc>
          <w:tcPr>
            <w:tcW w:w="49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Vice President, Finance and Chief Accounting Officer</w:t>
            </w: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960" w:type="dxa"/>
            <w:vAlign w:val="bottom"/>
            <w:gridSpan w:val="2"/>
            <w:vMerge w:val="restart"/>
          </w:tcPr>
          <w:p>
            <w:pPr>
              <w:jc w:val="center"/>
              <w:ind w:right="100"/>
              <w:spacing w:after="0"/>
              <w:rPr>
                <w:sz w:val="20"/>
                <w:szCs w:val="20"/>
                <w:color w:val="auto"/>
              </w:rPr>
            </w:pPr>
            <w:r>
              <w:rPr>
                <w:rFonts w:ascii="Arial" w:cs="Arial" w:eastAsia="Arial" w:hAnsi="Arial"/>
                <w:sz w:val="18"/>
                <w:szCs w:val="18"/>
                <w:i w:val="1"/>
                <w:iCs w:val="1"/>
                <w:color w:val="auto"/>
                <w:w w:val="95"/>
              </w:rPr>
              <w:t>(Principal Accounting Officer)</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1"/>
              </w:rPr>
              <w:t>July 17, 2020</w:t>
            </w:r>
          </w:p>
        </w:tc>
        <w:tc>
          <w:tcPr>
            <w:tcW w:w="0" w:type="dxa"/>
            <w:vAlign w:val="bottom"/>
          </w:tcPr>
          <w:p>
            <w:pPr>
              <w:spacing w:after="0"/>
              <w:rPr>
                <w:sz w:val="1"/>
                <w:szCs w:val="1"/>
                <w:color w:val="auto"/>
              </w:rPr>
            </w:pPr>
          </w:p>
        </w:tc>
      </w:tr>
      <w:tr>
        <w:trPr>
          <w:trHeight w:val="224"/>
        </w:trPr>
        <w:tc>
          <w:tcPr>
            <w:tcW w:w="4180" w:type="dxa"/>
            <w:vAlign w:val="bottom"/>
            <w:gridSpan w:val="6"/>
          </w:tcPr>
          <w:p>
            <w:pPr>
              <w:spacing w:after="0"/>
              <w:rPr>
                <w:sz w:val="20"/>
                <w:szCs w:val="20"/>
                <w:color w:val="auto"/>
              </w:rPr>
            </w:pPr>
            <w:r>
              <w:rPr>
                <w:rFonts w:ascii="Arial" w:cs="Arial" w:eastAsia="Arial" w:hAnsi="Arial"/>
                <w:sz w:val="18"/>
                <w:szCs w:val="18"/>
                <w:color w:val="auto"/>
              </w:rPr>
              <w:t>Steffen Pietzke</w:t>
            </w:r>
          </w:p>
        </w:tc>
        <w:tc>
          <w:tcPr>
            <w:tcW w:w="120" w:type="dxa"/>
            <w:vAlign w:val="bottom"/>
            <w:vMerge w:val="continue"/>
          </w:tcPr>
          <w:p>
            <w:pPr>
              <w:spacing w:after="0"/>
              <w:rPr>
                <w:sz w:val="19"/>
                <w:szCs w:val="19"/>
                <w:color w:val="auto"/>
              </w:rPr>
            </w:pPr>
          </w:p>
        </w:tc>
        <w:tc>
          <w:tcPr>
            <w:tcW w:w="4960" w:type="dxa"/>
            <w:vAlign w:val="bottom"/>
            <w:gridSpan w:val="2"/>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80" w:type="dxa"/>
            <w:vAlign w:val="bottom"/>
            <w:gridSpan w:val="6"/>
          </w:tcPr>
          <w:p>
            <w:pPr>
              <w:spacing w:after="0"/>
              <w:rPr>
                <w:sz w:val="20"/>
                <w:szCs w:val="20"/>
                <w:color w:val="auto"/>
              </w:rPr>
            </w:pPr>
            <w:r>
              <w:rPr>
                <w:rFonts w:ascii="Arial" w:cs="Arial" w:eastAsia="Arial" w:hAnsi="Arial"/>
                <w:sz w:val="18"/>
                <w:szCs w:val="18"/>
                <w:color w:val="auto"/>
              </w:rPr>
              <w:t>/s/ Corey Goodman</w:t>
            </w:r>
          </w:p>
        </w:tc>
        <w:tc>
          <w:tcPr>
            <w:tcW w:w="120" w:type="dxa"/>
            <w:vAlign w:val="bottom"/>
          </w:tcPr>
          <w:p>
            <w:pPr>
              <w:spacing w:after="0"/>
              <w:rPr>
                <w:sz w:val="23"/>
                <w:szCs w:val="23"/>
                <w:color w:val="auto"/>
              </w:rPr>
            </w:pPr>
          </w:p>
        </w:tc>
        <w:tc>
          <w:tcPr>
            <w:tcW w:w="49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1"/>
              </w:rPr>
              <w:t>Executive Chairman of the Board of Directors</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1"/>
              </w:rPr>
              <w:t>July 17, 2020</w:t>
            </w:r>
          </w:p>
        </w:tc>
        <w:tc>
          <w:tcPr>
            <w:tcW w:w="0" w:type="dxa"/>
            <w:vAlign w:val="bottom"/>
          </w:tcPr>
          <w:p>
            <w:pPr>
              <w:spacing w:after="0"/>
              <w:rPr>
                <w:sz w:val="1"/>
                <w:szCs w:val="1"/>
                <w:color w:val="auto"/>
              </w:rPr>
            </w:pP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960" w:type="dxa"/>
            <w:vAlign w:val="bottom"/>
            <w:gridSpan w:val="2"/>
            <w:vMerge w:val="continue"/>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180" w:type="dxa"/>
            <w:vAlign w:val="bottom"/>
            <w:gridSpan w:val="6"/>
          </w:tcPr>
          <w:p>
            <w:pPr>
              <w:spacing w:after="0"/>
              <w:rPr>
                <w:sz w:val="20"/>
                <w:szCs w:val="20"/>
                <w:color w:val="auto"/>
              </w:rPr>
            </w:pPr>
            <w:r>
              <w:rPr>
                <w:rFonts w:ascii="Arial" w:cs="Arial" w:eastAsia="Arial" w:hAnsi="Arial"/>
                <w:sz w:val="18"/>
                <w:szCs w:val="18"/>
                <w:color w:val="auto"/>
              </w:rPr>
              <w:t>Corey Goodman, Ph.D.</w:t>
            </w:r>
          </w:p>
        </w:tc>
        <w:tc>
          <w:tcPr>
            <w:tcW w:w="120" w:type="dxa"/>
            <w:vAlign w:val="bottom"/>
            <w:vMerge w:val="continue"/>
          </w:tcPr>
          <w:p>
            <w:pPr>
              <w:spacing w:after="0"/>
              <w:rPr>
                <w:sz w:val="19"/>
                <w:szCs w:val="19"/>
                <w:color w:val="auto"/>
              </w:rPr>
            </w:pPr>
          </w:p>
        </w:tc>
        <w:tc>
          <w:tcPr>
            <w:tcW w:w="4960" w:type="dxa"/>
            <w:vAlign w:val="bottom"/>
            <w:gridSpan w:val="2"/>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80" w:type="dxa"/>
            <w:vAlign w:val="bottom"/>
            <w:gridSpan w:val="6"/>
          </w:tcPr>
          <w:p>
            <w:pPr>
              <w:spacing w:after="0"/>
              <w:rPr>
                <w:sz w:val="20"/>
                <w:szCs w:val="20"/>
                <w:color w:val="auto"/>
              </w:rPr>
            </w:pPr>
            <w:r>
              <w:rPr>
                <w:rFonts w:ascii="Arial" w:cs="Arial" w:eastAsia="Arial" w:hAnsi="Arial"/>
                <w:sz w:val="18"/>
                <w:szCs w:val="18"/>
                <w:color w:val="auto"/>
              </w:rPr>
              <w:t>/s/ Rekha Hemrajani</w:t>
            </w:r>
          </w:p>
        </w:tc>
        <w:tc>
          <w:tcPr>
            <w:tcW w:w="120" w:type="dxa"/>
            <w:vAlign w:val="bottom"/>
          </w:tcPr>
          <w:p>
            <w:pPr>
              <w:spacing w:after="0"/>
              <w:rPr>
                <w:sz w:val="23"/>
                <w:szCs w:val="23"/>
                <w:color w:val="auto"/>
              </w:rPr>
            </w:pPr>
          </w:p>
        </w:tc>
        <w:tc>
          <w:tcPr>
            <w:tcW w:w="49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1"/>
              </w:rPr>
              <w:t>July 17, 2020</w:t>
            </w:r>
          </w:p>
        </w:tc>
        <w:tc>
          <w:tcPr>
            <w:tcW w:w="0" w:type="dxa"/>
            <w:vAlign w:val="bottom"/>
          </w:tcPr>
          <w:p>
            <w:pPr>
              <w:spacing w:after="0"/>
              <w:rPr>
                <w:sz w:val="1"/>
                <w:szCs w:val="1"/>
                <w:color w:val="auto"/>
              </w:rPr>
            </w:pPr>
          </w:p>
        </w:tc>
      </w:tr>
      <w:tr>
        <w:trPr>
          <w:trHeight w:val="20"/>
        </w:trPr>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960" w:type="dxa"/>
            <w:vAlign w:val="bottom"/>
            <w:gridSpan w:val="2"/>
            <w:vMerge w:val="continue"/>
          </w:tcPr>
          <w:p>
            <w:pPr>
              <w:spacing w:after="0" w:line="20" w:lineRule="exact"/>
              <w:rPr>
                <w:sz w:val="1"/>
                <w:szCs w:val="1"/>
                <w:color w:val="auto"/>
              </w:rPr>
            </w:pPr>
          </w:p>
        </w:tc>
        <w:tc>
          <w:tcPr>
            <w:tcW w:w="17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180" w:type="dxa"/>
            <w:vAlign w:val="bottom"/>
            <w:gridSpan w:val="6"/>
          </w:tcPr>
          <w:p>
            <w:pPr>
              <w:spacing w:after="0"/>
              <w:rPr>
                <w:sz w:val="20"/>
                <w:szCs w:val="20"/>
                <w:color w:val="auto"/>
              </w:rPr>
            </w:pPr>
            <w:r>
              <w:rPr>
                <w:rFonts w:ascii="Arial" w:cs="Arial" w:eastAsia="Arial" w:hAnsi="Arial"/>
                <w:sz w:val="18"/>
                <w:szCs w:val="18"/>
                <w:color w:val="auto"/>
              </w:rPr>
              <w:t>Rekha Hemrajani</w:t>
            </w:r>
          </w:p>
        </w:tc>
        <w:tc>
          <w:tcPr>
            <w:tcW w:w="120" w:type="dxa"/>
            <w:vAlign w:val="bottom"/>
            <w:vMerge w:val="continue"/>
          </w:tcPr>
          <w:p>
            <w:pPr>
              <w:spacing w:after="0"/>
              <w:rPr>
                <w:sz w:val="19"/>
                <w:szCs w:val="19"/>
                <w:color w:val="auto"/>
              </w:rPr>
            </w:pPr>
          </w:p>
        </w:tc>
        <w:tc>
          <w:tcPr>
            <w:tcW w:w="4960" w:type="dxa"/>
            <w:vAlign w:val="bottom"/>
            <w:gridSpan w:val="2"/>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180" w:type="dxa"/>
            <w:vAlign w:val="bottom"/>
            <w:gridSpan w:val="4"/>
          </w:tcPr>
          <w:p>
            <w:pPr>
              <w:spacing w:after="0"/>
              <w:rPr>
                <w:sz w:val="20"/>
                <w:szCs w:val="20"/>
                <w:color w:val="auto"/>
              </w:rPr>
            </w:pPr>
            <w:r>
              <w:rPr>
                <w:rFonts w:ascii="Arial" w:cs="Arial" w:eastAsia="Arial" w:hAnsi="Arial"/>
                <w:sz w:val="18"/>
                <w:szCs w:val="18"/>
                <w:color w:val="auto"/>
              </w:rPr>
              <w:t>/s/ Jason Lettmann</w:t>
            </w:r>
          </w:p>
        </w:tc>
        <w:tc>
          <w:tcPr>
            <w:tcW w:w="4160" w:type="dxa"/>
            <w:vAlign w:val="bottom"/>
            <w:vMerge w:val="restart"/>
          </w:tcPr>
          <w:p>
            <w:pPr>
              <w:ind w:left="2240"/>
              <w:spacing w:after="0"/>
              <w:rPr>
                <w:sz w:val="20"/>
                <w:szCs w:val="20"/>
                <w:color w:val="auto"/>
              </w:rPr>
            </w:pPr>
            <w:r>
              <w:rPr>
                <w:rFonts w:ascii="Arial" w:cs="Arial" w:eastAsia="Arial" w:hAnsi="Arial"/>
                <w:sz w:val="18"/>
                <w:szCs w:val="18"/>
                <w:color w:val="auto"/>
              </w:rPr>
              <w:t>Director</w:t>
            </w:r>
          </w:p>
        </w:tc>
        <w:tc>
          <w:tcPr>
            <w:tcW w:w="2280" w:type="dxa"/>
            <w:vAlign w:val="bottom"/>
            <w:vMerge w:val="restart"/>
          </w:tcPr>
          <w:p>
            <w:pPr>
              <w:ind w:left="1300"/>
              <w:spacing w:after="0"/>
              <w:rPr>
                <w:sz w:val="20"/>
                <w:szCs w:val="20"/>
                <w:color w:val="auto"/>
              </w:rPr>
            </w:pPr>
            <w:r>
              <w:rPr>
                <w:rFonts w:ascii="Arial" w:cs="Arial" w:eastAsia="Arial" w:hAnsi="Arial"/>
                <w:sz w:val="18"/>
                <w:szCs w:val="18"/>
                <w:color w:val="auto"/>
                <w:w w:val="89"/>
              </w:rPr>
              <w:t>July 17, 2020</w:t>
            </w:r>
          </w:p>
        </w:tc>
        <w:tc>
          <w:tcPr>
            <w:tcW w:w="0" w:type="dxa"/>
            <w:vAlign w:val="bottom"/>
          </w:tcPr>
          <w:p>
            <w:pPr>
              <w:spacing w:after="0"/>
              <w:rPr>
                <w:sz w:val="1"/>
                <w:szCs w:val="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4160" w:type="dxa"/>
            <w:vAlign w:val="bottom"/>
            <w:vMerge w:val="continue"/>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180" w:type="dxa"/>
            <w:vAlign w:val="bottom"/>
            <w:gridSpan w:val="4"/>
          </w:tcPr>
          <w:p>
            <w:pPr>
              <w:spacing w:after="0"/>
              <w:rPr>
                <w:sz w:val="20"/>
                <w:szCs w:val="20"/>
                <w:color w:val="auto"/>
              </w:rPr>
            </w:pPr>
            <w:r>
              <w:rPr>
                <w:rFonts w:ascii="Arial" w:cs="Arial" w:eastAsia="Arial" w:hAnsi="Arial"/>
                <w:sz w:val="18"/>
                <w:szCs w:val="18"/>
                <w:color w:val="auto"/>
              </w:rPr>
              <w:t>Jason Lettmann</w:t>
            </w:r>
          </w:p>
        </w:tc>
        <w:tc>
          <w:tcPr>
            <w:tcW w:w="4160" w:type="dxa"/>
            <w:vAlign w:val="bottom"/>
            <w:vMerge w:val="continue"/>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80" w:type="dxa"/>
            <w:vAlign w:val="bottom"/>
            <w:gridSpan w:val="4"/>
          </w:tcPr>
          <w:p>
            <w:pPr>
              <w:spacing w:after="0"/>
              <w:rPr>
                <w:sz w:val="20"/>
                <w:szCs w:val="20"/>
                <w:color w:val="auto"/>
              </w:rPr>
            </w:pPr>
            <w:r>
              <w:rPr>
                <w:rFonts w:ascii="Arial" w:cs="Arial" w:eastAsia="Arial" w:hAnsi="Arial"/>
                <w:sz w:val="18"/>
                <w:szCs w:val="18"/>
                <w:color w:val="auto"/>
              </w:rPr>
              <w:t>/s/ Jack Nielsen</w:t>
            </w:r>
          </w:p>
        </w:tc>
        <w:tc>
          <w:tcPr>
            <w:tcW w:w="4160" w:type="dxa"/>
            <w:vAlign w:val="bottom"/>
            <w:vMerge w:val="restart"/>
          </w:tcPr>
          <w:p>
            <w:pPr>
              <w:ind w:left="2240"/>
              <w:spacing w:after="0"/>
              <w:rPr>
                <w:sz w:val="20"/>
                <w:szCs w:val="20"/>
                <w:color w:val="auto"/>
              </w:rPr>
            </w:pPr>
            <w:r>
              <w:rPr>
                <w:rFonts w:ascii="Arial" w:cs="Arial" w:eastAsia="Arial" w:hAnsi="Arial"/>
                <w:sz w:val="18"/>
                <w:szCs w:val="18"/>
                <w:color w:val="auto"/>
              </w:rPr>
              <w:t>Director</w:t>
            </w:r>
          </w:p>
        </w:tc>
        <w:tc>
          <w:tcPr>
            <w:tcW w:w="2280" w:type="dxa"/>
            <w:vAlign w:val="bottom"/>
            <w:vMerge w:val="restart"/>
          </w:tcPr>
          <w:p>
            <w:pPr>
              <w:ind w:left="1300"/>
              <w:spacing w:after="0"/>
              <w:rPr>
                <w:sz w:val="20"/>
                <w:szCs w:val="20"/>
                <w:color w:val="auto"/>
              </w:rPr>
            </w:pPr>
            <w:r>
              <w:rPr>
                <w:rFonts w:ascii="Arial" w:cs="Arial" w:eastAsia="Arial" w:hAnsi="Arial"/>
                <w:sz w:val="18"/>
                <w:szCs w:val="18"/>
                <w:color w:val="auto"/>
                <w:w w:val="89"/>
              </w:rPr>
              <w:t>July 17, 2020</w:t>
            </w:r>
          </w:p>
        </w:tc>
        <w:tc>
          <w:tcPr>
            <w:tcW w:w="0" w:type="dxa"/>
            <w:vAlign w:val="bottom"/>
          </w:tcPr>
          <w:p>
            <w:pPr>
              <w:spacing w:after="0"/>
              <w:rPr>
                <w:sz w:val="1"/>
                <w:szCs w:val="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4160" w:type="dxa"/>
            <w:vAlign w:val="bottom"/>
            <w:vMerge w:val="continue"/>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180" w:type="dxa"/>
            <w:vAlign w:val="bottom"/>
            <w:gridSpan w:val="4"/>
          </w:tcPr>
          <w:p>
            <w:pPr>
              <w:spacing w:after="0"/>
              <w:rPr>
                <w:sz w:val="20"/>
                <w:szCs w:val="20"/>
                <w:color w:val="auto"/>
              </w:rPr>
            </w:pPr>
            <w:r>
              <w:rPr>
                <w:rFonts w:ascii="Arial" w:cs="Arial" w:eastAsia="Arial" w:hAnsi="Arial"/>
                <w:sz w:val="18"/>
                <w:szCs w:val="18"/>
                <w:color w:val="auto"/>
              </w:rPr>
              <w:t>Jack Nielsen</w:t>
            </w:r>
          </w:p>
        </w:tc>
        <w:tc>
          <w:tcPr>
            <w:tcW w:w="4160" w:type="dxa"/>
            <w:vAlign w:val="bottom"/>
            <w:vMerge w:val="continue"/>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4180" w:type="dxa"/>
            <w:vAlign w:val="bottom"/>
            <w:gridSpan w:val="4"/>
          </w:tcPr>
          <w:p>
            <w:pPr>
              <w:spacing w:after="0"/>
              <w:rPr>
                <w:sz w:val="20"/>
                <w:szCs w:val="20"/>
                <w:color w:val="auto"/>
              </w:rPr>
            </w:pPr>
            <w:r>
              <w:rPr>
                <w:rFonts w:ascii="Arial" w:cs="Arial" w:eastAsia="Arial" w:hAnsi="Arial"/>
                <w:sz w:val="18"/>
                <w:szCs w:val="18"/>
                <w:color w:val="auto"/>
              </w:rPr>
              <w:t>/s/ Graham Walmsley</w:t>
            </w:r>
          </w:p>
        </w:tc>
        <w:tc>
          <w:tcPr>
            <w:tcW w:w="4160" w:type="dxa"/>
            <w:vAlign w:val="bottom"/>
            <w:vMerge w:val="restart"/>
          </w:tcPr>
          <w:p>
            <w:pPr>
              <w:ind w:left="2240"/>
              <w:spacing w:after="0"/>
              <w:rPr>
                <w:sz w:val="20"/>
                <w:szCs w:val="20"/>
                <w:color w:val="auto"/>
              </w:rPr>
            </w:pPr>
            <w:r>
              <w:rPr>
                <w:rFonts w:ascii="Arial" w:cs="Arial" w:eastAsia="Arial" w:hAnsi="Arial"/>
                <w:sz w:val="18"/>
                <w:szCs w:val="18"/>
                <w:color w:val="auto"/>
              </w:rPr>
              <w:t>Director</w:t>
            </w:r>
          </w:p>
        </w:tc>
        <w:tc>
          <w:tcPr>
            <w:tcW w:w="2280" w:type="dxa"/>
            <w:vAlign w:val="bottom"/>
            <w:vMerge w:val="restart"/>
          </w:tcPr>
          <w:p>
            <w:pPr>
              <w:ind w:left="1300"/>
              <w:spacing w:after="0"/>
              <w:rPr>
                <w:sz w:val="20"/>
                <w:szCs w:val="20"/>
                <w:color w:val="auto"/>
              </w:rPr>
            </w:pPr>
            <w:r>
              <w:rPr>
                <w:rFonts w:ascii="Arial" w:cs="Arial" w:eastAsia="Arial" w:hAnsi="Arial"/>
                <w:sz w:val="18"/>
                <w:szCs w:val="18"/>
                <w:color w:val="auto"/>
                <w:w w:val="89"/>
              </w:rPr>
              <w:t>July 17, 2020</w:t>
            </w:r>
          </w:p>
        </w:tc>
        <w:tc>
          <w:tcPr>
            <w:tcW w:w="0" w:type="dxa"/>
            <w:vAlign w:val="bottom"/>
          </w:tcPr>
          <w:p>
            <w:pPr>
              <w:spacing w:after="0"/>
              <w:rPr>
                <w:sz w:val="1"/>
                <w:szCs w:val="1"/>
                <w:color w:val="auto"/>
              </w:rPr>
            </w:pP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4160" w:type="dxa"/>
            <w:vAlign w:val="bottom"/>
            <w:vMerge w:val="continue"/>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4180" w:type="dxa"/>
            <w:vAlign w:val="bottom"/>
            <w:gridSpan w:val="4"/>
          </w:tcPr>
          <w:p>
            <w:pPr>
              <w:spacing w:after="0"/>
              <w:rPr>
                <w:sz w:val="20"/>
                <w:szCs w:val="20"/>
                <w:color w:val="auto"/>
              </w:rPr>
            </w:pPr>
            <w:r>
              <w:rPr>
                <w:rFonts w:ascii="Arial" w:cs="Arial" w:eastAsia="Arial" w:hAnsi="Arial"/>
                <w:sz w:val="18"/>
                <w:szCs w:val="18"/>
                <w:color w:val="auto"/>
              </w:rPr>
              <w:t>Graham Walmsley, M.D., Ph.D.</w:t>
            </w:r>
          </w:p>
        </w:tc>
        <w:tc>
          <w:tcPr>
            <w:tcW w:w="4160" w:type="dxa"/>
            <w:vAlign w:val="bottom"/>
            <w:vMerge w:val="continue"/>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440" w:top="365" w:right="8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51" w:lineRule="exact"/>
        <w:rPr>
          <w:sz w:val="20"/>
          <w:szCs w:val="20"/>
          <w:color w:val="auto"/>
        </w:rPr>
      </w:pPr>
    </w:p>
    <w:p>
      <w:pPr>
        <w:ind w:left="8700"/>
        <w:spacing w:after="0"/>
        <w:rPr>
          <w:sz w:val="20"/>
          <w:szCs w:val="20"/>
          <w:color w:val="auto"/>
        </w:rPr>
      </w:pPr>
      <w:r>
        <w:rPr>
          <w:rFonts w:ascii="Arial" w:cs="Arial" w:eastAsia="Arial" w:hAnsi="Arial"/>
          <w:sz w:val="14"/>
          <w:szCs w:val="14"/>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1328420" cy="540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28420" cy="540385"/>
                    </a:xfrm>
                    <a:prstGeom prst="rect">
                      <a:avLst/>
                    </a:prstGeom>
                    <a:noFill/>
                  </pic:spPr>
                </pic:pic>
              </a:graphicData>
            </a:graphic>
          </wp:anchor>
        </w:drawing>
      </w:r>
    </w:p>
    <w:p>
      <w:pPr>
        <w:ind w:left="8700"/>
        <w:spacing w:after="0"/>
        <w:rPr>
          <w:sz w:val="20"/>
          <w:szCs w:val="20"/>
          <w:color w:val="auto"/>
        </w:rPr>
      </w:pPr>
      <w:r>
        <w:rPr>
          <w:rFonts w:ascii="Arial" w:cs="Arial" w:eastAsia="Arial" w:hAnsi="Arial"/>
          <w:sz w:val="14"/>
          <w:szCs w:val="14"/>
          <w:color w:val="auto"/>
        </w:rPr>
        <w:t>Professional Corporation</w:t>
      </w:r>
    </w:p>
    <w:p>
      <w:pPr>
        <w:spacing w:after="0" w:line="97" w:lineRule="exact"/>
        <w:rPr>
          <w:sz w:val="20"/>
          <w:szCs w:val="20"/>
          <w:color w:val="auto"/>
        </w:rPr>
      </w:pPr>
    </w:p>
    <w:p>
      <w:pPr>
        <w:ind w:left="8700"/>
        <w:spacing w:after="0"/>
        <w:rPr>
          <w:sz w:val="20"/>
          <w:szCs w:val="20"/>
          <w:color w:val="auto"/>
        </w:rPr>
      </w:pPr>
      <w:r>
        <w:rPr>
          <w:rFonts w:ascii="Arial" w:cs="Arial" w:eastAsia="Arial" w:hAnsi="Arial"/>
          <w:sz w:val="14"/>
          <w:szCs w:val="14"/>
          <w:color w:val="auto"/>
        </w:rPr>
        <w:t>650 Page Mill Road</w:t>
      </w:r>
    </w:p>
    <w:p>
      <w:pPr>
        <w:ind w:left="8700"/>
        <w:spacing w:after="0"/>
        <w:rPr>
          <w:sz w:val="20"/>
          <w:szCs w:val="20"/>
          <w:color w:val="auto"/>
        </w:rPr>
      </w:pPr>
      <w:r>
        <w:rPr>
          <w:rFonts w:ascii="Arial" w:cs="Arial" w:eastAsia="Arial" w:hAnsi="Arial"/>
          <w:sz w:val="14"/>
          <w:szCs w:val="14"/>
          <w:color w:val="auto"/>
        </w:rPr>
        <w:t>Palo Alto, California 94304-1050</w:t>
      </w:r>
    </w:p>
    <w:p>
      <w:pPr>
        <w:spacing w:after="0" w:line="97" w:lineRule="exact"/>
        <w:rPr>
          <w:sz w:val="20"/>
          <w:szCs w:val="20"/>
          <w:color w:val="auto"/>
        </w:rPr>
      </w:pPr>
    </w:p>
    <w:p>
      <w:pPr>
        <w:ind w:left="8700"/>
        <w:spacing w:after="0"/>
        <w:rPr>
          <w:sz w:val="20"/>
          <w:szCs w:val="20"/>
          <w:color w:val="auto"/>
        </w:rPr>
      </w:pPr>
      <w:r>
        <w:rPr>
          <w:rFonts w:ascii="Arial" w:cs="Arial" w:eastAsia="Arial" w:hAnsi="Arial"/>
          <w:sz w:val="14"/>
          <w:szCs w:val="14"/>
          <w:color w:val="auto"/>
        </w:rPr>
        <w:t>O: 650.493.9300</w:t>
      </w:r>
    </w:p>
    <w:p>
      <w:pPr>
        <w:ind w:left="8700"/>
        <w:spacing w:after="0"/>
        <w:rPr>
          <w:sz w:val="20"/>
          <w:szCs w:val="20"/>
          <w:color w:val="auto"/>
        </w:rPr>
      </w:pPr>
      <w:r>
        <w:rPr>
          <w:rFonts w:ascii="Arial" w:cs="Arial" w:eastAsia="Arial" w:hAnsi="Arial"/>
          <w:sz w:val="14"/>
          <w:szCs w:val="14"/>
          <w:color w:val="auto"/>
        </w:rPr>
        <w:t>F: 650.493.6811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866 Malcolm Road,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Burlingame, California 94010</w:t>
      </w:r>
    </w:p>
    <w:p>
      <w:pPr>
        <w:spacing w:after="0" w:line="31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 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We have examined the Registration Statement on Form S-8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to be filed by ALX Oncology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with the Securities and Exchange Commission on or about the date hereof, relating to the registration under the Securities Act of 1933, as amended, of (i) 3,163,962 shares of common stock, par value $0.001 per share (“</w:t>
      </w:r>
      <w:r>
        <w:rPr>
          <w:rFonts w:ascii="Arial" w:cs="Arial" w:eastAsia="Arial" w:hAnsi="Arial"/>
          <w:sz w:val="17"/>
          <w:szCs w:val="17"/>
          <w:b w:val="1"/>
          <w:bCs w:val="1"/>
          <w:color w:val="auto"/>
        </w:rPr>
        <w:t>Common Stock</w:t>
      </w:r>
      <w:r>
        <w:rPr>
          <w:rFonts w:ascii="Arial" w:cs="Arial" w:eastAsia="Arial" w:hAnsi="Arial"/>
          <w:sz w:val="17"/>
          <w:szCs w:val="17"/>
          <w:color w:val="auto"/>
        </w:rPr>
        <w:t>”), reserved for issuance pursuant to the Company’s Amended and Restated 2020 Equity Incentive Plan, (ii) 4,635,342 shares of Common Stock reserved for issuance pursuant to options outstanding under the Company’s Amended and Restated 2020 Equity Incentive Plan, and (iii) 400,000 shares of Common Stock reserved for issuance pursuant to the Company’s 2020 Employee Stock Purchase Plan (which plans are referred to herein as the “</w:t>
      </w:r>
      <w:r>
        <w:rPr>
          <w:rFonts w:ascii="Arial" w:cs="Arial" w:eastAsia="Arial" w:hAnsi="Arial"/>
          <w:sz w:val="17"/>
          <w:szCs w:val="17"/>
          <w:b w:val="1"/>
          <w:bCs w:val="1"/>
          <w:color w:val="auto"/>
        </w:rPr>
        <w:t>Plans</w:t>
      </w:r>
      <w:r>
        <w:rPr>
          <w:rFonts w:ascii="Arial" w:cs="Arial" w:eastAsia="Arial" w:hAnsi="Arial"/>
          <w:sz w:val="17"/>
          <w:szCs w:val="17"/>
          <w:color w:val="auto"/>
        </w:rPr>
        <w:t>” and which shares of Common Stock are referred to herein as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7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issued and sold in the manner referred to in the Plans and pursuant to the agreements that accompany the Plans, will be validly issued, fully paid, and nonassessable.</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6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Wilson Sonsini Goodrich &amp; Rosati, P.C.</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WILSON SONSINI GOODRICH &amp; ROSATI</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460"/>
        <w:spacing w:after="0"/>
        <w:rPr>
          <w:sz w:val="20"/>
          <w:szCs w:val="20"/>
          <w:color w:val="auto"/>
        </w:rPr>
      </w:pPr>
      <w:r>
        <w:rPr>
          <w:rFonts w:ascii="Arial" w:cs="Arial" w:eastAsia="Arial" w:hAnsi="Arial"/>
          <w:sz w:val="12"/>
          <w:szCs w:val="12"/>
          <w:color w:val="auto"/>
        </w:rPr>
        <w:t>AUSTIN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BEIJING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BOSTON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BRUSSELS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HONG KONG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LOS ANGELES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color w:val="auto"/>
        </w:rPr>
        <w:t>PALO ALTO</w:t>
      </w:r>
    </w:p>
    <w:p>
      <w:pPr>
        <w:spacing w:after="0" w:line="146" w:lineRule="exact"/>
        <w:rPr>
          <w:sz w:val="20"/>
          <w:szCs w:val="20"/>
          <w:color w:val="auto"/>
        </w:rPr>
      </w:pPr>
    </w:p>
    <w:p>
      <w:pPr>
        <w:sectPr>
          <w:pgSz w:w="11900" w:h="16838" w:orient="portrait"/>
          <w:cols w:equalWidth="0" w:num="8">
            <w:col w:w="1920" w:space="440"/>
            <w:col w:w="480" w:space="440"/>
            <w:col w:w="500" w:space="440"/>
            <w:col w:w="620" w:space="440"/>
            <w:col w:w="760" w:space="440"/>
            <w:col w:w="840" w:space="440"/>
            <w:col w:w="680" w:space="440"/>
            <w:col w:w="2140"/>
          </w:cols>
          <w:pgMar w:left="440" w:top="121" w:right="439" w:bottom="1440" w:gutter="0" w:footer="0" w:header="0"/>
          <w:type w:val="continuous"/>
        </w:sectPr>
      </w:pPr>
    </w:p>
    <w:p>
      <w:pPr>
        <w:ind w:left="1900"/>
        <w:spacing w:after="0"/>
        <w:rPr>
          <w:sz w:val="20"/>
          <w:szCs w:val="20"/>
          <w:color w:val="auto"/>
        </w:rPr>
      </w:pPr>
      <w:r>
        <w:rPr>
          <w:rFonts w:ascii="Arial" w:cs="Arial" w:eastAsia="Arial" w:hAnsi="Arial"/>
          <w:sz w:val="12"/>
          <w:szCs w:val="12"/>
          <w:color w:val="auto"/>
        </w:rPr>
        <w:t>SAN DIEGO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auto"/>
        </w:rPr>
        <w:t>SAN FRANCISCO</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0"/>
          <w:szCs w:val="10"/>
          <w:color w:val="auto"/>
        </w:rPr>
        <w:t>SEATTLE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auto"/>
        </w:rPr>
        <w:t>SHANGHAI</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2"/>
          <w:szCs w:val="12"/>
          <w:color w:val="auto"/>
        </w:rPr>
        <w:t>WASHINGTON, DC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WILMINGTON, DE</w:t>
      </w:r>
    </w:p>
    <w:p>
      <w:pPr>
        <w:sectPr>
          <w:pgSz w:w="11900" w:h="16838" w:orient="portrait"/>
          <w:cols w:equalWidth="0" w:num="6">
            <w:col w:w="2580" w:space="440"/>
            <w:col w:w="1000" w:space="440"/>
            <w:col w:w="520" w:space="440"/>
            <w:col w:w="660" w:space="440"/>
            <w:col w:w="1080" w:space="440"/>
            <w:col w:w="2980"/>
          </w:cols>
          <w:pgMar w:left="440" w:top="121" w:right="4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1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We consent to the use of our report dated June 12, 2020, except for the retroactive effect of the reverse stock split as described under the heading “Reverse Stock Split” in Note 4, which is as of July 13, 2020, with respect to the balance sheet of ALX Oncology Holdings Inc. as of April 1, 2020 (inception), and the related notes,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17, 2020</w:t>
      </w:r>
    </w:p>
    <w:p>
      <w:pPr>
        <w:sectPr>
          <w:pgSz w:w="11900" w:h="16838" w:orient="portrait"/>
          <w:cols w:equalWidth="0" w:num="1">
            <w:col w:w="11020"/>
          </w:cols>
          <w:pgMar w:left="440" w:top="121" w:right="4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ALX Oncology Limited:</w:t>
      </w:r>
    </w:p>
    <w:p>
      <w:pPr>
        <w:spacing w:after="0" w:line="21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consent to the use of our report dated May 5, 2020, except for the retroactive effect of the reverse stock split as described under the heading “Reverse Stock Split” in Note 13, which is as of July 13, 2020, with respect to the consolidated balance sheets of ALX Oncology Limited as of December 31, 2018 and 2019, the related consolidated statements of operations and comprehensive loss, convertible preferred shares and shareholders’ deficit, and cash flows for each of the years in the two-year period ended December 31, 2019, and the related notes, incorporated herein by reference.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17,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4"/>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
    <w:nsid w:val="7545E146"/>
    <w:multiLevelType w:val="hybridMultilevel"/>
    <w:lvl w:ilvl="0">
      <w:lvlJc w:val="left"/>
      <w:lvlText w:val="(%1)"/>
      <w:numFmt w:val="lowerRoman"/>
      <w:start w:val="3"/>
    </w:lvl>
  </w:abstractNum>
  <w:abstractNum w:abstractNumId="7">
    <w:nsid w:val="515F007C"/>
    <w:multiLevelType w:val="hybridMultilevel"/>
    <w:lvl w:ilvl="0">
      <w:lvlJc w:val="left"/>
      <w:lvlText w:val="%1"/>
      <w:numFmt w:val="upperLetter"/>
      <w:start w:val="1"/>
    </w:lvl>
    <w:lvl w:ilvl="1">
      <w:lvlJc w:val="left"/>
      <w:lvlText w:val="(%2)"/>
      <w:numFmt w:val="decimal"/>
      <w:start w:val="2"/>
    </w:lvl>
  </w:abstractNum>
  <w:abstractNum w:abstractNumId="8">
    <w:nsid w:val="5BD062C2"/>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jpeg"/><Relationship Id="rId19" Type="http://schemas.openxmlformats.org/officeDocument/2006/relationships/hyperlink" Target="http://www.sec.gov/Archives/edgar/data/1810182/000119312520194755/d913838d424b4.htm" TargetMode="External"/><Relationship Id="rId20" Type="http://schemas.openxmlformats.org/officeDocument/2006/relationships/hyperlink" Target="http://www.sec.gov/Archives/edgar/data/1810182/000119312520191500/d913838ds1a.htm" TargetMode="External"/><Relationship Id="rId21" Type="http://schemas.openxmlformats.org/officeDocument/2006/relationships/hyperlink" Target="http://www.sec.gov/Archives/edgar/data/1810182/000119312520191878/d936945d8a12b.htm" TargetMode="External"/><Relationship Id="rId25" Type="http://schemas.openxmlformats.org/officeDocument/2006/relationships/hyperlink" Target="http://www.sec.gov/Archives/edgar/data/1810182/000119312520181021/d913838dex42.htm" TargetMode="External"/><Relationship Id="rId26" Type="http://schemas.openxmlformats.org/officeDocument/2006/relationships/hyperlink" Target="http://www.sec.gov/Archives/edgar/data/1810182/000119312520191500/d913838dex102.htm" TargetMode="External"/><Relationship Id="rId27" Type="http://schemas.openxmlformats.org/officeDocument/2006/relationships/hyperlink" Target="http://www.sec.gov/Archives/edgar/data/1810182/000119312520191500/d91383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2020-07-17T15:48:24Z</dcterms:created>
  <dcterms:modified xsi:type="dcterms:W3CDTF">2020-07-17T15:48:24Z</dcterms:modified>
</cp:coreProperties>
</file>