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UNITED STATES</w:t>
      </w:r>
    </w:p>
    <w:p>
      <w:pPr>
        <w:spacing w:after="0" w:line="50"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118110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10"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SCHEDULE 14A</w:t>
      </w:r>
    </w:p>
    <w:p>
      <w:pPr>
        <w:spacing w:after="0" w:line="81"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6"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126365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13" w:lineRule="exact"/>
        <w:rPr>
          <w:sz w:val="24"/>
          <w:szCs w:val="24"/>
          <w:color w:val="auto"/>
        </w:rPr>
      </w:pPr>
    </w:p>
    <w:p>
      <w:pPr>
        <w:ind w:left="120"/>
        <w:spacing w:after="0" w:line="207" w:lineRule="exact"/>
        <w:tabs>
          <w:tab w:leader="none" w:pos="360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23" w:lineRule="exact"/>
        <w:rPr>
          <w:sz w:val="24"/>
          <w:szCs w:val="24"/>
          <w:color w:val="auto"/>
        </w:rPr>
      </w:pPr>
    </w:p>
    <w:p>
      <w:pPr>
        <w:ind w:left="120"/>
        <w:spacing w:after="0"/>
        <w:rPr>
          <w:sz w:val="20"/>
          <w:szCs w:val="20"/>
          <w:color w:val="auto"/>
        </w:rPr>
      </w:pPr>
      <w:r>
        <w:rPr>
          <w:rFonts w:ascii="Arial" w:cs="Arial" w:eastAsia="Arial" w:hAnsi="Arial"/>
          <w:sz w:val="18"/>
          <w:szCs w:val="18"/>
          <w:color w:val="auto"/>
        </w:rPr>
        <w:t>Check the appropriate box:</w:t>
      </w:r>
    </w:p>
    <w:p>
      <w:pPr>
        <w:spacing w:after="0" w:line="77" w:lineRule="exact"/>
        <w:rPr>
          <w:sz w:val="24"/>
          <w:szCs w:val="24"/>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54" w:lineRule="exact"/>
        <w:rPr>
          <w:rFonts w:ascii="MS PGothic" w:cs="MS PGothic" w:eastAsia="MS PGothic" w:hAnsi="MS PGothic"/>
          <w:sz w:val="18"/>
          <w:szCs w:val="18"/>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38" w:lineRule="exact"/>
        <w:rPr>
          <w:rFonts w:ascii="MS PGothic" w:cs="MS PGothic" w:eastAsia="MS PGothic" w:hAnsi="MS PGothic"/>
          <w:sz w:val="18"/>
          <w:szCs w:val="18"/>
          <w:color w:val="auto"/>
        </w:rPr>
      </w:pPr>
    </w:p>
    <w:p>
      <w:pPr>
        <w:ind w:left="12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7"/>
          <w:szCs w:val="17"/>
          <w:color w:val="auto"/>
        </w:rPr>
        <w:t>Definitive Proxy Statement</w:t>
      </w:r>
    </w:p>
    <w:p>
      <w:pPr>
        <w:spacing w:after="0" w:line="136" w:lineRule="exact"/>
        <w:rPr>
          <w:rFonts w:ascii="MS PGothic" w:cs="MS PGothic" w:eastAsia="MS PGothic" w:hAnsi="MS PGothic"/>
          <w:sz w:val="18"/>
          <w:szCs w:val="18"/>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76" w:lineRule="exact"/>
        <w:rPr>
          <w:rFonts w:ascii="MS PGothic" w:cs="MS PGothic" w:eastAsia="MS PGothic" w:hAnsi="MS PGothic"/>
          <w:sz w:val="18"/>
          <w:szCs w:val="18"/>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§240.14a-11(c) or §240.14a-2</w:t>
      </w:r>
    </w:p>
    <w:p>
      <w:pPr>
        <w:spacing w:after="0" w:line="101" w:lineRule="exact"/>
        <w:rPr>
          <w:sz w:val="24"/>
          <w:szCs w:val="24"/>
          <w:color w:val="auto"/>
        </w:rPr>
      </w:pPr>
    </w:p>
    <w:p>
      <w:pPr>
        <w:jc w:val="center"/>
        <w:ind w:right="-219"/>
        <w:spacing w:after="0"/>
        <w:rPr>
          <w:sz w:val="20"/>
          <w:szCs w:val="20"/>
          <w:color w:val="auto"/>
        </w:rPr>
      </w:pPr>
      <w:r>
        <w:rPr>
          <w:rFonts w:ascii="Arial" w:cs="Arial" w:eastAsia="Arial" w:hAnsi="Arial"/>
          <w:sz w:val="40"/>
          <w:szCs w:val="40"/>
          <w:b w:val="1"/>
          <w:bCs w:val="1"/>
          <w:color w:val="auto"/>
        </w:rPr>
        <w:t>ALX Oncology Holdings Inc.</w:t>
      </w:r>
    </w:p>
    <w:p>
      <w:pPr>
        <w:spacing w:after="0" w:line="42" w:lineRule="exact"/>
        <w:rPr>
          <w:sz w:val="24"/>
          <w:szCs w:val="24"/>
          <w:color w:val="auto"/>
        </w:rPr>
      </w:pPr>
    </w:p>
    <w:p>
      <w:pPr>
        <w:ind w:left="360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144" w:lineRule="exact"/>
        <w:rPr>
          <w:sz w:val="24"/>
          <w:szCs w:val="24"/>
          <w:color w:val="auto"/>
        </w:rPr>
      </w:pPr>
    </w:p>
    <w:p>
      <w:pPr>
        <w:ind w:left="120"/>
        <w:spacing w:after="0"/>
        <w:rPr>
          <w:sz w:val="20"/>
          <w:szCs w:val="20"/>
          <w:color w:val="auto"/>
        </w:rPr>
      </w:pPr>
      <w:r>
        <w:rPr>
          <w:rFonts w:ascii="Arial" w:cs="Arial" w:eastAsia="Arial" w:hAnsi="Arial"/>
          <w:sz w:val="18"/>
          <w:szCs w:val="18"/>
          <w:color w:val="auto"/>
        </w:rPr>
        <w:t>Payment of Filing Fee (Check the appropriate box):</w:t>
      </w:r>
    </w:p>
    <w:p>
      <w:pPr>
        <w:spacing w:after="0" w:line="63" w:lineRule="exact"/>
        <w:rPr>
          <w:sz w:val="24"/>
          <w:szCs w:val="24"/>
          <w:color w:val="auto"/>
        </w:rPr>
      </w:pPr>
    </w:p>
    <w:p>
      <w:pPr>
        <w:ind w:left="680" w:hanging="564"/>
        <w:spacing w:after="0"/>
        <w:tabs>
          <w:tab w:leader="none" w:pos="6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4"/>
          <w:szCs w:val="24"/>
          <w:color w:val="auto"/>
        </w:rPr>
      </w:pPr>
    </w:p>
    <w:p>
      <w:pPr>
        <w:ind w:left="680" w:hanging="564"/>
        <w:spacing w:after="0"/>
        <w:tabs>
          <w:tab w:leader="none" w:pos="6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76" w:lineRule="exact"/>
        <w:rPr>
          <w:rFonts w:ascii="MS PGothic" w:cs="MS PGothic" w:eastAsia="MS PGothic" w:hAnsi="MS PGothic"/>
          <w:sz w:val="18"/>
          <w:szCs w:val="18"/>
          <w:color w:val="auto"/>
        </w:rPr>
      </w:pPr>
    </w:p>
    <w:p>
      <w:pPr>
        <w:ind w:left="1220" w:hanging="537"/>
        <w:spacing w:after="0"/>
        <w:tabs>
          <w:tab w:leader="none" w:pos="1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06" w:lineRule="exact"/>
        <w:rPr>
          <w:rFonts w:ascii="Arial" w:cs="Arial" w:eastAsia="Arial" w:hAnsi="Arial"/>
          <w:sz w:val="18"/>
          <w:szCs w:val="18"/>
          <w:color w:val="auto"/>
        </w:rPr>
      </w:pPr>
    </w:p>
    <w:p>
      <w:pPr>
        <w:ind w:left="1220" w:hanging="537"/>
        <w:spacing w:after="0"/>
        <w:tabs>
          <w:tab w:leader="none" w:pos="1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06" w:lineRule="exact"/>
        <w:rPr>
          <w:rFonts w:ascii="Arial" w:cs="Arial" w:eastAsia="Arial" w:hAnsi="Arial"/>
          <w:sz w:val="18"/>
          <w:szCs w:val="18"/>
          <w:color w:val="auto"/>
        </w:rPr>
      </w:pPr>
    </w:p>
    <w:p>
      <w:pPr>
        <w:ind w:left="1220" w:right="80" w:hanging="537"/>
        <w:spacing w:after="0" w:line="246" w:lineRule="auto"/>
        <w:tabs>
          <w:tab w:leader="none" w:pos="1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91" w:lineRule="exact"/>
        <w:rPr>
          <w:rFonts w:ascii="Arial" w:cs="Arial" w:eastAsia="Arial" w:hAnsi="Arial"/>
          <w:sz w:val="18"/>
          <w:szCs w:val="18"/>
          <w:color w:val="auto"/>
        </w:rPr>
      </w:pPr>
    </w:p>
    <w:p>
      <w:pPr>
        <w:ind w:left="1220" w:hanging="537"/>
        <w:spacing w:after="0"/>
        <w:tabs>
          <w:tab w:leader="none" w:pos="1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06" w:lineRule="exact"/>
        <w:rPr>
          <w:rFonts w:ascii="Arial" w:cs="Arial" w:eastAsia="Arial" w:hAnsi="Arial"/>
          <w:sz w:val="18"/>
          <w:szCs w:val="18"/>
          <w:color w:val="auto"/>
        </w:rPr>
      </w:pPr>
    </w:p>
    <w:p>
      <w:pPr>
        <w:ind w:left="1220" w:hanging="537"/>
        <w:spacing w:after="0"/>
        <w:tabs>
          <w:tab w:leader="none" w:pos="1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680" w:hanging="564"/>
        <w:spacing w:after="0"/>
        <w:tabs>
          <w:tab w:leader="none" w:pos="6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680" w:hanging="564"/>
        <w:spacing w:after="0"/>
        <w:tabs>
          <w:tab w:leader="none" w:pos="6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94" w:lineRule="exact"/>
        <w:rPr>
          <w:rFonts w:ascii="MS PGothic" w:cs="MS PGothic" w:eastAsia="MS PGothic" w:hAnsi="MS PGothic"/>
          <w:sz w:val="18"/>
          <w:szCs w:val="18"/>
          <w:color w:val="auto"/>
        </w:rPr>
      </w:pPr>
    </w:p>
    <w:p>
      <w:pPr>
        <w:ind w:left="1220" w:hanging="537"/>
        <w:spacing w:after="0"/>
        <w:tabs>
          <w:tab w:leader="none" w:pos="1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06" w:lineRule="exact"/>
        <w:rPr>
          <w:rFonts w:ascii="Arial" w:cs="Arial" w:eastAsia="Arial" w:hAnsi="Arial"/>
          <w:sz w:val="18"/>
          <w:szCs w:val="18"/>
          <w:color w:val="auto"/>
        </w:rPr>
      </w:pPr>
    </w:p>
    <w:p>
      <w:pPr>
        <w:ind w:left="1220" w:hanging="537"/>
        <w:spacing w:after="0"/>
        <w:tabs>
          <w:tab w:leader="none" w:pos="1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06" w:lineRule="exact"/>
        <w:rPr>
          <w:rFonts w:ascii="Arial" w:cs="Arial" w:eastAsia="Arial" w:hAnsi="Arial"/>
          <w:sz w:val="18"/>
          <w:szCs w:val="18"/>
          <w:color w:val="auto"/>
        </w:rPr>
      </w:pPr>
    </w:p>
    <w:p>
      <w:pPr>
        <w:ind w:left="1220" w:hanging="537"/>
        <w:spacing w:after="0"/>
        <w:tabs>
          <w:tab w:leader="none" w:pos="1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06" w:lineRule="exact"/>
        <w:rPr>
          <w:rFonts w:ascii="Arial" w:cs="Arial" w:eastAsia="Arial" w:hAnsi="Arial"/>
          <w:sz w:val="18"/>
          <w:szCs w:val="18"/>
          <w:color w:val="auto"/>
        </w:rPr>
      </w:pPr>
    </w:p>
    <w:p>
      <w:pPr>
        <w:ind w:left="1220" w:hanging="537"/>
        <w:spacing w:after="0"/>
        <w:tabs>
          <w:tab w:leader="none" w:pos="1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776605</wp:posOffset>
            </wp:positionH>
            <wp:positionV relativeFrom="paragraph">
              <wp:posOffset>-3284855</wp:posOffset>
            </wp:positionV>
            <wp:extent cx="6292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-2959100</wp:posOffset>
            </wp:positionV>
            <wp:extent cx="6292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-2505075</wp:posOffset>
            </wp:positionV>
            <wp:extent cx="62922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-2179320</wp:posOffset>
            </wp:positionV>
            <wp:extent cx="629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-1853565</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-798830</wp:posOffset>
            </wp:positionV>
            <wp:extent cx="6292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-473075</wp:posOffset>
            </wp:positionV>
            <wp:extent cx="62922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-147320</wp:posOffset>
            </wp:positionV>
            <wp:extent cx="62922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177800</wp:posOffset>
            </wp:positionV>
            <wp:extent cx="62922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254635</wp:posOffset>
            </wp:positionV>
            <wp:extent cx="6995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297815</wp:posOffset>
            </wp:positionV>
            <wp:extent cx="69951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320" w:top="230" w:right="55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282575</wp:posOffset>
            </wp:positionV>
            <wp:extent cx="1954530" cy="7029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5453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29, 2021</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Dear Stockholder:</w:t>
      </w:r>
    </w:p>
    <w:p>
      <w:pPr>
        <w:spacing w:after="0" w:line="104"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We are pleased to invite you to attend the 2021 Annual Meeting of Stockholders (the Annual Meeting) of ALX Oncology Holdings Inc. (ALX or the Company) and will be conducted virtually via live webcast on Thursday, June 10, 2021 at 3 p.m. Pacific Time. Due to the public health impact of the COVID-19 pandemic, the Annual Meeting will be held in virtual format this year to support the health and well-being of our stockholders, and to afford the same rights and opportunities to participate as would be available at an in-person meeting. You will be able to attend the Annual Meeting virtually by visiting www.virtualshareholdermeeting.com/ALXO2021, where you will be able to listen to the meeting live, submit questions and vote online by entering the control number located on your proxy card.</w:t>
      </w:r>
    </w:p>
    <w:p>
      <w:pPr>
        <w:spacing w:after="0" w:line="205" w:lineRule="exact"/>
        <w:rPr>
          <w:sz w:val="20"/>
          <w:szCs w:val="20"/>
          <w:color w:val="auto"/>
        </w:rPr>
      </w:pPr>
    </w:p>
    <w:p>
      <w:pPr>
        <w:ind w:left="120" w:right="480"/>
        <w:spacing w:after="0" w:line="246" w:lineRule="auto"/>
        <w:rPr>
          <w:sz w:val="20"/>
          <w:szCs w:val="20"/>
          <w:color w:val="auto"/>
        </w:rPr>
      </w:pPr>
      <w:r>
        <w:rPr>
          <w:rFonts w:ascii="Arial" w:cs="Arial" w:eastAsia="Arial" w:hAnsi="Arial"/>
          <w:sz w:val="18"/>
          <w:szCs w:val="18"/>
          <w:color w:val="auto"/>
        </w:rPr>
        <w:t>The attached Notice of Annual Meeting of Stockholders and Proxy Statement contain details of the business to be conducted at the Annual Meeting.</w:t>
      </w:r>
    </w:p>
    <w:p>
      <w:pPr>
        <w:spacing w:after="0" w:line="197"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Whether or not you attend the Annual Meeting, it is important that your shares be represented and voted at the meeting. Therefore, we urge you to promptly vote and submit your proxy via the Internet, by phone, or by signing, dating and returning the enclosed proxy card in the enclosed envelope. If you decide to attend the Annual Meeting, you will be able to change your vote or revoke your proxy, even if you have previously submitted your proxy.</w:t>
      </w:r>
    </w:p>
    <w:p>
      <w:pPr>
        <w:spacing w:after="0" w:line="20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On behalf of the Company’s Board of Directors, we would like to thank you for your continued support of and interest in ALX.</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151765</wp:posOffset>
            </wp:positionV>
            <wp:extent cx="1697355" cy="5911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97355" cy="59118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151765</wp:posOffset>
            </wp:positionV>
            <wp:extent cx="1560195" cy="548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60195" cy="548640"/>
                    </a:xfrm>
                    <a:prstGeom prst="rect">
                      <a:avLst/>
                    </a:prstGeom>
                    <a:noFill/>
                  </pic:spPr>
                </pic:pic>
              </a:graphicData>
            </a:graphic>
          </wp:anchor>
        </w:drawing>
      </w:r>
    </w:p>
    <w:p>
      <w:pPr>
        <w:sectPr>
          <w:pgSz w:w="11900" w:h="16838" w:orient="portrait"/>
          <w:cols w:equalWidth="0" w:num="1">
            <w:col w:w="11020"/>
          </w:cols>
          <w:pgMar w:left="320" w:top="459"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Corey Goodman, Ph.D.</w:t>
      </w:r>
    </w:p>
    <w:p>
      <w:pPr>
        <w:ind w:left="120"/>
        <w:spacing w:after="0"/>
        <w:rPr>
          <w:sz w:val="20"/>
          <w:szCs w:val="20"/>
          <w:color w:val="auto"/>
        </w:rPr>
      </w:pPr>
      <w:r>
        <w:rPr>
          <w:rFonts w:ascii="Arial" w:cs="Arial" w:eastAsia="Arial" w:hAnsi="Arial"/>
          <w:sz w:val="17"/>
          <w:szCs w:val="17"/>
          <w:i w:val="1"/>
          <w:iCs w:val="1"/>
          <w:color w:val="auto"/>
        </w:rPr>
        <w:t>Executive Chairman of the Board of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Jaume Pons, Ph.D.</w:t>
      </w:r>
    </w:p>
    <w:p>
      <w:pPr>
        <w:spacing w:after="0"/>
        <w:rPr>
          <w:sz w:val="20"/>
          <w:szCs w:val="20"/>
          <w:color w:val="auto"/>
        </w:rPr>
      </w:pPr>
      <w:r>
        <w:rPr>
          <w:rFonts w:ascii="Arial" w:cs="Arial" w:eastAsia="Arial" w:hAnsi="Arial"/>
          <w:sz w:val="17"/>
          <w:szCs w:val="17"/>
          <w:i w:val="1"/>
          <w:iCs w:val="1"/>
          <w:color w:val="auto"/>
        </w:rPr>
        <w:t>President, Chief Executive Officer and Director</w:t>
      </w:r>
    </w:p>
    <w:p>
      <w:pPr>
        <w:sectPr>
          <w:pgSz w:w="11900" w:h="16838" w:orient="portrait"/>
          <w:cols w:equalWidth="0" w:num="2">
            <w:col w:w="5240" w:space="720"/>
            <w:col w:w="5060"/>
          </w:cols>
          <w:pgMar w:left="320" w:top="459" w:right="55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2440" w:type="dxa"/>
            <w:vAlign w:val="bottom"/>
            <w:gridSpan w:val="2"/>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8480" w:type="dxa"/>
            <w:vAlign w:val="bottom"/>
          </w:tcPr>
          <w:p>
            <w:pPr>
              <w:spacing w:after="0"/>
              <w:rPr>
                <w:sz w:val="17"/>
                <w:szCs w:val="17"/>
                <w:color w:val="auto"/>
              </w:rPr>
            </w:pPr>
          </w:p>
        </w:tc>
      </w:tr>
      <w:tr>
        <w:trPr>
          <w:trHeight w:val="497"/>
        </w:trPr>
        <w:tc>
          <w:tcPr>
            <w:tcW w:w="1360" w:type="dxa"/>
            <w:vAlign w:val="bottom"/>
            <w:tcBorders>
              <w:top w:val="single" w:sz="8" w:color="0000EE"/>
            </w:tcBorders>
          </w:tcPr>
          <w:p>
            <w:pPr>
              <w:spacing w:after="0"/>
              <w:rPr>
                <w:sz w:val="24"/>
                <w:szCs w:val="24"/>
                <w:color w:val="auto"/>
              </w:rPr>
            </w:pPr>
          </w:p>
        </w:tc>
        <w:tc>
          <w:tcPr>
            <w:tcW w:w="1080" w:type="dxa"/>
            <w:vAlign w:val="bottom"/>
          </w:tcPr>
          <w:p>
            <w:pPr>
              <w:spacing w:after="0"/>
              <w:rPr>
                <w:sz w:val="24"/>
                <w:szCs w:val="24"/>
                <w:color w:val="auto"/>
              </w:rPr>
            </w:pPr>
          </w:p>
        </w:tc>
        <w:tc>
          <w:tcPr>
            <w:tcW w:w="8480" w:type="dxa"/>
            <w:vAlign w:val="bottom"/>
          </w:tcPr>
          <w:p>
            <w:pPr>
              <w:jc w:val="center"/>
              <w:ind w:right="2030"/>
              <w:spacing w:after="0"/>
              <w:rPr>
                <w:sz w:val="20"/>
                <w:szCs w:val="20"/>
                <w:color w:val="auto"/>
              </w:rPr>
            </w:pPr>
            <w:r>
              <w:rPr>
                <w:rFonts w:ascii="Arial" w:cs="Arial" w:eastAsia="Arial" w:hAnsi="Arial"/>
                <w:sz w:val="18"/>
                <w:szCs w:val="18"/>
                <w:b w:val="1"/>
                <w:bCs w:val="1"/>
                <w:color w:val="auto"/>
              </w:rPr>
              <w:t>ALX ONCOLOGY HOLDINGS INC.</w:t>
            </w:r>
          </w:p>
        </w:tc>
      </w:tr>
      <w:tr>
        <w:trPr>
          <w:trHeight w:val="203"/>
        </w:trPr>
        <w:tc>
          <w:tcPr>
            <w:tcW w:w="1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480" w:type="dxa"/>
            <w:vAlign w:val="bottom"/>
          </w:tcPr>
          <w:p>
            <w:pPr>
              <w:jc w:val="center"/>
              <w:ind w:right="2010"/>
              <w:spacing w:after="0" w:line="202" w:lineRule="exact"/>
              <w:rPr>
                <w:sz w:val="20"/>
                <w:szCs w:val="20"/>
                <w:color w:val="auto"/>
              </w:rPr>
            </w:pPr>
            <w:r>
              <w:rPr>
                <w:rFonts w:ascii="Arial" w:cs="Arial" w:eastAsia="Arial" w:hAnsi="Arial"/>
                <w:sz w:val="18"/>
                <w:szCs w:val="18"/>
                <w:b w:val="1"/>
                <w:bCs w:val="1"/>
                <w:color w:val="auto"/>
                <w:w w:val="99"/>
              </w:rPr>
              <w:t>866 Malcolm Road, Suite 100</w:t>
            </w:r>
          </w:p>
        </w:tc>
      </w:tr>
      <w:tr>
        <w:trPr>
          <w:trHeight w:val="239"/>
        </w:trPr>
        <w:tc>
          <w:tcPr>
            <w:tcW w:w="1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480" w:type="dxa"/>
            <w:vAlign w:val="bottom"/>
          </w:tcPr>
          <w:p>
            <w:pPr>
              <w:jc w:val="center"/>
              <w:ind w:right="2030"/>
              <w:spacing w:after="0"/>
              <w:rPr>
                <w:sz w:val="20"/>
                <w:szCs w:val="20"/>
                <w:color w:val="auto"/>
              </w:rPr>
            </w:pPr>
            <w:r>
              <w:rPr>
                <w:rFonts w:ascii="Arial" w:cs="Arial" w:eastAsia="Arial" w:hAnsi="Arial"/>
                <w:sz w:val="18"/>
                <w:szCs w:val="18"/>
                <w:b w:val="1"/>
                <w:bCs w:val="1"/>
                <w:color w:val="auto"/>
              </w:rPr>
              <w:t>Burlingame, California 94010</w:t>
            </w:r>
          </w:p>
        </w:tc>
      </w:tr>
      <w:tr>
        <w:trPr>
          <w:trHeight w:val="418"/>
        </w:trPr>
        <w:tc>
          <w:tcPr>
            <w:tcW w:w="1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480" w:type="dxa"/>
            <w:vAlign w:val="bottom"/>
          </w:tcPr>
          <w:p>
            <w:pPr>
              <w:jc w:val="center"/>
              <w:ind w:right="2030"/>
              <w:spacing w:after="0"/>
              <w:rPr>
                <w:sz w:val="20"/>
                <w:szCs w:val="20"/>
                <w:color w:val="auto"/>
              </w:rPr>
            </w:pPr>
            <w:r>
              <w:rPr>
                <w:rFonts w:ascii="Arial" w:cs="Arial" w:eastAsia="Arial" w:hAnsi="Arial"/>
                <w:sz w:val="18"/>
                <w:szCs w:val="18"/>
                <w:b w:val="1"/>
                <w:bCs w:val="1"/>
                <w:color w:val="auto"/>
                <w:w w:val="99"/>
              </w:rPr>
              <w:t>NOTICE OF ANNUAL MEETING OF STOCKHOLDERS</w:t>
            </w:r>
          </w:p>
        </w:tc>
      </w:tr>
      <w:tr>
        <w:trPr>
          <w:trHeight w:val="446"/>
        </w:trPr>
        <w:tc>
          <w:tcPr>
            <w:tcW w:w="2440" w:type="dxa"/>
            <w:vAlign w:val="bottom"/>
            <w:gridSpan w:val="2"/>
          </w:tcPr>
          <w:p>
            <w:pPr>
              <w:ind w:left="120"/>
              <w:spacing w:after="0"/>
              <w:rPr>
                <w:sz w:val="20"/>
                <w:szCs w:val="20"/>
                <w:color w:val="auto"/>
              </w:rPr>
            </w:pPr>
            <w:r>
              <w:rPr>
                <w:rFonts w:ascii="Arial" w:cs="Arial" w:eastAsia="Arial" w:hAnsi="Arial"/>
                <w:sz w:val="18"/>
                <w:szCs w:val="18"/>
                <w:b w:val="1"/>
                <w:bCs w:val="1"/>
                <w:color w:val="auto"/>
              </w:rPr>
              <w:t>Time and Date</w:t>
            </w:r>
          </w:p>
        </w:tc>
        <w:tc>
          <w:tcPr>
            <w:tcW w:w="8480" w:type="dxa"/>
            <w:vAlign w:val="bottom"/>
          </w:tcPr>
          <w:p>
            <w:pPr>
              <w:ind w:left="760"/>
              <w:spacing w:after="0"/>
              <w:rPr>
                <w:sz w:val="20"/>
                <w:szCs w:val="20"/>
                <w:color w:val="auto"/>
              </w:rPr>
            </w:pPr>
            <w:r>
              <w:rPr>
                <w:rFonts w:ascii="Arial" w:cs="Arial" w:eastAsia="Arial" w:hAnsi="Arial"/>
                <w:sz w:val="18"/>
                <w:szCs w:val="18"/>
                <w:color w:val="auto"/>
              </w:rPr>
              <w:t>Thursday, June 10, 2021 at 3 p.m. Pacific Time</w:t>
            </w:r>
          </w:p>
        </w:tc>
      </w:tr>
      <w:tr>
        <w:trPr>
          <w:trHeight w:val="296"/>
        </w:trPr>
        <w:tc>
          <w:tcPr>
            <w:tcW w:w="2440" w:type="dxa"/>
            <w:vAlign w:val="bottom"/>
            <w:gridSpan w:val="2"/>
          </w:tcPr>
          <w:p>
            <w:pPr>
              <w:ind w:left="120"/>
              <w:spacing w:after="0"/>
              <w:rPr>
                <w:sz w:val="20"/>
                <w:szCs w:val="20"/>
                <w:color w:val="auto"/>
              </w:rPr>
            </w:pPr>
            <w:r>
              <w:rPr>
                <w:rFonts w:ascii="Arial" w:cs="Arial" w:eastAsia="Arial" w:hAnsi="Arial"/>
                <w:sz w:val="18"/>
                <w:szCs w:val="18"/>
                <w:b w:val="1"/>
                <w:bCs w:val="1"/>
                <w:color w:val="auto"/>
              </w:rPr>
              <w:t>Place</w:t>
            </w:r>
          </w:p>
        </w:tc>
        <w:tc>
          <w:tcPr>
            <w:tcW w:w="8480" w:type="dxa"/>
            <w:vAlign w:val="bottom"/>
          </w:tcPr>
          <w:p>
            <w:pPr>
              <w:ind w:left="760"/>
              <w:spacing w:after="0"/>
              <w:rPr>
                <w:sz w:val="20"/>
                <w:szCs w:val="20"/>
                <w:color w:val="auto"/>
              </w:rPr>
            </w:pPr>
            <w:r>
              <w:rPr>
                <w:rFonts w:ascii="Arial" w:cs="Arial" w:eastAsia="Arial" w:hAnsi="Arial"/>
                <w:sz w:val="18"/>
                <w:szCs w:val="18"/>
                <w:color w:val="auto"/>
              </w:rPr>
              <w:t>The Annual Meeting will be a completely virtual meeting of stockholders, to be conducted via live</w:t>
            </w:r>
          </w:p>
        </w:tc>
      </w:tr>
      <w:tr>
        <w:trPr>
          <w:trHeight w:val="203"/>
        </w:trPr>
        <w:tc>
          <w:tcPr>
            <w:tcW w:w="1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480" w:type="dxa"/>
            <w:vAlign w:val="bottom"/>
          </w:tcPr>
          <w:p>
            <w:pPr>
              <w:ind w:left="760"/>
              <w:spacing w:after="0" w:line="202" w:lineRule="exact"/>
              <w:rPr>
                <w:sz w:val="20"/>
                <w:szCs w:val="20"/>
                <w:color w:val="auto"/>
              </w:rPr>
            </w:pPr>
            <w:r>
              <w:rPr>
                <w:rFonts w:ascii="Arial" w:cs="Arial" w:eastAsia="Arial" w:hAnsi="Arial"/>
                <w:sz w:val="18"/>
                <w:szCs w:val="18"/>
                <w:color w:val="auto"/>
                <w:w w:val="99"/>
              </w:rPr>
              <w:t>webcast. You will be able to attend the Annual Meeting virtually, submit questions and vote online</w:t>
            </w:r>
          </w:p>
        </w:tc>
      </w:tr>
      <w:tr>
        <w:trPr>
          <w:trHeight w:val="217"/>
        </w:trPr>
        <w:tc>
          <w:tcPr>
            <w:tcW w:w="1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480" w:type="dxa"/>
            <w:vAlign w:val="bottom"/>
          </w:tcPr>
          <w:p>
            <w:pPr>
              <w:ind w:left="760"/>
              <w:spacing w:after="0"/>
              <w:rPr>
                <w:sz w:val="20"/>
                <w:szCs w:val="20"/>
                <w:color w:val="auto"/>
              </w:rPr>
            </w:pPr>
            <w:r>
              <w:rPr>
                <w:rFonts w:ascii="Arial" w:cs="Arial" w:eastAsia="Arial" w:hAnsi="Arial"/>
                <w:sz w:val="18"/>
                <w:szCs w:val="18"/>
                <w:color w:val="auto"/>
              </w:rPr>
              <w:t>during the meeting by visiting www.virtualshareholdermeeting.com/ALXO2021.</w:t>
            </w:r>
          </w:p>
        </w:tc>
      </w:tr>
      <w:tr>
        <w:trPr>
          <w:trHeight w:val="310"/>
        </w:trPr>
        <w:tc>
          <w:tcPr>
            <w:tcW w:w="2440" w:type="dxa"/>
            <w:vAlign w:val="bottom"/>
            <w:gridSpan w:val="2"/>
          </w:tcPr>
          <w:p>
            <w:pPr>
              <w:ind w:left="120"/>
              <w:spacing w:after="0"/>
              <w:rPr>
                <w:sz w:val="20"/>
                <w:szCs w:val="20"/>
                <w:color w:val="auto"/>
              </w:rPr>
            </w:pPr>
            <w:r>
              <w:rPr>
                <w:rFonts w:ascii="Arial" w:cs="Arial" w:eastAsia="Arial" w:hAnsi="Arial"/>
                <w:sz w:val="18"/>
                <w:szCs w:val="18"/>
                <w:b w:val="1"/>
                <w:bCs w:val="1"/>
                <w:color w:val="auto"/>
              </w:rPr>
              <w:t>Items of Business</w:t>
            </w:r>
          </w:p>
        </w:tc>
        <w:tc>
          <w:tcPr>
            <w:tcW w:w="8480" w:type="dxa"/>
            <w:vAlign w:val="bottom"/>
          </w:tcPr>
          <w:p>
            <w:pPr>
              <w:spacing w:after="0"/>
              <w:rPr>
                <w:sz w:val="24"/>
                <w:szCs w:val="24"/>
                <w:color w:val="auto"/>
              </w:rPr>
            </w:pPr>
          </w:p>
        </w:tc>
      </w:tr>
      <w:tr>
        <w:trPr>
          <w:trHeight w:val="296"/>
        </w:trPr>
        <w:tc>
          <w:tcPr>
            <w:tcW w:w="1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480" w:type="dxa"/>
            <w:vAlign w:val="bottom"/>
          </w:tcPr>
          <w:p>
            <w:pPr>
              <w:ind w:left="860"/>
              <w:spacing w:after="0"/>
              <w:rPr>
                <w:sz w:val="20"/>
                <w:szCs w:val="20"/>
                <w:color w:val="auto"/>
              </w:rPr>
            </w:pPr>
            <w:r>
              <w:rPr>
                <w:rFonts w:ascii="Arial" w:cs="Arial" w:eastAsia="Arial" w:hAnsi="Arial"/>
                <w:sz w:val="18"/>
                <w:szCs w:val="18"/>
                <w:color w:val="auto"/>
              </w:rPr>
              <w:t>•  To elect three Class I directors to serve until the 2024 annual meeting of stockholders or until</w:t>
            </w:r>
          </w:p>
        </w:tc>
      </w:tr>
      <w:tr>
        <w:trPr>
          <w:trHeight w:val="217"/>
        </w:trPr>
        <w:tc>
          <w:tcPr>
            <w:tcW w:w="1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480" w:type="dxa"/>
            <w:vAlign w:val="bottom"/>
          </w:tcPr>
          <w:p>
            <w:pPr>
              <w:ind w:left="1120"/>
              <w:spacing w:after="0"/>
              <w:rPr>
                <w:sz w:val="20"/>
                <w:szCs w:val="20"/>
                <w:color w:val="auto"/>
              </w:rPr>
            </w:pPr>
            <w:r>
              <w:rPr>
                <w:rFonts w:ascii="Arial" w:cs="Arial" w:eastAsia="Arial" w:hAnsi="Arial"/>
                <w:sz w:val="18"/>
                <w:szCs w:val="18"/>
                <w:color w:val="auto"/>
              </w:rPr>
              <w:t>their successors are duly elected and qualified.</w:t>
            </w:r>
          </w:p>
        </w:tc>
      </w:tr>
      <w:tr>
        <w:trPr>
          <w:trHeight w:val="296"/>
        </w:trPr>
        <w:tc>
          <w:tcPr>
            <w:tcW w:w="1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480" w:type="dxa"/>
            <w:vAlign w:val="bottom"/>
          </w:tcPr>
          <w:p>
            <w:pPr>
              <w:ind w:left="860"/>
              <w:spacing w:after="0"/>
              <w:rPr>
                <w:sz w:val="20"/>
                <w:szCs w:val="20"/>
                <w:color w:val="auto"/>
              </w:rPr>
            </w:pPr>
            <w:r>
              <w:rPr>
                <w:rFonts w:ascii="Arial" w:cs="Arial" w:eastAsia="Arial" w:hAnsi="Arial"/>
                <w:sz w:val="18"/>
                <w:szCs w:val="18"/>
                <w:color w:val="auto"/>
              </w:rPr>
              <w:t>•  To ratify the appointment of KPMG LLP as our independent registered public accounting firm</w:t>
            </w:r>
          </w:p>
        </w:tc>
      </w:tr>
      <w:tr>
        <w:trPr>
          <w:trHeight w:val="217"/>
        </w:trPr>
        <w:tc>
          <w:tcPr>
            <w:tcW w:w="1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480" w:type="dxa"/>
            <w:vAlign w:val="bottom"/>
          </w:tcPr>
          <w:p>
            <w:pPr>
              <w:ind w:left="1120"/>
              <w:spacing w:after="0"/>
              <w:rPr>
                <w:sz w:val="20"/>
                <w:szCs w:val="20"/>
                <w:color w:val="auto"/>
              </w:rPr>
            </w:pPr>
            <w:r>
              <w:rPr>
                <w:rFonts w:ascii="Arial" w:cs="Arial" w:eastAsia="Arial" w:hAnsi="Arial"/>
                <w:sz w:val="18"/>
                <w:szCs w:val="18"/>
                <w:color w:val="auto"/>
              </w:rPr>
              <w:t>for our fiscal year ending December 31, 2021.</w:t>
            </w:r>
          </w:p>
        </w:tc>
      </w:tr>
      <w:tr>
        <w:trPr>
          <w:trHeight w:val="296"/>
        </w:trPr>
        <w:tc>
          <w:tcPr>
            <w:tcW w:w="1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480" w:type="dxa"/>
            <w:vAlign w:val="bottom"/>
          </w:tcPr>
          <w:p>
            <w:pPr>
              <w:ind w:left="860"/>
              <w:spacing w:after="0"/>
              <w:rPr>
                <w:sz w:val="20"/>
                <w:szCs w:val="20"/>
                <w:color w:val="auto"/>
              </w:rPr>
            </w:pPr>
            <w:r>
              <w:rPr>
                <w:rFonts w:ascii="Arial" w:cs="Arial" w:eastAsia="Arial" w:hAnsi="Arial"/>
                <w:sz w:val="18"/>
                <w:szCs w:val="18"/>
                <w:color w:val="auto"/>
              </w:rPr>
              <w:t>•  To transact such other business as may properly come before the Annual Meeting or any</w:t>
            </w:r>
          </w:p>
        </w:tc>
      </w:tr>
      <w:tr>
        <w:trPr>
          <w:trHeight w:val="217"/>
        </w:trPr>
        <w:tc>
          <w:tcPr>
            <w:tcW w:w="1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480" w:type="dxa"/>
            <w:vAlign w:val="bottom"/>
          </w:tcPr>
          <w:p>
            <w:pPr>
              <w:ind w:left="1120"/>
              <w:spacing w:after="0"/>
              <w:rPr>
                <w:sz w:val="20"/>
                <w:szCs w:val="20"/>
                <w:color w:val="auto"/>
              </w:rPr>
            </w:pPr>
            <w:r>
              <w:rPr>
                <w:rFonts w:ascii="Arial" w:cs="Arial" w:eastAsia="Arial" w:hAnsi="Arial"/>
                <w:sz w:val="18"/>
                <w:szCs w:val="18"/>
                <w:color w:val="auto"/>
              </w:rPr>
              <w:t>adjournments or postponements thereof.</w:t>
            </w:r>
          </w:p>
        </w:tc>
      </w:tr>
      <w:tr>
        <w:trPr>
          <w:trHeight w:val="296"/>
        </w:trPr>
        <w:tc>
          <w:tcPr>
            <w:tcW w:w="2440" w:type="dxa"/>
            <w:vAlign w:val="bottom"/>
            <w:gridSpan w:val="2"/>
          </w:tcPr>
          <w:p>
            <w:pPr>
              <w:ind w:left="120"/>
              <w:spacing w:after="0"/>
              <w:rPr>
                <w:sz w:val="20"/>
                <w:szCs w:val="20"/>
                <w:color w:val="auto"/>
              </w:rPr>
            </w:pPr>
            <w:r>
              <w:rPr>
                <w:rFonts w:ascii="Arial" w:cs="Arial" w:eastAsia="Arial" w:hAnsi="Arial"/>
                <w:sz w:val="18"/>
                <w:szCs w:val="18"/>
                <w:b w:val="1"/>
                <w:bCs w:val="1"/>
                <w:color w:val="auto"/>
              </w:rPr>
              <w:t>Record Date</w:t>
            </w:r>
          </w:p>
        </w:tc>
        <w:tc>
          <w:tcPr>
            <w:tcW w:w="8480" w:type="dxa"/>
            <w:vAlign w:val="bottom"/>
          </w:tcPr>
          <w:p>
            <w:pPr>
              <w:ind w:left="760"/>
              <w:spacing w:after="0"/>
              <w:rPr>
                <w:sz w:val="20"/>
                <w:szCs w:val="20"/>
                <w:color w:val="auto"/>
              </w:rPr>
            </w:pPr>
            <w:r>
              <w:rPr>
                <w:rFonts w:ascii="Arial" w:cs="Arial" w:eastAsia="Arial" w:hAnsi="Arial"/>
                <w:sz w:val="18"/>
                <w:szCs w:val="18"/>
                <w:color w:val="auto"/>
              </w:rPr>
              <w:t>Friday, April 23, 2021 (the Record Date). Only stockholders of record at the close of business on</w:t>
            </w:r>
          </w:p>
        </w:tc>
      </w:tr>
      <w:tr>
        <w:trPr>
          <w:trHeight w:val="217"/>
        </w:trPr>
        <w:tc>
          <w:tcPr>
            <w:tcW w:w="1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480" w:type="dxa"/>
            <w:vAlign w:val="bottom"/>
          </w:tcPr>
          <w:p>
            <w:pPr>
              <w:ind w:left="760"/>
              <w:spacing w:after="0"/>
              <w:rPr>
                <w:sz w:val="20"/>
                <w:szCs w:val="20"/>
                <w:color w:val="auto"/>
              </w:rPr>
            </w:pPr>
            <w:r>
              <w:rPr>
                <w:rFonts w:ascii="Arial" w:cs="Arial" w:eastAsia="Arial" w:hAnsi="Arial"/>
                <w:sz w:val="18"/>
                <w:szCs w:val="18"/>
                <w:color w:val="auto"/>
              </w:rPr>
              <w:t>the Record Date are entitled to receive notice of, and to vote at, the Annual Meeting.</w:t>
            </w:r>
          </w:p>
        </w:tc>
      </w:tr>
    </w:tbl>
    <w:p>
      <w:pPr>
        <w:spacing w:after="0" w:line="18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120"/>
        <w:spacing w:after="0" w:line="244" w:lineRule="auto"/>
        <w:rPr>
          <w:sz w:val="20"/>
          <w:szCs w:val="20"/>
          <w:color w:val="auto"/>
        </w:rPr>
      </w:pPr>
      <w:r>
        <w:rPr>
          <w:rFonts w:ascii="Arial" w:cs="Arial" w:eastAsia="Arial" w:hAnsi="Arial"/>
          <w:sz w:val="18"/>
          <w:szCs w:val="18"/>
          <w:b w:val="1"/>
          <w:bCs w:val="1"/>
          <w:color w:val="auto"/>
        </w:rPr>
        <w:t>YOUR VOTE IS IMPORTANT. Whether or not you plan to attend the Annual Meeting, we urge you to submit your vote via the Internet, telephone or mail as soon as possible to ensure your shares are represented. For additional instructions for each of these voting options, please refer to the proxy card. Returning the proxy does not deprive you of your right to attend the Annual Meeting and to vote your shares at the Annual Meeting. The proxy statement explains proxy voting and the matters to be voted on in more detail.</w:t>
      </w:r>
    </w:p>
    <w:p>
      <w:pPr>
        <w:spacing w:after="0" w:line="176" w:lineRule="exact"/>
        <w:rPr>
          <w:sz w:val="20"/>
          <w:szCs w:val="20"/>
          <w:color w:val="auto"/>
        </w:rPr>
      </w:pPr>
    </w:p>
    <w:p>
      <w:pPr>
        <w:ind w:left="120" w:right="200"/>
        <w:spacing w:after="0" w:line="247"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Annual Meeting to Be Held on June 10, 2021. </w:t>
      </w:r>
      <w:r>
        <w:rPr>
          <w:rFonts w:ascii="Arial" w:cs="Arial" w:eastAsia="Arial" w:hAnsi="Arial"/>
          <w:sz w:val="18"/>
          <w:szCs w:val="18"/>
          <w:color w:val="auto"/>
        </w:rPr>
        <w:t>Our proxy</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 and Annual Report to Stockholders are being made available on or about April 29, 2021 on our investor relations website at https://ir.alxoncology.com/ under “Financials &amp; Filings.” We are providing access to our proxy materials over the Internet under the rules adopted by the Securities and Exchange Commission.</w:t>
      </w:r>
    </w:p>
    <w:p>
      <w:pPr>
        <w:spacing w:after="0" w:line="2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134620</wp:posOffset>
            </wp:positionV>
            <wp:extent cx="1560195" cy="548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6019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Jaume Pons</w:t>
      </w:r>
    </w:p>
    <w:p>
      <w:pPr>
        <w:ind w:left="6740"/>
        <w:spacing w:after="0"/>
        <w:rPr>
          <w:sz w:val="20"/>
          <w:szCs w:val="20"/>
          <w:color w:val="auto"/>
        </w:rPr>
      </w:pPr>
      <w:r>
        <w:rPr>
          <w:rFonts w:ascii="Arial" w:cs="Arial" w:eastAsia="Arial" w:hAnsi="Arial"/>
          <w:sz w:val="18"/>
          <w:szCs w:val="18"/>
          <w:i w:val="1"/>
          <w:iCs w:val="1"/>
          <w:color w:val="auto"/>
        </w:rPr>
        <w:t>President, Chief Executive Officer and Director</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Burlingame, California</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29, 2021</w:t>
      </w:r>
    </w:p>
    <w:p>
      <w:pPr>
        <w:ind w:left="120"/>
        <w:spacing w:after="0"/>
        <w:rPr>
          <w:sz w:val="20"/>
          <w:szCs w:val="20"/>
          <w:color w:val="auto"/>
        </w:rPr>
      </w:pPr>
      <w:r>
        <w:rPr>
          <w:rFonts w:ascii="Arial" w:cs="Arial" w:eastAsia="Arial" w:hAnsi="Arial"/>
          <w:sz w:val="18"/>
          <w:szCs w:val="18"/>
          <w:b w:val="1"/>
          <w:bCs w:val="1"/>
          <w:color w:val="auto"/>
        </w:rPr>
        <w:t>This proxy statement is being mailed to stockholders on or about April 29, 2021.</w:t>
      </w:r>
    </w:p>
    <w:p>
      <w:pPr>
        <w:sectPr>
          <w:pgSz w:w="11900" w:h="16838" w:orient="portrait"/>
          <w:cols w:equalWidth="0" w:num="1">
            <w:col w:w="11060"/>
          </w:cols>
          <w:pgMar w:left="320" w:top="446" w:right="5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9"/>
        </w:trPr>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r>
      <w:tr>
        <w:trPr>
          <w:trHeight w:val="270"/>
        </w:trPr>
        <w:tc>
          <w:tcPr>
            <w:tcW w:w="5180" w:type="dxa"/>
            <w:vAlign w:val="bottom"/>
            <w:tcBorders>
              <w:bottom w:val="single" w:sz="8" w:color="0000EE"/>
            </w:tcBorders>
            <w:gridSpan w:val="41"/>
          </w:tcPr>
          <w:p>
            <w:pP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QUESTIONS AND ANSWERS ABOUT THE ANNUAL MEETING</w:t>
              </w:r>
            </w:hyperlink>
          </w:p>
        </w:tc>
        <w:tc>
          <w:tcPr>
            <w:tcW w:w="5420" w:type="dxa"/>
            <w:vAlign w:val="bottom"/>
            <w:gridSpan w:val="9"/>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83"/>
        </w:trPr>
        <w:tc>
          <w:tcPr>
            <w:tcW w:w="4980" w:type="dxa"/>
            <w:vAlign w:val="bottom"/>
            <w:tcBorders>
              <w:bottom w:val="single" w:sz="8" w:color="0000EE"/>
            </w:tcBorders>
            <w:gridSpan w:val="40"/>
          </w:tcPr>
          <w:p>
            <w:pPr>
              <w:spacing w:after="0" w:line="182" w:lineRule="exact"/>
              <w:rPr>
                <w:rFonts w:ascii="Arial" w:cs="Arial" w:eastAsia="Arial" w:hAnsi="Arial"/>
                <w:sz w:val="18"/>
                <w:szCs w:val="18"/>
                <w:color w:val="0000EE"/>
                <w:w w:val="99"/>
              </w:rPr>
            </w:pPr>
            <w:hyperlink w:anchor="page12">
              <w:r>
                <w:rPr>
                  <w:rFonts w:ascii="Arial" w:cs="Arial" w:eastAsia="Arial" w:hAnsi="Arial"/>
                  <w:sz w:val="18"/>
                  <w:szCs w:val="18"/>
                  <w:color w:val="0000EE"/>
                  <w:w w:val="99"/>
                </w:rPr>
                <w:t>BOARD OF DIRECTORS AND CORPORATE GOVERNANCE</w:t>
              </w:r>
            </w:hyperlink>
          </w:p>
        </w:tc>
        <w:tc>
          <w:tcPr>
            <w:tcW w:w="5620" w:type="dxa"/>
            <w:vAlign w:val="bottom"/>
            <w:gridSpan w:val="10"/>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8</w:t>
            </w:r>
          </w:p>
        </w:tc>
      </w:tr>
      <w:tr>
        <w:trPr>
          <w:trHeight w:val="183"/>
        </w:trPr>
        <w:tc>
          <w:tcPr>
            <w:tcW w:w="360" w:type="dxa"/>
            <w:vAlign w:val="bottom"/>
          </w:tcPr>
          <w:p>
            <w:pPr>
              <w:spacing w:after="0"/>
              <w:rPr>
                <w:sz w:val="15"/>
                <w:szCs w:val="15"/>
                <w:color w:val="auto"/>
              </w:rPr>
            </w:pPr>
          </w:p>
        </w:tc>
        <w:tc>
          <w:tcPr>
            <w:tcW w:w="1500" w:type="dxa"/>
            <w:vAlign w:val="bottom"/>
            <w:tcBorders>
              <w:bottom w:val="single" w:sz="8" w:color="0000EE"/>
            </w:tcBorders>
            <w:gridSpan w:val="7"/>
          </w:tcPr>
          <w:p>
            <w:pPr>
              <w:spacing w:after="0" w:line="182" w:lineRule="exact"/>
              <w:rPr>
                <w:rFonts w:ascii="Arial" w:cs="Arial" w:eastAsia="Arial" w:hAnsi="Arial"/>
                <w:sz w:val="18"/>
                <w:szCs w:val="18"/>
                <w:color w:val="0000EE"/>
                <w:w w:val="99"/>
              </w:rPr>
            </w:pPr>
            <w:hyperlink w:anchor="page12">
              <w:r>
                <w:rPr>
                  <w:rFonts w:ascii="Arial" w:cs="Arial" w:eastAsia="Arial" w:hAnsi="Arial"/>
                  <w:sz w:val="18"/>
                  <w:szCs w:val="18"/>
                  <w:color w:val="0000EE"/>
                  <w:w w:val="99"/>
                </w:rPr>
                <w:t>Director Nominees</w:t>
              </w:r>
            </w:hyperlink>
          </w:p>
        </w:tc>
        <w:tc>
          <w:tcPr>
            <w:tcW w:w="8740" w:type="dxa"/>
            <w:vAlign w:val="bottom"/>
            <w:gridSpan w:val="42"/>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8</w:t>
            </w:r>
          </w:p>
        </w:tc>
      </w:tr>
      <w:tr>
        <w:trPr>
          <w:trHeight w:val="183"/>
        </w:trPr>
        <w:tc>
          <w:tcPr>
            <w:tcW w:w="360" w:type="dxa"/>
            <w:vAlign w:val="bottom"/>
          </w:tcPr>
          <w:p>
            <w:pPr>
              <w:spacing w:after="0"/>
              <w:rPr>
                <w:sz w:val="15"/>
                <w:szCs w:val="15"/>
                <w:color w:val="auto"/>
              </w:rPr>
            </w:pPr>
          </w:p>
        </w:tc>
        <w:tc>
          <w:tcPr>
            <w:tcW w:w="1640" w:type="dxa"/>
            <w:vAlign w:val="bottom"/>
            <w:tcBorders>
              <w:bottom w:val="single" w:sz="8" w:color="0000EE"/>
            </w:tcBorders>
            <w:gridSpan w:val="9"/>
          </w:tcPr>
          <w:p>
            <w:pPr>
              <w:spacing w:after="0" w:line="182" w:lineRule="exact"/>
              <w:rPr>
                <w:rFonts w:ascii="Arial" w:cs="Arial" w:eastAsia="Arial" w:hAnsi="Arial"/>
                <w:sz w:val="18"/>
                <w:szCs w:val="18"/>
                <w:color w:val="0000EE"/>
                <w:w w:val="99"/>
              </w:rPr>
            </w:pPr>
            <w:hyperlink w:anchor="page13">
              <w:r>
                <w:rPr>
                  <w:rFonts w:ascii="Arial" w:cs="Arial" w:eastAsia="Arial" w:hAnsi="Arial"/>
                  <w:sz w:val="18"/>
                  <w:szCs w:val="18"/>
                  <w:color w:val="0000EE"/>
                  <w:w w:val="99"/>
                </w:rPr>
                <w:t>Continuing Directors</w:t>
              </w:r>
            </w:hyperlink>
          </w:p>
        </w:tc>
        <w:tc>
          <w:tcPr>
            <w:tcW w:w="8600" w:type="dxa"/>
            <w:vAlign w:val="bottom"/>
            <w:gridSpan w:val="40"/>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9</w:t>
            </w:r>
          </w:p>
        </w:tc>
      </w:tr>
      <w:tr>
        <w:trPr>
          <w:trHeight w:val="183"/>
        </w:trPr>
        <w:tc>
          <w:tcPr>
            <w:tcW w:w="360" w:type="dxa"/>
            <w:vAlign w:val="bottom"/>
          </w:tcPr>
          <w:p>
            <w:pPr>
              <w:spacing w:after="0"/>
              <w:rPr>
                <w:sz w:val="15"/>
                <w:szCs w:val="15"/>
                <w:color w:val="auto"/>
              </w:rPr>
            </w:pPr>
          </w:p>
        </w:tc>
        <w:tc>
          <w:tcPr>
            <w:tcW w:w="1660" w:type="dxa"/>
            <w:vAlign w:val="bottom"/>
            <w:tcBorders>
              <w:bottom w:val="single" w:sz="8" w:color="0000EE"/>
            </w:tcBorders>
            <w:gridSpan w:val="10"/>
          </w:tcPr>
          <w:p>
            <w:pPr>
              <w:spacing w:after="0" w:line="182" w:lineRule="exact"/>
              <w:rPr>
                <w:rFonts w:ascii="Arial" w:cs="Arial" w:eastAsia="Arial" w:hAnsi="Arial"/>
                <w:sz w:val="18"/>
                <w:szCs w:val="18"/>
                <w:color w:val="0000EE"/>
                <w:w w:val="98"/>
              </w:rPr>
            </w:pPr>
            <w:hyperlink w:anchor="page15">
              <w:r>
                <w:rPr>
                  <w:rFonts w:ascii="Arial" w:cs="Arial" w:eastAsia="Arial" w:hAnsi="Arial"/>
                  <w:sz w:val="18"/>
                  <w:szCs w:val="18"/>
                  <w:color w:val="0000EE"/>
                  <w:w w:val="98"/>
                </w:rPr>
                <w:t>Family Relationships</w:t>
              </w:r>
            </w:hyperlink>
          </w:p>
        </w:tc>
        <w:tc>
          <w:tcPr>
            <w:tcW w:w="8580" w:type="dxa"/>
            <w:vAlign w:val="bottom"/>
            <w:gridSpan w:val="39"/>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11</w:t>
            </w:r>
          </w:p>
        </w:tc>
      </w:tr>
      <w:tr>
        <w:trPr>
          <w:trHeight w:val="183"/>
        </w:trPr>
        <w:tc>
          <w:tcPr>
            <w:tcW w:w="360" w:type="dxa"/>
            <w:vAlign w:val="bottom"/>
          </w:tcPr>
          <w:p>
            <w:pPr>
              <w:spacing w:after="0"/>
              <w:rPr>
                <w:sz w:val="15"/>
                <w:szCs w:val="15"/>
                <w:color w:val="auto"/>
              </w:rPr>
            </w:pPr>
          </w:p>
        </w:tc>
        <w:tc>
          <w:tcPr>
            <w:tcW w:w="1820" w:type="dxa"/>
            <w:vAlign w:val="bottom"/>
            <w:tcBorders>
              <w:bottom w:val="single" w:sz="8" w:color="0000EE"/>
            </w:tcBorders>
            <w:gridSpan w:val="12"/>
          </w:tcPr>
          <w:p>
            <w:pPr>
              <w:spacing w:after="0" w:line="182" w:lineRule="exact"/>
              <w:rPr>
                <w:rFonts w:ascii="Arial" w:cs="Arial" w:eastAsia="Arial" w:hAnsi="Arial"/>
                <w:sz w:val="18"/>
                <w:szCs w:val="18"/>
                <w:color w:val="0000EE"/>
                <w:w w:val="98"/>
              </w:rPr>
            </w:pPr>
            <w:hyperlink w:anchor="page15">
              <w:r>
                <w:rPr>
                  <w:rFonts w:ascii="Arial" w:cs="Arial" w:eastAsia="Arial" w:hAnsi="Arial"/>
                  <w:sz w:val="18"/>
                  <w:szCs w:val="18"/>
                  <w:color w:val="0000EE"/>
                  <w:w w:val="98"/>
                </w:rPr>
                <w:t>Director Independence</w:t>
              </w:r>
            </w:hyperlink>
          </w:p>
        </w:tc>
        <w:tc>
          <w:tcPr>
            <w:tcW w:w="8420" w:type="dxa"/>
            <w:vAlign w:val="bottom"/>
            <w:gridSpan w:val="37"/>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11</w:t>
            </w:r>
          </w:p>
        </w:tc>
      </w:tr>
      <w:tr>
        <w:trPr>
          <w:trHeight w:val="183"/>
        </w:trPr>
        <w:tc>
          <w:tcPr>
            <w:tcW w:w="360" w:type="dxa"/>
            <w:vAlign w:val="bottom"/>
          </w:tcPr>
          <w:p>
            <w:pPr>
              <w:spacing w:after="0"/>
              <w:rPr>
                <w:sz w:val="15"/>
                <w:szCs w:val="15"/>
                <w:color w:val="auto"/>
              </w:rPr>
            </w:pPr>
          </w:p>
        </w:tc>
        <w:tc>
          <w:tcPr>
            <w:tcW w:w="2200" w:type="dxa"/>
            <w:vAlign w:val="bottom"/>
            <w:tcBorders>
              <w:bottom w:val="single" w:sz="8" w:color="0000EE"/>
            </w:tcBorders>
            <w:gridSpan w:val="18"/>
          </w:tcPr>
          <w:p>
            <w:pPr>
              <w:spacing w:after="0" w:line="182" w:lineRule="exact"/>
              <w:rPr>
                <w:rFonts w:ascii="Arial" w:cs="Arial" w:eastAsia="Arial" w:hAnsi="Arial"/>
                <w:sz w:val="18"/>
                <w:szCs w:val="18"/>
                <w:color w:val="0000EE"/>
                <w:w w:val="99"/>
              </w:rPr>
            </w:pPr>
            <w:hyperlink w:anchor="page16">
              <w:r>
                <w:rPr>
                  <w:rFonts w:ascii="Arial" w:cs="Arial" w:eastAsia="Arial" w:hAnsi="Arial"/>
                  <w:sz w:val="18"/>
                  <w:szCs w:val="18"/>
                  <w:color w:val="0000EE"/>
                  <w:w w:val="99"/>
                </w:rPr>
                <w:t>Board Leadership Structure</w:t>
              </w:r>
            </w:hyperlink>
          </w:p>
        </w:tc>
        <w:tc>
          <w:tcPr>
            <w:tcW w:w="8040" w:type="dxa"/>
            <w:vAlign w:val="bottom"/>
            <w:gridSpan w:val="31"/>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12</w:t>
            </w:r>
          </w:p>
        </w:tc>
      </w:tr>
      <w:tr>
        <w:trPr>
          <w:trHeight w:val="183"/>
        </w:trPr>
        <w:tc>
          <w:tcPr>
            <w:tcW w:w="360" w:type="dxa"/>
            <w:vAlign w:val="bottom"/>
          </w:tcPr>
          <w:p>
            <w:pPr>
              <w:spacing w:after="0"/>
              <w:rPr>
                <w:sz w:val="15"/>
                <w:szCs w:val="15"/>
                <w:color w:val="auto"/>
              </w:rPr>
            </w:pPr>
          </w:p>
        </w:tc>
        <w:tc>
          <w:tcPr>
            <w:tcW w:w="10240" w:type="dxa"/>
            <w:vAlign w:val="bottom"/>
            <w:gridSpan w:val="49"/>
          </w:tcPr>
          <w:p>
            <w:pPr>
              <w:spacing w:after="0" w:line="182" w:lineRule="exact"/>
              <w:rPr>
                <w:rFonts w:ascii="Arial" w:cs="Arial" w:eastAsia="Arial" w:hAnsi="Arial"/>
                <w:sz w:val="18"/>
                <w:szCs w:val="18"/>
                <w:color w:val="0000EE"/>
              </w:rPr>
            </w:pPr>
            <w:hyperlink w:anchor="page16">
              <w:r>
                <w:rPr>
                  <w:rFonts w:ascii="Arial" w:cs="Arial" w:eastAsia="Arial" w:hAnsi="Arial"/>
                  <w:sz w:val="18"/>
                  <w:szCs w:val="18"/>
                  <w:color w:val="0000EE"/>
                </w:rPr>
                <w:t>Committees of our Board of Directors</w:t>
              </w:r>
            </w:hyperlink>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12</w:t>
            </w:r>
          </w:p>
        </w:tc>
      </w:tr>
      <w:tr>
        <w:trPr>
          <w:trHeight w:val="20"/>
        </w:trPr>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10240" w:type="dxa"/>
            <w:vAlign w:val="bottom"/>
            <w:gridSpan w:val="49"/>
          </w:tcPr>
          <w:p>
            <w:pPr>
              <w:spacing w:after="0" w:line="182" w:lineRule="exact"/>
              <w:rPr>
                <w:rFonts w:ascii="Arial" w:cs="Arial" w:eastAsia="Arial" w:hAnsi="Arial"/>
                <w:sz w:val="18"/>
                <w:szCs w:val="18"/>
                <w:color w:val="0000EE"/>
              </w:rPr>
            </w:pPr>
            <w:hyperlink w:anchor="page18">
              <w:r>
                <w:rPr>
                  <w:rFonts w:ascii="Arial" w:cs="Arial" w:eastAsia="Arial" w:hAnsi="Arial"/>
                  <w:sz w:val="18"/>
                  <w:szCs w:val="18"/>
                  <w:color w:val="0000EE"/>
                </w:rPr>
                <w:t>Attendance at Board and Stockholder Meetings</w:t>
              </w:r>
            </w:hyperlink>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14</w:t>
            </w:r>
          </w:p>
        </w:tc>
      </w:tr>
      <w:tr>
        <w:trPr>
          <w:trHeight w:val="20"/>
        </w:trPr>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4880" w:type="dxa"/>
            <w:vAlign w:val="bottom"/>
            <w:tcBorders>
              <w:bottom w:val="single" w:sz="8" w:color="0000EE"/>
            </w:tcBorders>
            <w:gridSpan w:val="41"/>
          </w:tcPr>
          <w:p>
            <w:pPr>
              <w:spacing w:after="0" w:line="182" w:lineRule="exact"/>
              <w:rPr>
                <w:rFonts w:ascii="Arial" w:cs="Arial" w:eastAsia="Arial" w:hAnsi="Arial"/>
                <w:sz w:val="18"/>
                <w:szCs w:val="18"/>
                <w:color w:val="0000EE"/>
                <w:w w:val="99"/>
              </w:rPr>
            </w:pPr>
            <w:hyperlink w:anchor="page18">
              <w:r>
                <w:rPr>
                  <w:rFonts w:ascii="Arial" w:cs="Arial" w:eastAsia="Arial" w:hAnsi="Arial"/>
                  <w:sz w:val="18"/>
                  <w:szCs w:val="18"/>
                  <w:color w:val="0000EE"/>
                  <w:w w:val="99"/>
                </w:rPr>
                <w:t>Compensation Committee Interlocks and Insider Participation</w:t>
              </w:r>
            </w:hyperlink>
          </w:p>
        </w:tc>
        <w:tc>
          <w:tcPr>
            <w:tcW w:w="5360" w:type="dxa"/>
            <w:vAlign w:val="bottom"/>
            <w:gridSpan w:val="8"/>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14</w:t>
            </w:r>
          </w:p>
        </w:tc>
      </w:tr>
      <w:tr>
        <w:trPr>
          <w:trHeight w:val="183"/>
        </w:trPr>
        <w:tc>
          <w:tcPr>
            <w:tcW w:w="360" w:type="dxa"/>
            <w:vAlign w:val="bottom"/>
          </w:tcPr>
          <w:p>
            <w:pPr>
              <w:spacing w:after="0"/>
              <w:rPr>
                <w:sz w:val="15"/>
                <w:szCs w:val="15"/>
                <w:color w:val="auto"/>
              </w:rPr>
            </w:pPr>
          </w:p>
        </w:tc>
        <w:tc>
          <w:tcPr>
            <w:tcW w:w="3820" w:type="dxa"/>
            <w:vAlign w:val="bottom"/>
            <w:tcBorders>
              <w:bottom w:val="single" w:sz="8" w:color="0000EE"/>
            </w:tcBorders>
            <w:gridSpan w:val="36"/>
          </w:tcPr>
          <w:p>
            <w:pPr>
              <w:spacing w:after="0" w:line="182" w:lineRule="exact"/>
              <w:rPr>
                <w:rFonts w:ascii="Arial" w:cs="Arial" w:eastAsia="Arial" w:hAnsi="Arial"/>
                <w:sz w:val="18"/>
                <w:szCs w:val="18"/>
                <w:color w:val="0000EE"/>
                <w:w w:val="99"/>
              </w:rPr>
            </w:pPr>
            <w:hyperlink w:anchor="page18">
              <w:r>
                <w:rPr>
                  <w:rFonts w:ascii="Arial" w:cs="Arial" w:eastAsia="Arial" w:hAnsi="Arial"/>
                  <w:sz w:val="18"/>
                  <w:szCs w:val="18"/>
                  <w:color w:val="0000EE"/>
                  <w:w w:val="99"/>
                </w:rPr>
                <w:t>Considerations in Evaluating Director Nominees</w:t>
              </w:r>
            </w:hyperlink>
          </w:p>
        </w:tc>
        <w:tc>
          <w:tcPr>
            <w:tcW w:w="6420" w:type="dxa"/>
            <w:vAlign w:val="bottom"/>
            <w:gridSpan w:val="13"/>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14</w:t>
            </w:r>
          </w:p>
        </w:tc>
      </w:tr>
      <w:tr>
        <w:trPr>
          <w:trHeight w:val="183"/>
        </w:trPr>
        <w:tc>
          <w:tcPr>
            <w:tcW w:w="360" w:type="dxa"/>
            <w:vAlign w:val="bottom"/>
          </w:tcPr>
          <w:p>
            <w:pPr>
              <w:spacing w:after="0"/>
              <w:rPr>
                <w:sz w:val="15"/>
                <w:szCs w:val="15"/>
                <w:color w:val="auto"/>
              </w:rPr>
            </w:pPr>
          </w:p>
        </w:tc>
        <w:tc>
          <w:tcPr>
            <w:tcW w:w="10240" w:type="dxa"/>
            <w:vAlign w:val="bottom"/>
            <w:gridSpan w:val="49"/>
          </w:tcPr>
          <w:p>
            <w:pPr>
              <w:spacing w:after="0" w:line="182" w:lineRule="exact"/>
              <w:rPr>
                <w:rFonts w:ascii="Arial" w:cs="Arial" w:eastAsia="Arial" w:hAnsi="Arial"/>
                <w:sz w:val="18"/>
                <w:szCs w:val="18"/>
                <w:color w:val="0000EE"/>
              </w:rPr>
            </w:pPr>
            <w:hyperlink w:anchor="page19">
              <w:r>
                <w:rPr>
                  <w:rFonts w:ascii="Arial" w:cs="Arial" w:eastAsia="Arial" w:hAnsi="Arial"/>
                  <w:sz w:val="18"/>
                  <w:szCs w:val="18"/>
                  <w:color w:val="0000EE"/>
                </w:rPr>
                <w:t>Stockholder Recommendations for Nominations to the Board of Directors</w:t>
              </w:r>
            </w:hyperlink>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15</w:t>
            </w:r>
          </w:p>
        </w:tc>
      </w:tr>
      <w:tr>
        <w:trPr>
          <w:trHeight w:val="183"/>
        </w:trPr>
        <w:tc>
          <w:tcPr>
            <w:tcW w:w="360" w:type="dxa"/>
            <w:vAlign w:val="bottom"/>
          </w:tcPr>
          <w:p>
            <w:pPr>
              <w:spacing w:after="0"/>
              <w:rPr>
                <w:sz w:val="15"/>
                <w:szCs w:val="15"/>
                <w:color w:val="auto"/>
              </w:rPr>
            </w:pPr>
          </w:p>
        </w:tc>
        <w:tc>
          <w:tcPr>
            <w:tcW w:w="5800" w:type="dxa"/>
            <w:vAlign w:val="bottom"/>
            <w:tcBorders>
              <w:top w:val="single" w:sz="8" w:color="0000EE"/>
            </w:tcBorders>
            <w:gridSpan w:val="43"/>
          </w:tcPr>
          <w:p>
            <w:pPr>
              <w:spacing w:after="0" w:line="182" w:lineRule="exact"/>
              <w:rPr>
                <w:rFonts w:ascii="Arial" w:cs="Arial" w:eastAsia="Arial" w:hAnsi="Arial"/>
                <w:sz w:val="18"/>
                <w:szCs w:val="18"/>
                <w:color w:val="0000EE"/>
              </w:rPr>
            </w:pPr>
            <w:hyperlink w:anchor="page20">
              <w:r>
                <w:rPr>
                  <w:rFonts w:ascii="Arial" w:cs="Arial" w:eastAsia="Arial" w:hAnsi="Arial"/>
                  <w:sz w:val="18"/>
                  <w:szCs w:val="18"/>
                  <w:color w:val="0000EE"/>
                </w:rPr>
                <w:t>Communications with the Board of Directors</w:t>
              </w:r>
            </w:hyperlink>
          </w:p>
        </w:tc>
        <w:tc>
          <w:tcPr>
            <w:tcW w:w="4440" w:type="dxa"/>
            <w:vAlign w:val="bottom"/>
            <w:gridSpan w:val="6"/>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16</w:t>
            </w:r>
          </w:p>
        </w:tc>
      </w:tr>
      <w:tr>
        <w:trPr>
          <w:trHeight w:val="20"/>
        </w:trPr>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10240" w:type="dxa"/>
            <w:vAlign w:val="bottom"/>
            <w:gridSpan w:val="49"/>
          </w:tcPr>
          <w:p>
            <w:pPr>
              <w:spacing w:after="0" w:line="182" w:lineRule="exact"/>
              <w:rPr>
                <w:rFonts w:ascii="Arial" w:cs="Arial" w:eastAsia="Arial" w:hAnsi="Arial"/>
                <w:sz w:val="18"/>
                <w:szCs w:val="18"/>
                <w:color w:val="0000EE"/>
              </w:rPr>
            </w:pPr>
            <w:hyperlink w:anchor="page20">
              <w:r>
                <w:rPr>
                  <w:rFonts w:ascii="Arial" w:cs="Arial" w:eastAsia="Arial" w:hAnsi="Arial"/>
                  <w:sz w:val="18"/>
                  <w:szCs w:val="18"/>
                  <w:color w:val="0000EE"/>
                </w:rPr>
                <w:t>Corporate Governance Guidelines and Code of Business Conduct and Ethics</w:t>
              </w:r>
            </w:hyperlink>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16</w:t>
            </w:r>
          </w:p>
        </w:tc>
      </w:tr>
      <w:tr>
        <w:trPr>
          <w:trHeight w:val="183"/>
        </w:trPr>
        <w:tc>
          <w:tcPr>
            <w:tcW w:w="360" w:type="dxa"/>
            <w:vAlign w:val="bottom"/>
          </w:tcPr>
          <w:p>
            <w:pPr>
              <w:spacing w:after="0"/>
              <w:rPr>
                <w:sz w:val="15"/>
                <w:szCs w:val="15"/>
                <w:color w:val="auto"/>
              </w:rPr>
            </w:pPr>
          </w:p>
        </w:tc>
        <w:tc>
          <w:tcPr>
            <w:tcW w:w="6140" w:type="dxa"/>
            <w:vAlign w:val="bottom"/>
            <w:tcBorders>
              <w:top w:val="single" w:sz="8" w:color="0000EE"/>
            </w:tcBorders>
            <w:gridSpan w:val="45"/>
          </w:tcPr>
          <w:p>
            <w:pPr>
              <w:spacing w:after="0" w:line="182" w:lineRule="exact"/>
              <w:rPr>
                <w:rFonts w:ascii="Arial" w:cs="Arial" w:eastAsia="Arial" w:hAnsi="Arial"/>
                <w:sz w:val="18"/>
                <w:szCs w:val="18"/>
                <w:color w:val="0000EE"/>
              </w:rPr>
            </w:pPr>
            <w:hyperlink w:anchor="page20">
              <w:r>
                <w:rPr>
                  <w:rFonts w:ascii="Arial" w:cs="Arial" w:eastAsia="Arial" w:hAnsi="Arial"/>
                  <w:sz w:val="18"/>
                  <w:szCs w:val="18"/>
                  <w:color w:val="0000EE"/>
                </w:rPr>
                <w:t>Role of the Board in Risk Oversight</w:t>
              </w:r>
            </w:hyperlink>
          </w:p>
        </w:tc>
        <w:tc>
          <w:tcPr>
            <w:tcW w:w="4100" w:type="dxa"/>
            <w:vAlign w:val="bottom"/>
            <w:gridSpan w:val="4"/>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16</w:t>
            </w:r>
          </w:p>
        </w:tc>
      </w:tr>
      <w:tr>
        <w:trPr>
          <w:trHeight w:val="183"/>
        </w:trPr>
        <w:tc>
          <w:tcPr>
            <w:tcW w:w="360" w:type="dxa"/>
            <w:vAlign w:val="bottom"/>
          </w:tcPr>
          <w:p>
            <w:pPr>
              <w:spacing w:after="0"/>
              <w:rPr>
                <w:sz w:val="15"/>
                <w:szCs w:val="15"/>
                <w:color w:val="auto"/>
              </w:rPr>
            </w:pPr>
          </w:p>
        </w:tc>
        <w:tc>
          <w:tcPr>
            <w:tcW w:w="1840" w:type="dxa"/>
            <w:vAlign w:val="bottom"/>
            <w:tcBorders>
              <w:top w:val="single" w:sz="8" w:color="0000EE"/>
              <w:bottom w:val="single" w:sz="8" w:color="0000EE"/>
            </w:tcBorders>
            <w:gridSpan w:val="13"/>
          </w:tcPr>
          <w:p>
            <w:pPr>
              <w:spacing w:after="0" w:line="182" w:lineRule="exact"/>
              <w:rPr>
                <w:rFonts w:ascii="Arial" w:cs="Arial" w:eastAsia="Arial" w:hAnsi="Arial"/>
                <w:sz w:val="18"/>
                <w:szCs w:val="18"/>
                <w:color w:val="0000EE"/>
                <w:w w:val="98"/>
              </w:rPr>
            </w:pPr>
            <w:hyperlink w:anchor="page21">
              <w:r>
                <w:rPr>
                  <w:rFonts w:ascii="Arial" w:cs="Arial" w:eastAsia="Arial" w:hAnsi="Arial"/>
                  <w:sz w:val="18"/>
                  <w:szCs w:val="18"/>
                  <w:color w:val="0000EE"/>
                  <w:w w:val="98"/>
                </w:rPr>
                <w:t>Director Compensation</w:t>
              </w:r>
            </w:hyperlink>
          </w:p>
        </w:tc>
        <w:tc>
          <w:tcPr>
            <w:tcW w:w="960" w:type="dxa"/>
            <w:vAlign w:val="bottom"/>
            <w:tcBorders>
              <w:top w:val="single" w:sz="8" w:color="0000EE"/>
            </w:tcBorders>
            <w:gridSpan w:val="14"/>
          </w:tcPr>
          <w:p>
            <w:pPr>
              <w:spacing w:after="0"/>
              <w:rPr>
                <w:sz w:val="15"/>
                <w:szCs w:val="15"/>
                <w:color w:val="auto"/>
              </w:rPr>
            </w:pPr>
          </w:p>
        </w:tc>
        <w:tc>
          <w:tcPr>
            <w:tcW w:w="7440" w:type="dxa"/>
            <w:vAlign w:val="bottom"/>
            <w:gridSpan w:val="22"/>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17</w:t>
            </w:r>
          </w:p>
        </w:tc>
      </w:tr>
      <w:tr>
        <w:trPr>
          <w:trHeight w:val="183"/>
        </w:trPr>
        <w:tc>
          <w:tcPr>
            <w:tcW w:w="4000" w:type="dxa"/>
            <w:vAlign w:val="bottom"/>
            <w:tcBorders>
              <w:bottom w:val="single" w:sz="8" w:color="0000EE"/>
            </w:tcBorders>
            <w:gridSpan w:val="35"/>
          </w:tcPr>
          <w:p>
            <w:pPr>
              <w:spacing w:after="0" w:line="182" w:lineRule="exact"/>
              <w:rPr>
                <w:rFonts w:ascii="Arial" w:cs="Arial" w:eastAsia="Arial" w:hAnsi="Arial"/>
                <w:sz w:val="18"/>
                <w:szCs w:val="18"/>
                <w:color w:val="0000EE"/>
                <w:w w:val="99"/>
              </w:rPr>
            </w:pPr>
            <w:hyperlink w:anchor="page24">
              <w:r>
                <w:rPr>
                  <w:rFonts w:ascii="Arial" w:cs="Arial" w:eastAsia="Arial" w:hAnsi="Arial"/>
                  <w:sz w:val="18"/>
                  <w:szCs w:val="18"/>
                  <w:color w:val="0000EE"/>
                  <w:w w:val="99"/>
                </w:rPr>
                <w:t>PROPOSAL NO. 1—ELECTION OF DIRECTORS</w:t>
              </w:r>
            </w:hyperlink>
          </w:p>
        </w:tc>
        <w:tc>
          <w:tcPr>
            <w:tcW w:w="6600" w:type="dxa"/>
            <w:vAlign w:val="bottom"/>
            <w:gridSpan w:val="15"/>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20</w:t>
            </w:r>
          </w:p>
        </w:tc>
      </w:tr>
      <w:tr>
        <w:trPr>
          <w:trHeight w:val="183"/>
        </w:trPr>
        <w:tc>
          <w:tcPr>
            <w:tcW w:w="360" w:type="dxa"/>
            <w:vAlign w:val="bottom"/>
          </w:tcPr>
          <w:p>
            <w:pPr>
              <w:spacing w:after="0"/>
              <w:rPr>
                <w:sz w:val="15"/>
                <w:szCs w:val="15"/>
                <w:color w:val="auto"/>
              </w:rPr>
            </w:pPr>
          </w:p>
        </w:tc>
        <w:tc>
          <w:tcPr>
            <w:tcW w:w="10240" w:type="dxa"/>
            <w:vAlign w:val="bottom"/>
            <w:gridSpan w:val="49"/>
          </w:tcPr>
          <w:p>
            <w:pPr>
              <w:spacing w:after="0" w:line="182" w:lineRule="exact"/>
              <w:rPr>
                <w:rFonts w:ascii="Arial" w:cs="Arial" w:eastAsia="Arial" w:hAnsi="Arial"/>
                <w:sz w:val="18"/>
                <w:szCs w:val="18"/>
                <w:color w:val="0000EE"/>
              </w:rPr>
            </w:pPr>
            <w:hyperlink w:anchor="page24">
              <w:r>
                <w:rPr>
                  <w:rFonts w:ascii="Arial" w:cs="Arial" w:eastAsia="Arial" w:hAnsi="Arial"/>
                  <w:sz w:val="18"/>
                  <w:szCs w:val="18"/>
                  <w:color w:val="0000EE"/>
                </w:rPr>
                <w:t>Nominees</w:t>
              </w:r>
            </w:hyperlink>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20</w:t>
            </w:r>
          </w:p>
        </w:tc>
      </w:tr>
      <w:tr>
        <w:trPr>
          <w:trHeight w:val="20"/>
        </w:trPr>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1140" w:type="dxa"/>
            <w:vAlign w:val="bottom"/>
            <w:tcBorders>
              <w:bottom w:val="single" w:sz="8" w:color="0000EE"/>
            </w:tcBorders>
            <w:gridSpan w:val="4"/>
          </w:tcPr>
          <w:p>
            <w:pPr>
              <w:spacing w:after="0" w:line="182" w:lineRule="exact"/>
              <w:rPr>
                <w:rFonts w:ascii="Arial" w:cs="Arial" w:eastAsia="Arial" w:hAnsi="Arial"/>
                <w:sz w:val="18"/>
                <w:szCs w:val="18"/>
                <w:color w:val="0000EE"/>
                <w:w w:val="97"/>
              </w:rPr>
            </w:pPr>
            <w:hyperlink w:anchor="page24">
              <w:r>
                <w:rPr>
                  <w:rFonts w:ascii="Arial" w:cs="Arial" w:eastAsia="Arial" w:hAnsi="Arial"/>
                  <w:sz w:val="18"/>
                  <w:szCs w:val="18"/>
                  <w:color w:val="0000EE"/>
                  <w:w w:val="97"/>
                </w:rPr>
                <w:t>Vote Required</w:t>
              </w:r>
            </w:hyperlink>
          </w:p>
        </w:tc>
        <w:tc>
          <w:tcPr>
            <w:tcW w:w="9100" w:type="dxa"/>
            <w:vAlign w:val="bottom"/>
            <w:gridSpan w:val="45"/>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20</w:t>
            </w:r>
          </w:p>
        </w:tc>
      </w:tr>
      <w:tr>
        <w:trPr>
          <w:trHeight w:val="183"/>
        </w:trPr>
        <w:tc>
          <w:tcPr>
            <w:tcW w:w="9880" w:type="dxa"/>
            <w:vAlign w:val="bottom"/>
            <w:tcBorders>
              <w:bottom w:val="single" w:sz="8" w:color="0000EE"/>
            </w:tcBorders>
            <w:gridSpan w:val="49"/>
          </w:tcPr>
          <w:p>
            <w:pPr>
              <w:spacing w:after="0" w:line="182" w:lineRule="exact"/>
              <w:rPr>
                <w:rFonts w:ascii="Arial" w:cs="Arial" w:eastAsia="Arial" w:hAnsi="Arial"/>
                <w:sz w:val="18"/>
                <w:szCs w:val="18"/>
                <w:color w:val="0000EE"/>
                <w:w w:val="99"/>
              </w:rPr>
            </w:pPr>
            <w:hyperlink w:anchor="page25">
              <w:r>
                <w:rPr>
                  <w:rFonts w:ascii="Arial" w:cs="Arial" w:eastAsia="Arial" w:hAnsi="Arial"/>
                  <w:sz w:val="18"/>
                  <w:szCs w:val="18"/>
                  <w:color w:val="0000EE"/>
                  <w:w w:val="99"/>
                </w:rPr>
                <w:t>PROPOSAL NO. 2—RATIFICATION OF APPOINTMENT OF INDEPENDENT REGISTERED PUBLIC ACCOUNTING FIRM</w:t>
              </w:r>
            </w:hyperlink>
          </w:p>
        </w:tc>
        <w:tc>
          <w:tcPr>
            <w:tcW w:w="720" w:type="dxa"/>
            <w:vAlign w:val="bottom"/>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21</w:t>
            </w:r>
          </w:p>
        </w:tc>
      </w:tr>
      <w:tr>
        <w:trPr>
          <w:trHeight w:val="183"/>
        </w:trPr>
        <w:tc>
          <w:tcPr>
            <w:tcW w:w="360" w:type="dxa"/>
            <w:vAlign w:val="bottom"/>
          </w:tcPr>
          <w:p>
            <w:pPr>
              <w:spacing w:after="0"/>
              <w:rPr>
                <w:sz w:val="15"/>
                <w:szCs w:val="15"/>
                <w:color w:val="auto"/>
              </w:rPr>
            </w:pPr>
          </w:p>
        </w:tc>
        <w:tc>
          <w:tcPr>
            <w:tcW w:w="10240" w:type="dxa"/>
            <w:vAlign w:val="bottom"/>
            <w:gridSpan w:val="49"/>
          </w:tcPr>
          <w:p>
            <w:pPr>
              <w:spacing w:after="0" w:line="182" w:lineRule="exact"/>
              <w:rPr>
                <w:rFonts w:ascii="Arial" w:cs="Arial" w:eastAsia="Arial" w:hAnsi="Arial"/>
                <w:sz w:val="18"/>
                <w:szCs w:val="18"/>
                <w:color w:val="0000EE"/>
              </w:rPr>
            </w:pPr>
            <w:hyperlink w:anchor="page25">
              <w:r>
                <w:rPr>
                  <w:rFonts w:ascii="Arial" w:cs="Arial" w:eastAsia="Arial" w:hAnsi="Arial"/>
                  <w:sz w:val="18"/>
                  <w:szCs w:val="18"/>
                  <w:color w:val="0000EE"/>
                </w:rPr>
                <w:t>Fees Paid to the Independent Registered Public Accounting Firm</w:t>
              </w:r>
            </w:hyperlink>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21</w:t>
            </w:r>
          </w:p>
        </w:tc>
      </w:tr>
      <w:tr>
        <w:trPr>
          <w:trHeight w:val="183"/>
        </w:trPr>
        <w:tc>
          <w:tcPr>
            <w:tcW w:w="360" w:type="dxa"/>
            <w:vAlign w:val="bottom"/>
          </w:tcPr>
          <w:p>
            <w:pPr>
              <w:spacing w:after="0"/>
              <w:rPr>
                <w:sz w:val="15"/>
                <w:szCs w:val="15"/>
                <w:color w:val="auto"/>
              </w:rPr>
            </w:pPr>
          </w:p>
        </w:tc>
        <w:tc>
          <w:tcPr>
            <w:tcW w:w="1760" w:type="dxa"/>
            <w:vAlign w:val="bottom"/>
            <w:tcBorders>
              <w:top w:val="single" w:sz="8" w:color="0000EE"/>
              <w:bottom w:val="single" w:sz="8" w:color="0000EE"/>
            </w:tcBorders>
            <w:gridSpan w:val="11"/>
          </w:tcPr>
          <w:p>
            <w:pPr>
              <w:spacing w:after="0" w:line="182" w:lineRule="exact"/>
              <w:rPr>
                <w:rFonts w:ascii="Arial" w:cs="Arial" w:eastAsia="Arial" w:hAnsi="Arial"/>
                <w:sz w:val="18"/>
                <w:szCs w:val="18"/>
                <w:color w:val="0000EE"/>
                <w:w w:val="98"/>
              </w:rPr>
            </w:pPr>
            <w:hyperlink w:anchor="page25">
              <w:r>
                <w:rPr>
                  <w:rFonts w:ascii="Arial" w:cs="Arial" w:eastAsia="Arial" w:hAnsi="Arial"/>
                  <w:sz w:val="18"/>
                  <w:szCs w:val="18"/>
                  <w:color w:val="0000EE"/>
                  <w:w w:val="98"/>
                </w:rPr>
                <w:t>Auditor Independence</w:t>
              </w:r>
            </w:hyperlink>
          </w:p>
        </w:tc>
        <w:tc>
          <w:tcPr>
            <w:tcW w:w="3400" w:type="dxa"/>
            <w:vAlign w:val="bottom"/>
            <w:tcBorders>
              <w:top w:val="single" w:sz="8" w:color="0000EE"/>
            </w:tcBorders>
            <w:gridSpan w:val="31"/>
          </w:tcPr>
          <w:p>
            <w:pPr>
              <w:spacing w:after="0"/>
              <w:rPr>
                <w:sz w:val="15"/>
                <w:szCs w:val="15"/>
                <w:color w:val="auto"/>
              </w:rPr>
            </w:pPr>
          </w:p>
        </w:tc>
        <w:tc>
          <w:tcPr>
            <w:tcW w:w="5080" w:type="dxa"/>
            <w:vAlign w:val="bottom"/>
            <w:gridSpan w:val="7"/>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21</w:t>
            </w:r>
          </w:p>
        </w:tc>
      </w:tr>
      <w:tr>
        <w:trPr>
          <w:trHeight w:val="183"/>
        </w:trPr>
        <w:tc>
          <w:tcPr>
            <w:tcW w:w="360" w:type="dxa"/>
            <w:vAlign w:val="bottom"/>
          </w:tcPr>
          <w:p>
            <w:pPr>
              <w:spacing w:after="0"/>
              <w:rPr>
                <w:sz w:val="15"/>
                <w:szCs w:val="15"/>
                <w:color w:val="auto"/>
              </w:rPr>
            </w:pPr>
          </w:p>
        </w:tc>
        <w:tc>
          <w:tcPr>
            <w:tcW w:w="9500" w:type="dxa"/>
            <w:vAlign w:val="bottom"/>
            <w:tcBorders>
              <w:bottom w:val="single" w:sz="8" w:color="0000EE"/>
            </w:tcBorders>
            <w:gridSpan w:val="47"/>
          </w:tcPr>
          <w:p>
            <w:pPr>
              <w:spacing w:after="0" w:line="182" w:lineRule="exact"/>
              <w:rPr>
                <w:rFonts w:ascii="Arial" w:cs="Arial" w:eastAsia="Arial" w:hAnsi="Arial"/>
                <w:sz w:val="18"/>
                <w:szCs w:val="18"/>
                <w:color w:val="0000EE"/>
                <w:w w:val="99"/>
              </w:rPr>
            </w:pPr>
            <w:hyperlink w:anchor="page25">
              <w:r>
                <w:rPr>
                  <w:rFonts w:ascii="Arial" w:cs="Arial" w:eastAsia="Arial" w:hAnsi="Arial"/>
                  <w:sz w:val="18"/>
                  <w:szCs w:val="18"/>
                  <w:color w:val="0000EE"/>
                  <w:w w:val="99"/>
                </w:rPr>
                <w:t>Audit Committee Policy on Pre-Approval of Audit and Permissible Non-Audit Services of Independent Registered Public</w:t>
              </w:r>
            </w:hyperlink>
          </w:p>
        </w:tc>
        <w:tc>
          <w:tcPr>
            <w:tcW w:w="740" w:type="dxa"/>
            <w:vAlign w:val="bottom"/>
            <w:gridSpan w:val="2"/>
          </w:tcPr>
          <w:p>
            <w:pPr>
              <w:spacing w:after="0"/>
              <w:rPr>
                <w:sz w:val="15"/>
                <w:szCs w:val="15"/>
                <w:color w:val="auto"/>
              </w:rPr>
            </w:pPr>
          </w:p>
        </w:tc>
        <w:tc>
          <w:tcPr>
            <w:tcW w:w="360" w:type="dxa"/>
            <w:vAlign w:val="bottom"/>
          </w:tcPr>
          <w:p>
            <w:pPr>
              <w:spacing w:after="0"/>
              <w:rPr>
                <w:sz w:val="15"/>
                <w:szCs w:val="15"/>
                <w:color w:val="auto"/>
              </w:rPr>
            </w:pPr>
          </w:p>
        </w:tc>
      </w:tr>
      <w:tr>
        <w:trPr>
          <w:trHeight w:val="183"/>
        </w:trPr>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Borders>
              <w:bottom w:val="single" w:sz="8" w:color="0000EE"/>
            </w:tcBorders>
            <w:gridSpan w:val="5"/>
          </w:tcPr>
          <w:p>
            <w:pPr>
              <w:spacing w:after="0" w:line="182" w:lineRule="exact"/>
              <w:rPr>
                <w:rFonts w:ascii="Arial" w:cs="Arial" w:eastAsia="Arial" w:hAnsi="Arial"/>
                <w:sz w:val="18"/>
                <w:szCs w:val="18"/>
                <w:color w:val="0000EE"/>
                <w:w w:val="98"/>
              </w:rPr>
            </w:pPr>
            <w:hyperlink w:anchor="page25">
              <w:r>
                <w:rPr>
                  <w:rFonts w:ascii="Arial" w:cs="Arial" w:eastAsia="Arial" w:hAnsi="Arial"/>
                  <w:sz w:val="18"/>
                  <w:szCs w:val="18"/>
                  <w:color w:val="0000EE"/>
                  <w:w w:val="98"/>
                </w:rPr>
                <w:t>Accounting Firm</w:t>
              </w:r>
            </w:hyperlink>
          </w:p>
        </w:tc>
        <w:tc>
          <w:tcPr>
            <w:tcW w:w="8760" w:type="dxa"/>
            <w:vAlign w:val="bottom"/>
            <w:gridSpan w:val="43"/>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21</w:t>
            </w:r>
          </w:p>
        </w:tc>
      </w:tr>
      <w:tr>
        <w:trPr>
          <w:trHeight w:val="182"/>
        </w:trPr>
        <w:tc>
          <w:tcPr>
            <w:tcW w:w="360" w:type="dxa"/>
            <w:vAlign w:val="bottom"/>
          </w:tcPr>
          <w:p>
            <w:pPr>
              <w:spacing w:after="0"/>
              <w:rPr>
                <w:sz w:val="15"/>
                <w:szCs w:val="15"/>
                <w:color w:val="auto"/>
              </w:rPr>
            </w:pPr>
          </w:p>
        </w:tc>
        <w:tc>
          <w:tcPr>
            <w:tcW w:w="1140" w:type="dxa"/>
            <w:vAlign w:val="bottom"/>
            <w:tcBorders>
              <w:bottom w:val="single" w:sz="8" w:color="0000EE"/>
            </w:tcBorders>
            <w:gridSpan w:val="4"/>
          </w:tcPr>
          <w:p>
            <w:pPr>
              <w:spacing w:after="0" w:line="182" w:lineRule="exact"/>
              <w:rPr>
                <w:rFonts w:ascii="Arial" w:cs="Arial" w:eastAsia="Arial" w:hAnsi="Arial"/>
                <w:sz w:val="18"/>
                <w:szCs w:val="18"/>
                <w:color w:val="0000EE"/>
                <w:w w:val="97"/>
              </w:rPr>
            </w:pPr>
            <w:hyperlink w:anchor="page26">
              <w:r>
                <w:rPr>
                  <w:rFonts w:ascii="Arial" w:cs="Arial" w:eastAsia="Arial" w:hAnsi="Arial"/>
                  <w:sz w:val="18"/>
                  <w:szCs w:val="18"/>
                  <w:color w:val="0000EE"/>
                  <w:w w:val="97"/>
                </w:rPr>
                <w:t>Vote Required</w:t>
              </w:r>
            </w:hyperlink>
          </w:p>
        </w:tc>
        <w:tc>
          <w:tcPr>
            <w:tcW w:w="9100" w:type="dxa"/>
            <w:vAlign w:val="bottom"/>
            <w:gridSpan w:val="45"/>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22</w:t>
            </w:r>
          </w:p>
        </w:tc>
      </w:tr>
      <w:tr>
        <w:trPr>
          <w:trHeight w:val="183"/>
        </w:trPr>
        <w:tc>
          <w:tcPr>
            <w:tcW w:w="10600" w:type="dxa"/>
            <w:vAlign w:val="bottom"/>
            <w:gridSpan w:val="50"/>
          </w:tcPr>
          <w:p>
            <w:pPr>
              <w:spacing w:after="0" w:line="182" w:lineRule="exact"/>
              <w:rPr>
                <w:rFonts w:ascii="Arial" w:cs="Arial" w:eastAsia="Arial" w:hAnsi="Arial"/>
                <w:sz w:val="18"/>
                <w:szCs w:val="18"/>
                <w:color w:val="0000EE"/>
              </w:rPr>
            </w:pPr>
            <w:hyperlink w:anchor="page27">
              <w:r>
                <w:rPr>
                  <w:rFonts w:ascii="Arial" w:cs="Arial" w:eastAsia="Arial" w:hAnsi="Arial"/>
                  <w:sz w:val="18"/>
                  <w:szCs w:val="18"/>
                  <w:color w:val="0000EE"/>
                </w:rPr>
                <w:t>AUDIT COMMITTEE REPORT</w:t>
              </w:r>
            </w:hyperlink>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23</w:t>
            </w:r>
          </w:p>
        </w:tc>
      </w:tr>
      <w:tr>
        <w:trPr>
          <w:trHeight w:val="183"/>
        </w:trPr>
        <w:tc>
          <w:tcPr>
            <w:tcW w:w="1980" w:type="dxa"/>
            <w:vAlign w:val="bottom"/>
            <w:tcBorders>
              <w:top w:val="single" w:sz="8" w:color="0000EE"/>
              <w:bottom w:val="single" w:sz="8" w:color="0000EE"/>
            </w:tcBorders>
            <w:gridSpan w:val="9"/>
          </w:tcPr>
          <w:p>
            <w:pPr>
              <w:spacing w:after="0" w:line="182" w:lineRule="exact"/>
              <w:rPr>
                <w:rFonts w:ascii="Arial" w:cs="Arial" w:eastAsia="Arial" w:hAnsi="Arial"/>
                <w:sz w:val="18"/>
                <w:szCs w:val="18"/>
                <w:color w:val="0000EE"/>
                <w:w w:val="98"/>
              </w:rPr>
            </w:pPr>
            <w:hyperlink w:anchor="page28">
              <w:r>
                <w:rPr>
                  <w:rFonts w:ascii="Arial" w:cs="Arial" w:eastAsia="Arial" w:hAnsi="Arial"/>
                  <w:sz w:val="18"/>
                  <w:szCs w:val="18"/>
                  <w:color w:val="0000EE"/>
                  <w:w w:val="98"/>
                </w:rPr>
                <w:t>EXECUTIVE OFFICERS</w:t>
              </w:r>
            </w:hyperlink>
          </w:p>
        </w:tc>
        <w:tc>
          <w:tcPr>
            <w:tcW w:w="480" w:type="dxa"/>
            <w:vAlign w:val="bottom"/>
            <w:tcBorders>
              <w:top w:val="single" w:sz="8" w:color="0000EE"/>
            </w:tcBorders>
            <w:gridSpan w:val="7"/>
          </w:tcPr>
          <w:p>
            <w:pPr>
              <w:spacing w:after="0"/>
              <w:rPr>
                <w:sz w:val="15"/>
                <w:szCs w:val="15"/>
                <w:color w:val="auto"/>
              </w:rPr>
            </w:pPr>
          </w:p>
        </w:tc>
        <w:tc>
          <w:tcPr>
            <w:tcW w:w="8140" w:type="dxa"/>
            <w:vAlign w:val="bottom"/>
            <w:gridSpan w:val="34"/>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24</w:t>
            </w:r>
          </w:p>
        </w:tc>
      </w:tr>
      <w:tr>
        <w:trPr>
          <w:trHeight w:val="183"/>
        </w:trPr>
        <w:tc>
          <w:tcPr>
            <w:tcW w:w="2520" w:type="dxa"/>
            <w:vAlign w:val="bottom"/>
            <w:tcBorders>
              <w:bottom w:val="single" w:sz="8" w:color="0000EE"/>
            </w:tcBorders>
            <w:gridSpan w:val="17"/>
          </w:tcPr>
          <w:p>
            <w:pPr>
              <w:spacing w:after="0" w:line="182" w:lineRule="exact"/>
              <w:rPr>
                <w:rFonts w:ascii="Arial" w:cs="Arial" w:eastAsia="Arial" w:hAnsi="Arial"/>
                <w:sz w:val="18"/>
                <w:szCs w:val="18"/>
                <w:color w:val="0000EE"/>
                <w:w w:val="98"/>
              </w:rPr>
            </w:pPr>
            <w:hyperlink w:anchor="page29">
              <w:r>
                <w:rPr>
                  <w:rFonts w:ascii="Arial" w:cs="Arial" w:eastAsia="Arial" w:hAnsi="Arial"/>
                  <w:sz w:val="18"/>
                  <w:szCs w:val="18"/>
                  <w:color w:val="0000EE"/>
                  <w:w w:val="98"/>
                </w:rPr>
                <w:t>EXECUTIVE COMPENSATION</w:t>
              </w:r>
            </w:hyperlink>
          </w:p>
        </w:tc>
        <w:tc>
          <w:tcPr>
            <w:tcW w:w="8080" w:type="dxa"/>
            <w:vAlign w:val="bottom"/>
            <w:gridSpan w:val="33"/>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25</w:t>
            </w:r>
          </w:p>
        </w:tc>
      </w:tr>
      <w:tr>
        <w:trPr>
          <w:trHeight w:val="183"/>
        </w:trPr>
        <w:tc>
          <w:tcPr>
            <w:tcW w:w="360" w:type="dxa"/>
            <w:vAlign w:val="bottom"/>
          </w:tcPr>
          <w:p>
            <w:pPr>
              <w:spacing w:after="0"/>
              <w:rPr>
                <w:sz w:val="15"/>
                <w:szCs w:val="15"/>
                <w:color w:val="auto"/>
              </w:rPr>
            </w:pPr>
          </w:p>
        </w:tc>
        <w:tc>
          <w:tcPr>
            <w:tcW w:w="4460" w:type="dxa"/>
            <w:vAlign w:val="bottom"/>
            <w:tcBorders>
              <w:bottom w:val="single" w:sz="8" w:color="0000EE"/>
            </w:tcBorders>
            <w:gridSpan w:val="38"/>
          </w:tcPr>
          <w:p>
            <w:pPr>
              <w:spacing w:after="0" w:line="182" w:lineRule="exact"/>
              <w:rPr>
                <w:rFonts w:ascii="Arial" w:cs="Arial" w:eastAsia="Arial" w:hAnsi="Arial"/>
                <w:sz w:val="18"/>
                <w:szCs w:val="18"/>
                <w:color w:val="0000EE"/>
                <w:w w:val="99"/>
              </w:rPr>
            </w:pPr>
            <w:hyperlink w:anchor="page29">
              <w:r>
                <w:rPr>
                  <w:rFonts w:ascii="Arial" w:cs="Arial" w:eastAsia="Arial" w:hAnsi="Arial"/>
                  <w:sz w:val="18"/>
                  <w:szCs w:val="18"/>
                  <w:color w:val="0000EE"/>
                  <w:w w:val="99"/>
                </w:rPr>
                <w:t>Processes and Procedures for Compensation Decisions</w:t>
              </w:r>
            </w:hyperlink>
          </w:p>
        </w:tc>
        <w:tc>
          <w:tcPr>
            <w:tcW w:w="5780" w:type="dxa"/>
            <w:vAlign w:val="bottom"/>
            <w:gridSpan w:val="11"/>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25</w:t>
            </w:r>
          </w:p>
        </w:tc>
      </w:tr>
      <w:tr>
        <w:trPr>
          <w:trHeight w:val="183"/>
        </w:trPr>
        <w:tc>
          <w:tcPr>
            <w:tcW w:w="360" w:type="dxa"/>
            <w:vAlign w:val="bottom"/>
          </w:tcPr>
          <w:p>
            <w:pPr>
              <w:spacing w:after="0"/>
              <w:rPr>
                <w:sz w:val="15"/>
                <w:szCs w:val="15"/>
                <w:color w:val="auto"/>
              </w:rPr>
            </w:pPr>
          </w:p>
        </w:tc>
        <w:tc>
          <w:tcPr>
            <w:tcW w:w="2460" w:type="dxa"/>
            <w:vAlign w:val="bottom"/>
            <w:tcBorders>
              <w:bottom w:val="single" w:sz="8" w:color="0000EE"/>
            </w:tcBorders>
            <w:gridSpan w:val="22"/>
          </w:tcPr>
          <w:p>
            <w:pPr>
              <w:spacing w:after="0" w:line="182" w:lineRule="exact"/>
              <w:rPr>
                <w:rFonts w:ascii="Arial" w:cs="Arial" w:eastAsia="Arial" w:hAnsi="Arial"/>
                <w:sz w:val="18"/>
                <w:szCs w:val="18"/>
                <w:color w:val="0000EE"/>
                <w:w w:val="98"/>
              </w:rPr>
            </w:pPr>
            <w:hyperlink w:anchor="page30">
              <w:r>
                <w:rPr>
                  <w:rFonts w:ascii="Arial" w:cs="Arial" w:eastAsia="Arial" w:hAnsi="Arial"/>
                  <w:sz w:val="18"/>
                  <w:szCs w:val="18"/>
                  <w:color w:val="0000EE"/>
                  <w:w w:val="98"/>
                </w:rPr>
                <w:t>Summary Compensation Table</w:t>
              </w:r>
            </w:hyperlink>
          </w:p>
        </w:tc>
        <w:tc>
          <w:tcPr>
            <w:tcW w:w="7780" w:type="dxa"/>
            <w:vAlign w:val="bottom"/>
            <w:gridSpan w:val="27"/>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26</w:t>
            </w:r>
          </w:p>
        </w:tc>
      </w:tr>
      <w:tr>
        <w:trPr>
          <w:trHeight w:val="183"/>
        </w:trPr>
        <w:tc>
          <w:tcPr>
            <w:tcW w:w="360" w:type="dxa"/>
            <w:vAlign w:val="bottom"/>
          </w:tcPr>
          <w:p>
            <w:pPr>
              <w:spacing w:after="0"/>
              <w:rPr>
                <w:sz w:val="15"/>
                <w:szCs w:val="15"/>
                <w:color w:val="auto"/>
              </w:rPr>
            </w:pPr>
          </w:p>
        </w:tc>
        <w:tc>
          <w:tcPr>
            <w:tcW w:w="10240" w:type="dxa"/>
            <w:vAlign w:val="bottom"/>
            <w:gridSpan w:val="49"/>
          </w:tcPr>
          <w:p>
            <w:pPr>
              <w:spacing w:after="0" w:line="182" w:lineRule="exact"/>
              <w:rPr>
                <w:rFonts w:ascii="Arial" w:cs="Arial" w:eastAsia="Arial" w:hAnsi="Arial"/>
                <w:sz w:val="18"/>
                <w:szCs w:val="18"/>
                <w:color w:val="0000EE"/>
              </w:rPr>
            </w:pPr>
            <w:hyperlink w:anchor="page31">
              <w:r>
                <w:rPr>
                  <w:rFonts w:ascii="Arial" w:cs="Arial" w:eastAsia="Arial" w:hAnsi="Arial"/>
                  <w:sz w:val="18"/>
                  <w:szCs w:val="18"/>
                  <w:color w:val="0000EE"/>
                </w:rPr>
                <w:t>Outstanding Equity Awards at 2020 Year-End</w:t>
              </w:r>
            </w:hyperlink>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27</w:t>
            </w:r>
          </w:p>
        </w:tc>
      </w:tr>
      <w:tr>
        <w:trPr>
          <w:trHeight w:val="183"/>
        </w:trPr>
        <w:tc>
          <w:tcPr>
            <w:tcW w:w="360" w:type="dxa"/>
            <w:vAlign w:val="bottom"/>
          </w:tcPr>
          <w:p>
            <w:pPr>
              <w:spacing w:after="0"/>
              <w:rPr>
                <w:sz w:val="15"/>
                <w:szCs w:val="15"/>
                <w:color w:val="auto"/>
              </w:rPr>
            </w:pPr>
          </w:p>
        </w:tc>
        <w:tc>
          <w:tcPr>
            <w:tcW w:w="3600" w:type="dxa"/>
            <w:vAlign w:val="bottom"/>
            <w:tcBorders>
              <w:top w:val="single" w:sz="8" w:color="0000EE"/>
            </w:tcBorders>
            <w:gridSpan w:val="33"/>
          </w:tcPr>
          <w:p>
            <w:pPr>
              <w:spacing w:after="0" w:line="182" w:lineRule="exact"/>
              <w:rPr>
                <w:rFonts w:ascii="Arial" w:cs="Arial" w:eastAsia="Arial" w:hAnsi="Arial"/>
                <w:sz w:val="18"/>
                <w:szCs w:val="18"/>
                <w:color w:val="0000EE"/>
              </w:rPr>
            </w:pPr>
            <w:hyperlink w:anchor="page32">
              <w:r>
                <w:rPr>
                  <w:rFonts w:ascii="Arial" w:cs="Arial" w:eastAsia="Arial" w:hAnsi="Arial"/>
                  <w:sz w:val="18"/>
                  <w:szCs w:val="18"/>
                  <w:color w:val="0000EE"/>
                </w:rPr>
                <w:t>Executive Letter Agreements</w:t>
              </w:r>
            </w:hyperlink>
          </w:p>
        </w:tc>
        <w:tc>
          <w:tcPr>
            <w:tcW w:w="6640" w:type="dxa"/>
            <w:vAlign w:val="bottom"/>
            <w:gridSpan w:val="16"/>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28</w:t>
            </w:r>
          </w:p>
        </w:tc>
      </w:tr>
      <w:tr>
        <w:trPr>
          <w:trHeight w:val="20"/>
        </w:trPr>
        <w:tc>
          <w:tcPr>
            <w:tcW w:w="360" w:type="dxa"/>
            <w:vAlign w:val="bottom"/>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780" w:type="dxa"/>
            <w:vAlign w:val="bottom"/>
            <w:gridSpan w:val="9"/>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120" w:type="dxa"/>
            <w:vAlign w:val="bottom"/>
            <w:gridSpan w:val="7"/>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6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10240" w:type="dxa"/>
            <w:vAlign w:val="bottom"/>
            <w:gridSpan w:val="49"/>
          </w:tcPr>
          <w:p>
            <w:pPr>
              <w:spacing w:after="0" w:line="182" w:lineRule="exact"/>
              <w:rPr>
                <w:rFonts w:ascii="Arial" w:cs="Arial" w:eastAsia="Arial" w:hAnsi="Arial"/>
                <w:sz w:val="18"/>
                <w:szCs w:val="18"/>
                <w:color w:val="0000EE"/>
              </w:rPr>
            </w:pPr>
            <w:hyperlink w:anchor="page32">
              <w:r>
                <w:rPr>
                  <w:rFonts w:ascii="Arial" w:cs="Arial" w:eastAsia="Arial" w:hAnsi="Arial"/>
                  <w:sz w:val="18"/>
                  <w:szCs w:val="18"/>
                  <w:color w:val="0000EE"/>
                </w:rPr>
                <w:t>Change in Control and Severance Agreements</w:t>
              </w:r>
            </w:hyperlink>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28</w:t>
            </w:r>
          </w:p>
        </w:tc>
      </w:tr>
      <w:tr>
        <w:trPr>
          <w:trHeight w:val="183"/>
        </w:trPr>
        <w:tc>
          <w:tcPr>
            <w:tcW w:w="360" w:type="dxa"/>
            <w:vAlign w:val="bottom"/>
          </w:tcPr>
          <w:p>
            <w:pPr>
              <w:spacing w:after="0"/>
              <w:rPr>
                <w:sz w:val="15"/>
                <w:szCs w:val="15"/>
                <w:color w:val="auto"/>
              </w:rPr>
            </w:pPr>
          </w:p>
        </w:tc>
        <w:tc>
          <w:tcPr>
            <w:tcW w:w="3180" w:type="dxa"/>
            <w:vAlign w:val="bottom"/>
            <w:tcBorders>
              <w:top w:val="single" w:sz="8" w:color="0000EE"/>
              <w:bottom w:val="single" w:sz="8" w:color="0000EE"/>
            </w:tcBorders>
            <w:gridSpan w:val="31"/>
          </w:tcPr>
          <w:p>
            <w:pPr>
              <w:spacing w:after="0" w:line="182" w:lineRule="exact"/>
              <w:rPr>
                <w:rFonts w:ascii="Arial" w:cs="Arial" w:eastAsia="Arial" w:hAnsi="Arial"/>
                <w:sz w:val="18"/>
                <w:szCs w:val="18"/>
                <w:color w:val="0000EE"/>
                <w:w w:val="99"/>
              </w:rPr>
            </w:pPr>
            <w:hyperlink w:anchor="page33">
              <w:r>
                <w:rPr>
                  <w:rFonts w:ascii="Arial" w:cs="Arial" w:eastAsia="Arial" w:hAnsi="Arial"/>
                  <w:sz w:val="18"/>
                  <w:szCs w:val="18"/>
                  <w:color w:val="0000EE"/>
                  <w:w w:val="99"/>
                </w:rPr>
                <w:t>Executive Incentive Compensation Plan</w:t>
              </w:r>
            </w:hyperlink>
          </w:p>
        </w:tc>
        <w:tc>
          <w:tcPr>
            <w:tcW w:w="580" w:type="dxa"/>
            <w:vAlign w:val="bottom"/>
            <w:tcBorders>
              <w:top w:val="single" w:sz="8" w:color="0000EE"/>
            </w:tcBorders>
            <w:gridSpan w:val="4"/>
          </w:tcPr>
          <w:p>
            <w:pPr>
              <w:spacing w:after="0"/>
              <w:rPr>
                <w:sz w:val="15"/>
                <w:szCs w:val="15"/>
                <w:color w:val="auto"/>
              </w:rPr>
            </w:pPr>
          </w:p>
        </w:tc>
        <w:tc>
          <w:tcPr>
            <w:tcW w:w="6480" w:type="dxa"/>
            <w:vAlign w:val="bottom"/>
            <w:gridSpan w:val="14"/>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29</w:t>
            </w:r>
          </w:p>
        </w:tc>
      </w:tr>
      <w:tr>
        <w:trPr>
          <w:trHeight w:val="183"/>
        </w:trPr>
        <w:tc>
          <w:tcPr>
            <w:tcW w:w="360" w:type="dxa"/>
            <w:vAlign w:val="bottom"/>
          </w:tcPr>
          <w:p>
            <w:pPr>
              <w:spacing w:after="0"/>
              <w:rPr>
                <w:sz w:val="15"/>
                <w:szCs w:val="15"/>
                <w:color w:val="auto"/>
              </w:rPr>
            </w:pPr>
          </w:p>
        </w:tc>
        <w:tc>
          <w:tcPr>
            <w:tcW w:w="920" w:type="dxa"/>
            <w:vAlign w:val="bottom"/>
            <w:tcBorders>
              <w:bottom w:val="single" w:sz="8" w:color="0000EE"/>
            </w:tcBorders>
            <w:gridSpan w:val="3"/>
          </w:tcPr>
          <w:p>
            <w:pPr>
              <w:spacing w:after="0" w:line="182" w:lineRule="exact"/>
              <w:rPr>
                <w:rFonts w:ascii="Arial" w:cs="Arial" w:eastAsia="Arial" w:hAnsi="Arial"/>
                <w:sz w:val="18"/>
                <w:szCs w:val="18"/>
                <w:color w:val="0000EE"/>
                <w:w w:val="97"/>
              </w:rPr>
            </w:pPr>
            <w:hyperlink w:anchor="page35">
              <w:r>
                <w:rPr>
                  <w:rFonts w:ascii="Arial" w:cs="Arial" w:eastAsia="Arial" w:hAnsi="Arial"/>
                  <w:sz w:val="18"/>
                  <w:szCs w:val="18"/>
                  <w:color w:val="0000EE"/>
                  <w:w w:val="97"/>
                </w:rPr>
                <w:t>401(k) Plan</w:t>
              </w:r>
            </w:hyperlink>
          </w:p>
        </w:tc>
        <w:tc>
          <w:tcPr>
            <w:tcW w:w="9320" w:type="dxa"/>
            <w:vAlign w:val="bottom"/>
            <w:gridSpan w:val="46"/>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31</w:t>
            </w:r>
          </w:p>
        </w:tc>
      </w:tr>
      <w:tr>
        <w:trPr>
          <w:trHeight w:val="183"/>
        </w:trPr>
        <w:tc>
          <w:tcPr>
            <w:tcW w:w="360" w:type="dxa"/>
            <w:vAlign w:val="bottom"/>
          </w:tcPr>
          <w:p>
            <w:pPr>
              <w:spacing w:after="0"/>
              <w:rPr>
                <w:sz w:val="15"/>
                <w:szCs w:val="15"/>
                <w:color w:val="auto"/>
              </w:rPr>
            </w:pPr>
          </w:p>
        </w:tc>
        <w:tc>
          <w:tcPr>
            <w:tcW w:w="2760" w:type="dxa"/>
            <w:vAlign w:val="bottom"/>
            <w:tcBorders>
              <w:bottom w:val="single" w:sz="8" w:color="0000EE"/>
            </w:tcBorders>
            <w:gridSpan w:val="26"/>
          </w:tcPr>
          <w:p>
            <w:pPr>
              <w:spacing w:after="0" w:line="182" w:lineRule="exact"/>
              <w:rPr>
                <w:rFonts w:ascii="Arial" w:cs="Arial" w:eastAsia="Arial" w:hAnsi="Arial"/>
                <w:sz w:val="18"/>
                <w:szCs w:val="18"/>
                <w:color w:val="0000EE"/>
                <w:w w:val="99"/>
              </w:rPr>
            </w:pPr>
            <w:hyperlink w:anchor="page35">
              <w:r>
                <w:rPr>
                  <w:rFonts w:ascii="Arial" w:cs="Arial" w:eastAsia="Arial" w:hAnsi="Arial"/>
                  <w:sz w:val="18"/>
                  <w:szCs w:val="18"/>
                  <w:color w:val="0000EE"/>
                  <w:w w:val="99"/>
                </w:rPr>
                <w:t>Hedging and Pledging Prohibitions</w:t>
              </w:r>
            </w:hyperlink>
          </w:p>
        </w:tc>
        <w:tc>
          <w:tcPr>
            <w:tcW w:w="7480" w:type="dxa"/>
            <w:vAlign w:val="bottom"/>
            <w:gridSpan w:val="23"/>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31</w:t>
            </w:r>
          </w:p>
        </w:tc>
      </w:tr>
      <w:tr>
        <w:trPr>
          <w:trHeight w:val="183"/>
        </w:trPr>
        <w:tc>
          <w:tcPr>
            <w:tcW w:w="360" w:type="dxa"/>
            <w:vAlign w:val="bottom"/>
          </w:tcPr>
          <w:p>
            <w:pPr>
              <w:spacing w:after="0"/>
              <w:rPr>
                <w:sz w:val="15"/>
                <w:szCs w:val="15"/>
                <w:color w:val="auto"/>
              </w:rPr>
            </w:pPr>
          </w:p>
        </w:tc>
        <w:tc>
          <w:tcPr>
            <w:tcW w:w="10240" w:type="dxa"/>
            <w:vAlign w:val="bottom"/>
            <w:gridSpan w:val="49"/>
          </w:tcPr>
          <w:p>
            <w:pPr>
              <w:spacing w:after="0" w:line="182" w:lineRule="exact"/>
              <w:rPr>
                <w:rFonts w:ascii="Arial" w:cs="Arial" w:eastAsia="Arial" w:hAnsi="Arial"/>
                <w:sz w:val="18"/>
                <w:szCs w:val="18"/>
                <w:color w:val="0000EE"/>
              </w:rPr>
            </w:pPr>
            <w:hyperlink w:anchor="page35">
              <w:r>
                <w:rPr>
                  <w:rFonts w:ascii="Arial" w:cs="Arial" w:eastAsia="Arial" w:hAnsi="Arial"/>
                  <w:sz w:val="18"/>
                  <w:szCs w:val="18"/>
                  <w:color w:val="0000EE"/>
                </w:rPr>
                <w:t>Equity Compensation Plan Information</w:t>
              </w:r>
            </w:hyperlink>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31</w:t>
            </w:r>
          </w:p>
        </w:tc>
      </w:tr>
      <w:tr>
        <w:trPr>
          <w:trHeight w:val="20"/>
        </w:trPr>
        <w:tc>
          <w:tcPr>
            <w:tcW w:w="360" w:type="dxa"/>
            <w:vAlign w:val="bottom"/>
          </w:tcPr>
          <w:p>
            <w:pPr>
              <w:spacing w:after="0" w:line="20" w:lineRule="exact"/>
              <w:rPr>
                <w:sz w:val="1"/>
                <w:szCs w:val="1"/>
                <w:color w:val="auto"/>
              </w:rPr>
            </w:pPr>
          </w:p>
        </w:tc>
        <w:tc>
          <w:tcPr>
            <w:tcW w:w="1160" w:type="dxa"/>
            <w:vAlign w:val="bottom"/>
            <w:gridSpan w:val="5"/>
            <w:shd w:val="clear" w:color="auto" w:fill="0000EE"/>
          </w:tcPr>
          <w:p>
            <w:pPr>
              <w:spacing w:after="0" w:line="20" w:lineRule="exact"/>
              <w:rPr>
                <w:sz w:val="1"/>
                <w:szCs w:val="1"/>
                <w:color w:val="auto"/>
              </w:rPr>
            </w:pPr>
          </w:p>
        </w:tc>
        <w:tc>
          <w:tcPr>
            <w:tcW w:w="780" w:type="dxa"/>
            <w:vAlign w:val="bottom"/>
            <w:gridSpan w:val="9"/>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7"/>
          </w:tcPr>
          <w:p>
            <w:pPr>
              <w:spacing w:after="0" w:line="20" w:lineRule="exact"/>
              <w:rPr>
                <w:sz w:val="1"/>
                <w:szCs w:val="1"/>
                <w:color w:val="auto"/>
              </w:rPr>
            </w:pPr>
          </w:p>
        </w:tc>
        <w:tc>
          <w:tcPr>
            <w:tcW w:w="2120" w:type="dxa"/>
            <w:vAlign w:val="bottom"/>
            <w:gridSpan w:val="7"/>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6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3"/>
        </w:trPr>
        <w:tc>
          <w:tcPr>
            <w:tcW w:w="6920" w:type="dxa"/>
            <w:vAlign w:val="bottom"/>
            <w:tcBorders>
              <w:bottom w:val="single" w:sz="8" w:color="0000EE"/>
            </w:tcBorders>
            <w:gridSpan w:val="47"/>
          </w:tcPr>
          <w:p>
            <w:pPr>
              <w:spacing w:after="0" w:line="182" w:lineRule="exact"/>
              <w:rPr>
                <w:rFonts w:ascii="Arial" w:cs="Arial" w:eastAsia="Arial" w:hAnsi="Arial"/>
                <w:sz w:val="18"/>
                <w:szCs w:val="18"/>
                <w:color w:val="0000EE"/>
                <w:w w:val="99"/>
              </w:rPr>
            </w:pPr>
            <w:hyperlink w:anchor="page37">
              <w:r>
                <w:rPr>
                  <w:rFonts w:ascii="Arial" w:cs="Arial" w:eastAsia="Arial" w:hAnsi="Arial"/>
                  <w:sz w:val="18"/>
                  <w:szCs w:val="18"/>
                  <w:color w:val="0000EE"/>
                  <w:w w:val="99"/>
                </w:rPr>
                <w:t>SECURITY OWNERSHIP OF CERTAIN BENEFICIAL OWNERS AND MANAGEMENT</w:t>
              </w:r>
            </w:hyperlink>
          </w:p>
        </w:tc>
        <w:tc>
          <w:tcPr>
            <w:tcW w:w="3680" w:type="dxa"/>
            <w:vAlign w:val="bottom"/>
            <w:gridSpan w:val="3"/>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33</w:t>
            </w:r>
          </w:p>
        </w:tc>
      </w:tr>
      <w:tr>
        <w:trPr>
          <w:trHeight w:val="183"/>
        </w:trPr>
        <w:tc>
          <w:tcPr>
            <w:tcW w:w="10600" w:type="dxa"/>
            <w:vAlign w:val="bottom"/>
            <w:gridSpan w:val="50"/>
          </w:tcPr>
          <w:p>
            <w:pPr>
              <w:spacing w:after="0" w:line="182" w:lineRule="exact"/>
              <w:rPr>
                <w:rFonts w:ascii="Arial" w:cs="Arial" w:eastAsia="Arial" w:hAnsi="Arial"/>
                <w:sz w:val="18"/>
                <w:szCs w:val="18"/>
                <w:color w:val="0000EE"/>
              </w:rPr>
            </w:pPr>
            <w:hyperlink w:anchor="page40">
              <w:r>
                <w:rPr>
                  <w:rFonts w:ascii="Arial" w:cs="Arial" w:eastAsia="Arial" w:hAnsi="Arial"/>
                  <w:sz w:val="18"/>
                  <w:szCs w:val="18"/>
                  <w:color w:val="0000EE"/>
                </w:rPr>
                <w:t>CERTAIN RELATIONSHIPS, RELATED PARTY AND OTHER TRANSACTIONS</w:t>
              </w:r>
            </w:hyperlink>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36</w:t>
            </w:r>
          </w:p>
        </w:tc>
      </w:tr>
      <w:tr>
        <w:trPr>
          <w:trHeight w:val="183"/>
        </w:trPr>
        <w:tc>
          <w:tcPr>
            <w:tcW w:w="360" w:type="dxa"/>
            <w:vAlign w:val="bottom"/>
            <w:tcBorders>
              <w:top w:val="single" w:sz="8" w:color="0000EE"/>
            </w:tcBorders>
          </w:tcPr>
          <w:p>
            <w:pPr>
              <w:spacing w:after="0"/>
              <w:rPr>
                <w:sz w:val="15"/>
                <w:szCs w:val="15"/>
                <w:color w:val="auto"/>
              </w:rPr>
            </w:pPr>
          </w:p>
        </w:tc>
        <w:tc>
          <w:tcPr>
            <w:tcW w:w="6000" w:type="dxa"/>
            <w:vAlign w:val="bottom"/>
            <w:tcBorders>
              <w:top w:val="single" w:sz="8" w:color="0000EE"/>
            </w:tcBorders>
            <w:gridSpan w:val="44"/>
          </w:tcPr>
          <w:p>
            <w:pPr>
              <w:spacing w:after="0" w:line="182" w:lineRule="exact"/>
              <w:rPr>
                <w:rFonts w:ascii="Arial" w:cs="Arial" w:eastAsia="Arial" w:hAnsi="Arial"/>
                <w:sz w:val="18"/>
                <w:szCs w:val="18"/>
                <w:color w:val="0000EE"/>
              </w:rPr>
            </w:pPr>
            <w:hyperlink w:anchor="page40">
              <w:r>
                <w:rPr>
                  <w:rFonts w:ascii="Arial" w:cs="Arial" w:eastAsia="Arial" w:hAnsi="Arial"/>
                  <w:sz w:val="18"/>
                  <w:szCs w:val="18"/>
                  <w:color w:val="0000EE"/>
                </w:rPr>
                <w:t>Reorganization Transaction</w:t>
              </w:r>
            </w:hyperlink>
          </w:p>
        </w:tc>
        <w:tc>
          <w:tcPr>
            <w:tcW w:w="4240" w:type="dxa"/>
            <w:vAlign w:val="bottom"/>
            <w:gridSpan w:val="5"/>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36</w:t>
            </w:r>
          </w:p>
        </w:tc>
      </w:tr>
      <w:tr>
        <w:trPr>
          <w:trHeight w:val="20"/>
        </w:trPr>
        <w:tc>
          <w:tcPr>
            <w:tcW w:w="360" w:type="dxa"/>
            <w:vAlign w:val="bottom"/>
          </w:tcPr>
          <w:p>
            <w:pPr>
              <w:spacing w:after="0" w:line="20" w:lineRule="exact"/>
              <w:rPr>
                <w:sz w:val="1"/>
                <w:szCs w:val="1"/>
                <w:color w:val="auto"/>
              </w:rPr>
            </w:pPr>
          </w:p>
        </w:tc>
        <w:tc>
          <w:tcPr>
            <w:tcW w:w="1160" w:type="dxa"/>
            <w:vAlign w:val="bottom"/>
            <w:gridSpan w:val="5"/>
            <w:shd w:val="clear" w:color="auto" w:fill="0000EE"/>
          </w:tcPr>
          <w:p>
            <w:pPr>
              <w:spacing w:after="0" w:line="20" w:lineRule="exact"/>
              <w:rPr>
                <w:sz w:val="1"/>
                <w:szCs w:val="1"/>
                <w:color w:val="auto"/>
              </w:rPr>
            </w:pPr>
          </w:p>
        </w:tc>
        <w:tc>
          <w:tcPr>
            <w:tcW w:w="780" w:type="dxa"/>
            <w:vAlign w:val="bottom"/>
            <w:gridSpan w:val="9"/>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720" w:type="dxa"/>
            <w:vAlign w:val="bottom"/>
            <w:gridSpan w:val="7"/>
          </w:tcPr>
          <w:p>
            <w:pPr>
              <w:spacing w:after="0" w:line="20" w:lineRule="exact"/>
              <w:rPr>
                <w:sz w:val="1"/>
                <w:szCs w:val="1"/>
                <w:color w:val="auto"/>
              </w:rPr>
            </w:pPr>
          </w:p>
        </w:tc>
        <w:tc>
          <w:tcPr>
            <w:tcW w:w="6360" w:type="dxa"/>
            <w:vAlign w:val="bottom"/>
            <w:gridSpan w:val="1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3160" w:type="dxa"/>
            <w:vAlign w:val="bottom"/>
            <w:tcBorders>
              <w:bottom w:val="single" w:sz="8" w:color="0000EE"/>
            </w:tcBorders>
            <w:gridSpan w:val="30"/>
          </w:tcPr>
          <w:p>
            <w:pPr>
              <w:spacing w:after="0" w:line="182" w:lineRule="exact"/>
              <w:rPr>
                <w:rFonts w:ascii="Arial" w:cs="Arial" w:eastAsia="Arial" w:hAnsi="Arial"/>
                <w:sz w:val="18"/>
                <w:szCs w:val="18"/>
                <w:color w:val="0000EE"/>
                <w:w w:val="99"/>
              </w:rPr>
            </w:pPr>
            <w:hyperlink w:anchor="page42">
              <w:r>
                <w:rPr>
                  <w:rFonts w:ascii="Arial" w:cs="Arial" w:eastAsia="Arial" w:hAnsi="Arial"/>
                  <w:sz w:val="18"/>
                  <w:szCs w:val="18"/>
                  <w:color w:val="0000EE"/>
                  <w:w w:val="99"/>
                </w:rPr>
                <w:t>Convertible Preferred Share Financings</w:t>
              </w:r>
            </w:hyperlink>
          </w:p>
        </w:tc>
        <w:tc>
          <w:tcPr>
            <w:tcW w:w="7080" w:type="dxa"/>
            <w:vAlign w:val="bottom"/>
            <w:gridSpan w:val="19"/>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38</w:t>
            </w:r>
          </w:p>
        </w:tc>
      </w:tr>
      <w:tr>
        <w:trPr>
          <w:trHeight w:val="183"/>
        </w:trPr>
        <w:tc>
          <w:tcPr>
            <w:tcW w:w="360" w:type="dxa"/>
            <w:vAlign w:val="bottom"/>
          </w:tcPr>
          <w:p>
            <w:pPr>
              <w:spacing w:after="0"/>
              <w:rPr>
                <w:sz w:val="15"/>
                <w:szCs w:val="15"/>
                <w:color w:val="auto"/>
              </w:rPr>
            </w:pPr>
          </w:p>
        </w:tc>
        <w:tc>
          <w:tcPr>
            <w:tcW w:w="2300" w:type="dxa"/>
            <w:vAlign w:val="bottom"/>
            <w:tcBorders>
              <w:bottom w:val="single" w:sz="8" w:color="0000EE"/>
            </w:tcBorders>
            <w:gridSpan w:val="20"/>
          </w:tcPr>
          <w:p>
            <w:pPr>
              <w:spacing w:after="0" w:line="182" w:lineRule="exact"/>
              <w:rPr>
                <w:rFonts w:ascii="Arial" w:cs="Arial" w:eastAsia="Arial" w:hAnsi="Arial"/>
                <w:sz w:val="18"/>
                <w:szCs w:val="18"/>
                <w:color w:val="0000EE"/>
                <w:w w:val="99"/>
              </w:rPr>
            </w:pPr>
            <w:hyperlink w:anchor="page42">
              <w:r>
                <w:rPr>
                  <w:rFonts w:ascii="Arial" w:cs="Arial" w:eastAsia="Arial" w:hAnsi="Arial"/>
                  <w:sz w:val="18"/>
                  <w:szCs w:val="18"/>
                  <w:color w:val="0000EE"/>
                  <w:w w:val="99"/>
                </w:rPr>
                <w:t>Investors’ Rights Agreement</w:t>
              </w:r>
            </w:hyperlink>
          </w:p>
        </w:tc>
        <w:tc>
          <w:tcPr>
            <w:tcW w:w="7940" w:type="dxa"/>
            <w:vAlign w:val="bottom"/>
            <w:gridSpan w:val="29"/>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38</w:t>
            </w:r>
          </w:p>
        </w:tc>
      </w:tr>
      <w:tr>
        <w:trPr>
          <w:trHeight w:val="182"/>
        </w:trPr>
        <w:tc>
          <w:tcPr>
            <w:tcW w:w="360" w:type="dxa"/>
            <w:vAlign w:val="bottom"/>
          </w:tcPr>
          <w:p>
            <w:pPr>
              <w:spacing w:after="0"/>
              <w:rPr>
                <w:sz w:val="15"/>
                <w:szCs w:val="15"/>
                <w:color w:val="auto"/>
              </w:rPr>
            </w:pPr>
          </w:p>
        </w:tc>
        <w:tc>
          <w:tcPr>
            <w:tcW w:w="2380" w:type="dxa"/>
            <w:vAlign w:val="bottom"/>
            <w:tcBorders>
              <w:bottom w:val="single" w:sz="8" w:color="0000EE"/>
            </w:tcBorders>
            <w:gridSpan w:val="21"/>
          </w:tcPr>
          <w:p>
            <w:pPr>
              <w:spacing w:after="0" w:line="182" w:lineRule="exact"/>
              <w:rPr>
                <w:rFonts w:ascii="Arial" w:cs="Arial" w:eastAsia="Arial" w:hAnsi="Arial"/>
                <w:sz w:val="18"/>
                <w:szCs w:val="18"/>
                <w:color w:val="0000EE"/>
                <w:w w:val="99"/>
              </w:rPr>
            </w:pPr>
            <w:hyperlink w:anchor="page42">
              <w:r>
                <w:rPr>
                  <w:rFonts w:ascii="Arial" w:cs="Arial" w:eastAsia="Arial" w:hAnsi="Arial"/>
                  <w:sz w:val="18"/>
                  <w:szCs w:val="18"/>
                  <w:color w:val="0000EE"/>
                  <w:w w:val="99"/>
                </w:rPr>
                <w:t>venBio Consulting Agreement</w:t>
              </w:r>
            </w:hyperlink>
          </w:p>
        </w:tc>
        <w:tc>
          <w:tcPr>
            <w:tcW w:w="7860" w:type="dxa"/>
            <w:vAlign w:val="bottom"/>
            <w:gridSpan w:val="28"/>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38</w:t>
            </w:r>
          </w:p>
        </w:tc>
      </w:tr>
      <w:tr>
        <w:trPr>
          <w:trHeight w:val="183"/>
        </w:trPr>
        <w:tc>
          <w:tcPr>
            <w:tcW w:w="360" w:type="dxa"/>
            <w:vAlign w:val="bottom"/>
          </w:tcPr>
          <w:p>
            <w:pPr>
              <w:spacing w:after="0"/>
              <w:rPr>
                <w:sz w:val="15"/>
                <w:szCs w:val="15"/>
                <w:color w:val="auto"/>
              </w:rPr>
            </w:pPr>
          </w:p>
        </w:tc>
        <w:tc>
          <w:tcPr>
            <w:tcW w:w="10240" w:type="dxa"/>
            <w:vAlign w:val="bottom"/>
            <w:gridSpan w:val="49"/>
          </w:tcPr>
          <w:p>
            <w:pPr>
              <w:spacing w:after="0" w:line="182" w:lineRule="exact"/>
              <w:rPr>
                <w:rFonts w:ascii="Arial" w:cs="Arial" w:eastAsia="Arial" w:hAnsi="Arial"/>
                <w:sz w:val="18"/>
                <w:szCs w:val="18"/>
                <w:color w:val="0000EE"/>
              </w:rPr>
            </w:pPr>
            <w:hyperlink w:anchor="page43">
              <w:r>
                <w:rPr>
                  <w:rFonts w:ascii="Arial" w:cs="Arial" w:eastAsia="Arial" w:hAnsi="Arial"/>
                  <w:sz w:val="18"/>
                  <w:szCs w:val="18"/>
                  <w:color w:val="0000EE"/>
                </w:rPr>
                <w:t>Tallac Therapeutics Agreements</w:t>
              </w:r>
            </w:hyperlink>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39</w:t>
            </w:r>
          </w:p>
        </w:tc>
      </w:tr>
      <w:tr>
        <w:trPr>
          <w:trHeight w:val="183"/>
        </w:trPr>
        <w:tc>
          <w:tcPr>
            <w:tcW w:w="360" w:type="dxa"/>
            <w:vAlign w:val="bottom"/>
          </w:tcPr>
          <w:p>
            <w:pPr>
              <w:spacing w:after="0"/>
              <w:rPr>
                <w:sz w:val="15"/>
                <w:szCs w:val="15"/>
                <w:color w:val="auto"/>
              </w:rPr>
            </w:pPr>
          </w:p>
        </w:tc>
        <w:tc>
          <w:tcPr>
            <w:tcW w:w="1940" w:type="dxa"/>
            <w:vAlign w:val="bottom"/>
            <w:tcBorders>
              <w:top w:val="single" w:sz="8" w:color="0000EE"/>
              <w:bottom w:val="single" w:sz="8" w:color="0000EE"/>
            </w:tcBorders>
            <w:gridSpan w:val="14"/>
          </w:tcPr>
          <w:p>
            <w:pPr>
              <w:spacing w:after="0" w:line="182" w:lineRule="exact"/>
              <w:rPr>
                <w:rFonts w:ascii="Arial" w:cs="Arial" w:eastAsia="Arial" w:hAnsi="Arial"/>
                <w:sz w:val="18"/>
                <w:szCs w:val="18"/>
                <w:color w:val="0000EE"/>
                <w:w w:val="98"/>
              </w:rPr>
            </w:pPr>
            <w:hyperlink w:anchor="page44">
              <w:r>
                <w:rPr>
                  <w:rFonts w:ascii="Arial" w:cs="Arial" w:eastAsia="Arial" w:hAnsi="Arial"/>
                  <w:sz w:val="18"/>
                  <w:szCs w:val="18"/>
                  <w:color w:val="0000EE"/>
                  <w:w w:val="98"/>
                </w:rPr>
                <w:t>Directed Share Program</w:t>
              </w:r>
            </w:hyperlink>
          </w:p>
        </w:tc>
        <w:tc>
          <w:tcPr>
            <w:tcW w:w="620" w:type="dxa"/>
            <w:vAlign w:val="bottom"/>
            <w:tcBorders>
              <w:top w:val="single" w:sz="8" w:color="0000EE"/>
            </w:tcBorders>
            <w:gridSpan w:val="9"/>
          </w:tcPr>
          <w:p>
            <w:pPr>
              <w:spacing w:after="0"/>
              <w:rPr>
                <w:sz w:val="15"/>
                <w:szCs w:val="15"/>
                <w:color w:val="auto"/>
              </w:rPr>
            </w:pPr>
          </w:p>
        </w:tc>
        <w:tc>
          <w:tcPr>
            <w:tcW w:w="7680" w:type="dxa"/>
            <w:vAlign w:val="bottom"/>
            <w:gridSpan w:val="26"/>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40</w:t>
            </w:r>
          </w:p>
        </w:tc>
      </w:tr>
      <w:tr>
        <w:trPr>
          <w:trHeight w:val="183"/>
        </w:trPr>
        <w:tc>
          <w:tcPr>
            <w:tcW w:w="360" w:type="dxa"/>
            <w:vAlign w:val="bottom"/>
          </w:tcPr>
          <w:p>
            <w:pPr>
              <w:spacing w:after="0"/>
              <w:rPr>
                <w:sz w:val="15"/>
                <w:szCs w:val="15"/>
                <w:color w:val="auto"/>
              </w:rPr>
            </w:pPr>
          </w:p>
        </w:tc>
        <w:tc>
          <w:tcPr>
            <w:tcW w:w="10240" w:type="dxa"/>
            <w:vAlign w:val="bottom"/>
            <w:gridSpan w:val="49"/>
          </w:tcPr>
          <w:p>
            <w:pPr>
              <w:spacing w:after="0" w:line="182" w:lineRule="exact"/>
              <w:rPr>
                <w:rFonts w:ascii="Arial" w:cs="Arial" w:eastAsia="Arial" w:hAnsi="Arial"/>
                <w:sz w:val="18"/>
                <w:szCs w:val="18"/>
                <w:color w:val="0000EE"/>
              </w:rPr>
            </w:pPr>
            <w:hyperlink w:anchor="page44">
              <w:r>
                <w:rPr>
                  <w:rFonts w:ascii="Arial" w:cs="Arial" w:eastAsia="Arial" w:hAnsi="Arial"/>
                  <w:sz w:val="18"/>
                  <w:szCs w:val="18"/>
                  <w:color w:val="0000EE"/>
                </w:rPr>
                <w:t>Indemnification Agreements</w:t>
              </w:r>
            </w:hyperlink>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40</w:t>
            </w:r>
          </w:p>
        </w:tc>
      </w:tr>
      <w:tr>
        <w:trPr>
          <w:trHeight w:val="20"/>
        </w:trPr>
        <w:tc>
          <w:tcPr>
            <w:tcW w:w="360" w:type="dxa"/>
            <w:vAlign w:val="bottom"/>
          </w:tcPr>
          <w:p>
            <w:pPr>
              <w:spacing w:after="0" w:line="20" w:lineRule="exact"/>
              <w:rPr>
                <w:sz w:val="1"/>
                <w:szCs w:val="1"/>
                <w:color w:val="auto"/>
              </w:rPr>
            </w:pPr>
          </w:p>
        </w:tc>
        <w:tc>
          <w:tcPr>
            <w:tcW w:w="1160" w:type="dxa"/>
            <w:vAlign w:val="bottom"/>
            <w:gridSpan w:val="5"/>
            <w:shd w:val="clear" w:color="auto" w:fill="0000EE"/>
          </w:tcPr>
          <w:p>
            <w:pPr>
              <w:spacing w:after="0" w:line="20" w:lineRule="exact"/>
              <w:rPr>
                <w:sz w:val="1"/>
                <w:szCs w:val="1"/>
                <w:color w:val="auto"/>
              </w:rPr>
            </w:pPr>
          </w:p>
        </w:tc>
        <w:tc>
          <w:tcPr>
            <w:tcW w:w="1060" w:type="dxa"/>
            <w:vAlign w:val="bottom"/>
            <w:gridSpan w:val="14"/>
            <w:shd w:val="clear" w:color="auto" w:fill="0000EE"/>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gridSpan w:val="12"/>
          </w:tcPr>
          <w:p>
            <w:pPr>
              <w:spacing w:after="0" w:line="20" w:lineRule="exact"/>
              <w:rPr>
                <w:sz w:val="1"/>
                <w:szCs w:val="1"/>
                <w:color w:val="auto"/>
              </w:rPr>
            </w:pPr>
          </w:p>
        </w:tc>
        <w:tc>
          <w:tcPr>
            <w:tcW w:w="6360" w:type="dxa"/>
            <w:vAlign w:val="bottom"/>
            <w:gridSpan w:val="1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10240" w:type="dxa"/>
            <w:vAlign w:val="bottom"/>
            <w:gridSpan w:val="49"/>
          </w:tcPr>
          <w:p>
            <w:pPr>
              <w:spacing w:after="0" w:line="182" w:lineRule="exact"/>
              <w:rPr>
                <w:rFonts w:ascii="Arial" w:cs="Arial" w:eastAsia="Arial" w:hAnsi="Arial"/>
                <w:sz w:val="18"/>
                <w:szCs w:val="18"/>
                <w:color w:val="0000EE"/>
              </w:rPr>
            </w:pPr>
            <w:hyperlink w:anchor="page44">
              <w:r>
                <w:rPr>
                  <w:rFonts w:ascii="Arial" w:cs="Arial" w:eastAsia="Arial" w:hAnsi="Arial"/>
                  <w:sz w:val="18"/>
                  <w:szCs w:val="18"/>
                  <w:color w:val="0000EE"/>
                </w:rPr>
                <w:t>Related-Party Transaction Policy</w:t>
              </w:r>
            </w:hyperlink>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40</w:t>
            </w:r>
          </w:p>
        </w:tc>
      </w:tr>
      <w:tr>
        <w:trPr>
          <w:trHeight w:val="20"/>
        </w:trPr>
        <w:tc>
          <w:tcPr>
            <w:tcW w:w="360" w:type="dxa"/>
            <w:vAlign w:val="bottom"/>
          </w:tcPr>
          <w:p>
            <w:pPr>
              <w:spacing w:after="0" w:line="20" w:lineRule="exact"/>
              <w:rPr>
                <w:sz w:val="1"/>
                <w:szCs w:val="1"/>
                <w:color w:val="auto"/>
              </w:rPr>
            </w:pPr>
          </w:p>
        </w:tc>
        <w:tc>
          <w:tcPr>
            <w:tcW w:w="1160" w:type="dxa"/>
            <w:vAlign w:val="bottom"/>
            <w:gridSpan w:val="5"/>
            <w:shd w:val="clear" w:color="auto" w:fill="0000EE"/>
          </w:tcPr>
          <w:p>
            <w:pPr>
              <w:spacing w:after="0" w:line="20" w:lineRule="exact"/>
              <w:rPr>
                <w:sz w:val="1"/>
                <w:szCs w:val="1"/>
                <w:color w:val="auto"/>
              </w:rPr>
            </w:pPr>
          </w:p>
        </w:tc>
        <w:tc>
          <w:tcPr>
            <w:tcW w:w="1440" w:type="dxa"/>
            <w:vAlign w:val="bottom"/>
            <w:gridSpan w:val="19"/>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gridSpan w:val="12"/>
          </w:tcPr>
          <w:p>
            <w:pPr>
              <w:spacing w:after="0" w:line="20" w:lineRule="exact"/>
              <w:rPr>
                <w:sz w:val="1"/>
                <w:szCs w:val="1"/>
                <w:color w:val="auto"/>
              </w:rPr>
            </w:pPr>
          </w:p>
        </w:tc>
        <w:tc>
          <w:tcPr>
            <w:tcW w:w="6360" w:type="dxa"/>
            <w:vAlign w:val="bottom"/>
            <w:gridSpan w:val="1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3"/>
        </w:trPr>
        <w:tc>
          <w:tcPr>
            <w:tcW w:w="10600" w:type="dxa"/>
            <w:vAlign w:val="bottom"/>
            <w:gridSpan w:val="50"/>
          </w:tcPr>
          <w:p>
            <w:pPr>
              <w:spacing w:after="0" w:line="182" w:lineRule="exact"/>
              <w:rPr>
                <w:rFonts w:ascii="Arial" w:cs="Arial" w:eastAsia="Arial" w:hAnsi="Arial"/>
                <w:sz w:val="18"/>
                <w:szCs w:val="18"/>
                <w:color w:val="0000EE"/>
              </w:rPr>
            </w:pPr>
            <w:hyperlink w:anchor="page46">
              <w:r>
                <w:rPr>
                  <w:rFonts w:ascii="Arial" w:cs="Arial" w:eastAsia="Arial" w:hAnsi="Arial"/>
                  <w:sz w:val="18"/>
                  <w:szCs w:val="18"/>
                  <w:color w:val="0000EE"/>
                </w:rPr>
                <w:t>OTHER MATTERS</w:t>
              </w:r>
            </w:hyperlink>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42</w:t>
            </w:r>
          </w:p>
        </w:tc>
      </w:tr>
      <w:tr>
        <w:trPr>
          <w:trHeight w:val="20"/>
        </w:trPr>
        <w:tc>
          <w:tcPr>
            <w:tcW w:w="360" w:type="dxa"/>
            <w:vAlign w:val="bottom"/>
            <w:shd w:val="clear" w:color="auto" w:fill="0000EE"/>
          </w:tcPr>
          <w:p>
            <w:pPr>
              <w:spacing w:after="0" w:line="20" w:lineRule="exact"/>
              <w:rPr>
                <w:sz w:val="1"/>
                <w:szCs w:val="1"/>
                <w:color w:val="auto"/>
              </w:rPr>
            </w:pPr>
          </w:p>
        </w:tc>
        <w:tc>
          <w:tcPr>
            <w:tcW w:w="1160" w:type="dxa"/>
            <w:vAlign w:val="bottom"/>
            <w:gridSpan w:val="5"/>
            <w:shd w:val="clear" w:color="auto" w:fill="0000EE"/>
          </w:tcPr>
          <w:p>
            <w:pPr>
              <w:spacing w:after="0" w:line="20" w:lineRule="exact"/>
              <w:rPr>
                <w:sz w:val="1"/>
                <w:szCs w:val="1"/>
                <w:color w:val="auto"/>
              </w:rPr>
            </w:pPr>
          </w:p>
        </w:tc>
        <w:tc>
          <w:tcPr>
            <w:tcW w:w="1500" w:type="dxa"/>
            <w:vAlign w:val="bottom"/>
            <w:gridSpan w:val="20"/>
          </w:tcPr>
          <w:p>
            <w:pPr>
              <w:spacing w:after="0" w:line="20" w:lineRule="exact"/>
              <w:rPr>
                <w:sz w:val="1"/>
                <w:szCs w:val="1"/>
                <w:color w:val="auto"/>
              </w:rPr>
            </w:pPr>
          </w:p>
        </w:tc>
        <w:tc>
          <w:tcPr>
            <w:tcW w:w="1220" w:type="dxa"/>
            <w:vAlign w:val="bottom"/>
            <w:gridSpan w:val="12"/>
          </w:tcPr>
          <w:p>
            <w:pPr>
              <w:spacing w:after="0" w:line="20" w:lineRule="exact"/>
              <w:rPr>
                <w:sz w:val="1"/>
                <w:szCs w:val="1"/>
                <w:color w:val="auto"/>
              </w:rPr>
            </w:pPr>
          </w:p>
        </w:tc>
        <w:tc>
          <w:tcPr>
            <w:tcW w:w="6360" w:type="dxa"/>
            <w:vAlign w:val="bottom"/>
            <w:gridSpan w:val="1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2660" w:type="dxa"/>
            <w:vAlign w:val="bottom"/>
            <w:tcBorders>
              <w:bottom w:val="single" w:sz="8" w:color="0000EE"/>
            </w:tcBorders>
            <w:gridSpan w:val="25"/>
          </w:tcPr>
          <w:p>
            <w:pPr>
              <w:spacing w:after="0" w:line="182" w:lineRule="exact"/>
              <w:rPr>
                <w:rFonts w:ascii="Arial" w:cs="Arial" w:eastAsia="Arial" w:hAnsi="Arial"/>
                <w:sz w:val="18"/>
                <w:szCs w:val="18"/>
                <w:color w:val="0000EE"/>
                <w:w w:val="99"/>
              </w:rPr>
            </w:pPr>
            <w:hyperlink w:anchor="page46">
              <w:r>
                <w:rPr>
                  <w:rFonts w:ascii="Arial" w:cs="Arial" w:eastAsia="Arial" w:hAnsi="Arial"/>
                  <w:sz w:val="18"/>
                  <w:szCs w:val="18"/>
                  <w:color w:val="0000EE"/>
                  <w:w w:val="99"/>
                </w:rPr>
                <w:t>Delinquent Section 16(a) Reports</w:t>
              </w:r>
            </w:hyperlink>
          </w:p>
        </w:tc>
        <w:tc>
          <w:tcPr>
            <w:tcW w:w="7580" w:type="dxa"/>
            <w:vAlign w:val="bottom"/>
            <w:gridSpan w:val="24"/>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42</w:t>
            </w:r>
          </w:p>
        </w:tc>
      </w:tr>
      <w:tr>
        <w:trPr>
          <w:trHeight w:val="183"/>
        </w:trPr>
        <w:tc>
          <w:tcPr>
            <w:tcW w:w="360" w:type="dxa"/>
            <w:vAlign w:val="bottom"/>
          </w:tcPr>
          <w:p>
            <w:pPr>
              <w:spacing w:after="0"/>
              <w:rPr>
                <w:sz w:val="15"/>
                <w:szCs w:val="15"/>
                <w:color w:val="auto"/>
              </w:rPr>
            </w:pPr>
          </w:p>
        </w:tc>
        <w:tc>
          <w:tcPr>
            <w:tcW w:w="3880" w:type="dxa"/>
            <w:vAlign w:val="bottom"/>
            <w:tcBorders>
              <w:bottom w:val="single" w:sz="8" w:color="0000EE"/>
            </w:tcBorders>
            <w:gridSpan w:val="37"/>
          </w:tcPr>
          <w:p>
            <w:pPr>
              <w:spacing w:after="0" w:line="182" w:lineRule="exact"/>
              <w:rPr>
                <w:rFonts w:ascii="Arial" w:cs="Arial" w:eastAsia="Arial" w:hAnsi="Arial"/>
                <w:sz w:val="18"/>
                <w:szCs w:val="18"/>
                <w:color w:val="0000EE"/>
                <w:w w:val="99"/>
              </w:rPr>
            </w:pPr>
            <w:hyperlink w:anchor="page46">
              <w:r>
                <w:rPr>
                  <w:rFonts w:ascii="Arial" w:cs="Arial" w:eastAsia="Arial" w:hAnsi="Arial"/>
                  <w:sz w:val="18"/>
                  <w:szCs w:val="18"/>
                  <w:color w:val="0000EE"/>
                  <w:w w:val="99"/>
                </w:rPr>
                <w:t>Fiscal Year 2020 Annual Report and SEC Filings</w:t>
              </w:r>
            </w:hyperlink>
          </w:p>
        </w:tc>
        <w:tc>
          <w:tcPr>
            <w:tcW w:w="6360" w:type="dxa"/>
            <w:vAlign w:val="bottom"/>
            <w:gridSpan w:val="12"/>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42</w:t>
            </w:r>
          </w:p>
        </w:tc>
      </w:tr>
    </w:tbl>
    <w:p>
      <w:pPr>
        <w:spacing w:after="0" w:line="16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20" w:top="459" w:right="4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ALX ONCOLOGY HOLDINGS INC.</w:t>
      </w: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PROXY STATEMENT</w:t>
      </w:r>
    </w:p>
    <w:p>
      <w:pPr>
        <w:spacing w:after="0" w:line="1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 THE 2021 ANNUAL MEETING OF STOCKHOLDERS</w:t>
      </w:r>
    </w:p>
    <w:p>
      <w:pPr>
        <w:jc w:val="center"/>
        <w:ind w:right="-119"/>
        <w:spacing w:after="0"/>
        <w:rPr>
          <w:sz w:val="20"/>
          <w:szCs w:val="20"/>
          <w:color w:val="auto"/>
        </w:rPr>
      </w:pPr>
      <w:r>
        <w:rPr>
          <w:rFonts w:ascii="Arial" w:cs="Arial" w:eastAsia="Arial" w:hAnsi="Arial"/>
          <w:sz w:val="18"/>
          <w:szCs w:val="18"/>
          <w:b w:val="1"/>
          <w:bCs w:val="1"/>
          <w:color w:val="auto"/>
        </w:rPr>
        <w:t>To Be Held at 3 p.m. Pacific Time on Thursday, June 10, 2021</w:t>
      </w:r>
    </w:p>
    <w:p>
      <w:pPr>
        <w:spacing w:after="0" w:line="212"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This proxy statement and the enclosed form of proxy are furnished in connection with the solicitation of proxies by our board of directors for use at the 2021 annual meeting of stockholders of ALX Oncology Holdings Inc. (the Annual Meeting), and any postponements, adjournments or continuations thereof. The Annual Meeting will be held on Thursday, June 10, 2021 at 3 p.m. Pacific Time virtually via live webcast. You will be able to attend the Annual Meeting virtually by visiting www.virtualshareholdermeeting.com/ALXO2021, where you will be able to listen to the meeting live, submit questions and vote online by entering the control number on your proxy card.</w:t>
      </w:r>
    </w:p>
    <w:p>
      <w:pPr>
        <w:spacing w:after="0" w:line="2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QUESTIONS AND ANSWERS ABOUT THE ANNUAL MEETING</w:t>
      </w:r>
    </w:p>
    <w:p>
      <w:pPr>
        <w:spacing w:after="0" w:line="234"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The information provided in the “question and answer” format below addresses certain frequently asked questions but is not intended to be a summary of all matters contained in this proxy statement. Please read the entire proxy statement carefully before voting your shares. Information contained on, or that can be accessed through, our website is not intended to be incorporated by reference into this proxy statement and references to our website address in this proxy statement are inactive textual references only.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Why am I receiving these materials?</w:t>
      </w:r>
    </w:p>
    <w:p>
      <w:pPr>
        <w:spacing w:after="0" w:line="126"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Our board of directors is providing these proxy materials to you in connection with its solicitation of proxies for use at the Annual Meeting, which will take place on June 10, 2021. Stockholders are invited to attend the Annual Meeting and are requested to vote on the proposals described in this proxy statement. This proxy statement and the accompanying proxy card are being mailed on or about April 29, 2021 in connection with the solicitation of proxies on behalf of our board of directors. All stockholders will have the ability to access via the Internet this proxy statement and our Annual Report as filed with the Securities and Exchange Commission (the SEC) on March 18, 2021.</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proposals will be voted on at the Annual Meeting?</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are two proposals scheduled to be voted on at the Annual Meeting:</w:t>
      </w:r>
    </w:p>
    <w:p>
      <w:pPr>
        <w:spacing w:after="0" w:line="117" w:lineRule="exact"/>
        <w:rPr>
          <w:sz w:val="20"/>
          <w:szCs w:val="20"/>
          <w:color w:val="auto"/>
        </w:rPr>
      </w:pPr>
    </w:p>
    <w:p>
      <w:pPr>
        <w:ind w:left="1080" w:right="60" w:hanging="424"/>
        <w:spacing w:after="0" w:line="246"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election of Corey Goodman, Ph.D., Jason Lettmann, and Sophia Randolph, M.D., Ph.D., as Class I directors to serve until the 2024 annual meeting of stockholders or until their successors are duly elected and qualified; and</w:t>
      </w:r>
    </w:p>
    <w:p>
      <w:pPr>
        <w:spacing w:after="0" w:line="102" w:lineRule="exact"/>
        <w:rPr>
          <w:rFonts w:ascii="Arial" w:cs="Arial" w:eastAsia="Arial" w:hAnsi="Arial"/>
          <w:sz w:val="18"/>
          <w:szCs w:val="18"/>
          <w:color w:val="auto"/>
        </w:rPr>
      </w:pPr>
    </w:p>
    <w:p>
      <w:pPr>
        <w:ind w:left="1080" w:right="560" w:hanging="424"/>
        <w:spacing w:after="0" w:line="246"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ratification of the appointment of KPMG LLP as our independent registered public accounting firm for our fiscal year ending December 31, 2021.</w:t>
      </w:r>
    </w:p>
    <w:p>
      <w:pPr>
        <w:spacing w:after="0" w:line="197" w:lineRule="exact"/>
        <w:rPr>
          <w:sz w:val="20"/>
          <w:szCs w:val="20"/>
          <w:color w:val="auto"/>
        </w:rPr>
      </w:pPr>
    </w:p>
    <w:p>
      <w:pPr>
        <w:ind w:left="120" w:right="40"/>
        <w:spacing w:after="0" w:line="246" w:lineRule="auto"/>
        <w:rPr>
          <w:sz w:val="20"/>
          <w:szCs w:val="20"/>
          <w:color w:val="auto"/>
        </w:rPr>
      </w:pPr>
      <w:r>
        <w:rPr>
          <w:rFonts w:ascii="Arial" w:cs="Arial" w:eastAsia="Arial" w:hAnsi="Arial"/>
          <w:sz w:val="18"/>
          <w:szCs w:val="18"/>
          <w:color w:val="auto"/>
        </w:rPr>
        <w:t>At the time this proxy statement was mailed, our management and board of directors were not aware of any other matters to be presented at the Annual Meeting other than those set forth in this proxy statement and in the notice accompanying this proxy statement.</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does our board of directors recommend that I vote?</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board of directors recommends that you vote:</w:t>
      </w:r>
    </w:p>
    <w:p>
      <w:pPr>
        <w:spacing w:after="0" w:line="117" w:lineRule="exact"/>
        <w:rPr>
          <w:sz w:val="20"/>
          <w:szCs w:val="20"/>
          <w:color w:val="auto"/>
        </w:rPr>
      </w:pPr>
    </w:p>
    <w:p>
      <w:pPr>
        <w:ind w:left="1080" w:hanging="424"/>
        <w:spacing w:after="0" w:line="246"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the election of each of Corey Goodman, Ph.D., Jason Lettmann, and Sophia Randolph, M.D., Ph.D., as Class I directors; and</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20"/>
          </w:cols>
          <w:pgMar w:left="320" w:top="45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80" w:right="140" w:hanging="424"/>
        <w:spacing w:after="0" w:line="246"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ratification of the appointment of KPMG LLP as our independent registered public accounting firm for our fiscal year ending December 31, 2021.</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Who is entitled to vote at the Annual Meeting?</w:t>
      </w:r>
    </w:p>
    <w:p>
      <w:pPr>
        <w:spacing w:after="0" w:line="126" w:lineRule="exact"/>
        <w:rPr>
          <w:sz w:val="20"/>
          <w:szCs w:val="20"/>
          <w:color w:val="auto"/>
        </w:rPr>
      </w:pPr>
    </w:p>
    <w:p>
      <w:pPr>
        <w:ind w:left="120" w:right="220"/>
        <w:spacing w:after="0" w:line="238" w:lineRule="auto"/>
        <w:rPr>
          <w:sz w:val="20"/>
          <w:szCs w:val="20"/>
          <w:color w:val="auto"/>
        </w:rPr>
      </w:pPr>
      <w:r>
        <w:rPr>
          <w:rFonts w:ascii="Arial" w:cs="Arial" w:eastAsia="Arial" w:hAnsi="Arial"/>
          <w:sz w:val="18"/>
          <w:szCs w:val="18"/>
          <w:color w:val="auto"/>
        </w:rPr>
        <w:t>Holders of our common stock at the close of business on April 23, 2021, the record date for the Annual Meeting (the Record Date), are entitled to notice of and to vote at the Annual Meeting. Each stockholder is entitled to one vote for each share of our common stock held as of the Record Date. As of the Record Date, there were 40,229,869 shares of common stock outstanding and entitled to vote. Stockholders are not permitted to cumulate votes with respect to the election of directors.</w:t>
      </w:r>
    </w:p>
    <w:p>
      <w:pPr>
        <w:spacing w:after="0" w:line="187" w:lineRule="exact"/>
        <w:rPr>
          <w:sz w:val="20"/>
          <w:szCs w:val="20"/>
          <w:color w:val="auto"/>
        </w:rPr>
      </w:pPr>
    </w:p>
    <w:p>
      <w:pPr>
        <w:ind w:left="120" w:right="20"/>
        <w:spacing w:after="0" w:line="242" w:lineRule="auto"/>
        <w:rPr>
          <w:sz w:val="20"/>
          <w:szCs w:val="20"/>
          <w:color w:val="auto"/>
        </w:rPr>
      </w:pPr>
      <w:r>
        <w:rPr>
          <w:rFonts w:ascii="Arial" w:cs="Arial" w:eastAsia="Arial" w:hAnsi="Arial"/>
          <w:sz w:val="18"/>
          <w:szCs w:val="18"/>
          <w:i w:val="1"/>
          <w:iCs w:val="1"/>
          <w:color w:val="auto"/>
        </w:rPr>
        <w:t>Stockholders of Record – Shares Registered in Your Name</w:t>
      </w:r>
      <w:r>
        <w:rPr>
          <w:rFonts w:ascii="Arial" w:cs="Arial" w:eastAsia="Arial" w:hAnsi="Arial"/>
          <w:sz w:val="18"/>
          <w:szCs w:val="18"/>
          <w:color w:val="auto"/>
        </w:rPr>
        <w:t>. If, at the close of business on the Record Date, your shares were registered</w:t>
      </w:r>
      <w:r>
        <w:rPr>
          <w:rFonts w:ascii="Arial" w:cs="Arial" w:eastAsia="Arial" w:hAnsi="Arial"/>
          <w:sz w:val="18"/>
          <w:szCs w:val="18"/>
          <w:i w:val="1"/>
          <w:iCs w:val="1"/>
          <w:color w:val="auto"/>
        </w:rPr>
        <w:t xml:space="preserve"> </w:t>
      </w:r>
      <w:r>
        <w:rPr>
          <w:rFonts w:ascii="Arial" w:cs="Arial" w:eastAsia="Arial" w:hAnsi="Arial"/>
          <w:sz w:val="18"/>
          <w:szCs w:val="18"/>
          <w:color w:val="auto"/>
        </w:rPr>
        <w:t>directly in your name with Computershare Trust Company, N.A., our transfer agent, then you are considered the stockholder of record with respect to those shares, and this proxy statement was provided to you directly by us. As the stockholder of record, you have the right to grant your voting proxy directly to the individuals listed on the proxy card or to vote in person (including virtually) at the Annual Meeting. Throughout this proxy statement, we refer to these registered stockholders as “stockholders of record.”</w:t>
      </w:r>
    </w:p>
    <w:p>
      <w:pPr>
        <w:spacing w:after="0" w:line="185"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i w:val="1"/>
          <w:iCs w:val="1"/>
          <w:color w:val="auto"/>
        </w:rPr>
        <w:t>Street Name Stockholders – Shares Registered in the Name of a Broker, Bank or Other Nominee</w:t>
      </w:r>
      <w:r>
        <w:rPr>
          <w:rFonts w:ascii="Arial" w:cs="Arial" w:eastAsia="Arial" w:hAnsi="Arial"/>
          <w:sz w:val="18"/>
          <w:szCs w:val="18"/>
          <w:color w:val="auto"/>
        </w:rPr>
        <w:t>. If, at the close of business on the</w:t>
      </w:r>
      <w:r>
        <w:rPr>
          <w:rFonts w:ascii="Arial" w:cs="Arial" w:eastAsia="Arial" w:hAnsi="Arial"/>
          <w:sz w:val="18"/>
          <w:szCs w:val="18"/>
          <w:i w:val="1"/>
          <w:iCs w:val="1"/>
          <w:color w:val="auto"/>
        </w:rPr>
        <w:t xml:space="preserve"> </w:t>
      </w:r>
      <w:r>
        <w:rPr>
          <w:rFonts w:ascii="Arial" w:cs="Arial" w:eastAsia="Arial" w:hAnsi="Arial"/>
          <w:sz w:val="18"/>
          <w:szCs w:val="18"/>
          <w:color w:val="auto"/>
        </w:rPr>
        <w:t>Record Date, your shares were held, not in your name, but rather in a stock brokerage account or by a bank or other nominee on your behalf, then you are considered the beneficial owner of shares held in “street name,” and this proxy statement was forwarded to you by your broker or nominee, who is considered the stockholder of record with respect to those shares. As the beneficial owner, you have the right to direct your broker, bank or other nominee how to vote your shares by following the voting instructions your broker, bank or other nominee provides. If you do not provide your broker, bank or other nominee with instructions on how to vote your shares, your broker, bank or other nominee may, in its discretion, vote your shares with respect to routine matters but may not vote your shares with respect to any non-routine matters. Throughout this proxy statement, we refer to stockholders who hold their shares through a broker, bank or other nominee as “street name stockholders.”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many votes are needed for approval of each proposal?</w:t>
      </w:r>
    </w:p>
    <w:p>
      <w:pPr>
        <w:spacing w:after="0" w:line="121" w:lineRule="exact"/>
        <w:rPr>
          <w:sz w:val="20"/>
          <w:szCs w:val="20"/>
          <w:color w:val="auto"/>
        </w:rPr>
      </w:pPr>
    </w:p>
    <w:p>
      <w:pPr>
        <w:ind w:left="1080" w:hanging="424"/>
        <w:spacing w:after="0" w:line="239"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Proposal No. 1: </w:t>
      </w:r>
      <w:r>
        <w:rPr>
          <w:rFonts w:ascii="Arial" w:cs="Arial" w:eastAsia="Arial" w:hAnsi="Arial"/>
          <w:sz w:val="18"/>
          <w:szCs w:val="18"/>
          <w:color w:val="auto"/>
        </w:rPr>
        <w:t>The election of each Class I director requires a plurality of the votes of the shares of our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present in person (including virtually) or represented by proxy at the Annual Meeting and entitled to vote thereon to be approved. “Plurality” means that the three nominees who receive the most votes cast FOR will be elected as Class I directors. You may (i) vote FOR all nominees, (ii) WITHHOLD your vote as to all nominees, or (iii) vote FOR all nominees except for those specific nominees from whom you WITHHOLD your vote. Any shares not voted FOR a particular nominee (whether as a result of voting withheld or a broker non-vote) will not be counted in such nominee’s favor and will have no effect on the outcome of the election. If you WITHHOLD your vote as to all nominees, you will be deemed to have abstained from voting on Proposal No. 1, and such abstention will have no effect on the outcome of the proposal.</w:t>
      </w:r>
    </w:p>
    <w:p>
      <w:pPr>
        <w:spacing w:after="0" w:line="92" w:lineRule="exact"/>
        <w:rPr>
          <w:rFonts w:ascii="Arial" w:cs="Arial" w:eastAsia="Arial" w:hAnsi="Arial"/>
          <w:sz w:val="18"/>
          <w:szCs w:val="18"/>
          <w:color w:val="auto"/>
        </w:rPr>
      </w:pPr>
    </w:p>
    <w:p>
      <w:pPr>
        <w:ind w:left="1080" w:right="20" w:hanging="424"/>
        <w:spacing w:after="0" w:line="242"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Proposal No. 2: </w:t>
      </w:r>
      <w:r>
        <w:rPr>
          <w:rFonts w:ascii="Arial" w:cs="Arial" w:eastAsia="Arial" w:hAnsi="Arial"/>
          <w:sz w:val="18"/>
          <w:szCs w:val="18"/>
          <w:color w:val="auto"/>
        </w:rPr>
        <w:t>The ratification of the appointment of KPMG LLP as our independent registered public accounting firm for our</w:t>
      </w:r>
      <w:r>
        <w:rPr>
          <w:rFonts w:ascii="Arial" w:cs="Arial" w:eastAsia="Arial" w:hAnsi="Arial"/>
          <w:sz w:val="18"/>
          <w:szCs w:val="18"/>
          <w:i w:val="1"/>
          <w:iCs w:val="1"/>
          <w:color w:val="auto"/>
        </w:rPr>
        <w:t xml:space="preserve"> </w:t>
      </w:r>
      <w:r>
        <w:rPr>
          <w:rFonts w:ascii="Arial" w:cs="Arial" w:eastAsia="Arial" w:hAnsi="Arial"/>
          <w:sz w:val="18"/>
          <w:szCs w:val="18"/>
          <w:color w:val="auto"/>
        </w:rPr>
        <w:t>fiscal year ended December 31, 2021 requires an affirmative FOR vote of a majority of the shares of our common stock present in person (including virtually) or represented by proxy at the Annual Meeting and entitled to vote thereon to be approved. You may vote FOR, AGAINST or ABSTAIN. If you ABSTAIN from voting on Proposal No. 2, the abstention will have the same effect as a vote AGAINST the proposal. Broker non-votes will have no effect on the outcome of this proposal.</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32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is a quorum?</w:t>
      </w:r>
    </w:p>
    <w:p>
      <w:pPr>
        <w:spacing w:after="0" w:line="126" w:lineRule="exact"/>
        <w:rPr>
          <w:sz w:val="20"/>
          <w:szCs w:val="20"/>
          <w:color w:val="auto"/>
        </w:rPr>
      </w:pPr>
    </w:p>
    <w:p>
      <w:pPr>
        <w:ind w:left="120" w:right="360"/>
        <w:spacing w:after="0" w:line="255" w:lineRule="auto"/>
        <w:rPr>
          <w:sz w:val="20"/>
          <w:szCs w:val="20"/>
          <w:color w:val="auto"/>
        </w:rPr>
      </w:pPr>
      <w:r>
        <w:rPr>
          <w:rFonts w:ascii="Arial" w:cs="Arial" w:eastAsia="Arial" w:hAnsi="Arial"/>
          <w:sz w:val="17"/>
          <w:szCs w:val="17"/>
          <w:color w:val="auto"/>
        </w:rPr>
        <w:t>A quorum is the minimum number of shares required to be present at the Annual Meeting for the annual meeting of stockholders to be properly held under our amended and restated bylaws and Delaware law. A majority of the shares of common stock outstanding and entitled to vote, in person (including virtually) or by proxy, constitutes a quorum for the transaction of business at the Annual Meeting. Abstentions, withhold votes, and broker non-votes are counted as shares present and entitled to vote for purposes of determining a quorum. If there is no quorum, a majority of the shares present at the Annual Meeting may adjourn the meeting to a later date.</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do I need to do to attend the Annual Meeting?</w:t>
      </w:r>
    </w:p>
    <w:p>
      <w:pPr>
        <w:spacing w:after="0" w:line="126" w:lineRule="exact"/>
        <w:rPr>
          <w:sz w:val="20"/>
          <w:szCs w:val="20"/>
          <w:color w:val="auto"/>
        </w:rPr>
      </w:pPr>
    </w:p>
    <w:p>
      <w:pPr>
        <w:ind w:left="120"/>
        <w:spacing w:after="0" w:line="257" w:lineRule="auto"/>
        <w:rPr>
          <w:sz w:val="20"/>
          <w:szCs w:val="20"/>
          <w:color w:val="auto"/>
        </w:rPr>
      </w:pPr>
      <w:r>
        <w:rPr>
          <w:rFonts w:ascii="Arial" w:cs="Arial" w:eastAsia="Arial" w:hAnsi="Arial"/>
          <w:sz w:val="17"/>
          <w:szCs w:val="17"/>
          <w:color w:val="auto"/>
        </w:rPr>
        <w:t>You will be able to attend the Annual Meeting virtually, submit your questions during the meeting and vote your shares electronically at the meeting by visiting www.virtualshareholdermeeting.com/ALXO2021. To participate in the Annual Meeting, you will need the control number from your proxy card. The Annual Meeting webcast will begin promptly at 3 p.m. Pacific Time. We encourage you to access the meeting prior to the start time. Online check-in will begin at 2:45 p.m. Pacific Time, and you should allow ample time for the check-in procedures.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do I vote and what are the voting deadlines?</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Stockholders of Record</w:t>
      </w:r>
      <w:r>
        <w:rPr>
          <w:rFonts w:ascii="Arial" w:cs="Arial" w:eastAsia="Arial" w:hAnsi="Arial"/>
          <w:sz w:val="18"/>
          <w:szCs w:val="18"/>
          <w:color w:val="auto"/>
        </w:rPr>
        <w:t>. If you are a stockholder of record, you can vote in one of the following ways:</w:t>
      </w:r>
    </w:p>
    <w:p>
      <w:pPr>
        <w:spacing w:after="0" w:line="113" w:lineRule="exact"/>
        <w:rPr>
          <w:sz w:val="20"/>
          <w:szCs w:val="20"/>
          <w:color w:val="auto"/>
        </w:rPr>
      </w:pPr>
    </w:p>
    <w:p>
      <w:pPr>
        <w:ind w:left="1080" w:right="40" w:hanging="424"/>
        <w:spacing w:after="0" w:line="24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You may vote via the Internet</w:t>
      </w:r>
      <w:r>
        <w:rPr>
          <w:rFonts w:ascii="Arial" w:cs="Arial" w:eastAsia="Arial" w:hAnsi="Arial"/>
          <w:sz w:val="18"/>
          <w:szCs w:val="18"/>
          <w:color w:val="auto"/>
        </w:rPr>
        <w:t>. To vote via the Internet prior to the Annual Meeting, go to http://www.proxyvote.com to</w:t>
      </w:r>
      <w:r>
        <w:rPr>
          <w:rFonts w:ascii="Arial" w:cs="Arial" w:eastAsia="Arial" w:hAnsi="Arial"/>
          <w:sz w:val="18"/>
          <w:szCs w:val="18"/>
          <w:b w:val="1"/>
          <w:bCs w:val="1"/>
          <w:color w:val="auto"/>
        </w:rPr>
        <w:t xml:space="preserve"> </w:t>
      </w:r>
      <w:r>
        <w:rPr>
          <w:rFonts w:ascii="Arial" w:cs="Arial" w:eastAsia="Arial" w:hAnsi="Arial"/>
          <w:sz w:val="18"/>
          <w:szCs w:val="18"/>
          <w:color w:val="auto"/>
        </w:rPr>
        <w:t>complete an electronic proxy card. You will be asked to provide the control number from the proxy card you receive. Your vote must be received by 11:59 p.m. Eastern Time on June 9, 2021 to be counted. If you vote via the Internet prior to the Annual Meeting, you do not need to return a proxy card by mail.</w:t>
      </w:r>
    </w:p>
    <w:p>
      <w:pPr>
        <w:spacing w:after="0" w:line="79" w:lineRule="exact"/>
        <w:rPr>
          <w:rFonts w:ascii="Arial" w:cs="Arial" w:eastAsia="Arial" w:hAnsi="Arial"/>
          <w:sz w:val="18"/>
          <w:szCs w:val="18"/>
          <w:color w:val="auto"/>
        </w:rPr>
      </w:pPr>
    </w:p>
    <w:p>
      <w:pPr>
        <w:ind w:left="1080" w:right="280" w:hanging="424"/>
        <w:spacing w:after="0" w:line="24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You may vote by telephone. </w:t>
      </w:r>
      <w:r>
        <w:rPr>
          <w:rFonts w:ascii="Arial" w:cs="Arial" w:eastAsia="Arial" w:hAnsi="Arial"/>
          <w:sz w:val="18"/>
          <w:szCs w:val="18"/>
          <w:color w:val="auto"/>
        </w:rPr>
        <w:t>To vote by telephone, dial 1-800-690-6903 (toll-free in the United States and Canada; toll</w:t>
      </w:r>
      <w:r>
        <w:rPr>
          <w:rFonts w:ascii="Arial" w:cs="Arial" w:eastAsia="Arial" w:hAnsi="Arial"/>
          <w:sz w:val="18"/>
          <w:szCs w:val="18"/>
          <w:b w:val="1"/>
          <w:bCs w:val="1"/>
          <w:color w:val="auto"/>
        </w:rPr>
        <w:t xml:space="preserve"> </w:t>
      </w:r>
      <w:r>
        <w:rPr>
          <w:rFonts w:ascii="Arial" w:cs="Arial" w:eastAsia="Arial" w:hAnsi="Arial"/>
          <w:sz w:val="18"/>
          <w:szCs w:val="18"/>
          <w:color w:val="auto"/>
        </w:rPr>
        <w:t>charges apply to calls from other countries) and follow the recorded instructions. You will be asked to provide the control number from the proxy card. Your vote must be received by 11:59 p.m. Eastern Time on June 9, 2021 to be counted. If you vote by telephone, you do not need to return a proxy card by mail.</w:t>
      </w:r>
    </w:p>
    <w:p>
      <w:pPr>
        <w:spacing w:after="0" w:line="79" w:lineRule="exact"/>
        <w:rPr>
          <w:rFonts w:ascii="Arial" w:cs="Arial" w:eastAsia="Arial" w:hAnsi="Arial"/>
          <w:sz w:val="18"/>
          <w:szCs w:val="18"/>
          <w:color w:val="auto"/>
        </w:rPr>
      </w:pPr>
    </w:p>
    <w:p>
      <w:pPr>
        <w:ind w:left="1080" w:hanging="424"/>
        <w:spacing w:after="0" w:line="242"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You may vote by mail</w:t>
      </w:r>
      <w:r>
        <w:rPr>
          <w:rFonts w:ascii="Arial" w:cs="Arial" w:eastAsia="Arial" w:hAnsi="Arial"/>
          <w:sz w:val="18"/>
          <w:szCs w:val="18"/>
          <w:color w:val="auto"/>
        </w:rPr>
        <w:t>. To vote by mail, you need to complete, date and sign the proxy card that accompanies this proxy</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 and return it promptly by mail in the enclosed postage-paid envelope so that it is received no later than June 9, 2021. You do not need to put a stamp on the enclosed envelope if you mail it from within the United States. The persons named in the proxy card will vote the shares you own in accordance with your instructions on the proxy card you mail. If you return the proxy card, but do not give any instructions on a particular matter to be voted on at the Annual Meeting, the persons named in the proxy card will vote the shares you own in accordance with the recommendations of our board of directors.</w:t>
      </w:r>
    </w:p>
    <w:p>
      <w:pPr>
        <w:spacing w:after="0" w:line="84" w:lineRule="exact"/>
        <w:rPr>
          <w:rFonts w:ascii="Arial" w:cs="Arial" w:eastAsia="Arial" w:hAnsi="Arial"/>
          <w:sz w:val="18"/>
          <w:szCs w:val="18"/>
          <w:color w:val="auto"/>
        </w:rPr>
      </w:pPr>
    </w:p>
    <w:p>
      <w:pPr>
        <w:ind w:left="1080" w:right="20" w:hanging="424"/>
        <w:spacing w:after="0" w:line="253"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You may vote virtually during the Annual Meeting</w:t>
      </w:r>
      <w:r>
        <w:rPr>
          <w:rFonts w:ascii="Arial" w:cs="Arial" w:eastAsia="Arial" w:hAnsi="Arial"/>
          <w:sz w:val="18"/>
          <w:szCs w:val="18"/>
          <w:color w:val="auto"/>
        </w:rPr>
        <w:t>. If you plan to attend the Annual Meeting by visiting</w:t>
      </w:r>
      <w:r>
        <w:rPr>
          <w:rFonts w:ascii="Arial" w:cs="Arial" w:eastAsia="Arial" w:hAnsi="Arial"/>
          <w:sz w:val="18"/>
          <w:szCs w:val="18"/>
          <w:b w:val="1"/>
          <w:bCs w:val="1"/>
          <w:color w:val="auto"/>
        </w:rPr>
        <w:t xml:space="preserve"> </w:t>
      </w:r>
      <w:r>
        <w:rPr>
          <w:rFonts w:ascii="Arial" w:cs="Arial" w:eastAsia="Arial" w:hAnsi="Arial"/>
          <w:sz w:val="18"/>
          <w:szCs w:val="18"/>
          <w:color w:val="auto"/>
        </w:rPr>
        <w:t>www.virtualshareholdermeeting.com/ALXO2021, you may vote electronically and submit questions during the meeting. Please have your proxy card in hand when you visit the website.</w:t>
      </w:r>
    </w:p>
    <w:p>
      <w:pPr>
        <w:spacing w:after="0" w:line="191" w:lineRule="exact"/>
        <w:rPr>
          <w:sz w:val="20"/>
          <w:szCs w:val="20"/>
          <w:color w:val="auto"/>
        </w:rPr>
      </w:pPr>
    </w:p>
    <w:p>
      <w:pPr>
        <w:ind w:left="120" w:right="360"/>
        <w:spacing w:after="0" w:line="246" w:lineRule="auto"/>
        <w:rPr>
          <w:sz w:val="20"/>
          <w:szCs w:val="20"/>
          <w:color w:val="auto"/>
        </w:rPr>
      </w:pPr>
      <w:r>
        <w:rPr>
          <w:rFonts w:ascii="Arial" w:cs="Arial" w:eastAsia="Arial" w:hAnsi="Arial"/>
          <w:sz w:val="18"/>
          <w:szCs w:val="18"/>
          <w:color w:val="auto"/>
        </w:rPr>
        <w:t>Even if you plan to attend the Annual Meeting, we recommend that you also vote by proxy so that your vote will be counted if you later decide not to attend the Annual Meeting.</w:t>
      </w:r>
    </w:p>
    <w:p>
      <w:pPr>
        <w:spacing w:after="0" w:line="179" w:lineRule="exact"/>
        <w:rPr>
          <w:sz w:val="20"/>
          <w:szCs w:val="20"/>
          <w:color w:val="auto"/>
        </w:rPr>
      </w:pPr>
    </w:p>
    <w:p>
      <w:pPr>
        <w:ind w:left="120" w:right="300"/>
        <w:spacing w:after="0" w:line="267" w:lineRule="auto"/>
        <w:rPr>
          <w:sz w:val="20"/>
          <w:szCs w:val="20"/>
          <w:color w:val="auto"/>
        </w:rPr>
      </w:pPr>
      <w:r>
        <w:rPr>
          <w:rFonts w:ascii="Arial" w:cs="Arial" w:eastAsia="Arial" w:hAnsi="Arial"/>
          <w:sz w:val="18"/>
          <w:szCs w:val="18"/>
          <w:i w:val="1"/>
          <w:iCs w:val="1"/>
          <w:color w:val="auto"/>
        </w:rPr>
        <w:t>Street Name Stockholders</w:t>
      </w:r>
      <w:r>
        <w:rPr>
          <w:rFonts w:ascii="Arial" w:cs="Arial" w:eastAsia="Arial" w:hAnsi="Arial"/>
          <w:sz w:val="18"/>
          <w:szCs w:val="18"/>
          <w:color w:val="auto"/>
        </w:rPr>
        <w:t>. If you are the beneficial owner of shares held of record by a broker, bank or other nominee, you will receive</w:t>
      </w:r>
      <w:r>
        <w:rPr>
          <w:rFonts w:ascii="Arial" w:cs="Arial" w:eastAsia="Arial" w:hAnsi="Arial"/>
          <w:sz w:val="18"/>
          <w:szCs w:val="18"/>
          <w:i w:val="1"/>
          <w:iCs w:val="1"/>
          <w:color w:val="auto"/>
        </w:rPr>
        <w:t xml:space="preserve"> </w:t>
      </w:r>
      <w:r>
        <w:rPr>
          <w:rFonts w:ascii="Arial" w:cs="Arial" w:eastAsia="Arial" w:hAnsi="Arial"/>
          <w:sz w:val="18"/>
          <w:szCs w:val="18"/>
          <w:color w:val="auto"/>
        </w:rPr>
        <w:t>voting instructions from your broker, bank or other nominee. You must</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459"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 xml:space="preserve">follow the voting instructions provided by your broker, bank or other nominee in order to instruct your broker, bank or other nominee how to vote your shares. The availability of Internet and telephone voting options will depend on the voting process of your broker, bank or other nominee. </w:t>
      </w:r>
      <w:r>
        <w:rPr>
          <w:rFonts w:ascii="Arial" w:cs="Arial" w:eastAsia="Arial" w:hAnsi="Arial"/>
          <w:sz w:val="18"/>
          <w:szCs w:val="18"/>
          <w:b w:val="1"/>
          <w:bCs w:val="1"/>
          <w:color w:val="auto"/>
        </w:rPr>
        <w:t>As discussed above, if you are a street name stockholder, you may not vote your shares live at the Annual Meeting</w:t>
      </w:r>
      <w:r>
        <w:rPr>
          <w:rFonts w:ascii="Arial" w:cs="Arial" w:eastAsia="Arial" w:hAnsi="Arial"/>
          <w:sz w:val="18"/>
          <w:szCs w:val="18"/>
          <w:color w:val="auto"/>
        </w:rPr>
        <w:t xml:space="preserve"> </w:t>
      </w:r>
      <w:r>
        <w:rPr>
          <w:rFonts w:ascii="Arial" w:cs="Arial" w:eastAsia="Arial" w:hAnsi="Arial"/>
          <w:sz w:val="18"/>
          <w:szCs w:val="18"/>
          <w:b w:val="1"/>
          <w:bCs w:val="1"/>
          <w:color w:val="auto"/>
        </w:rPr>
        <w:t>unless you obtain a legal proxy from your broker, bank or other nominee.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Can I change my vote or revoke my proxy?</w:t>
      </w:r>
    </w:p>
    <w:p>
      <w:pPr>
        <w:spacing w:after="0" w:line="108" w:lineRule="exact"/>
        <w:rPr>
          <w:sz w:val="20"/>
          <w:szCs w:val="20"/>
          <w:color w:val="auto"/>
        </w:rPr>
      </w:pPr>
    </w:p>
    <w:p>
      <w:pPr>
        <w:ind w:left="120" w:right="520"/>
        <w:spacing w:after="0" w:line="267" w:lineRule="auto"/>
        <w:rPr>
          <w:sz w:val="20"/>
          <w:szCs w:val="20"/>
          <w:color w:val="auto"/>
        </w:rPr>
      </w:pPr>
      <w:r>
        <w:rPr>
          <w:rFonts w:ascii="Arial" w:cs="Arial" w:eastAsia="Arial" w:hAnsi="Arial"/>
          <w:sz w:val="18"/>
          <w:szCs w:val="18"/>
          <w:i w:val="1"/>
          <w:iCs w:val="1"/>
          <w:color w:val="auto"/>
        </w:rPr>
        <w:t>Stockholders of Record</w:t>
      </w:r>
      <w:r>
        <w:rPr>
          <w:rFonts w:ascii="Arial" w:cs="Arial" w:eastAsia="Arial" w:hAnsi="Arial"/>
          <w:sz w:val="18"/>
          <w:szCs w:val="18"/>
          <w:color w:val="auto"/>
        </w:rPr>
        <w:t>. If you are a stockholder of record, you may revoke your proxy or change your proxy instructions at any time</w:t>
      </w:r>
      <w:r>
        <w:rPr>
          <w:rFonts w:ascii="Arial" w:cs="Arial" w:eastAsia="Arial" w:hAnsi="Arial"/>
          <w:sz w:val="18"/>
          <w:szCs w:val="18"/>
          <w:i w:val="1"/>
          <w:iCs w:val="1"/>
          <w:color w:val="auto"/>
        </w:rPr>
        <w:t xml:space="preserve"> </w:t>
      </w:r>
      <w:r>
        <w:rPr>
          <w:rFonts w:ascii="Arial" w:cs="Arial" w:eastAsia="Arial" w:hAnsi="Arial"/>
          <w:sz w:val="18"/>
          <w:szCs w:val="18"/>
          <w:color w:val="auto"/>
        </w:rPr>
        <w:t>before your proxy is voted at the Annual Meeting by:</w:t>
      </w:r>
    </w:p>
    <w:p>
      <w:pPr>
        <w:spacing w:after="0" w:line="84" w:lineRule="exact"/>
        <w:rPr>
          <w:sz w:val="20"/>
          <w:szCs w:val="20"/>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entering a new vote by Internet or telephone;</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signing and returning a new proxy card with a later date;</w:t>
      </w:r>
    </w:p>
    <w:p>
      <w:pPr>
        <w:spacing w:after="0" w:line="117" w:lineRule="exact"/>
        <w:rPr>
          <w:rFonts w:ascii="Arial" w:cs="Arial" w:eastAsia="Arial" w:hAnsi="Arial"/>
          <w:sz w:val="18"/>
          <w:szCs w:val="18"/>
          <w:color w:val="auto"/>
        </w:rPr>
      </w:pPr>
    </w:p>
    <w:p>
      <w:pPr>
        <w:ind w:left="1080" w:right="320" w:hanging="424"/>
        <w:spacing w:after="0" w:line="246"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delivering a written revocation to our Secretary at ALX Oncology Holdings Inc., 866 Malcolm Road, Suite 100, Burlingame, California 94010, by 11:59 p.m. Eastern Time on June 9, 2021; or</w:t>
      </w:r>
    </w:p>
    <w:p>
      <w:pPr>
        <w:spacing w:after="0" w:line="102"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attending the Annual Meeting and voting in person (including virtually).</w:t>
      </w:r>
    </w:p>
    <w:p>
      <w:pPr>
        <w:spacing w:after="0" w:line="194" w:lineRule="exact"/>
        <w:rPr>
          <w:sz w:val="20"/>
          <w:szCs w:val="20"/>
          <w:color w:val="auto"/>
        </w:rPr>
      </w:pPr>
    </w:p>
    <w:p>
      <w:pPr>
        <w:ind w:left="120" w:right="120"/>
        <w:spacing w:after="0" w:line="267" w:lineRule="auto"/>
        <w:rPr>
          <w:sz w:val="20"/>
          <w:szCs w:val="20"/>
          <w:color w:val="auto"/>
        </w:rPr>
      </w:pPr>
      <w:r>
        <w:rPr>
          <w:rFonts w:ascii="Arial" w:cs="Arial" w:eastAsia="Arial" w:hAnsi="Arial"/>
          <w:sz w:val="18"/>
          <w:szCs w:val="18"/>
          <w:i w:val="1"/>
          <w:iCs w:val="1"/>
          <w:color w:val="auto"/>
        </w:rPr>
        <w:t>Street Name Stockholders</w:t>
      </w:r>
      <w:r>
        <w:rPr>
          <w:rFonts w:ascii="Arial" w:cs="Arial" w:eastAsia="Arial" w:hAnsi="Arial"/>
          <w:sz w:val="18"/>
          <w:szCs w:val="18"/>
          <w:color w:val="auto"/>
        </w:rPr>
        <w:t>. If you are a street name stockholder, you must contact the broker, bank or other nominee holding your shares</w:t>
      </w:r>
      <w:r>
        <w:rPr>
          <w:rFonts w:ascii="Arial" w:cs="Arial" w:eastAsia="Arial" w:hAnsi="Arial"/>
          <w:sz w:val="18"/>
          <w:szCs w:val="18"/>
          <w:i w:val="1"/>
          <w:iCs w:val="1"/>
          <w:color w:val="auto"/>
        </w:rPr>
        <w:t xml:space="preserve"> </w:t>
      </w:r>
      <w:r>
        <w:rPr>
          <w:rFonts w:ascii="Arial" w:cs="Arial" w:eastAsia="Arial" w:hAnsi="Arial"/>
          <w:sz w:val="18"/>
          <w:szCs w:val="18"/>
          <w:color w:val="auto"/>
        </w:rPr>
        <w:t>and follow their instructions to change your vote or revoke your proxy.</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is the effect of giving a proxy?</w:t>
      </w:r>
    </w:p>
    <w:p>
      <w:pPr>
        <w:spacing w:after="0" w:line="126" w:lineRule="exact"/>
        <w:rPr>
          <w:sz w:val="20"/>
          <w:szCs w:val="20"/>
          <w:color w:val="auto"/>
        </w:rPr>
      </w:pPr>
    </w:p>
    <w:p>
      <w:pPr>
        <w:ind w:left="120" w:right="180"/>
        <w:spacing w:after="0" w:line="237" w:lineRule="auto"/>
        <w:rPr>
          <w:sz w:val="20"/>
          <w:szCs w:val="20"/>
          <w:color w:val="auto"/>
        </w:rPr>
      </w:pPr>
      <w:r>
        <w:rPr>
          <w:rFonts w:ascii="Arial" w:cs="Arial" w:eastAsia="Arial" w:hAnsi="Arial"/>
          <w:sz w:val="18"/>
          <w:szCs w:val="18"/>
          <w:color w:val="auto"/>
        </w:rPr>
        <w:t>Proxies are solicited by and on behalf of our board of directors. Jaume Pons, Ph.D. and Peter Garcia have been designated as proxy holders by our board of directors. When a proxy is properly dated, executed and returned, the shares represented by such proxy will be voted at the Annual Meeting in accordance with the instructions of the stockholder. If the proxy is dated and signed, but no specific instructions are given, the shares will be voted in accordance with the recommendations of our board of directors. If any matters not described in this proxy statement are properly presented at the Annual Meeting, the proxy holders will use their own judgment to determine how to vote your shares. If the Annual Meeting is postponed or adjourned, the proxy holders can vote your shares on the new meeting date, unless you have properly revoked your proxy, as described above.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if I do not specify how my shares are to be voted?</w:t>
      </w:r>
    </w:p>
    <w:p>
      <w:pPr>
        <w:spacing w:after="0" w:line="108" w:lineRule="exact"/>
        <w:rPr>
          <w:sz w:val="20"/>
          <w:szCs w:val="20"/>
          <w:color w:val="auto"/>
        </w:rPr>
      </w:pPr>
    </w:p>
    <w:p>
      <w:pPr>
        <w:ind w:left="120" w:right="140"/>
        <w:spacing w:after="0" w:line="267" w:lineRule="auto"/>
        <w:rPr>
          <w:sz w:val="20"/>
          <w:szCs w:val="20"/>
          <w:color w:val="auto"/>
        </w:rPr>
      </w:pPr>
      <w:r>
        <w:rPr>
          <w:rFonts w:ascii="Arial" w:cs="Arial" w:eastAsia="Arial" w:hAnsi="Arial"/>
          <w:sz w:val="18"/>
          <w:szCs w:val="18"/>
          <w:i w:val="1"/>
          <w:iCs w:val="1"/>
          <w:color w:val="auto"/>
        </w:rPr>
        <w:t>Stockholders of Record</w:t>
      </w:r>
      <w:r>
        <w:rPr>
          <w:rFonts w:ascii="Arial" w:cs="Arial" w:eastAsia="Arial" w:hAnsi="Arial"/>
          <w:sz w:val="18"/>
          <w:szCs w:val="18"/>
          <w:color w:val="auto"/>
        </w:rPr>
        <w:t>. If you are a stockholder of record and you submit a proxy but you do not provide voting instructions, your shares</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voted:</w:t>
      </w:r>
    </w:p>
    <w:p>
      <w:pPr>
        <w:spacing w:after="0" w:line="84" w:lineRule="exact"/>
        <w:rPr>
          <w:sz w:val="20"/>
          <w:szCs w:val="20"/>
          <w:color w:val="auto"/>
        </w:rPr>
      </w:pPr>
    </w:p>
    <w:p>
      <w:pPr>
        <w:ind w:left="1080" w:right="420" w:hanging="424"/>
        <w:spacing w:after="0" w:line="246"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the election of each of the three directors nominated by our board of directors and named in this proxy statement as Class I directors (Proposal No. 1);</w:t>
      </w:r>
    </w:p>
    <w:p>
      <w:pPr>
        <w:spacing w:after="0" w:line="102" w:lineRule="exact"/>
        <w:rPr>
          <w:rFonts w:ascii="Arial" w:cs="Arial" w:eastAsia="Arial" w:hAnsi="Arial"/>
          <w:sz w:val="18"/>
          <w:szCs w:val="18"/>
          <w:color w:val="auto"/>
        </w:rPr>
      </w:pPr>
    </w:p>
    <w:p>
      <w:pPr>
        <w:ind w:left="1080" w:right="140" w:hanging="424"/>
        <w:spacing w:after="0" w:line="246"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the ratification of the appointment of KPMG LLP as our independent registered public accounting firm for our fiscal year ending December 31, 2021 (Proposal No. 2); and</w:t>
      </w:r>
    </w:p>
    <w:p>
      <w:pPr>
        <w:spacing w:after="0" w:line="102"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the discretion of the named proxy holders regarding any other matters properly presented for a vote at the Annual Meeting.</w:t>
      </w:r>
    </w:p>
    <w:p>
      <w:pPr>
        <w:spacing w:after="0" w:line="194" w:lineRule="exact"/>
        <w:rPr>
          <w:sz w:val="20"/>
          <w:szCs w:val="20"/>
          <w:color w:val="auto"/>
        </w:rPr>
      </w:pPr>
    </w:p>
    <w:p>
      <w:pPr>
        <w:jc w:val="both"/>
        <w:ind w:left="120" w:right="380"/>
        <w:spacing w:after="0" w:line="272" w:lineRule="auto"/>
        <w:rPr>
          <w:sz w:val="20"/>
          <w:szCs w:val="20"/>
          <w:color w:val="auto"/>
        </w:rPr>
      </w:pPr>
      <w:r>
        <w:rPr>
          <w:rFonts w:ascii="Arial" w:cs="Arial" w:eastAsia="Arial" w:hAnsi="Arial"/>
          <w:sz w:val="17"/>
          <w:szCs w:val="17"/>
          <w:i w:val="1"/>
          <w:iCs w:val="1"/>
          <w:color w:val="auto"/>
        </w:rPr>
        <w:t>Street Name Stockholders</w:t>
      </w:r>
      <w:r>
        <w:rPr>
          <w:rFonts w:ascii="Arial" w:cs="Arial" w:eastAsia="Arial" w:hAnsi="Arial"/>
          <w:sz w:val="17"/>
          <w:szCs w:val="17"/>
          <w:color w:val="auto"/>
        </w:rPr>
        <w:t>. If you are a street name stockholder and you do not provide your broker, bank or other nominee that holds</w:t>
      </w:r>
      <w:r>
        <w:rPr>
          <w:rFonts w:ascii="Arial" w:cs="Arial" w:eastAsia="Arial" w:hAnsi="Arial"/>
          <w:sz w:val="17"/>
          <w:szCs w:val="17"/>
          <w:i w:val="1"/>
          <w:iCs w:val="1"/>
          <w:color w:val="auto"/>
        </w:rPr>
        <w:t xml:space="preserve"> </w:t>
      </w:r>
      <w:r>
        <w:rPr>
          <w:rFonts w:ascii="Arial" w:cs="Arial" w:eastAsia="Arial" w:hAnsi="Arial"/>
          <w:sz w:val="17"/>
          <w:szCs w:val="17"/>
          <w:color w:val="auto"/>
        </w:rPr>
        <w:t>your shares with voting instructions, then your broker, bank or other nominee will determine if it has discretion to vote on each matter. Brokers do not have discretion to vote on non-routine matters. Proposal No. 1 (election of directors) is a non-routine matter, while</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2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140"/>
        <w:spacing w:after="0" w:line="257" w:lineRule="auto"/>
        <w:rPr>
          <w:sz w:val="20"/>
          <w:szCs w:val="20"/>
          <w:color w:val="auto"/>
        </w:rPr>
      </w:pPr>
      <w:r>
        <w:rPr>
          <w:rFonts w:ascii="Arial" w:cs="Arial" w:eastAsia="Arial" w:hAnsi="Arial"/>
          <w:sz w:val="17"/>
          <w:szCs w:val="17"/>
          <w:color w:val="auto"/>
        </w:rPr>
        <w:t>Proposal No. 2 (ratification of appointment of independent registered public accounting firm) is a routine matter. As a result, if you do not provide voting instructions to your broker, bank or other nominee, then your broker, bank or other nominee may not vote your shares with respect to Proposal No. 1, which would result in a “broker non-vote,” but may, in its discretion, vote your shares with respect to Proposal No. 2. For additional information regarding broker non-votes, see “—What are the effects of abstentions and broker non-votes?” below.</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are the effects of abstentions and broker non-votes?</w:t>
      </w:r>
    </w:p>
    <w:p>
      <w:pPr>
        <w:spacing w:after="0" w:line="126"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An abstention represents a stockholder’s affirmative choice to decline to vote on a proposal. If a stockholder indicates on its proxy card that it wishes to abstain from voting its shares, or if a broker, bank or other nominee holding its customers’ shares of record causes abstentions to be recorded for shares, these shares will be considered present and entitled to vote at the Annual Meeting. As a result, abstentions will be counted for purposes of determining the presence or absence of a quorum and will also count as votes against a proposal in cases where approval of the proposal requires the affirmative vote of a majority of the shares present and entitled to vote at the Annual Meeting (</w:t>
      </w:r>
      <w:r>
        <w:rPr>
          <w:rFonts w:ascii="Arial" w:cs="Arial" w:eastAsia="Arial" w:hAnsi="Arial"/>
          <w:sz w:val="18"/>
          <w:szCs w:val="18"/>
          <w:i w:val="1"/>
          <w:iCs w:val="1"/>
          <w:color w:val="auto"/>
        </w:rPr>
        <w:t>e.g.</w:t>
      </w:r>
      <w:r>
        <w:rPr>
          <w:rFonts w:ascii="Arial" w:cs="Arial" w:eastAsia="Arial" w:hAnsi="Arial"/>
          <w:sz w:val="18"/>
          <w:szCs w:val="18"/>
          <w:color w:val="auto"/>
        </w:rPr>
        <w:t>, Proposal No. 2). However, because the outcome of Proposal No. 1 (election of directors) will be determined by a plurality vote, abstentions will have no impact on the outcome of such proposal as long as a quorum exists.</w:t>
      </w:r>
    </w:p>
    <w:p>
      <w:pPr>
        <w:spacing w:after="0" w:line="203" w:lineRule="exact"/>
        <w:rPr>
          <w:sz w:val="20"/>
          <w:szCs w:val="20"/>
          <w:color w:val="auto"/>
        </w:rPr>
      </w:pPr>
    </w:p>
    <w:p>
      <w:pPr>
        <w:ind w:left="120" w:right="140"/>
        <w:spacing w:after="0" w:line="255" w:lineRule="auto"/>
        <w:rPr>
          <w:sz w:val="20"/>
          <w:szCs w:val="20"/>
          <w:color w:val="auto"/>
        </w:rPr>
      </w:pPr>
      <w:r>
        <w:rPr>
          <w:rFonts w:ascii="Arial" w:cs="Arial" w:eastAsia="Arial" w:hAnsi="Arial"/>
          <w:sz w:val="17"/>
          <w:szCs w:val="17"/>
          <w:color w:val="auto"/>
        </w:rPr>
        <w:t>A broker non-vote occurs when a broker, bank or other nominee holding shares for a beneficial owner does not vote on a particular proposal because the broker, bank or other nominee does not have discretionary voting power with respect to such proposal and has not received voting instructions from the beneficial owner of the shares. Broker non-votes will be counted for purposes of calculating whether a quorum is present at the Annual Meeting but will not be counted for purposes of determining the number of votes cast. Therefore, a broker non-vote will make a quorum more readily attainable but will not otherwise affect the outcome of the vote on any proposal.</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are proxies solicited for the Annual Meeting and who is paying for such solicitation?</w:t>
      </w:r>
    </w:p>
    <w:p>
      <w:pPr>
        <w:spacing w:after="0" w:line="126"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Our board of directors is soliciting proxies for use at the Annual Meeting by means of the proxy materials. We will bear the entire cost of proxy solicitation, including the preparation, assembly, printing, mailing and distribution of the proxy materials. Copies of solicitation materials will also be made available upon request to brokers, banks and other nominees to forward to the beneficial owners of the shares held of record by such brokers, banks or other nominees. The original solicitation of proxies may be supplemented by solicitation by telephone, electronic communication or other means by our directors, officers, employees or agents. No additional compensation will be paid to these individuals for any such services, although we may reimburse such individuals for their reasonable out-of-pocket expenses in connection with such solicitation. We do not plan to retain a proxy solicitor to assist in the solicitation of proxies.</w:t>
      </w:r>
    </w:p>
    <w:p>
      <w:pPr>
        <w:spacing w:after="0" w:line="203" w:lineRule="exact"/>
        <w:rPr>
          <w:sz w:val="20"/>
          <w:szCs w:val="20"/>
          <w:color w:val="auto"/>
        </w:rPr>
      </w:pPr>
    </w:p>
    <w:p>
      <w:pPr>
        <w:ind w:left="120"/>
        <w:spacing w:after="0" w:line="246" w:lineRule="auto"/>
        <w:rPr>
          <w:sz w:val="20"/>
          <w:szCs w:val="20"/>
          <w:color w:val="auto"/>
        </w:rPr>
      </w:pPr>
      <w:r>
        <w:rPr>
          <w:rFonts w:ascii="Arial" w:cs="Arial" w:eastAsia="Arial" w:hAnsi="Arial"/>
          <w:sz w:val="18"/>
          <w:szCs w:val="18"/>
          <w:color w:val="auto"/>
        </w:rPr>
        <w:t>If you choose to access the proxy materials and/or vote over the Internet, you are responsible for Internet access charges you may incur. If you choose to vote by telephone, you are responsible for telephone charges you may incur.</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does it mean if I received more than one Notice?</w:t>
      </w:r>
    </w:p>
    <w:p>
      <w:pPr>
        <w:spacing w:after="0" w:line="126" w:lineRule="exact"/>
        <w:rPr>
          <w:sz w:val="20"/>
          <w:szCs w:val="20"/>
          <w:color w:val="auto"/>
        </w:rPr>
      </w:pPr>
    </w:p>
    <w:p>
      <w:pPr>
        <w:ind w:left="120" w:right="400"/>
        <w:spacing w:after="0" w:line="246" w:lineRule="auto"/>
        <w:rPr>
          <w:sz w:val="20"/>
          <w:szCs w:val="20"/>
          <w:color w:val="auto"/>
        </w:rPr>
      </w:pPr>
      <w:r>
        <w:rPr>
          <w:rFonts w:ascii="Arial" w:cs="Arial" w:eastAsia="Arial" w:hAnsi="Arial"/>
          <w:sz w:val="18"/>
          <w:szCs w:val="18"/>
          <w:color w:val="auto"/>
        </w:rPr>
        <w:t>If you receive more than one Notice, your shares may be registered in more than one name or in different accounts. Please follow the voting instructions on each Notice to ensure that all of your shares are voted.</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Is my vote confidential?</w:t>
      </w:r>
    </w:p>
    <w:p>
      <w:pPr>
        <w:spacing w:after="0" w:line="126" w:lineRule="exact"/>
        <w:rPr>
          <w:sz w:val="20"/>
          <w:szCs w:val="20"/>
          <w:color w:val="auto"/>
        </w:rPr>
      </w:pPr>
    </w:p>
    <w:p>
      <w:pPr>
        <w:ind w:left="120" w:right="280"/>
        <w:spacing w:after="0"/>
        <w:rPr>
          <w:sz w:val="20"/>
          <w:szCs w:val="20"/>
          <w:color w:val="auto"/>
        </w:rPr>
      </w:pPr>
      <w:r>
        <w:rPr>
          <w:rFonts w:ascii="Arial" w:cs="Arial" w:eastAsia="Arial" w:hAnsi="Arial"/>
          <w:sz w:val="18"/>
          <w:szCs w:val="18"/>
          <w:color w:val="auto"/>
        </w:rPr>
        <w:t>Proxy instructions, ballots and voting tabulations that identify individual stockholders are handled in a manner that protects your voting privacy. Your vote will not be disclosed either within the Company or to third parties, except as necessary to meet applicable legal requirements, to allow for the tabulation of votes and certification of the vote, or to facilitate a successful proxy solicitation.</w:t>
      </w:r>
    </w:p>
    <w:p>
      <w:pPr>
        <w:spacing w:after="0" w:line="289" w:lineRule="exact"/>
        <w:rPr>
          <w:sz w:val="20"/>
          <w:szCs w:val="20"/>
          <w:color w:val="auto"/>
        </w:rPr>
      </w:pPr>
    </w:p>
    <w:p>
      <w:pPr>
        <w:ind w:left="120" w:right="120"/>
        <w:spacing w:after="0" w:line="271" w:lineRule="auto"/>
        <w:rPr>
          <w:sz w:val="20"/>
          <w:szCs w:val="20"/>
          <w:color w:val="auto"/>
        </w:rPr>
      </w:pPr>
      <w:r>
        <w:rPr>
          <w:rFonts w:ascii="Arial" w:cs="Arial" w:eastAsia="Arial" w:hAnsi="Arial"/>
          <w:sz w:val="18"/>
          <w:szCs w:val="18"/>
          <w:b w:val="1"/>
          <w:bCs w:val="1"/>
          <w:color w:val="auto"/>
        </w:rPr>
        <w:t>I share an address with another stockholder, and we received only one paper copy of the proxy materials. How may I obtain an additional copy of the proxy materials?</w:t>
      </w:r>
    </w:p>
    <w:p>
      <w:pPr>
        <w:spacing w:after="0" w:line="68"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We have adopted a procedure approved by the SEC called “householding,” under which we can deliver a single copy of the proxy materials and annual report to multiple stockholders who share the same address unless we received contrary instructions from one or more of the stockholders. This procedure reduces our printing and mailing costs. Stockholders who participate in householding will continue to be able to access and receive separate proxy cards. Upon written or oral request, we will promptly deliver a separate copy of the proxy materials and annual report to any stockholder at a shared address to which we delivered a single copy of any of these documents. To receive a separate copy, or, if you are receiving multiple copies, to request that we only send a single copy of next year’s proxy materials and annual report, you may contact us as follows:</w:t>
      </w:r>
    </w:p>
    <w:p>
      <w:pPr>
        <w:spacing w:after="0" w:line="9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ALX Oncology Holdings Inc.</w:t>
      </w:r>
    </w:p>
    <w:p>
      <w:pPr>
        <w:jc w:val="center"/>
        <w:ind w:right="-199"/>
        <w:spacing w:after="0" w:line="234" w:lineRule="auto"/>
        <w:rPr>
          <w:sz w:val="20"/>
          <w:szCs w:val="20"/>
          <w:color w:val="auto"/>
        </w:rPr>
      </w:pPr>
      <w:r>
        <w:rPr>
          <w:rFonts w:ascii="Arial" w:cs="Arial" w:eastAsia="Arial" w:hAnsi="Arial"/>
          <w:sz w:val="18"/>
          <w:szCs w:val="18"/>
          <w:color w:val="auto"/>
        </w:rPr>
        <w:t>Attention: Secretary</w:t>
      </w:r>
    </w:p>
    <w:p>
      <w:pPr>
        <w:jc w:val="center"/>
        <w:ind w:right="-199"/>
        <w:spacing w:after="0" w:line="235" w:lineRule="auto"/>
        <w:rPr>
          <w:sz w:val="20"/>
          <w:szCs w:val="20"/>
          <w:color w:val="auto"/>
        </w:rPr>
      </w:pPr>
      <w:r>
        <w:rPr>
          <w:rFonts w:ascii="Arial" w:cs="Arial" w:eastAsia="Arial" w:hAnsi="Arial"/>
          <w:sz w:val="18"/>
          <w:szCs w:val="18"/>
          <w:color w:val="auto"/>
        </w:rPr>
        <w:t>866 Malcolm Road, Suite 100</w:t>
      </w:r>
    </w:p>
    <w:p>
      <w:pPr>
        <w:jc w:val="center"/>
        <w:ind w:right="-199"/>
        <w:spacing w:after="0" w:line="235" w:lineRule="auto"/>
        <w:rPr>
          <w:sz w:val="20"/>
          <w:szCs w:val="20"/>
          <w:color w:val="auto"/>
        </w:rPr>
      </w:pPr>
      <w:r>
        <w:rPr>
          <w:rFonts w:ascii="Arial" w:cs="Arial" w:eastAsia="Arial" w:hAnsi="Arial"/>
          <w:sz w:val="18"/>
          <w:szCs w:val="18"/>
          <w:color w:val="auto"/>
        </w:rPr>
        <w:t>Burlingame, California 94010</w:t>
      </w:r>
    </w:p>
    <w:p>
      <w:pPr>
        <w:jc w:val="center"/>
        <w:ind w:right="-219"/>
        <w:spacing w:after="0"/>
        <w:rPr>
          <w:sz w:val="20"/>
          <w:szCs w:val="20"/>
          <w:color w:val="auto"/>
        </w:rPr>
      </w:pPr>
      <w:r>
        <w:rPr>
          <w:rFonts w:ascii="Arial" w:cs="Arial" w:eastAsia="Arial" w:hAnsi="Arial"/>
          <w:sz w:val="18"/>
          <w:szCs w:val="18"/>
          <w:color w:val="auto"/>
        </w:rPr>
        <w:t>(650) 466-7125</w:t>
      </w:r>
    </w:p>
    <w:p>
      <w:pPr>
        <w:spacing w:after="0" w:line="212" w:lineRule="exact"/>
        <w:rPr>
          <w:sz w:val="20"/>
          <w:szCs w:val="20"/>
          <w:color w:val="auto"/>
        </w:rPr>
      </w:pPr>
    </w:p>
    <w:p>
      <w:pPr>
        <w:ind w:left="120" w:right="780"/>
        <w:spacing w:after="0" w:line="246" w:lineRule="auto"/>
        <w:rPr>
          <w:sz w:val="20"/>
          <w:szCs w:val="20"/>
          <w:color w:val="auto"/>
        </w:rPr>
      </w:pPr>
      <w:r>
        <w:rPr>
          <w:rFonts w:ascii="Arial" w:cs="Arial" w:eastAsia="Arial" w:hAnsi="Arial"/>
          <w:sz w:val="18"/>
          <w:szCs w:val="18"/>
          <w:color w:val="auto"/>
        </w:rPr>
        <w:t>Stockholders who hold shares in street name may contact their brokerage firm, bank, broker-dealer or other nominee to request information about householding.</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can I find out the results of the voting at the Annual Meeting?</w:t>
      </w:r>
    </w:p>
    <w:p>
      <w:pPr>
        <w:spacing w:after="0" w:line="126" w:lineRule="exact"/>
        <w:rPr>
          <w:sz w:val="20"/>
          <w:szCs w:val="20"/>
          <w:color w:val="auto"/>
        </w:rPr>
      </w:pPr>
    </w:p>
    <w:p>
      <w:pPr>
        <w:jc w:val="both"/>
        <w:ind w:left="120" w:right="140"/>
        <w:spacing w:after="0" w:line="257" w:lineRule="auto"/>
        <w:rPr>
          <w:sz w:val="20"/>
          <w:szCs w:val="20"/>
          <w:color w:val="auto"/>
        </w:rPr>
      </w:pPr>
      <w:r>
        <w:rPr>
          <w:rFonts w:ascii="Arial" w:cs="Arial" w:eastAsia="Arial" w:hAnsi="Arial"/>
          <w:sz w:val="17"/>
          <w:szCs w:val="17"/>
          <w:color w:val="auto"/>
        </w:rPr>
        <w:t>We will announce preliminary voting results at the Annual Meeting. In addition, we will disclose final voting results on a current report on Form 8-K that we expect to file within four business days after the Annual Meeting. If final voting results are not available to us in time to file a Form 8-K within four business days after the Annual Meeting, we intend to file a Form 8-K to publish preliminary results and, within four business days after the final results are known to us, we will file an amendment to the Form 8-K to disclose the final results.</w:t>
      </w:r>
    </w:p>
    <w:p>
      <w:pPr>
        <w:spacing w:after="0" w:line="275" w:lineRule="exact"/>
        <w:rPr>
          <w:sz w:val="20"/>
          <w:szCs w:val="20"/>
          <w:color w:val="auto"/>
        </w:rPr>
      </w:pPr>
    </w:p>
    <w:p>
      <w:pPr>
        <w:ind w:left="120" w:right="740"/>
        <w:spacing w:after="0" w:line="271" w:lineRule="auto"/>
        <w:rPr>
          <w:sz w:val="20"/>
          <w:szCs w:val="20"/>
          <w:color w:val="auto"/>
        </w:rPr>
      </w:pPr>
      <w:r>
        <w:rPr>
          <w:rFonts w:ascii="Arial" w:cs="Arial" w:eastAsia="Arial" w:hAnsi="Arial"/>
          <w:sz w:val="18"/>
          <w:szCs w:val="18"/>
          <w:b w:val="1"/>
          <w:bCs w:val="1"/>
          <w:color w:val="auto"/>
        </w:rPr>
        <w:t>What is the deadline to propose actions for consideration at next year’s annual meeting of stockholders or to nominate individuals to serve as directors?</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Stockholder Proposals</w:t>
      </w:r>
    </w:p>
    <w:p>
      <w:pPr>
        <w:spacing w:after="0" w:line="122" w:lineRule="exact"/>
        <w:rPr>
          <w:sz w:val="20"/>
          <w:szCs w:val="20"/>
          <w:color w:val="auto"/>
        </w:rPr>
      </w:pPr>
    </w:p>
    <w:p>
      <w:pPr>
        <w:ind w:left="120" w:right="100"/>
        <w:spacing w:after="0" w:line="234" w:lineRule="auto"/>
        <w:rPr>
          <w:sz w:val="20"/>
          <w:szCs w:val="20"/>
          <w:color w:val="auto"/>
        </w:rPr>
      </w:pPr>
      <w:r>
        <w:rPr>
          <w:rFonts w:ascii="Arial" w:cs="Arial" w:eastAsia="Arial" w:hAnsi="Arial"/>
          <w:sz w:val="18"/>
          <w:szCs w:val="18"/>
          <w:color w:val="auto"/>
        </w:rPr>
        <w:t>Stockholders may present proper proposals for inclusion in our proxy statement and for consideration at next year’s annual meeting of stockholders by submitting their proposals in writing to our Secretary in a timely manner. For a stockholder proposal to be considered for inclusion in our proxy statement for our 2022 annual meeting of stockholders, our Secretary must receive the written proposal at our principal executive offices not later than January 1, 2022. In addition, stockholder proposals must comply with the requirements of</w:t>
      </w:r>
    </w:p>
    <w:p>
      <w:pPr>
        <w:spacing w:after="0" w:line="3" w:lineRule="exact"/>
        <w:rPr>
          <w:sz w:val="20"/>
          <w:szCs w:val="20"/>
          <w:color w:val="auto"/>
        </w:rPr>
      </w:pPr>
    </w:p>
    <w:p>
      <w:pPr>
        <w:ind w:left="120"/>
        <w:spacing w:after="0" w:line="246" w:lineRule="auto"/>
        <w:rPr>
          <w:sz w:val="20"/>
          <w:szCs w:val="20"/>
          <w:color w:val="auto"/>
        </w:rPr>
      </w:pPr>
      <w:r>
        <w:rPr>
          <w:rFonts w:ascii="Arial" w:cs="Arial" w:eastAsia="Arial" w:hAnsi="Arial"/>
          <w:sz w:val="18"/>
          <w:szCs w:val="18"/>
          <w:color w:val="auto"/>
        </w:rPr>
        <w:t>Rule 14a-8 under the Securities Exchange Act of 1934, as amended (the Exchange Act), regarding the inclusion of stockholder proposals in company-sponsored proxy materials. Stockholder proposals should be addressed to:</w:t>
      </w:r>
    </w:p>
    <w:p>
      <w:pPr>
        <w:spacing w:after="0" w:line="8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ALX Oncology Holdings Inc.</w:t>
      </w:r>
    </w:p>
    <w:p>
      <w:pPr>
        <w:jc w:val="center"/>
        <w:ind w:right="-199"/>
        <w:spacing w:after="0" w:line="234" w:lineRule="auto"/>
        <w:rPr>
          <w:sz w:val="20"/>
          <w:szCs w:val="20"/>
          <w:color w:val="auto"/>
        </w:rPr>
      </w:pPr>
      <w:r>
        <w:rPr>
          <w:rFonts w:ascii="Arial" w:cs="Arial" w:eastAsia="Arial" w:hAnsi="Arial"/>
          <w:sz w:val="18"/>
          <w:szCs w:val="18"/>
          <w:color w:val="auto"/>
        </w:rPr>
        <w:t>Attention: Secretary</w:t>
      </w:r>
    </w:p>
    <w:p>
      <w:pPr>
        <w:jc w:val="center"/>
        <w:ind w:right="-199"/>
        <w:spacing w:after="0" w:line="235" w:lineRule="auto"/>
        <w:rPr>
          <w:sz w:val="20"/>
          <w:szCs w:val="20"/>
          <w:color w:val="auto"/>
        </w:rPr>
      </w:pPr>
      <w:r>
        <w:rPr>
          <w:rFonts w:ascii="Arial" w:cs="Arial" w:eastAsia="Arial" w:hAnsi="Arial"/>
          <w:sz w:val="18"/>
          <w:szCs w:val="18"/>
          <w:color w:val="auto"/>
        </w:rPr>
        <w:t>866 Malcolm Road, Suite 100</w:t>
      </w:r>
    </w:p>
    <w:p>
      <w:pPr>
        <w:spacing w:after="0" w:line="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Burlingame, California 94010</w:t>
      </w:r>
    </w:p>
    <w:p>
      <w:pPr>
        <w:spacing w:after="0" w:line="14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40"/>
          </w:cols>
          <w:pgMar w:left="320" w:top="459" w:right="5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Our amended and restated bylaws also establish an advance notice procedure for stockholders who wish to present a proposal before an annual meeting of stockholders but do not intend for the proposal to be included in our proxy statement. Our amended and restated bylaws provide that the only business that may be conducted at an annual meeting is business that is (i) specified in our proxy materials with respect to such meeting, (ii) otherwise properly brought before the annual meeting by or at the direction of the our board of directors, or (iii) properly brought before the annual meeting by a stockholder of record entitled to vote at the annual meeting who has delivered timely written notice to our Secretary, which notice must contain the information specified in our bylaws. To be timely for our 2022 annual meeting of stockholders, our Secretary must receive the written notice at our principal executive offices:</w:t>
      </w:r>
    </w:p>
    <w:p>
      <w:pPr>
        <w:spacing w:after="0" w:line="108" w:lineRule="exact"/>
        <w:rPr>
          <w:sz w:val="20"/>
          <w:szCs w:val="20"/>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 earlier than February 13, 2022; and</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 later than March 15, 2022.</w:t>
      </w:r>
    </w:p>
    <w:p>
      <w:pPr>
        <w:spacing w:after="0" w:line="212"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In the event that we hold our 2021 annual meeting of stockholders more than 30 days before or more than 60 days after the first anniversary of the date of the Annual Meeting, then notice of a stockholder proposal that is not intended to be included in our proxy statement must be received no earlier than the close of business on the 120th day before such annual meeting and no later than the close of business on the later of the following two dates:</w:t>
      </w:r>
    </w:p>
    <w:p>
      <w:pPr>
        <w:spacing w:after="0" w:line="110" w:lineRule="exact"/>
        <w:rPr>
          <w:sz w:val="20"/>
          <w:szCs w:val="20"/>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90th day prior to such annual meeting; or</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10th day following the day on which public announcement of the date of such annual meeting is first made.</w:t>
      </w:r>
    </w:p>
    <w:p>
      <w:pPr>
        <w:spacing w:after="0" w:line="212" w:lineRule="exact"/>
        <w:rPr>
          <w:sz w:val="20"/>
          <w:szCs w:val="20"/>
          <w:color w:val="auto"/>
        </w:rPr>
      </w:pPr>
    </w:p>
    <w:p>
      <w:pPr>
        <w:ind w:left="120" w:right="180"/>
        <w:spacing w:after="0" w:line="246" w:lineRule="auto"/>
        <w:rPr>
          <w:sz w:val="20"/>
          <w:szCs w:val="20"/>
          <w:color w:val="auto"/>
        </w:rPr>
      </w:pPr>
      <w:r>
        <w:rPr>
          <w:rFonts w:ascii="Arial" w:cs="Arial" w:eastAsia="Arial" w:hAnsi="Arial"/>
          <w:sz w:val="18"/>
          <w:szCs w:val="18"/>
          <w:color w:val="auto"/>
        </w:rPr>
        <w:t>If a stockholder who has notified us of his, her or its intention to present a proposal at an annual meeting does not appear to present his, her or its proposal at such annual meeting, we are not required to present the proposal for a vote at such annual meeting.</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Recommendation or Nomination of Director Candidates</w:t>
      </w:r>
    </w:p>
    <w:p>
      <w:pPr>
        <w:spacing w:after="0" w:line="122"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Stockholders holding at least $2,000 in market value, or one percent (1%), of the outstanding shares of our common stock continuously for at least 12 months prior to the date of the submission of the recommendation or nomination may propose director candidates for consideration by our corporate governance and nominating committee. Any such recommendations should include the nominee’s name and qualifications for membership on our board of directors and should be directed to our Secretary at the address set forth above. For additional information regarding stockholder recommendations for director candidates, see the section titled “Board of Directors and Corporate Governance—Stockholder Recommendations for Nominations to the Board of Directors.”</w:t>
      </w:r>
    </w:p>
    <w:p>
      <w:pPr>
        <w:spacing w:after="0" w:line="205"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In addition, our bylaws permit stockholders to nominate directors for election at an annual meeting of stockholders. To nominate a director, the stockholder must provide the information required by our bylaws. In addition, the stockholder must give timely notice to our Secretary in accordance with our bylaws, which, in general, require that the notice be received by our Secretary within the time period described above under “Stockholder Proposals” for stockholder proposals that are not intended to be included in a proxy statement.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Availability of Bylaws</w:t>
      </w:r>
    </w:p>
    <w:p>
      <w:pPr>
        <w:spacing w:after="0" w:line="122"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A copy of our amended and restated bylaws may be obtained by accessing our public filings on the SEC’s website at http://www.sec.gov. You may also contact our Secretary at our principal executive office for a copy of the relevant bylaw provisions regarding the requirements for making stockholder proposals and nominating director candidates.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BOARD OF DIRECTORS AND CORPORATE GOVERNANCE</w:t>
      </w:r>
    </w:p>
    <w:p>
      <w:pPr>
        <w:spacing w:after="0" w:line="234"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Our business affairs are managed under the direction of our board of directors, which currently consists of seven (7) members. Our board of directors has affirmatively determined that five (5) of our seven (7) directors qualify as “independent” within the meaning of the listing standards of the Nasdaq Stock Market LLC (Nasdaq). Our board of directors is divided into three classes with staggered three-year terms. At each annual meeting of stockholders, a class of directors will be elected for a three-year term to succeed the same class whose term is then expiring.</w:t>
      </w:r>
    </w:p>
    <w:p>
      <w:pPr>
        <w:spacing w:after="0" w:line="19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Upon the recommendation of our corporate governance and nominating committee, we are nominating Corey Goodman, Ph.D., Jason</w:t>
      </w:r>
    </w:p>
    <w:p>
      <w:pPr>
        <w:ind w:left="120"/>
        <w:spacing w:after="0" w:line="234" w:lineRule="auto"/>
        <w:rPr>
          <w:sz w:val="20"/>
          <w:szCs w:val="20"/>
          <w:color w:val="auto"/>
        </w:rPr>
      </w:pPr>
      <w:r>
        <w:rPr>
          <w:rFonts w:ascii="Arial" w:cs="Arial" w:eastAsia="Arial" w:hAnsi="Arial"/>
          <w:sz w:val="18"/>
          <w:szCs w:val="18"/>
          <w:color w:val="auto"/>
        </w:rPr>
        <w:t>Lettmann, and Sophia Randolph, M.D., Ph.D. as Class I directors at the Annual Meeting. If elected, Drs. Goodman and Randolph and</w:t>
      </w:r>
    </w:p>
    <w:p>
      <w:pPr>
        <w:ind w:left="120"/>
        <w:spacing w:after="0" w:line="235" w:lineRule="auto"/>
        <w:rPr>
          <w:sz w:val="20"/>
          <w:szCs w:val="20"/>
          <w:color w:val="auto"/>
        </w:rPr>
      </w:pPr>
      <w:r>
        <w:rPr>
          <w:rFonts w:ascii="Arial" w:cs="Arial" w:eastAsia="Arial" w:hAnsi="Arial"/>
          <w:sz w:val="18"/>
          <w:szCs w:val="18"/>
          <w:color w:val="auto"/>
        </w:rPr>
        <w:t>Mr. Lettmann will each hold office for a three-year term until the annual meeting of stockholders to be held in 2024 or until their successors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are duly elected and qualified.</w:t>
      </w:r>
    </w:p>
    <w:p>
      <w:pPr>
        <w:spacing w:after="0" w:line="212" w:lineRule="exact"/>
        <w:rPr>
          <w:sz w:val="20"/>
          <w:szCs w:val="20"/>
          <w:color w:val="auto"/>
        </w:rPr>
      </w:pPr>
    </w:p>
    <w:p>
      <w:pPr>
        <w:ind w:left="120" w:right="340"/>
        <w:spacing w:after="0"/>
        <w:rPr>
          <w:sz w:val="20"/>
          <w:szCs w:val="20"/>
          <w:color w:val="auto"/>
        </w:rPr>
      </w:pPr>
      <w:r>
        <w:rPr>
          <w:rFonts w:ascii="Arial" w:cs="Arial" w:eastAsia="Arial" w:hAnsi="Arial"/>
          <w:sz w:val="18"/>
          <w:szCs w:val="18"/>
          <w:color w:val="auto"/>
        </w:rPr>
        <w:t>The following table sets forth the names, ages as of March 31, 2021 and certain other information for each of the directors with terms expiring at the Annual Meeting (who are also nominees for election as a director at the Annual Meeting), and for each of the continuing directors: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8"/>
              </w:rPr>
              <w:t>Current</w:t>
            </w:r>
          </w:p>
        </w:tc>
        <w:tc>
          <w:tcPr>
            <w:tcW w:w="8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Term For</w:t>
            </w:r>
          </w:p>
        </w:tc>
        <w:tc>
          <w:tcPr>
            <w:tcW w:w="0" w:type="dxa"/>
            <w:vAlign w:val="bottom"/>
          </w:tcPr>
          <w:p>
            <w:pPr>
              <w:spacing w:after="0"/>
              <w:rPr>
                <w:sz w:val="1"/>
                <w:szCs w:val="1"/>
                <w:color w:val="auto"/>
              </w:rPr>
            </w:pPr>
          </w:p>
        </w:tc>
      </w:tr>
      <w:tr>
        <w:trPr>
          <w:trHeight w:val="162"/>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99"/>
              </w:rPr>
              <w:t>Name</w:t>
            </w:r>
          </w:p>
        </w:tc>
        <w:tc>
          <w:tcPr>
            <w:tcW w:w="3360" w:type="dxa"/>
            <w:vAlign w:val="bottom"/>
            <w:vMerge w:val="restart"/>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80" w:type="dxa"/>
            <w:vAlign w:val="bottom"/>
            <w:gridSpan w:val="2"/>
            <w:vMerge w:val="restart"/>
          </w:tcPr>
          <w:p>
            <w:pPr>
              <w:ind w:left="1580"/>
              <w:spacing w:after="0"/>
              <w:rPr>
                <w:sz w:val="20"/>
                <w:szCs w:val="20"/>
                <w:color w:val="auto"/>
              </w:rPr>
            </w:pPr>
            <w:r>
              <w:rPr>
                <w:rFonts w:ascii="Arial" w:cs="Arial" w:eastAsia="Arial" w:hAnsi="Arial"/>
                <w:sz w:val="14"/>
                <w:szCs w:val="14"/>
                <w:b w:val="1"/>
                <w:bCs w:val="1"/>
                <w:color w:val="auto"/>
              </w:rPr>
              <w:t>Position</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6"/>
              </w:rPr>
              <w:t>Director</w:t>
            </w:r>
          </w:p>
        </w:tc>
        <w:tc>
          <w:tcPr>
            <w:tcW w:w="720" w:type="dxa"/>
            <w:vAlign w:val="bottom"/>
            <w:gridSpan w:val="2"/>
          </w:tcPr>
          <w:p>
            <w:pPr>
              <w:ind w:left="80"/>
              <w:spacing w:after="0"/>
              <w:rPr>
                <w:sz w:val="20"/>
                <w:szCs w:val="20"/>
                <w:color w:val="auto"/>
              </w:rPr>
            </w:pPr>
            <w:r>
              <w:rPr>
                <w:rFonts w:ascii="Arial" w:cs="Arial" w:eastAsia="Arial" w:hAnsi="Arial"/>
                <w:sz w:val="14"/>
                <w:szCs w:val="14"/>
                <w:b w:val="1"/>
                <w:bCs w:val="1"/>
                <w:color w:val="auto"/>
              </w:rPr>
              <w:t>Term</w:t>
            </w:r>
          </w:p>
        </w:tc>
        <w:tc>
          <w:tcPr>
            <w:tcW w:w="8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Which</w:t>
            </w:r>
          </w:p>
        </w:tc>
        <w:tc>
          <w:tcPr>
            <w:tcW w:w="0" w:type="dxa"/>
            <w:vAlign w:val="bottom"/>
          </w:tcPr>
          <w:p>
            <w:pPr>
              <w:spacing w:after="0"/>
              <w:rPr>
                <w:sz w:val="1"/>
                <w:szCs w:val="1"/>
                <w:color w:val="auto"/>
              </w:rPr>
            </w:pPr>
          </w:p>
        </w:tc>
      </w:tr>
      <w:tr>
        <w:trPr>
          <w:trHeight w:val="182"/>
        </w:trPr>
        <w:tc>
          <w:tcPr>
            <w:tcW w:w="400" w:type="dxa"/>
            <w:vAlign w:val="bottom"/>
            <w:tcBorders>
              <w:bottom w:val="single" w:sz="8" w:color="auto"/>
            </w:tcBorders>
            <w:vMerge w:val="continue"/>
          </w:tcPr>
          <w:p>
            <w:pPr>
              <w:spacing w:after="0"/>
              <w:rPr>
                <w:sz w:val="15"/>
                <w:szCs w:val="15"/>
                <w:color w:val="auto"/>
              </w:rPr>
            </w:pPr>
          </w:p>
        </w:tc>
        <w:tc>
          <w:tcPr>
            <w:tcW w:w="3360" w:type="dxa"/>
            <w:vAlign w:val="bottom"/>
            <w:vMerge w:val="continue"/>
          </w:tcPr>
          <w:p>
            <w:pPr>
              <w:spacing w:after="0"/>
              <w:rPr>
                <w:sz w:val="15"/>
                <w:szCs w:val="15"/>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Class</w:t>
            </w:r>
          </w:p>
        </w:tc>
        <w:tc>
          <w:tcPr>
            <w:tcW w:w="3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8"/>
              </w:rPr>
              <w:t>Age</w:t>
            </w:r>
          </w:p>
        </w:tc>
        <w:tc>
          <w:tcPr>
            <w:tcW w:w="100" w:type="dxa"/>
            <w:vAlign w:val="bottom"/>
          </w:tcPr>
          <w:p>
            <w:pPr>
              <w:spacing w:after="0"/>
              <w:rPr>
                <w:sz w:val="15"/>
                <w:szCs w:val="15"/>
                <w:color w:val="auto"/>
              </w:rPr>
            </w:pPr>
          </w:p>
        </w:tc>
        <w:tc>
          <w:tcPr>
            <w:tcW w:w="3880" w:type="dxa"/>
            <w:vAlign w:val="bottom"/>
            <w:gridSpan w:val="2"/>
            <w:vMerge w:val="continue"/>
          </w:tcPr>
          <w:p>
            <w:pPr>
              <w:spacing w:after="0"/>
              <w:rPr>
                <w:sz w:val="15"/>
                <w:szCs w:val="15"/>
                <w:color w:val="auto"/>
              </w:rPr>
            </w:pPr>
          </w:p>
        </w:tc>
        <w:tc>
          <w:tcPr>
            <w:tcW w:w="760" w:type="dxa"/>
            <w:vAlign w:val="bottom"/>
            <w:gridSpan w:val="2"/>
          </w:tcPr>
          <w:p>
            <w:pPr>
              <w:ind w:left="80"/>
              <w:spacing w:after="0"/>
              <w:rPr>
                <w:sz w:val="20"/>
                <w:szCs w:val="20"/>
                <w:color w:val="auto"/>
              </w:rPr>
            </w:pPr>
            <w:r>
              <w:rPr>
                <w:rFonts w:ascii="Arial" w:cs="Arial" w:eastAsia="Arial" w:hAnsi="Arial"/>
                <w:sz w:val="14"/>
                <w:szCs w:val="14"/>
                <w:b w:val="1"/>
                <w:bCs w:val="1"/>
                <w:color w:val="auto"/>
              </w:rPr>
              <w:t>Since</w:t>
            </w:r>
          </w:p>
        </w:tc>
        <w:tc>
          <w:tcPr>
            <w:tcW w:w="7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8"/>
              </w:rPr>
              <w:t>Expires</w:t>
            </w:r>
          </w:p>
        </w:tc>
        <w:tc>
          <w:tcPr>
            <w:tcW w:w="8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Nominated</w:t>
            </w:r>
          </w:p>
        </w:tc>
        <w:tc>
          <w:tcPr>
            <w:tcW w:w="0" w:type="dxa"/>
            <w:vAlign w:val="bottom"/>
          </w:tcPr>
          <w:p>
            <w:pPr>
              <w:spacing w:after="0"/>
              <w:rPr>
                <w:sz w:val="1"/>
                <w:szCs w:val="1"/>
                <w:color w:val="auto"/>
              </w:rPr>
            </w:pPr>
          </w:p>
        </w:tc>
      </w:tr>
      <w:tr>
        <w:trPr>
          <w:trHeight w:val="176"/>
        </w:trPr>
        <w:tc>
          <w:tcPr>
            <w:tcW w:w="376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Director Nominees</w:t>
            </w:r>
          </w:p>
        </w:tc>
        <w:tc>
          <w:tcPr>
            <w:tcW w:w="4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7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76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Corey Goodman, Ph.D.</w:t>
            </w:r>
            <w:r>
              <w:rPr>
                <w:rFonts w:ascii="Arial" w:cs="Arial" w:eastAsia="Arial" w:hAnsi="Arial"/>
                <w:sz w:val="15"/>
                <w:szCs w:val="15"/>
                <w:color w:val="auto"/>
              </w:rPr>
              <w:t>(2)(3)</w:t>
            </w:r>
          </w:p>
        </w:tc>
        <w:tc>
          <w:tcPr>
            <w:tcW w:w="6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I</w:t>
            </w:r>
          </w:p>
        </w:tc>
        <w:tc>
          <w:tcPr>
            <w:tcW w:w="3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69</w:t>
            </w:r>
          </w:p>
        </w:tc>
        <w:tc>
          <w:tcPr>
            <w:tcW w:w="398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Executive Chairman</w:t>
            </w:r>
          </w:p>
        </w:tc>
        <w:tc>
          <w:tcPr>
            <w:tcW w:w="7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2015</w:t>
            </w:r>
          </w:p>
        </w:tc>
        <w:tc>
          <w:tcPr>
            <w:tcW w:w="7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2021</w:t>
            </w:r>
          </w:p>
        </w:tc>
        <w:tc>
          <w:tcPr>
            <w:tcW w:w="820" w:type="dxa"/>
            <w:vAlign w:val="bottom"/>
            <w:gridSpan w:val="2"/>
          </w:tcPr>
          <w:p>
            <w:pPr>
              <w:jc w:val="center"/>
              <w:ind w:left="218"/>
              <w:spacing w:after="0" w:line="202" w:lineRule="exact"/>
              <w:rPr>
                <w:sz w:val="20"/>
                <w:szCs w:val="20"/>
                <w:color w:val="auto"/>
              </w:rPr>
            </w:pPr>
            <w:r>
              <w:rPr>
                <w:rFonts w:ascii="Arial" w:cs="Arial" w:eastAsia="Arial" w:hAnsi="Arial"/>
                <w:sz w:val="18"/>
                <w:szCs w:val="18"/>
                <w:color w:val="auto"/>
                <w:w w:val="99"/>
              </w:rPr>
              <w:t>2024</w:t>
            </w:r>
          </w:p>
        </w:tc>
        <w:tc>
          <w:tcPr>
            <w:tcW w:w="0" w:type="dxa"/>
            <w:vAlign w:val="bottom"/>
          </w:tcPr>
          <w:p>
            <w:pPr>
              <w:spacing w:after="0"/>
              <w:rPr>
                <w:sz w:val="1"/>
                <w:szCs w:val="1"/>
                <w:color w:val="auto"/>
              </w:rPr>
            </w:pPr>
          </w:p>
        </w:tc>
      </w:tr>
      <w:tr>
        <w:trPr>
          <w:trHeight w:val="203"/>
        </w:trPr>
        <w:tc>
          <w:tcPr>
            <w:tcW w:w="376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Jason Lettmann</w:t>
            </w:r>
            <w:r>
              <w:rPr>
                <w:rFonts w:ascii="Arial" w:cs="Arial" w:eastAsia="Arial" w:hAnsi="Arial"/>
                <w:sz w:val="15"/>
                <w:szCs w:val="15"/>
                <w:color w:val="auto"/>
              </w:rPr>
              <w:t>(2)(3)</w:t>
            </w:r>
          </w:p>
        </w:tc>
        <w:tc>
          <w:tcPr>
            <w:tcW w:w="6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I</w:t>
            </w:r>
          </w:p>
        </w:tc>
        <w:tc>
          <w:tcPr>
            <w:tcW w:w="3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43</w:t>
            </w:r>
          </w:p>
        </w:tc>
        <w:tc>
          <w:tcPr>
            <w:tcW w:w="398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8"/>
                <w:szCs w:val="18"/>
                <w:color w:val="auto"/>
              </w:rPr>
              <w:t>Director</w:t>
            </w:r>
          </w:p>
        </w:tc>
        <w:tc>
          <w:tcPr>
            <w:tcW w:w="7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2020</w:t>
            </w:r>
          </w:p>
        </w:tc>
        <w:tc>
          <w:tcPr>
            <w:tcW w:w="7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2021</w:t>
            </w:r>
          </w:p>
        </w:tc>
        <w:tc>
          <w:tcPr>
            <w:tcW w:w="820" w:type="dxa"/>
            <w:vAlign w:val="bottom"/>
            <w:gridSpan w:val="2"/>
            <w:shd w:val="clear" w:color="auto" w:fill="CCEEFF"/>
          </w:tcPr>
          <w:p>
            <w:pPr>
              <w:jc w:val="center"/>
              <w:ind w:left="218"/>
              <w:spacing w:after="0" w:line="202" w:lineRule="exact"/>
              <w:rPr>
                <w:sz w:val="20"/>
                <w:szCs w:val="20"/>
                <w:color w:val="auto"/>
              </w:rPr>
            </w:pPr>
            <w:r>
              <w:rPr>
                <w:rFonts w:ascii="Arial" w:cs="Arial" w:eastAsia="Arial" w:hAnsi="Arial"/>
                <w:sz w:val="18"/>
                <w:szCs w:val="18"/>
                <w:color w:val="auto"/>
                <w:w w:val="99"/>
              </w:rPr>
              <w:t>2024</w:t>
            </w:r>
          </w:p>
        </w:tc>
        <w:tc>
          <w:tcPr>
            <w:tcW w:w="0" w:type="dxa"/>
            <w:vAlign w:val="bottom"/>
          </w:tcPr>
          <w:p>
            <w:pPr>
              <w:spacing w:after="0"/>
              <w:rPr>
                <w:sz w:val="1"/>
                <w:szCs w:val="1"/>
                <w:color w:val="auto"/>
              </w:rPr>
            </w:pPr>
          </w:p>
        </w:tc>
      </w:tr>
      <w:tr>
        <w:trPr>
          <w:trHeight w:val="203"/>
        </w:trPr>
        <w:tc>
          <w:tcPr>
            <w:tcW w:w="376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Sophia Randolph, M.D., Ph.D.</w:t>
            </w:r>
          </w:p>
        </w:tc>
        <w:tc>
          <w:tcPr>
            <w:tcW w:w="6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I</w:t>
            </w:r>
          </w:p>
        </w:tc>
        <w:tc>
          <w:tcPr>
            <w:tcW w:w="3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53</w:t>
            </w:r>
          </w:p>
        </w:tc>
        <w:tc>
          <w:tcPr>
            <w:tcW w:w="398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Chief Medical Officer and Director</w:t>
            </w:r>
          </w:p>
        </w:tc>
        <w:tc>
          <w:tcPr>
            <w:tcW w:w="7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2021</w:t>
            </w:r>
          </w:p>
        </w:tc>
        <w:tc>
          <w:tcPr>
            <w:tcW w:w="7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2021</w:t>
            </w:r>
          </w:p>
        </w:tc>
        <w:tc>
          <w:tcPr>
            <w:tcW w:w="820" w:type="dxa"/>
            <w:vAlign w:val="bottom"/>
            <w:gridSpan w:val="2"/>
          </w:tcPr>
          <w:p>
            <w:pPr>
              <w:jc w:val="center"/>
              <w:ind w:left="218"/>
              <w:spacing w:after="0" w:line="202" w:lineRule="exact"/>
              <w:rPr>
                <w:sz w:val="20"/>
                <w:szCs w:val="20"/>
                <w:color w:val="auto"/>
              </w:rPr>
            </w:pPr>
            <w:r>
              <w:rPr>
                <w:rFonts w:ascii="Arial" w:cs="Arial" w:eastAsia="Arial" w:hAnsi="Arial"/>
                <w:sz w:val="18"/>
                <w:szCs w:val="18"/>
                <w:color w:val="auto"/>
                <w:w w:val="99"/>
              </w:rPr>
              <w:t>2024</w:t>
            </w:r>
          </w:p>
        </w:tc>
        <w:tc>
          <w:tcPr>
            <w:tcW w:w="0" w:type="dxa"/>
            <w:vAlign w:val="bottom"/>
          </w:tcPr>
          <w:p>
            <w:pPr>
              <w:spacing w:after="0"/>
              <w:rPr>
                <w:sz w:val="1"/>
                <w:szCs w:val="1"/>
                <w:color w:val="auto"/>
              </w:rPr>
            </w:pPr>
          </w:p>
        </w:tc>
      </w:tr>
      <w:tr>
        <w:trPr>
          <w:trHeight w:val="203"/>
        </w:trPr>
        <w:tc>
          <w:tcPr>
            <w:tcW w:w="3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Continuing Directors</w:t>
            </w: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6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Graham Walmsley, M.D, Ph.D.</w:t>
            </w:r>
            <w:r>
              <w:rPr>
                <w:rFonts w:ascii="Arial" w:cs="Arial" w:eastAsia="Arial" w:hAnsi="Arial"/>
                <w:sz w:val="15"/>
                <w:szCs w:val="15"/>
                <w:color w:val="auto"/>
              </w:rPr>
              <w:t>(1)(3)</w:t>
            </w:r>
          </w:p>
        </w:tc>
        <w:tc>
          <w:tcPr>
            <w:tcW w:w="6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II</w:t>
            </w:r>
          </w:p>
        </w:tc>
        <w:tc>
          <w:tcPr>
            <w:tcW w:w="3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34</w:t>
            </w:r>
          </w:p>
        </w:tc>
        <w:tc>
          <w:tcPr>
            <w:tcW w:w="398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Director</w:t>
            </w:r>
          </w:p>
        </w:tc>
        <w:tc>
          <w:tcPr>
            <w:tcW w:w="7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2020</w:t>
            </w:r>
          </w:p>
        </w:tc>
        <w:tc>
          <w:tcPr>
            <w:tcW w:w="7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2022</w:t>
            </w:r>
          </w:p>
        </w:tc>
        <w:tc>
          <w:tcPr>
            <w:tcW w:w="820" w:type="dxa"/>
            <w:vAlign w:val="bottom"/>
            <w:gridSpan w:val="2"/>
          </w:tcPr>
          <w:p>
            <w:pPr>
              <w:jc w:val="center"/>
              <w:ind w:left="238"/>
              <w:spacing w:after="0" w:line="202"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2"/>
        </w:trPr>
        <w:tc>
          <w:tcPr>
            <w:tcW w:w="376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Jack Nielsen, Ph.D.</w:t>
            </w:r>
            <w:r>
              <w:rPr>
                <w:rFonts w:ascii="Arial" w:cs="Arial" w:eastAsia="Arial" w:hAnsi="Arial"/>
                <w:sz w:val="15"/>
                <w:szCs w:val="15"/>
                <w:color w:val="auto"/>
              </w:rPr>
              <w:t>(1)(2)</w:t>
            </w:r>
          </w:p>
        </w:tc>
        <w:tc>
          <w:tcPr>
            <w:tcW w:w="6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II</w:t>
            </w:r>
          </w:p>
        </w:tc>
        <w:tc>
          <w:tcPr>
            <w:tcW w:w="3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57</w:t>
            </w:r>
          </w:p>
        </w:tc>
        <w:tc>
          <w:tcPr>
            <w:tcW w:w="398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8"/>
                <w:szCs w:val="18"/>
                <w:color w:val="auto"/>
              </w:rPr>
              <w:t>Director</w:t>
            </w:r>
          </w:p>
        </w:tc>
        <w:tc>
          <w:tcPr>
            <w:tcW w:w="7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2020</w:t>
            </w:r>
          </w:p>
        </w:tc>
        <w:tc>
          <w:tcPr>
            <w:tcW w:w="7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2022</w:t>
            </w:r>
          </w:p>
        </w:tc>
        <w:tc>
          <w:tcPr>
            <w:tcW w:w="820" w:type="dxa"/>
            <w:vAlign w:val="bottom"/>
            <w:gridSpan w:val="2"/>
            <w:shd w:val="clear" w:color="auto" w:fill="CCEEFF"/>
          </w:tcPr>
          <w:p>
            <w:pPr>
              <w:jc w:val="center"/>
              <w:ind w:left="238"/>
              <w:spacing w:after="0" w:line="202"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376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Jaume Pons, Ph.D.</w:t>
            </w:r>
          </w:p>
        </w:tc>
        <w:tc>
          <w:tcPr>
            <w:tcW w:w="6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III</w:t>
            </w:r>
          </w:p>
        </w:tc>
        <w:tc>
          <w:tcPr>
            <w:tcW w:w="3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55</w:t>
            </w:r>
          </w:p>
        </w:tc>
        <w:tc>
          <w:tcPr>
            <w:tcW w:w="398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President, Chief Executive Officer and Director</w:t>
            </w:r>
          </w:p>
        </w:tc>
        <w:tc>
          <w:tcPr>
            <w:tcW w:w="7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2015</w:t>
            </w:r>
          </w:p>
        </w:tc>
        <w:tc>
          <w:tcPr>
            <w:tcW w:w="7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2023</w:t>
            </w:r>
          </w:p>
        </w:tc>
        <w:tc>
          <w:tcPr>
            <w:tcW w:w="820" w:type="dxa"/>
            <w:vAlign w:val="bottom"/>
            <w:gridSpan w:val="2"/>
          </w:tcPr>
          <w:p>
            <w:pPr>
              <w:jc w:val="center"/>
              <w:ind w:left="238"/>
              <w:spacing w:after="0" w:line="202"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376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Rekha Hemrajani</w:t>
            </w:r>
            <w:r>
              <w:rPr>
                <w:rFonts w:ascii="Arial" w:cs="Arial" w:eastAsia="Arial" w:hAnsi="Arial"/>
                <w:sz w:val="15"/>
                <w:szCs w:val="15"/>
                <w:color w:val="auto"/>
              </w:rPr>
              <w:t>(1)(3)</w:t>
            </w:r>
          </w:p>
        </w:tc>
        <w:tc>
          <w:tcPr>
            <w:tcW w:w="6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III</w:t>
            </w:r>
          </w:p>
        </w:tc>
        <w:tc>
          <w:tcPr>
            <w:tcW w:w="3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51</w:t>
            </w:r>
          </w:p>
        </w:tc>
        <w:tc>
          <w:tcPr>
            <w:tcW w:w="398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8"/>
                <w:szCs w:val="18"/>
                <w:color w:val="auto"/>
              </w:rPr>
              <w:t>Director</w:t>
            </w:r>
          </w:p>
        </w:tc>
        <w:tc>
          <w:tcPr>
            <w:tcW w:w="7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2020</w:t>
            </w:r>
          </w:p>
        </w:tc>
        <w:tc>
          <w:tcPr>
            <w:tcW w:w="7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2023</w:t>
            </w:r>
          </w:p>
        </w:tc>
        <w:tc>
          <w:tcPr>
            <w:tcW w:w="820" w:type="dxa"/>
            <w:vAlign w:val="bottom"/>
            <w:gridSpan w:val="2"/>
            <w:shd w:val="clear" w:color="auto" w:fill="CCEEFF"/>
          </w:tcPr>
          <w:p>
            <w:pPr>
              <w:jc w:val="center"/>
              <w:ind w:left="238"/>
              <w:spacing w:after="0" w:line="202"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hanging="424"/>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Member of our audit committee</w:t>
      </w:r>
    </w:p>
    <w:p>
      <w:pPr>
        <w:ind w:left="540" w:hanging="424"/>
        <w:spacing w:after="0" w:line="234"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Member of our compensation committee</w:t>
      </w:r>
    </w:p>
    <w:p>
      <w:pPr>
        <w:ind w:left="540" w:hanging="424"/>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Member of our corporate governance and nominating committee</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Nominees</w:t>
      </w:r>
    </w:p>
    <w:p>
      <w:pPr>
        <w:spacing w:after="0" w:line="104"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b w:val="1"/>
          <w:bCs w:val="1"/>
          <w:i w:val="1"/>
          <w:iCs w:val="1"/>
          <w:color w:val="auto"/>
        </w:rPr>
        <w:t xml:space="preserve">Corey Goodman, Ph.D. </w:t>
      </w:r>
      <w:r>
        <w:rPr>
          <w:rFonts w:ascii="Arial" w:cs="Arial" w:eastAsia="Arial" w:hAnsi="Arial"/>
          <w:sz w:val="18"/>
          <w:szCs w:val="18"/>
          <w:color w:val="auto"/>
        </w:rPr>
        <w:t>is our co-founder and has served as a member of our board of directors and as Executive Chairman since March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2015. He co-founded and has served as a Managing Partner of venBio Partners since March 2010. Dr. Goodman founded Labrys, a biopharmaceutical company acquired by Teva, where he served as chairman and as a member of the board of directors from December 2012 to June 2014. He founded Pfizer’s Biotherapeutics and Bioinnovation Center where he served as President and a member of Pfizer’s Executive Leadership Team from October 2007 until May 2009. He co-founded Renovis, a biopharmaceutical company acquired by Evotec, where he served as President, Chief Executive Officer and a director from September 2001 to October 2007. He is a former tenured biology professor at both Stanford University and the University of California, Berkeley, the co-founder of U.C. Berkeley’s Wills Neuroscience Institute, Investigator with the Howard Hughes Medical Institute and currently is an adjunct professor at U.C. Berkeley. Dr. Goodman is a</w:t>
      </w:r>
    </w:p>
    <w:p>
      <w:pPr>
        <w:spacing w:after="0" w:line="13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40"/>
          </w:cols>
          <w:pgMar w:left="32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60"/>
        <w:spacing w:after="0" w:line="238" w:lineRule="auto"/>
        <w:rPr>
          <w:sz w:val="20"/>
          <w:szCs w:val="20"/>
          <w:color w:val="auto"/>
        </w:rPr>
      </w:pPr>
      <w:r>
        <w:rPr>
          <w:rFonts w:ascii="Arial" w:cs="Arial" w:eastAsia="Arial" w:hAnsi="Arial"/>
          <w:sz w:val="18"/>
          <w:szCs w:val="18"/>
          <w:color w:val="auto"/>
        </w:rPr>
        <w:t>member of the U.S. National Academy of Sciences, the American Academy of Arts &amp; Sciences and the American Philosophical Society and a recipient of the 2020 Gruber Neuroscience Prize. He currently serves as chairman and as a member of the board of directors of several privately held biotechnology companies. Dr. Goodman holds a B.S. in Biology from Stanford University and a Ph.D. in Neurobiology from U.C. Berkeley and was a postdoctoral fellow at the University of California, San Diego.</w:t>
      </w:r>
    </w:p>
    <w:p>
      <w:pPr>
        <w:spacing w:after="0" w:line="205" w:lineRule="exact"/>
        <w:rPr>
          <w:sz w:val="20"/>
          <w:szCs w:val="20"/>
          <w:color w:val="auto"/>
        </w:rPr>
      </w:pPr>
    </w:p>
    <w:p>
      <w:pPr>
        <w:ind w:left="120" w:right="540"/>
        <w:spacing w:after="0" w:line="246" w:lineRule="auto"/>
        <w:rPr>
          <w:sz w:val="20"/>
          <w:szCs w:val="20"/>
          <w:color w:val="auto"/>
        </w:rPr>
      </w:pPr>
      <w:r>
        <w:rPr>
          <w:rFonts w:ascii="Arial" w:cs="Arial" w:eastAsia="Arial" w:hAnsi="Arial"/>
          <w:sz w:val="18"/>
          <w:szCs w:val="18"/>
          <w:color w:val="auto"/>
        </w:rPr>
        <w:t>We believe Dr. Goodman is qualified to serve on our board of directors due to his experience founding and managing biotechnology companies in both the private and public markets.</w:t>
      </w:r>
    </w:p>
    <w:p>
      <w:pPr>
        <w:spacing w:after="0" w:line="175" w:lineRule="exact"/>
        <w:rPr>
          <w:sz w:val="20"/>
          <w:szCs w:val="20"/>
          <w:color w:val="auto"/>
        </w:rPr>
      </w:pPr>
    </w:p>
    <w:p>
      <w:pPr>
        <w:ind w:left="120" w:right="20"/>
        <w:spacing w:after="0"/>
        <w:rPr>
          <w:sz w:val="20"/>
          <w:szCs w:val="20"/>
          <w:color w:val="auto"/>
        </w:rPr>
      </w:pPr>
      <w:r>
        <w:rPr>
          <w:rFonts w:ascii="Arial" w:cs="Arial" w:eastAsia="Arial" w:hAnsi="Arial"/>
          <w:sz w:val="18"/>
          <w:szCs w:val="18"/>
          <w:b w:val="1"/>
          <w:bCs w:val="1"/>
          <w:i w:val="1"/>
          <w:iCs w:val="1"/>
          <w:color w:val="auto"/>
        </w:rPr>
        <w:t xml:space="preserve">Jason Lettmann </w:t>
      </w:r>
      <w:r>
        <w:rPr>
          <w:rFonts w:ascii="Arial" w:cs="Arial" w:eastAsia="Arial" w:hAnsi="Arial"/>
          <w:sz w:val="18"/>
          <w:szCs w:val="18"/>
          <w:color w:val="auto"/>
        </w:rPr>
        <w:t>has served as a member of our board of directors since April 2020 and previously served as a member of our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from March 2015 to May 2017. Mr. Lettmann has served as a General Partner of Lightstone Ventures since March 2012 and as a Partner at Morgenthaler Ventures, a venture capital and private equity firm, since June 2009. He previously served as Chief Executive Officer of Promedior Inc., a biotechnology company acquired by Roche, from January 2019 to February 2020 and as a Vice President at Split Rock Partners, a venture capital firm, from June 2006 to June 2009. Mr. Lettmann currently serves as a member of the board of directors of several privately-held companies and previously served as a director of Ra Pharmaceuticals, a clinical-stage pharmaceutical company acquired by UCB. Mr. Lettmann holds a B.A. in Psychology from the University of Iowa and an M.B.A. from the University of Michigan’s Ross School of Business.</w:t>
      </w:r>
    </w:p>
    <w:p>
      <w:pPr>
        <w:spacing w:after="0" w:line="202" w:lineRule="exact"/>
        <w:rPr>
          <w:sz w:val="20"/>
          <w:szCs w:val="20"/>
          <w:color w:val="auto"/>
        </w:rPr>
      </w:pPr>
    </w:p>
    <w:p>
      <w:pPr>
        <w:ind w:left="120" w:right="160"/>
        <w:spacing w:after="0" w:line="246" w:lineRule="auto"/>
        <w:rPr>
          <w:sz w:val="20"/>
          <w:szCs w:val="20"/>
          <w:color w:val="auto"/>
        </w:rPr>
      </w:pPr>
      <w:r>
        <w:rPr>
          <w:rFonts w:ascii="Arial" w:cs="Arial" w:eastAsia="Arial" w:hAnsi="Arial"/>
          <w:sz w:val="18"/>
          <w:szCs w:val="18"/>
          <w:color w:val="auto"/>
        </w:rPr>
        <w:t>We believe Mr. Lettmann is qualified to serve on our board of directors because of his industry experience, his experience serving on the boards of directors for multiple life sciences companies and his extensive experience with venture capital investments.</w:t>
      </w:r>
    </w:p>
    <w:p>
      <w:pPr>
        <w:spacing w:after="0" w:line="175" w:lineRule="exact"/>
        <w:rPr>
          <w:sz w:val="20"/>
          <w:szCs w:val="20"/>
          <w:color w:val="auto"/>
        </w:rPr>
      </w:pPr>
    </w:p>
    <w:p>
      <w:pPr>
        <w:ind w:left="120" w:right="40"/>
        <w:spacing w:after="0" w:line="242" w:lineRule="auto"/>
        <w:rPr>
          <w:sz w:val="20"/>
          <w:szCs w:val="20"/>
          <w:color w:val="auto"/>
        </w:rPr>
      </w:pPr>
      <w:r>
        <w:rPr>
          <w:rFonts w:ascii="Arial" w:cs="Arial" w:eastAsia="Arial" w:hAnsi="Arial"/>
          <w:sz w:val="18"/>
          <w:szCs w:val="18"/>
          <w:b w:val="1"/>
          <w:bCs w:val="1"/>
          <w:i w:val="1"/>
          <w:iCs w:val="1"/>
          <w:color w:val="auto"/>
        </w:rPr>
        <w:t xml:space="preserve">Sophia Randolph, M.D., Ph.D. </w:t>
      </w:r>
      <w:r>
        <w:rPr>
          <w:rFonts w:ascii="Arial" w:cs="Arial" w:eastAsia="Arial" w:hAnsi="Arial"/>
          <w:sz w:val="18"/>
          <w:szCs w:val="18"/>
          <w:color w:val="auto"/>
        </w:rPr>
        <w:t>has served as our Chief Medical Officer since June 2016 and as a member of our board of directors since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March 2021. Prior to joining us, she was with Pfizer Oncology Early and Late Development Groups from June 2008 to April 2016, where she served most recently as Executive Director, Oncology from June 2015 to April 2016. From June 2007 to May 2008, Dr. Randolph served as Director, Clinical Sciences, Oncology at Merck, a pharmaceutical company. She holds an A.B. in Biochemistry from Harvard University and an M.D. and a Ph.D. in Cellular and Molecular Biology from the University of Michigan. Dr. Randolph completed her oncology fellowship training at Seattle Cancer Care Alliance/Fred Hutchinson Cancer Research Center.</w:t>
      </w:r>
    </w:p>
    <w:p>
      <w:pPr>
        <w:spacing w:after="0" w:line="201" w:lineRule="exact"/>
        <w:rPr>
          <w:sz w:val="20"/>
          <w:szCs w:val="20"/>
          <w:color w:val="auto"/>
        </w:rPr>
      </w:pPr>
    </w:p>
    <w:p>
      <w:pPr>
        <w:ind w:left="120" w:right="320"/>
        <w:spacing w:after="0" w:line="246" w:lineRule="auto"/>
        <w:rPr>
          <w:sz w:val="20"/>
          <w:szCs w:val="20"/>
          <w:color w:val="auto"/>
        </w:rPr>
      </w:pPr>
      <w:r>
        <w:rPr>
          <w:rFonts w:ascii="Arial" w:cs="Arial" w:eastAsia="Arial" w:hAnsi="Arial"/>
          <w:sz w:val="18"/>
          <w:szCs w:val="18"/>
          <w:color w:val="auto"/>
        </w:rPr>
        <w:t>We believe Dr. Randolph is qualified to serve on our board of directors because of her medical expertise and her extensive experience within the biotechnology sector.</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Continuing Directors</w:t>
      </w:r>
    </w:p>
    <w:p>
      <w:pPr>
        <w:spacing w:after="0" w:line="104"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b w:val="1"/>
          <w:bCs w:val="1"/>
          <w:i w:val="1"/>
          <w:iCs w:val="1"/>
          <w:color w:val="auto"/>
        </w:rPr>
        <w:t xml:space="preserve">Graham Walmsley, M.D., Ph.D. </w:t>
      </w:r>
      <w:r>
        <w:rPr>
          <w:rFonts w:ascii="Arial" w:cs="Arial" w:eastAsia="Arial" w:hAnsi="Arial"/>
          <w:sz w:val="18"/>
          <w:szCs w:val="18"/>
          <w:color w:val="auto"/>
        </w:rPr>
        <w:t>has served as a member of our board of directors since February 2020. Dr. Walmsley is a Co-Founder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has served as a Managing Member of Logos Global Management, LP, a biotechnology-focused hedge fund, since August 2019. From July 2016 to August 2019, he served as a Principal at Versant Ventures, a healthcare focused venture capital firm. Dr. Walmsley served as Head of Business Development at Pipeline Therapeutics Inc., a biotechnology company, from April 2018 to December 2018 and as Head of Business Development at Jecure Therapeutics, Inc., a biotechnology company, from June 2017 until its acquisition by Genentech, a subsidiary of Roche, in November 2018. He currently serves as a member of the boards of directors of Akero Therapeutics and Olema Pharmaceuticals, both Nasdaq-listed biotechnology companies, and LifeSci Acquisition II Corporation, a special purpose acquisition company. Dr. Walmsley received a B.A. in Molecular and Cell Biology from the University of California, Berkeley in June 2009 and a Ph.D. and an M.D. in Stem Cell Biology and Regenerative Medicine from Stanford University School of Medicine in June 2016 and June 2018, respectively.</w:t>
      </w:r>
    </w:p>
    <w:p>
      <w:pPr>
        <w:spacing w:after="0" w:line="13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80"/>
        <w:spacing w:after="0" w:line="274" w:lineRule="auto"/>
        <w:rPr>
          <w:sz w:val="20"/>
          <w:szCs w:val="20"/>
          <w:color w:val="auto"/>
        </w:rPr>
      </w:pPr>
      <w:r>
        <w:rPr>
          <w:rFonts w:ascii="Arial" w:cs="Arial" w:eastAsia="Arial" w:hAnsi="Arial"/>
          <w:sz w:val="17"/>
          <w:szCs w:val="17"/>
          <w:color w:val="auto"/>
        </w:rPr>
        <w:t>We believe Dr. Walmsley is qualified to serve on our board of directors because of his significant experience in the healthcare and biotechnology industry, his educational background and his experience as a director for companies in the biotechnology sector.</w:t>
      </w:r>
    </w:p>
    <w:p>
      <w:pPr>
        <w:spacing w:after="0" w:line="153"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b w:val="1"/>
          <w:bCs w:val="1"/>
          <w:i w:val="1"/>
          <w:iCs w:val="1"/>
          <w:color w:val="auto"/>
        </w:rPr>
        <w:t xml:space="preserve">Jack Nielsen </w:t>
      </w:r>
      <w:r>
        <w:rPr>
          <w:rFonts w:ascii="Arial" w:cs="Arial" w:eastAsia="Arial" w:hAnsi="Arial"/>
          <w:sz w:val="18"/>
          <w:szCs w:val="18"/>
          <w:color w:val="auto"/>
        </w:rPr>
        <w:t>has served as a member of our board of directors since February 2020. Mr. Nielsen has served as a Managing Director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Vivo Capital LLC, a healthcare focused investment firm, since August 2017 and was recently promoted to Managing Partner. He previously served as a consultant from March 2017 to July 2017. From 2001 to February 2017, Mr. Nielsen was with the Novo A/S (Novozymes) organization and its venture activities in several roles, most recently as a Senior Partner based in Copenhagen, Denmark. From May 2006 to August 2012, Mr. Nielsen was a Partner at Novo Ventures (US) in San Francisco, where he established the office that provides certain consultancy services to Novo A/S. He currently serves as a member of the board of directors of Aligos Therapeutics Inc., a biotechnology company, Harmony Biosciences Holdings Inc., a pharmaceutical company, and Reata Pharmaceuticals, a pharmaceutical company, and previously served as a director of Akebia Therapeutics, Apollo Endosurgery, Crinetics Pharmaceuticals and Merus, N.V. Mr. Nielsen holds an M.Sc. in Chemical Engineering from the Technical University of Denmark and a Masters in Management of Technology from Center for Technology, Economics and Management, Technical University of Denmark.</w:t>
      </w:r>
    </w:p>
    <w:p>
      <w:pPr>
        <w:spacing w:after="0" w:line="202" w:lineRule="exact"/>
        <w:rPr>
          <w:sz w:val="20"/>
          <w:szCs w:val="20"/>
          <w:color w:val="auto"/>
        </w:rPr>
      </w:pPr>
    </w:p>
    <w:p>
      <w:pPr>
        <w:ind w:left="120" w:right="80"/>
        <w:spacing w:after="0" w:line="246" w:lineRule="auto"/>
        <w:rPr>
          <w:sz w:val="20"/>
          <w:szCs w:val="20"/>
          <w:color w:val="auto"/>
        </w:rPr>
      </w:pPr>
      <w:r>
        <w:rPr>
          <w:rFonts w:ascii="Arial" w:cs="Arial" w:eastAsia="Arial" w:hAnsi="Arial"/>
          <w:sz w:val="18"/>
          <w:szCs w:val="18"/>
          <w:color w:val="auto"/>
        </w:rPr>
        <w:t>We believe Mr. Nielsen is qualified to serve on our board of directors because of his experience working in the biotechnology industry, his experience as a venture capital investor and his board service for several companies in the biotechnology sector.</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 xml:space="preserve">Jaume Pons, Ph.D. </w:t>
      </w:r>
      <w:r>
        <w:rPr>
          <w:rFonts w:ascii="Arial" w:cs="Arial" w:eastAsia="Arial" w:hAnsi="Arial"/>
          <w:sz w:val="18"/>
          <w:szCs w:val="18"/>
          <w:color w:val="auto"/>
        </w:rPr>
        <w:t>has served as our President, Chief Executive Officer and as a member of our board of directors since April 2015. 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has also served as a Scientific Advisor at Lightstone Ventures, a venture capital fund, since January 2019 and as a Venture Partner at venBio Partners, a venture capital firm, since January 2017. Prior to joining us, Dr. Pons was with Pfizer, Inc., a biopharmaceutical company, where he served as Senior Vice President and a member of the Pfizer Worldwide Research and Development Leadership Team and Chief Technology Officer for Pfizer Biotherapeutics from September 2009 to February 2015. From October 2007 to February 2015, he served as Chief Scientific Officer at Rinat Neuroscience Corporation, a subsidiary of Pfizer. Dr. Pons holds a B.S. in Biochemistry from Autonomous University of Barcelona and an M.S. in Biotechnology and a Ph.D. in Molecular and Cell Biology from the Institute on Fundamental Biology, Barcelona (Autonomous University of Barcelona).</w:t>
      </w:r>
    </w:p>
    <w:p>
      <w:pPr>
        <w:spacing w:after="0" w:line="202"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We believe Dr. Pons is qualified to serve on our board of directors because of the perspective and experience he brings as our Chief Executive Officer, his experience in leadership positions in the biotechnology industry, his educational background and his strong scientific knowledge.</w:t>
      </w:r>
    </w:p>
    <w:p>
      <w:pPr>
        <w:spacing w:after="0" w:line="181" w:lineRule="exact"/>
        <w:rPr>
          <w:sz w:val="20"/>
          <w:szCs w:val="20"/>
          <w:color w:val="auto"/>
        </w:rPr>
      </w:pPr>
    </w:p>
    <w:p>
      <w:pPr>
        <w:ind w:left="120" w:right="100"/>
        <w:spacing w:after="0" w:line="239" w:lineRule="auto"/>
        <w:rPr>
          <w:sz w:val="20"/>
          <w:szCs w:val="20"/>
          <w:color w:val="auto"/>
        </w:rPr>
      </w:pPr>
      <w:r>
        <w:rPr>
          <w:rFonts w:ascii="Arial" w:cs="Arial" w:eastAsia="Arial" w:hAnsi="Arial"/>
          <w:sz w:val="18"/>
          <w:szCs w:val="18"/>
          <w:b w:val="1"/>
          <w:bCs w:val="1"/>
          <w:i w:val="1"/>
          <w:iCs w:val="1"/>
          <w:color w:val="auto"/>
        </w:rPr>
        <w:t xml:space="preserve">Rekha Hemrajani </w:t>
      </w:r>
      <w:r>
        <w:rPr>
          <w:rFonts w:ascii="Arial" w:cs="Arial" w:eastAsia="Arial" w:hAnsi="Arial"/>
          <w:sz w:val="18"/>
          <w:szCs w:val="18"/>
          <w:color w:val="auto"/>
        </w:rPr>
        <w:t>has served as a member of our board of directors since April 2020. She is currently Chief Executive Officer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 of Jiya Acquisition Corporation. She previously served as President and Chief Executive Officer of Aravive, Inc., a clinical-stage biotechnology company, from January 2020 to April 2020. From March 2019 to September 2019, Ms. Hemrajani served as the Chief Operating Officer and Chief Financial Officer of Arcus Biosciences, a biotechnology company. From March 2016 to March 2019, she served as Chief Operating Officer of FLX Bio, Inc. (now RAPT Therapeutics, Inc.), a biotechnology company. From February 2015 to March 2016, Ms. Hemrajani served as Chief Financial Officer and Senior Vice President of Business and Financial Operations at 3-V Biosciences, Inc. (now Sagimet Biosciences, Inc.), a biotechnology company. From November 2013 to January 2015, Ms. Hemrajani advised privately held companies on strategic corporate development and financing activities at Ravinia Consulting, a consulting firm she founded. Ms. Hemrajani currently serves as a director at Adverum Biotechnologies, Inc., a clinical-stage gene therapy company, and previously served as a director at Aravive. She holds a B.S. in Economics and</w:t>
      </w:r>
    </w:p>
    <w:p>
      <w:pPr>
        <w:spacing w:after="0" w:line="13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00"/>
          </w:cols>
          <w:pgMar w:left="320" w:top="459" w:right="4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20"/>
        <w:spacing w:after="0" w:line="246" w:lineRule="auto"/>
        <w:rPr>
          <w:sz w:val="20"/>
          <w:szCs w:val="20"/>
          <w:color w:val="auto"/>
        </w:rPr>
      </w:pPr>
      <w:r>
        <w:rPr>
          <w:rFonts w:ascii="Arial" w:cs="Arial" w:eastAsia="Arial" w:hAnsi="Arial"/>
          <w:sz w:val="18"/>
          <w:szCs w:val="18"/>
          <w:color w:val="auto"/>
        </w:rPr>
        <w:t>Computer Science from the University of Michigan and an M.B.A. from the Kellogg Graduate School of Management at Northwestern University.</w:t>
      </w:r>
    </w:p>
    <w:p>
      <w:pPr>
        <w:spacing w:after="0" w:line="89" w:lineRule="exact"/>
        <w:rPr>
          <w:sz w:val="20"/>
          <w:szCs w:val="20"/>
          <w:color w:val="auto"/>
        </w:rPr>
      </w:pPr>
    </w:p>
    <w:p>
      <w:pPr>
        <w:ind w:left="120" w:right="760"/>
        <w:spacing w:after="0" w:line="246" w:lineRule="auto"/>
        <w:rPr>
          <w:sz w:val="20"/>
          <w:szCs w:val="20"/>
          <w:color w:val="auto"/>
        </w:rPr>
      </w:pPr>
      <w:r>
        <w:rPr>
          <w:rFonts w:ascii="Arial" w:cs="Arial" w:eastAsia="Arial" w:hAnsi="Arial"/>
          <w:sz w:val="18"/>
          <w:szCs w:val="18"/>
          <w:color w:val="auto"/>
        </w:rPr>
        <w:t>We believe Ms. Hemrajani is qualified to serve on our board of directors due to her executive and financial experience at multiple companies in the biopharmaceutical and biotechnology industries.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Family Relationships</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are no family relationships among any of our directors or executive officers.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Independence</w:t>
      </w:r>
    </w:p>
    <w:p>
      <w:pPr>
        <w:spacing w:after="0" w:line="126"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Our common stock is listed on the Nasdaq Global Select Market. Under the rules of Nasdaq, independent directors must comprise a majority of a listed company’s board of directors within one year of the completion of our initial public offering. In addition, the rules of Nasdaq require that, subject to specified exceptions, each member of a listed company’s audit, compensation and corporate governance and nominating committees be independent. Audit committee members and compensation committee members must also satisfy the independence criteria set forth in Rule 10A-3 and Rule 10C-1, respectively, under the Exchange Act.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203" w:lineRule="exact"/>
        <w:rPr>
          <w:sz w:val="20"/>
          <w:szCs w:val="20"/>
          <w:color w:val="auto"/>
        </w:rPr>
      </w:pPr>
    </w:p>
    <w:p>
      <w:pPr>
        <w:ind w:left="120" w:right="240"/>
        <w:spacing w:after="0" w:line="238" w:lineRule="auto"/>
        <w:rPr>
          <w:sz w:val="20"/>
          <w:szCs w:val="20"/>
          <w:color w:val="auto"/>
        </w:rPr>
      </w:pPr>
      <w:r>
        <w:rPr>
          <w:rFonts w:ascii="Arial" w:cs="Arial" w:eastAsia="Arial" w:hAnsi="Arial"/>
          <w:sz w:val="18"/>
          <w:szCs w:val="18"/>
          <w:color w:val="auto"/>
        </w:rPr>
        <w:t>To be considered to be independent for purposes of Rule 10A-3 and under the rules of Nasdaq,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w:t>
      </w:r>
    </w:p>
    <w:p>
      <w:pPr>
        <w:spacing w:after="0" w:line="205"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To be considered independent for purposes of Rule 10C-1 and under the rules of Nasdaq, the board of directors must affirmatively determine that each member of the compensation committee is independent, including a consideration of all factors specifically relevant to determining whether the director has a relationship to the company which is material to that director’s ability to be independent from management in connection with the duties of a compensation committee member, including, but not limited to: (1) the source of compensation of such director, including any consulting, advisory or other compensatory fee paid by the company to such director and (2) whether such director is affiliated with the company, a subsidiary of the company or an affiliate of a subsidiary of the company.</w:t>
      </w:r>
    </w:p>
    <w:p>
      <w:pPr>
        <w:spacing w:after="0" w:line="205"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Our board of directors undertook a review of its composition, the composition of its committees and the independence of our directors and considered whether any director has a material relationship with us that could compromise his or her ability to exercise independent judgment in carrying out his or her responsibilities. Based upon information requested from and provided by each director concerning his background, employment and affiliations, including family relationships, our board of directors has determined that Drs. Goodman and Walmsley, Messrs. Lettmann and Nielsen and Ms. Hemrajani., representing five of our seven directors, do not have a relationship that would interfere with the exercise of independent judgment in carrying out the responsibilities of a director and that each of these directors is “independent” as that term is defined under the rules of Nasdaq.</w:t>
      </w:r>
    </w:p>
    <w:p>
      <w:pPr>
        <w:spacing w:after="0" w:line="203"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transactions involving them described in the section titled “Certain Relationships and Related-Party Transactions.” There are no family relationships among any of our directors or executive officers.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00"/>
          </w:cols>
          <w:pgMar w:left="320" w:top="459" w:right="4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Leadership Structure</w:t>
      </w:r>
    </w:p>
    <w:p>
      <w:pPr>
        <w:spacing w:after="0" w:line="126"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Our board of directors is currently chaired by Dr. Goodman. As a general policy, our board of directors believes that separation of the positions of Executive Chairman of our board of directors and Chief Executive Officer reinforces the independence of our board of directors from management, creates an environment that encourages objective oversight of management’s performance and enhances the effectiveness of our board of directors as a whole. As such, Dr. Pons serves as our Chief Executive Officer while Dr. Goodman serves as the Executive Chairman of our board of directors but is not an officer. We currently expect and intend the positions of Executive Chairman of our board of directors and Chief Executive Officer to continue to be held by two individuals in the future.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Role of the Board in Risk Oversight</w:t>
      </w:r>
    </w:p>
    <w:p>
      <w:pPr>
        <w:spacing w:after="0" w:line="126"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Our board of directors has an active role, as a whole and also at the committee level, in overseeing the management of our risks. Our board of directors is responsible for general oversight of risks and regular review of information regarding our risks, including credit risks, liquidity risks and operational risks. The compensation committee is responsible for overseeing the management of risks relating to our executive compensation plans and arrangements. The audit committee is responsible for overseeing the management of risks relating to accounting matters and financial reporting. The corporate governance and nominating committee is responsible for overseeing the management of risks associated with the independence of our board of directors and potential conflicts of interest. Although each committee is responsible for evaluating certain risks and overseeing the management of such risks, our entire board of directors is regularly informed through discussions from committee members about such risks. Our board of directors believes its administration of its risk oversight function has not negatively affected the board of directors’ leadership structure.</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Committees of our Board of Directors</w:t>
      </w:r>
    </w:p>
    <w:p>
      <w:pPr>
        <w:spacing w:after="0" w:line="126"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Our board of directors has established an audit committee, a compensation committee, and a corporate governance and nominating committee. The composition and responsibilities of each of the committees of our board of directors are described below. Members serve on these committees until their resignation or until otherwise determined by our board of directors. Our board of directors may establish other committees as it deems necessary or appropriate from time to time.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Audit Committee</w:t>
      </w:r>
    </w:p>
    <w:p>
      <w:pPr>
        <w:spacing w:after="0" w:line="122"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Our audit committee consists of Ms. Hemrajani, Dr. Walmsley, and Mr. Nielsen. Ms. Hemrajani is the chair of our audit committee and is our audit committee financial expert, as that term is defined under the SEC rules implementing Section 407 of SOX, and possesses financial sophistication, as defined under the rules of Nasdaq. Our board of directors has determined that each of the members of our audit committee satisfies the independence requirements under the listing standards of Nasdaq and Rule 10A-3 of the Exchange Act. Our audit committee oversees our corporate accounting and financial reporting process and assists our board of directors in monitoring our financial systems. Our audit committee also:</w:t>
      </w:r>
    </w:p>
    <w:p>
      <w:pPr>
        <w:spacing w:after="0" w:line="110" w:lineRule="exact"/>
        <w:rPr>
          <w:sz w:val="20"/>
          <w:szCs w:val="20"/>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selects and hires the independent registered public accounting firm to audit our consolidated financial statements;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helps to ensure the independence and performance of the independent registered public accounting firm;</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approves audit and non-audit services and fees;</w:t>
      </w:r>
    </w:p>
    <w:p>
      <w:pPr>
        <w:spacing w:after="0" w:line="117" w:lineRule="exact"/>
        <w:rPr>
          <w:rFonts w:ascii="Arial" w:cs="Arial" w:eastAsia="Arial" w:hAnsi="Arial"/>
          <w:sz w:val="18"/>
          <w:szCs w:val="18"/>
          <w:color w:val="auto"/>
        </w:rPr>
      </w:pPr>
    </w:p>
    <w:p>
      <w:pPr>
        <w:ind w:left="1080" w:right="20" w:hanging="424"/>
        <w:spacing w:after="0" w:line="246"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reviews consolidated financial statements and discusses with management and the independent registered public accounting firm our annual audited and quarterly consolidated</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60"/>
          </w:cols>
          <w:pgMar w:left="320" w:top="459" w:right="5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100" w:right="760"/>
        <w:spacing w:after="0" w:line="246" w:lineRule="auto"/>
        <w:rPr>
          <w:sz w:val="20"/>
          <w:szCs w:val="20"/>
          <w:color w:val="auto"/>
        </w:rPr>
      </w:pPr>
      <w:r>
        <w:rPr>
          <w:rFonts w:ascii="Arial" w:cs="Arial" w:eastAsia="Arial" w:hAnsi="Arial"/>
          <w:sz w:val="18"/>
          <w:szCs w:val="18"/>
          <w:color w:val="auto"/>
        </w:rPr>
        <w:t>financial statements, the results of the independent audit and the quarterly reviews and the reports and certifications regarding internal controls over financial reporting and disclosure controls;</w:t>
      </w:r>
    </w:p>
    <w:p>
      <w:pPr>
        <w:spacing w:after="0" w:line="102" w:lineRule="exact"/>
        <w:rPr>
          <w:sz w:val="20"/>
          <w:szCs w:val="20"/>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prepares the audit committee report that the SEC requires to be included in our annual proxy statement;</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reviews reports and communications from the independent registered public accounting firm;</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reviews the adequacy and effectiveness of our internal controls and disclosure controls and procedure;</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reviews our policies on risk assessment and risk management;</w:t>
      </w:r>
    </w:p>
    <w:p>
      <w:pPr>
        <w:spacing w:after="0" w:line="117" w:lineRule="exact"/>
        <w:rPr>
          <w:rFonts w:ascii="Arial" w:cs="Arial" w:eastAsia="Arial" w:hAnsi="Arial"/>
          <w:sz w:val="18"/>
          <w:szCs w:val="18"/>
          <w:color w:val="auto"/>
        </w:rPr>
      </w:pPr>
    </w:p>
    <w:p>
      <w:pPr>
        <w:ind w:left="1080" w:right="380" w:hanging="424"/>
        <w:spacing w:after="0" w:line="246"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reviewing and monitoring conflicts of interest situations, and approving or prohibiting any involvement in matters that may involve a conflict of interest or taking of a corporate opportunity;</w:t>
      </w:r>
    </w:p>
    <w:p>
      <w:pPr>
        <w:spacing w:after="0" w:line="102"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reviews related party transactions; and</w:t>
      </w:r>
    </w:p>
    <w:p>
      <w:pPr>
        <w:spacing w:after="0" w:line="117" w:lineRule="exact"/>
        <w:rPr>
          <w:rFonts w:ascii="Arial" w:cs="Arial" w:eastAsia="Arial" w:hAnsi="Arial"/>
          <w:sz w:val="18"/>
          <w:szCs w:val="18"/>
          <w:color w:val="auto"/>
        </w:rPr>
      </w:pPr>
    </w:p>
    <w:p>
      <w:pPr>
        <w:ind w:left="1080" w:right="620" w:hanging="424"/>
        <w:spacing w:after="0" w:line="246"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establishes and oversees procedures for the receipt, retention and treatment of accounting related complaints and the confidential submission by our employees of concerns regarding questionable accounting or auditing matters.</w:t>
      </w:r>
    </w:p>
    <w:p>
      <w:pPr>
        <w:spacing w:after="0" w:line="197" w:lineRule="exact"/>
        <w:rPr>
          <w:sz w:val="20"/>
          <w:szCs w:val="20"/>
          <w:color w:val="auto"/>
        </w:rPr>
      </w:pPr>
    </w:p>
    <w:p>
      <w:pPr>
        <w:ind w:left="120" w:right="740"/>
        <w:spacing w:after="0"/>
        <w:rPr>
          <w:sz w:val="20"/>
          <w:szCs w:val="20"/>
          <w:color w:val="auto"/>
        </w:rPr>
      </w:pPr>
      <w:r>
        <w:rPr>
          <w:rFonts w:ascii="Arial" w:cs="Arial" w:eastAsia="Arial" w:hAnsi="Arial"/>
          <w:sz w:val="18"/>
          <w:szCs w:val="18"/>
          <w:color w:val="auto"/>
        </w:rPr>
        <w:t>Our audit committee operates under a written charter that satisfies the applicable rules and regulations of the SEC and the listing standards of Nasdaq. A copy of the charter for our audit committee is available on our investor relations website at https://ir.alxoncology.com/. During 2020, our audit committee held four meetings.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Compensation Committee</w:t>
      </w:r>
    </w:p>
    <w:p>
      <w:pPr>
        <w:spacing w:after="0" w:line="122"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Our compensation committee consists of Dr. Goodman and Messrs. Lettmann and Nielsen. Dr. Goodman is the chair of our compensation committee. Our board of directors has determined that each of the members of our compensation committee is independent under the listing standards of Nasdaq and a “non-employee director” as defined in Rule 16b-3 under the Exchange Act. Our compensation committee oversees our compensation policies, plans, and benefits programs. The compensation committee also:</w:t>
      </w:r>
    </w:p>
    <w:p>
      <w:pPr>
        <w:spacing w:after="0" w:line="110" w:lineRule="exact"/>
        <w:rPr>
          <w:sz w:val="20"/>
          <w:szCs w:val="20"/>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oversees our overall compensation philosophy and compensation policies, plans and benefit programs;</w:t>
      </w:r>
    </w:p>
    <w:p>
      <w:pPr>
        <w:spacing w:after="0" w:line="117" w:lineRule="exact"/>
        <w:rPr>
          <w:rFonts w:ascii="Arial" w:cs="Arial" w:eastAsia="Arial" w:hAnsi="Arial"/>
          <w:sz w:val="18"/>
          <w:szCs w:val="18"/>
          <w:color w:val="auto"/>
        </w:rPr>
      </w:pPr>
    </w:p>
    <w:p>
      <w:pPr>
        <w:ind w:left="1080" w:right="220" w:hanging="424"/>
        <w:spacing w:after="0" w:line="246"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reviews and approves, or recommend to the board of directors for approval, the compensation of our executive officers and directors;</w:t>
      </w:r>
    </w:p>
    <w:p>
      <w:pPr>
        <w:spacing w:after="0" w:line="102"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prepares the compensation committee report that the SEC requires to be included in our annual proxy statement; and</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administers our equity compensation plans.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compensation committee operates under a written charter that satisfies the applicable rules and regulations of the SEC and the listing standards of Nasdaq. A copy of the charter for our compensation committee is available on our investor relations website at https://ir.alxoncology.com/. During 2020, our compensation committee held two meetings.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Corporate Governance and Nominating Committee</w:t>
      </w:r>
    </w:p>
    <w:p>
      <w:pPr>
        <w:spacing w:after="0" w:line="122" w:lineRule="exact"/>
        <w:rPr>
          <w:sz w:val="20"/>
          <w:szCs w:val="20"/>
          <w:color w:val="auto"/>
        </w:rPr>
      </w:pPr>
    </w:p>
    <w:p>
      <w:pPr>
        <w:jc w:val="both"/>
        <w:ind w:left="120" w:right="600"/>
        <w:spacing w:after="0" w:line="261" w:lineRule="auto"/>
        <w:rPr>
          <w:sz w:val="20"/>
          <w:szCs w:val="20"/>
          <w:color w:val="auto"/>
        </w:rPr>
      </w:pPr>
      <w:r>
        <w:rPr>
          <w:rFonts w:ascii="Arial" w:cs="Arial" w:eastAsia="Arial" w:hAnsi="Arial"/>
          <w:sz w:val="17"/>
          <w:szCs w:val="17"/>
          <w:color w:val="auto"/>
        </w:rPr>
        <w:t>Our corporate governance and nominating committee consists of Drs. Goodman and Walmsley, Ms. Hemrajani, and Mr. Lettmann. Mr. Lettmann is the chair of our corporate governance and nominating committee. Our board of directors has determined that each member of our corporate governance and nominating committee is independent under the listing standards of Nasdaq.</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80"/>
          </w:cols>
          <w:pgMar w:left="320" w:top="459" w:right="4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20"/>
        <w:spacing w:after="0" w:line="246" w:lineRule="auto"/>
        <w:rPr>
          <w:sz w:val="20"/>
          <w:szCs w:val="20"/>
          <w:color w:val="auto"/>
        </w:rPr>
      </w:pPr>
      <w:r>
        <w:rPr>
          <w:rFonts w:ascii="Arial" w:cs="Arial" w:eastAsia="Arial" w:hAnsi="Arial"/>
          <w:sz w:val="18"/>
          <w:szCs w:val="18"/>
          <w:color w:val="auto"/>
        </w:rPr>
        <w:t>Our corporate governance and nominating committee oversees and assists our board of directors in reviewing and recommending nominees for election as directors. Specifically, the corporate governance and nominating committee:</w:t>
      </w:r>
    </w:p>
    <w:p>
      <w:pPr>
        <w:spacing w:after="0" w:line="102" w:lineRule="exact"/>
        <w:rPr>
          <w:sz w:val="20"/>
          <w:szCs w:val="20"/>
          <w:color w:val="auto"/>
        </w:rPr>
      </w:pPr>
    </w:p>
    <w:p>
      <w:pPr>
        <w:ind w:left="1080" w:right="200" w:hanging="424"/>
        <w:spacing w:after="0" w:line="246"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identifies, evaluates, and makes recommendations to our board of directors regarding nominees for election to our board of directors and its committees;</w:t>
      </w:r>
    </w:p>
    <w:p>
      <w:pPr>
        <w:spacing w:after="0" w:line="102" w:lineRule="exact"/>
        <w:rPr>
          <w:rFonts w:ascii="Arial" w:cs="Arial" w:eastAsia="Arial" w:hAnsi="Arial"/>
          <w:sz w:val="18"/>
          <w:szCs w:val="18"/>
          <w:color w:val="auto"/>
        </w:rPr>
      </w:pPr>
    </w:p>
    <w:p>
      <w:pPr>
        <w:ind w:left="1080" w:hanging="424"/>
        <w:spacing w:after="0" w:line="246"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considering and making recommendations to our board of directors regarding the composition of our board of directors and its committees;</w:t>
      </w:r>
    </w:p>
    <w:p>
      <w:pPr>
        <w:spacing w:after="0" w:line="102"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reviewing developments in corporate governance practices;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evaluating the adequacy of our corporate governance practices and reporting; and</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evaluating the performance of our board of directors and of individual directors.</w:t>
      </w:r>
    </w:p>
    <w:p>
      <w:pPr>
        <w:spacing w:after="0" w:line="212" w:lineRule="exact"/>
        <w:rPr>
          <w:sz w:val="20"/>
          <w:szCs w:val="20"/>
          <w:color w:val="auto"/>
        </w:rPr>
      </w:pPr>
    </w:p>
    <w:p>
      <w:pPr>
        <w:ind w:left="120" w:right="320"/>
        <w:spacing w:after="0"/>
        <w:rPr>
          <w:sz w:val="20"/>
          <w:szCs w:val="20"/>
          <w:color w:val="auto"/>
        </w:rPr>
      </w:pPr>
      <w:r>
        <w:rPr>
          <w:rFonts w:ascii="Arial" w:cs="Arial" w:eastAsia="Arial" w:hAnsi="Arial"/>
          <w:sz w:val="18"/>
          <w:szCs w:val="18"/>
          <w:color w:val="auto"/>
        </w:rPr>
        <w:t>Our corporate governance and nominating committee operates under a written charter that satisfies the listing standards of Nasdaq. A copy of the charter for our corporate governance and nominating committee is available on our investor relations website at https://ir.alxoncology.com/. During 2020, our corporate governance and nominating committee held one meeting.</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Attendance at Board and Stockholder Meetings</w:t>
      </w:r>
    </w:p>
    <w:p>
      <w:pPr>
        <w:spacing w:after="0" w:line="126" w:lineRule="exact"/>
        <w:rPr>
          <w:sz w:val="20"/>
          <w:szCs w:val="20"/>
          <w:color w:val="auto"/>
        </w:rPr>
      </w:pPr>
    </w:p>
    <w:p>
      <w:pPr>
        <w:ind w:left="120" w:right="140"/>
        <w:spacing w:after="0" w:line="238" w:lineRule="auto"/>
        <w:rPr>
          <w:sz w:val="20"/>
          <w:szCs w:val="20"/>
          <w:color w:val="auto"/>
        </w:rPr>
      </w:pPr>
      <w:r>
        <w:rPr>
          <w:rFonts w:ascii="Arial" w:cs="Arial" w:eastAsia="Arial" w:hAnsi="Arial"/>
          <w:sz w:val="18"/>
          <w:szCs w:val="18"/>
          <w:color w:val="auto"/>
        </w:rPr>
        <w:t>During our fiscal year ended December 31, 2020, our board of directors held eleven meetings (including regularly scheduled and special meetings), and each director attended at least 75% of the aggregate of (i) the total number of meetings of our board of directors held during the period for which he or she has been a director and (ii) the total number of meetings held by all committees of our board of directors on which he or she served during the periods that he or she served on such committee.</w:t>
      </w:r>
    </w:p>
    <w:p>
      <w:pPr>
        <w:spacing w:after="0" w:line="205" w:lineRule="exact"/>
        <w:rPr>
          <w:sz w:val="20"/>
          <w:szCs w:val="20"/>
          <w:color w:val="auto"/>
        </w:rPr>
      </w:pPr>
    </w:p>
    <w:p>
      <w:pPr>
        <w:ind w:left="120" w:right="140"/>
        <w:spacing w:after="0" w:line="246" w:lineRule="auto"/>
        <w:rPr>
          <w:sz w:val="20"/>
          <w:szCs w:val="20"/>
          <w:color w:val="auto"/>
        </w:rPr>
      </w:pPr>
      <w:r>
        <w:rPr>
          <w:rFonts w:ascii="Arial" w:cs="Arial" w:eastAsia="Arial" w:hAnsi="Arial"/>
          <w:sz w:val="18"/>
          <w:szCs w:val="18"/>
          <w:color w:val="auto"/>
        </w:rPr>
        <w:t>Although we do not have a formal policy regarding attendance by members of our board of directors at annual meetings of stockholders, we strongly encourage, but do not require, our directors to attend. This is our first annual meeting of stockholders.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6" w:lineRule="exact"/>
        <w:rPr>
          <w:sz w:val="20"/>
          <w:szCs w:val="20"/>
          <w:color w:val="auto"/>
        </w:rPr>
      </w:pPr>
    </w:p>
    <w:p>
      <w:pPr>
        <w:ind w:left="120" w:right="140"/>
        <w:spacing w:after="0" w:line="238" w:lineRule="auto"/>
        <w:rPr>
          <w:sz w:val="20"/>
          <w:szCs w:val="20"/>
          <w:color w:val="auto"/>
        </w:rPr>
      </w:pPr>
      <w:r>
        <w:rPr>
          <w:rFonts w:ascii="Arial" w:cs="Arial" w:eastAsia="Arial" w:hAnsi="Arial"/>
          <w:sz w:val="18"/>
          <w:szCs w:val="18"/>
          <w:color w:val="auto"/>
        </w:rPr>
        <w:t>During 2020, Dr. Goodman and Messrs. Lettmann and Nielsen served on our compensation committee. None of the members of our compensation committee is or has been an officer or employee of our company. None of our executive officers currently serves, or in the past fiscal year has served, as a member of the board of directors or compensation committee (or other board committee performing equivalent functions or, in the absence of any such committee, the entire board of directors) of any entity that has one or more executive officers serving on our board of directors or compensation committee.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Considerations in Evaluating Director Nominees</w:t>
      </w:r>
    </w:p>
    <w:p>
      <w:pPr>
        <w:spacing w:after="0" w:line="126"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Our corporate governance and nominating committee uses a variety of methods, including engaging the services of outside consultants and search firms, to identify and evaluate director nominees. In its evaluation of director candidates, our corporate governance and nominating committee will consider the current size and composition of our board of directors and the needs of our board of directors and the respective committees of our board of directors. Some of the qualifications that our corporate governance and nominating committee considers include such factors as character, integrity, judgment, diversity (including, without limitation, diversity in terms of gender, race, ethnicity and experience), age, independence, skills, education, expertise, business acumen, corporate experience, length of service, understanding of our business and other commitments, among other things.</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80"/>
          </w:cols>
          <w:pgMar w:left="320" w:top="459" w:right="4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53" w:lineRule="auto"/>
        <w:rPr>
          <w:sz w:val="20"/>
          <w:szCs w:val="20"/>
          <w:color w:val="auto"/>
        </w:rPr>
      </w:pPr>
      <w:r>
        <w:rPr>
          <w:rFonts w:ascii="Arial" w:cs="Arial" w:eastAsia="Arial" w:hAnsi="Arial"/>
          <w:sz w:val="17"/>
          <w:szCs w:val="17"/>
          <w:color w:val="auto"/>
        </w:rPr>
        <w:t>Nominees must also have the highest personal and professional ethics and integrity and skills that are complementary to those of the existing directors. Director candidates must have the ability to assist and support management and make significant contributions to our success based on proven achievement and competence in the nominee’s field and the ability to exercise sound business judgment. Nominees must also have an understanding of the fiduciary responsibilities that are required of a member of our board of directors and the commitment of time and energy necessary to diligently carry out those responsibilities. Members of our board of directors are expected to prepare for, attend, and participate in all board of directors and applicable committee meetings. Our corporate governance and nominating committee may also consider such other factors as it may deem, from time to time, are in our and our stockholders’ best interests.</w:t>
      </w:r>
    </w:p>
    <w:p>
      <w:pPr>
        <w:spacing w:after="0" w:line="191" w:lineRule="exact"/>
        <w:rPr>
          <w:sz w:val="20"/>
          <w:szCs w:val="20"/>
          <w:color w:val="auto"/>
        </w:rPr>
      </w:pPr>
    </w:p>
    <w:p>
      <w:pPr>
        <w:ind w:left="120" w:right="180"/>
        <w:spacing w:after="0" w:line="236" w:lineRule="auto"/>
        <w:rPr>
          <w:sz w:val="20"/>
          <w:szCs w:val="20"/>
          <w:color w:val="auto"/>
        </w:rPr>
      </w:pPr>
      <w:r>
        <w:rPr>
          <w:rFonts w:ascii="Arial" w:cs="Arial" w:eastAsia="Arial" w:hAnsi="Arial"/>
          <w:sz w:val="18"/>
          <w:szCs w:val="18"/>
          <w:color w:val="auto"/>
        </w:rPr>
        <w:t>The corporate governance and nominating committee considers the suitability of each director candidate, including current directors, in light of the current size and composition of our board. Although our board of directors does not maintain a specific policy with respect to board diversity, our board of directors believes that our board of directors should be a diverse body, and our corporate governance and nominating committee considers a broad range of backgrounds and experiences. In making determinations regarding nominations of directors, our corporate governance and nominating committee may take into account the benefits of diverse viewpoints. Our corporate governance and nominating committee also considers these and other factors as it oversees the annual board of director and committee evaluations. After completing its review and evaluation of director candidates, our corporate governance and nominating committee recommends to our full board of directors the director nominees for selection.</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Stockholder Recommendations for Nominations to the Board of Directors</w:t>
      </w:r>
    </w:p>
    <w:p>
      <w:pPr>
        <w:spacing w:after="0" w:line="126"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Our corporate governance and nominating committee will consider director candidates recommended by stockholders holding no less than $2,000 in market value, or one percent (1%), of the outstanding shares of our common stock continuously for at least 12 months prior to the date of the submission of the recommendation or nomination, so long as such recommendations or nominations comply with our amended and restated certificate of incorporation, amended and restated bylaws, and applicable laws, rules and regulations, including those promulgated by the SEC. Our corporate governance and nominating committee will evaluate such recommendations in accordance with its charter, our amended and restated bylaws and our policies and procedures for director candidates, as well as the regular director nominee criteria described above. This process is designed to ensure that our board of directors includes members with diverse backgrounds, skills and experience, including appropriate financial and other expertise relevant to our business. Eligible stockholders wishing to recommend a candidate for nomination should contact our Secretary in writing. Such recommendations must include information about the candidate, a statement of support of the candidate by the recommending stockholder, evidence of the recommending stockholder’s ownership of our capital stock, a signed letter from the candidate confirming willingness to serve on our board of directors, information regarding any relationships between us and the candidate and any additional information required by our amended and restated bylaws. Our corporate governance and nominating committee has discretion to decide which individuals to recommend for nomination as directors.</w:t>
      </w:r>
    </w:p>
    <w:p>
      <w:pPr>
        <w:spacing w:after="0" w:line="214"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Under our amended and restated bylaws, stockholders may also directly nominate persons for election to our board of directors. Any nomination must comply with the requirements set forth in our amended and restated bylaws and should be sent in writing to our Secretary at ALX Oncology Holdings Inc., 866 Malcolm Road, Suite 100, Burlingame, California 94010. To be timely for the 2022 annual meeting of stockholders, nominations must be received by our Secretary not later than the 45th day nor earlier than the 75th day before the one-year anniversary of the date on which we first mailed our proxy materials or a notice of availability of proxy materials (whichever is earlier) for the preceding year’s annual meeting. In the event that no annual meeting was held in the previous year or if the date of the</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60"/>
        <w:spacing w:after="0" w:line="238" w:lineRule="auto"/>
        <w:rPr>
          <w:sz w:val="20"/>
          <w:szCs w:val="20"/>
          <w:color w:val="auto"/>
        </w:rPr>
      </w:pPr>
      <w:r>
        <w:rPr>
          <w:rFonts w:ascii="Arial" w:cs="Arial" w:eastAsia="Arial" w:hAnsi="Arial"/>
          <w:sz w:val="18"/>
          <w:szCs w:val="18"/>
          <w:color w:val="auto"/>
        </w:rPr>
        <w:t>annual meeting is advanced by more than 30 days prior to or delayed by more than 60 days after the one-year anniversary of the date of the previous year’s annual meeting, then notice by the stockholder to be timely must be so received by our Secretary not earlier than the close of business on the 120th day prior to such annual meeting and not later than the close of business on the later of (i) the 90th day prior to such annual meeting and (ii) the 10th day following the day on which public announcement of the date of such annual meeting is first made.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Communications with the Board of Directors</w:t>
      </w:r>
    </w:p>
    <w:p>
      <w:pPr>
        <w:spacing w:after="0" w:line="126"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Interested parties wishing to communicate with non-management members of our board of directors may do so by writing and mailing the correspondence to our Secretary at ALX Oncology Holdings Inc., 866 Malcolm Road, Suite 100, Burlingame, California 94010. Our Secretary monitors these communications and will provide a summary of all received bona fide messages to our board of directors at each regularly scheduled meeting of our board of directors. Where the nature of a communication warrants, our Secretary may determine, in his or her judgment, to obtain the more immediate attention of the appropriate committee of the board of directors or non-management director, of independent advisors or of our management.</w:t>
      </w:r>
    </w:p>
    <w:p>
      <w:pPr>
        <w:spacing w:after="0" w:line="20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procedure does not apply to (a) communications to non-management directors from officers or directors who are stockholders,</w:t>
      </w:r>
    </w:p>
    <w:p>
      <w:pPr>
        <w:ind w:left="120" w:right="600" w:hanging="4"/>
        <w:spacing w:after="0" w:line="246" w:lineRule="auto"/>
        <w:tabs>
          <w:tab w:leader="none" w:pos="39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stockholder proposals submitted pursuant to Rule 14a-8 under the Exchange Act or (c) communications to our audit committee pursuant to our complaint procedures for accounting and auditing matters.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Governance Guidelines and Code of Business Conduct and Ethics</w:t>
      </w:r>
    </w:p>
    <w:p>
      <w:pPr>
        <w:spacing w:after="0" w:line="126"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Our board of directors has adopted Corporate Governance Guidelines that address items such as the qualifications and responsibilities of our directors and director candidates and corporate governance policies and standards applicable to us in general. In addition, our board of directors has adopted a Code of Business Conduct and Ethics that applies to all of our employees, officers and directors, including our Chief Executive Officer, Chief Financial Officer and other executive and senior financial officers. The full text of our Corporate Governance Guidelines and our Code of Business Conduct and Ethics is posted on our investor relations website at https://ir.alxoncology.com/. We will post any amendments to our Code of Business Conduct and Ethics and any waivers of our Code of Business Conduct and Ethics for directors and executive officers on the same website or in filings under the Exchange Act.</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Role of the Board in Risk Oversight</w:t>
      </w:r>
    </w:p>
    <w:p>
      <w:pPr>
        <w:spacing w:after="0" w:line="126" w:lineRule="exact"/>
        <w:rPr>
          <w:sz w:val="20"/>
          <w:szCs w:val="20"/>
          <w:color w:val="auto"/>
        </w:rPr>
      </w:pPr>
    </w:p>
    <w:p>
      <w:pPr>
        <w:ind w:left="120" w:right="100"/>
        <w:spacing w:after="0" w:line="236" w:lineRule="auto"/>
        <w:rPr>
          <w:sz w:val="20"/>
          <w:szCs w:val="20"/>
          <w:color w:val="auto"/>
        </w:rPr>
      </w:pPr>
      <w:r>
        <w:rPr>
          <w:rFonts w:ascii="Arial" w:cs="Arial" w:eastAsia="Arial" w:hAnsi="Arial"/>
          <w:sz w:val="18"/>
          <w:szCs w:val="18"/>
          <w:color w:val="auto"/>
        </w:rPr>
        <w:t>Our board of directors has an active role, as a whole and also at the committee level, in overseeing the management of our risks. Our board of directors is responsible for general oversight of risks and regular review of information regarding our risks, including credit risks, liquidity risks and operational risks. The compensation committee is responsible for overseeing the management of risks relating to our executive compensation plans and arrangements. The audit committee is responsible for overseeing the management of risks relating to accounting matters and financial reporting. The corporate governance and nominating committee is responsible for overseeing the management of risks associated with the independence of our board of directors and potential conflicts of interest. Although each committee is responsible for evaluating certain risks and overseeing the management of such risks, our entire board of directors is regularly informed through discussions from committee members about such risks. Our board of directors believes its administration of its risk oversight function has not negatively affected the board of directors’ leadership structure.</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Compensation</w:t>
      </w:r>
    </w:p>
    <w:p>
      <w:pPr>
        <w:spacing w:after="0" w:line="126"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In July 2020, our board of directors adopted, and our stockholders approved, an Outside Director Compensation Policy that provides for certain compensation to our non-employee directors. This policy was developed with input from our compensation committee’s independent compensation consultant, Compensia, regarding practices and compensation levels at comparable companies. It is designed to attract, retain and reward non-employee directors.</w:t>
      </w:r>
    </w:p>
    <w:p>
      <w:pPr>
        <w:spacing w:after="0" w:line="205" w:lineRule="exact"/>
        <w:rPr>
          <w:sz w:val="20"/>
          <w:szCs w:val="20"/>
          <w:color w:val="auto"/>
        </w:rPr>
      </w:pPr>
    </w:p>
    <w:p>
      <w:pPr>
        <w:ind w:left="120" w:right="380"/>
        <w:spacing w:after="0" w:line="246" w:lineRule="auto"/>
        <w:rPr>
          <w:sz w:val="20"/>
          <w:szCs w:val="20"/>
          <w:color w:val="auto"/>
        </w:rPr>
      </w:pPr>
      <w:r>
        <w:rPr>
          <w:rFonts w:ascii="Arial" w:cs="Arial" w:eastAsia="Arial" w:hAnsi="Arial"/>
          <w:sz w:val="18"/>
          <w:szCs w:val="18"/>
          <w:color w:val="auto"/>
        </w:rPr>
        <w:t>Under the outside director compensation policy, each non-employee director receives the cash and equity compensation for his or her services as a member of our board of directors, as described below.</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Cash Compensation</w:t>
      </w:r>
    </w:p>
    <w:p>
      <w:pPr>
        <w:spacing w:after="0" w:line="12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Outside Director Compensation Policy provides for the following cash compensation program for our non-employee directors:</w:t>
      </w:r>
    </w:p>
    <w:p>
      <w:pPr>
        <w:spacing w:after="0" w:line="117" w:lineRule="exact"/>
        <w:rPr>
          <w:sz w:val="20"/>
          <w:szCs w:val="20"/>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$40,000 per year for service as a non-employee director;</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$30,000 per year for service as non-employee chair of our board of directors;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$20,000 per year for service as chair of the audit committee;</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$7,500 per year for service as a member of the audit committee;</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$10,000 per year for service as chair of the compensation committee;</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$5,000 per year for service as a member of the compensation committee;</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$8,000 per year for service as chair of the corporate governance and nominating committee; and</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$4,000 per year for service as a member of the corporate governance and nominating committee</w:t>
      </w:r>
    </w:p>
    <w:p>
      <w:pPr>
        <w:spacing w:after="0" w:line="212"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Each non-employee director who serves as a committee chair will receive only the cash retainer fee as the chair of the committee but not the cash retainer fee as a member of that committee. These fees to our non-employee directors are paid quarterly in arrears on a prorated basis. Under our Outside Director Compensation Policy, we also will reimburse our non-employee directors for reasonable travel expenses to attend meetings of our board of directors and its committees.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Equity Compensation</w:t>
      </w:r>
    </w:p>
    <w:p>
      <w:pPr>
        <w:spacing w:after="0" w:line="104" w:lineRule="exact"/>
        <w:rPr>
          <w:sz w:val="20"/>
          <w:szCs w:val="20"/>
          <w:color w:val="auto"/>
        </w:rPr>
      </w:pPr>
    </w:p>
    <w:p>
      <w:pPr>
        <w:ind w:left="120" w:right="20"/>
        <w:spacing w:after="0"/>
        <w:rPr>
          <w:sz w:val="20"/>
          <w:szCs w:val="20"/>
          <w:color w:val="auto"/>
        </w:rPr>
      </w:pPr>
      <w:r>
        <w:rPr>
          <w:rFonts w:ascii="Arial" w:cs="Arial" w:eastAsia="Arial" w:hAnsi="Arial"/>
          <w:sz w:val="18"/>
          <w:szCs w:val="18"/>
          <w:i w:val="1"/>
          <w:iCs w:val="1"/>
          <w:color w:val="auto"/>
        </w:rPr>
        <w:t>Initial Award</w:t>
      </w:r>
      <w:r>
        <w:rPr>
          <w:rFonts w:ascii="Arial" w:cs="Arial" w:eastAsia="Arial" w:hAnsi="Arial"/>
          <w:sz w:val="18"/>
          <w:szCs w:val="18"/>
          <w:color w:val="auto"/>
        </w:rPr>
        <w:t>. Pursuant to our Outside Director Compensation Policy, each person who first becomes a non-employee director after the</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date of such policy will receive, on the first trading day on or after the date that the person first becomes a non-employee director, an initial award, or the Initial Award, of stock options to purchase 24,009 shares of our common stock. The Initial Award will be scheduled to vest in equal installments as to one thirty-sixth of the shares of our common stock subject at grant to the Initial Award on a monthly basis following the Initial Award’s grant date, on the same day of the month as the grant date, subject to continued services to us through the applicable vesting dates. If the person was a member of our board of directors and also an employee, then becoming a non-employee director due to termination of employment will not entitle the person to an Initial Award.</w:t>
      </w:r>
    </w:p>
    <w:p>
      <w:pPr>
        <w:spacing w:after="0" w:line="185" w:lineRule="exact"/>
        <w:rPr>
          <w:sz w:val="20"/>
          <w:szCs w:val="20"/>
          <w:color w:val="auto"/>
        </w:rPr>
      </w:pPr>
    </w:p>
    <w:p>
      <w:pPr>
        <w:jc w:val="both"/>
        <w:ind w:left="120" w:right="180"/>
        <w:spacing w:after="0" w:line="272" w:lineRule="auto"/>
        <w:rPr>
          <w:sz w:val="20"/>
          <w:szCs w:val="20"/>
          <w:color w:val="auto"/>
        </w:rPr>
      </w:pPr>
      <w:r>
        <w:rPr>
          <w:rFonts w:ascii="Arial" w:cs="Arial" w:eastAsia="Arial" w:hAnsi="Arial"/>
          <w:sz w:val="17"/>
          <w:szCs w:val="17"/>
          <w:i w:val="1"/>
          <w:iCs w:val="1"/>
          <w:color w:val="auto"/>
        </w:rPr>
        <w:t>Annual Award</w:t>
      </w:r>
      <w:r>
        <w:rPr>
          <w:rFonts w:ascii="Arial" w:cs="Arial" w:eastAsia="Arial" w:hAnsi="Arial"/>
          <w:sz w:val="17"/>
          <w:szCs w:val="17"/>
          <w:color w:val="auto"/>
        </w:rPr>
        <w:t>. Pursuant to our Outside Director Compensation Policy, each non-employee director automatically will receive, on the first</w:t>
      </w:r>
      <w:r>
        <w:rPr>
          <w:rFonts w:ascii="Arial" w:cs="Arial" w:eastAsia="Arial" w:hAnsi="Arial"/>
          <w:sz w:val="17"/>
          <w:szCs w:val="17"/>
          <w:i w:val="1"/>
          <w:iCs w:val="1"/>
          <w:color w:val="auto"/>
        </w:rPr>
        <w:t xml:space="preserve"> </w:t>
      </w:r>
      <w:r>
        <w:rPr>
          <w:rFonts w:ascii="Arial" w:cs="Arial" w:eastAsia="Arial" w:hAnsi="Arial"/>
          <w:sz w:val="17"/>
          <w:szCs w:val="17"/>
          <w:color w:val="auto"/>
        </w:rPr>
        <w:t>trading day immediately after the date of each annual meeting of our stockholders that occurs following the effective date of our Outside Director Compensation Policy, an annual award, or the Annual Award, of stock options to purchase 12,004 shares of our common</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00"/>
        <w:spacing w:after="0" w:line="237" w:lineRule="auto"/>
        <w:rPr>
          <w:sz w:val="20"/>
          <w:szCs w:val="20"/>
          <w:color w:val="auto"/>
        </w:rPr>
      </w:pPr>
      <w:r>
        <w:rPr>
          <w:rFonts w:ascii="Arial" w:cs="Arial" w:eastAsia="Arial" w:hAnsi="Arial"/>
          <w:sz w:val="18"/>
          <w:szCs w:val="18"/>
          <w:color w:val="auto"/>
        </w:rPr>
        <w:t>stock, with such number of shares prorated if the recipient commenced service as a non-employee director after the date of the immediately prior annual meeting of our stockholders, based on the number of whole months of non-employee director service completed before the Annual Award’s grant date. Each Annual Award will be scheduled to vest as to one-twelfth of the shares of our common stock subject at grant to the Annual Award on a monthly basis following the Annual Award’s grant date, on the same day of the month as the grant date, or if earlier, the day immediately before the day of the next annual meeting of stockholders that occurs after the grant date of the Annual Award, subject to continued services to us through the applicable vesting dates.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 xml:space="preserve">Change in Control. </w:t>
      </w:r>
      <w:r>
        <w:rPr>
          <w:rFonts w:ascii="Arial" w:cs="Arial" w:eastAsia="Arial" w:hAnsi="Arial"/>
          <w:sz w:val="18"/>
          <w:szCs w:val="18"/>
          <w:color w:val="auto"/>
        </w:rPr>
        <w:t>In the event of a change in control, as defined in our Amended and Restated 2020 Equity Incentive Plan,</w:t>
      </w:r>
    </w:p>
    <w:p>
      <w:pPr>
        <w:spacing w:after="0" w:line="14" w:lineRule="exact"/>
        <w:rPr>
          <w:sz w:val="20"/>
          <w:szCs w:val="20"/>
          <w:color w:val="auto"/>
        </w:rPr>
      </w:pPr>
    </w:p>
    <w:p>
      <w:pPr>
        <w:ind w:left="120" w:right="20"/>
        <w:spacing w:after="0" w:line="246" w:lineRule="auto"/>
        <w:rPr>
          <w:sz w:val="20"/>
          <w:szCs w:val="20"/>
          <w:color w:val="auto"/>
        </w:rPr>
      </w:pPr>
      <w:r>
        <w:rPr>
          <w:rFonts w:ascii="Arial" w:cs="Arial" w:eastAsia="Arial" w:hAnsi="Arial"/>
          <w:sz w:val="18"/>
          <w:szCs w:val="18"/>
          <w:color w:val="auto"/>
        </w:rPr>
        <w:t>each non-employee director’s then outstanding equity awards covering shares of our common stock will accelerate vesting in full, provided that he or she remains a non-employee director through the date of our change in control.</w:t>
      </w:r>
    </w:p>
    <w:p>
      <w:pPr>
        <w:spacing w:after="0" w:line="179" w:lineRule="exact"/>
        <w:rPr>
          <w:sz w:val="20"/>
          <w:szCs w:val="20"/>
          <w:color w:val="auto"/>
        </w:rPr>
      </w:pPr>
    </w:p>
    <w:p>
      <w:pPr>
        <w:ind w:left="120" w:right="260"/>
        <w:spacing w:after="0" w:line="245" w:lineRule="auto"/>
        <w:rPr>
          <w:sz w:val="20"/>
          <w:szCs w:val="20"/>
          <w:color w:val="auto"/>
        </w:rPr>
      </w:pPr>
      <w:r>
        <w:rPr>
          <w:rFonts w:ascii="Arial" w:cs="Arial" w:eastAsia="Arial" w:hAnsi="Arial"/>
          <w:sz w:val="18"/>
          <w:szCs w:val="18"/>
          <w:i w:val="1"/>
          <w:iCs w:val="1"/>
          <w:color w:val="auto"/>
        </w:rPr>
        <w:t>Other Award Terms</w:t>
      </w:r>
      <w:r>
        <w:rPr>
          <w:rFonts w:ascii="Arial" w:cs="Arial" w:eastAsia="Arial" w:hAnsi="Arial"/>
          <w:sz w:val="18"/>
          <w:szCs w:val="18"/>
          <w:color w:val="auto"/>
        </w:rPr>
        <w:t>. Each Initial Award and Annual Award will be granted under our Amended and Restated 2020 Equity Incentive Plan</w:t>
      </w:r>
      <w:r>
        <w:rPr>
          <w:rFonts w:ascii="Arial" w:cs="Arial" w:eastAsia="Arial" w:hAnsi="Arial"/>
          <w:sz w:val="18"/>
          <w:szCs w:val="18"/>
          <w:i w:val="1"/>
          <w:iCs w:val="1"/>
          <w:color w:val="auto"/>
        </w:rPr>
        <w:t xml:space="preserve"> </w:t>
      </w:r>
      <w:r>
        <w:rPr>
          <w:rFonts w:ascii="Arial" w:cs="Arial" w:eastAsia="Arial" w:hAnsi="Arial"/>
          <w:sz w:val="18"/>
          <w:szCs w:val="18"/>
          <w:color w:val="auto"/>
        </w:rPr>
        <w:t>(or its successor plan, as applicable) and form of award agreement under such plan. These awards will have a maximum term to expiration of ten years from their grant and a per-share exercise price equal to 100% of the fair market value of a share of our common stock on the award’s grant date.</w:t>
      </w:r>
    </w:p>
    <w:p>
      <w:pPr>
        <w:spacing w:after="0" w:line="181" w:lineRule="exact"/>
        <w:rPr>
          <w:sz w:val="20"/>
          <w:szCs w:val="20"/>
          <w:color w:val="auto"/>
        </w:rPr>
      </w:pPr>
    </w:p>
    <w:p>
      <w:pPr>
        <w:ind w:left="120" w:right="40"/>
        <w:spacing w:after="0" w:line="241" w:lineRule="auto"/>
        <w:rPr>
          <w:sz w:val="20"/>
          <w:szCs w:val="20"/>
          <w:color w:val="auto"/>
        </w:rPr>
      </w:pPr>
      <w:r>
        <w:rPr>
          <w:rFonts w:ascii="Arial" w:cs="Arial" w:eastAsia="Arial" w:hAnsi="Arial"/>
          <w:sz w:val="18"/>
          <w:szCs w:val="18"/>
          <w:i w:val="1"/>
          <w:iCs w:val="1"/>
          <w:color w:val="auto"/>
        </w:rPr>
        <w:t xml:space="preserve">Director Compensation Limits. </w:t>
      </w:r>
      <w:r>
        <w:rPr>
          <w:rFonts w:ascii="Arial" w:cs="Arial" w:eastAsia="Arial" w:hAnsi="Arial"/>
          <w:sz w:val="18"/>
          <w:szCs w:val="18"/>
          <w:color w:val="auto"/>
        </w:rPr>
        <w:t>Our Outside Director Compensation Policy provides that in any fiscal year, a non-employee director may be</w:t>
      </w:r>
      <w:r>
        <w:rPr>
          <w:rFonts w:ascii="Arial" w:cs="Arial" w:eastAsia="Arial" w:hAnsi="Arial"/>
          <w:sz w:val="18"/>
          <w:szCs w:val="18"/>
          <w:i w:val="1"/>
          <w:iCs w:val="1"/>
          <w:color w:val="auto"/>
        </w:rPr>
        <w:t xml:space="preserve"> </w:t>
      </w:r>
      <w:r>
        <w:rPr>
          <w:rFonts w:ascii="Arial" w:cs="Arial" w:eastAsia="Arial" w:hAnsi="Arial"/>
          <w:sz w:val="18"/>
          <w:szCs w:val="18"/>
          <w:color w:val="auto"/>
        </w:rPr>
        <w:t>paid cash compensation and granted equity awards with an aggregate value of no more than $1,000,000 (with the value of equity awards based on its grant date fair value determined in accordance with U.S. GAAP for purposes of this limit). Equity awards granted or other compensation provided to a non-employee director while he or she was an employee or consultant (other than a non-employee director), or granted or provided before the effective date of the registration statement related to our initial public offering, do not count toward this annual limit.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2020 Compensation</w:t>
      </w:r>
    </w:p>
    <w:p>
      <w:pPr>
        <w:spacing w:after="0" w:line="122" w:lineRule="exact"/>
        <w:rPr>
          <w:sz w:val="20"/>
          <w:szCs w:val="20"/>
          <w:color w:val="auto"/>
        </w:rPr>
      </w:pPr>
    </w:p>
    <w:p>
      <w:pPr>
        <w:ind w:left="120" w:right="300"/>
        <w:spacing w:after="0"/>
        <w:rPr>
          <w:sz w:val="20"/>
          <w:szCs w:val="20"/>
          <w:color w:val="auto"/>
        </w:rPr>
      </w:pPr>
      <w:r>
        <w:rPr>
          <w:rFonts w:ascii="Arial" w:cs="Arial" w:eastAsia="Arial" w:hAnsi="Arial"/>
          <w:sz w:val="18"/>
          <w:szCs w:val="18"/>
          <w:color w:val="auto"/>
        </w:rPr>
        <w:t>Directors who are also our employees receive no additional compensation for their service as directors. During 2020, Drs. Pons and Randolph were employees and executive officers of the Company and did not receive compensation as directors. See the section titled “Executive Compensation” for additional information about Drs. Pons’ and Randolph’s compensation.</w:t>
      </w:r>
    </w:p>
    <w:p>
      <w:pPr>
        <w:spacing w:after="0" w:line="203" w:lineRule="exact"/>
        <w:rPr>
          <w:sz w:val="20"/>
          <w:szCs w:val="20"/>
          <w:color w:val="auto"/>
        </w:rPr>
      </w:pPr>
    </w:p>
    <w:p>
      <w:pPr>
        <w:ind w:left="120" w:right="180"/>
        <w:spacing w:after="0"/>
        <w:rPr>
          <w:sz w:val="20"/>
          <w:szCs w:val="20"/>
          <w:color w:val="auto"/>
        </w:rPr>
      </w:pPr>
      <w:r>
        <w:rPr>
          <w:rFonts w:ascii="Arial" w:cs="Arial" w:eastAsia="Arial" w:hAnsi="Arial"/>
          <w:sz w:val="18"/>
          <w:szCs w:val="18"/>
          <w:color w:val="auto"/>
        </w:rPr>
        <w:t>The following table presents the total compensation each of our non-employee directors received during the year ended December 31, 2020. Other than as set forth in the table, we did not pay any compensation, make any equity awards or non-equity awards to or pay any other compensation to any of our non-employee directors in 2020.</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0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Fees Earned</w:t>
            </w:r>
          </w:p>
        </w:tc>
        <w:tc>
          <w:tcPr>
            <w:tcW w:w="1020" w:type="dxa"/>
            <w:vAlign w:val="bottom"/>
            <w:gridSpan w:val="2"/>
          </w:tcPr>
          <w:p>
            <w:pPr>
              <w:ind w:left="140"/>
              <w:spacing w:after="0"/>
              <w:rPr>
                <w:sz w:val="20"/>
                <w:szCs w:val="20"/>
                <w:color w:val="auto"/>
              </w:rPr>
            </w:pPr>
            <w:r>
              <w:rPr>
                <w:rFonts w:ascii="Arial" w:cs="Arial" w:eastAsia="Arial" w:hAnsi="Arial"/>
                <w:sz w:val="14"/>
                <w:szCs w:val="14"/>
                <w:b w:val="1"/>
                <w:bCs w:val="1"/>
                <w:color w:val="auto"/>
              </w:rPr>
              <w:t>Option</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99"/>
              </w:rPr>
              <w:t>Name</w:t>
            </w:r>
          </w:p>
        </w:tc>
        <w:tc>
          <w:tcPr>
            <w:tcW w:w="7620" w:type="dxa"/>
            <w:vAlign w:val="bottom"/>
            <w:vMerge w:val="restart"/>
          </w:tcPr>
          <w:p>
            <w:pPr>
              <w:spacing w:after="0"/>
              <w:rPr>
                <w:sz w:val="13"/>
                <w:szCs w:val="13"/>
                <w:color w:val="auto"/>
              </w:rPr>
            </w:pPr>
          </w:p>
        </w:tc>
        <w:tc>
          <w:tcPr>
            <w:tcW w:w="1160" w:type="dxa"/>
            <w:vAlign w:val="bottom"/>
            <w:gridSpan w:val="2"/>
          </w:tcPr>
          <w:p>
            <w:pPr>
              <w:jc w:val="center"/>
              <w:ind w:right="260"/>
              <w:spacing w:after="0" w:line="159" w:lineRule="exact"/>
              <w:rPr>
                <w:sz w:val="20"/>
                <w:szCs w:val="20"/>
                <w:color w:val="auto"/>
              </w:rPr>
            </w:pPr>
            <w:r>
              <w:rPr>
                <w:rFonts w:ascii="Arial" w:cs="Arial" w:eastAsia="Arial" w:hAnsi="Arial"/>
                <w:sz w:val="14"/>
                <w:szCs w:val="14"/>
                <w:b w:val="1"/>
                <w:bCs w:val="1"/>
                <w:color w:val="auto"/>
              </w:rPr>
              <w:t>or Paid in</w:t>
            </w:r>
          </w:p>
        </w:tc>
        <w:tc>
          <w:tcPr>
            <w:tcW w:w="1020" w:type="dxa"/>
            <w:vAlign w:val="bottom"/>
            <w:gridSpan w:val="2"/>
          </w:tcPr>
          <w:p>
            <w:pPr>
              <w:ind w:left="120"/>
              <w:spacing w:after="0" w:line="159" w:lineRule="exact"/>
              <w:rPr>
                <w:sz w:val="20"/>
                <w:szCs w:val="20"/>
                <w:color w:val="auto"/>
              </w:rPr>
            </w:pPr>
            <w:r>
              <w:rPr>
                <w:rFonts w:ascii="Arial" w:cs="Arial" w:eastAsia="Arial" w:hAnsi="Arial"/>
                <w:sz w:val="14"/>
                <w:szCs w:val="14"/>
                <w:b w:val="1"/>
                <w:bCs w:val="1"/>
                <w:color w:val="auto"/>
              </w:rPr>
              <w:t>Awards</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400" w:type="dxa"/>
            <w:vAlign w:val="bottom"/>
            <w:tcBorders>
              <w:bottom w:val="single" w:sz="8" w:color="auto"/>
            </w:tcBorders>
            <w:vMerge w:val="continue"/>
          </w:tcPr>
          <w:p>
            <w:pPr>
              <w:spacing w:after="0"/>
              <w:rPr>
                <w:sz w:val="16"/>
                <w:szCs w:val="16"/>
                <w:color w:val="auto"/>
              </w:rPr>
            </w:pPr>
          </w:p>
        </w:tc>
        <w:tc>
          <w:tcPr>
            <w:tcW w:w="7620" w:type="dxa"/>
            <w:vAlign w:val="bottom"/>
            <w:vMerge w:val="continue"/>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Cash ($)</w:t>
            </w:r>
          </w:p>
        </w:tc>
        <w:tc>
          <w:tcPr>
            <w:tcW w:w="760" w:type="dxa"/>
            <w:vAlign w:val="bottom"/>
          </w:tcPr>
          <w:p>
            <w:pPr>
              <w:ind w:left="220"/>
              <w:spacing w:after="0" w:line="165" w:lineRule="exact"/>
              <w:rPr>
                <w:sz w:val="20"/>
                <w:szCs w:val="20"/>
                <w:color w:val="auto"/>
              </w:rPr>
            </w:pPr>
            <w:r>
              <w:rPr>
                <w:rFonts w:ascii="Arial" w:cs="Arial" w:eastAsia="Arial" w:hAnsi="Arial"/>
                <w:sz w:val="19"/>
                <w:szCs w:val="19"/>
                <w:b w:val="1"/>
                <w:bCs w:val="1"/>
                <w:color w:val="auto"/>
                <w:vertAlign w:val="subscript"/>
              </w:rPr>
              <w:t>($)</w:t>
            </w:r>
            <w:r>
              <w:rPr>
                <w:rFonts w:ascii="Arial" w:cs="Arial" w:eastAsia="Arial" w:hAnsi="Arial"/>
                <w:sz w:val="10"/>
                <w:szCs w:val="10"/>
                <w:b w:val="1"/>
                <w:bCs w:val="1"/>
                <w:color w:val="auto"/>
              </w:rPr>
              <w:t>(1)</w:t>
            </w:r>
          </w:p>
        </w:tc>
        <w:tc>
          <w:tcPr>
            <w:tcW w:w="260" w:type="dxa"/>
            <w:vAlign w:val="bottom"/>
          </w:tcPr>
          <w:p>
            <w:pPr>
              <w:spacing w:after="0"/>
              <w:rPr>
                <w:sz w:val="16"/>
                <w:szCs w:val="16"/>
                <w:color w:val="auto"/>
              </w:rPr>
            </w:pPr>
          </w:p>
        </w:tc>
        <w:tc>
          <w:tcPr>
            <w:tcW w:w="82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90"/>
        </w:trPr>
        <w:tc>
          <w:tcPr>
            <w:tcW w:w="80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Robert Adelman, M.D.</w:t>
            </w:r>
            <w:r>
              <w:rPr>
                <w:rFonts w:ascii="Arial" w:cs="Arial" w:eastAsia="Arial" w:hAnsi="Arial"/>
                <w:sz w:val="15"/>
                <w:szCs w:val="15"/>
                <w:color w:val="auto"/>
              </w:rPr>
              <w:t>(2)</w:t>
            </w:r>
          </w:p>
        </w:tc>
        <w:tc>
          <w:tcPr>
            <w:tcW w:w="900" w:type="dxa"/>
            <w:vAlign w:val="bottom"/>
            <w:tcBorders>
              <w:top w:val="single" w:sz="8" w:color="auto"/>
            </w:tcBorders>
            <w:shd w:val="clear" w:color="auto" w:fill="CCEEFF"/>
          </w:tcPr>
          <w:p>
            <w:pPr>
              <w:jc w:val="right"/>
              <w:ind w:right="15"/>
              <w:spacing w:after="0" w:line="189"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ind w:left="480"/>
              <w:spacing w:after="0" w:line="189"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ind w:left="460"/>
              <w:spacing w:after="0" w:line="189"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020" w:type="dxa"/>
            <w:vAlign w:val="bottom"/>
            <w:gridSpan w:val="2"/>
          </w:tcPr>
          <w:p>
            <w:pPr>
              <w:spacing w:after="0" w:line="202" w:lineRule="exact"/>
              <w:rPr>
                <w:sz w:val="20"/>
                <w:szCs w:val="20"/>
                <w:color w:val="auto"/>
              </w:rPr>
            </w:pPr>
            <w:r>
              <w:rPr>
                <w:rFonts w:ascii="Arial" w:cs="Arial" w:eastAsia="Arial" w:hAnsi="Arial"/>
                <w:sz w:val="18"/>
                <w:szCs w:val="18"/>
                <w:color w:val="auto"/>
              </w:rPr>
              <w:t>Caroline Gaynor</w:t>
            </w:r>
            <w:r>
              <w:rPr>
                <w:rFonts w:ascii="Arial" w:cs="Arial" w:eastAsia="Arial" w:hAnsi="Arial"/>
                <w:sz w:val="15"/>
                <w:szCs w:val="15"/>
                <w:color w:val="auto"/>
              </w:rPr>
              <w:t>(3)</w:t>
            </w:r>
          </w:p>
        </w:tc>
        <w:tc>
          <w:tcPr>
            <w:tcW w:w="116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tcPr>
          <w:p>
            <w:pPr>
              <w:ind w:left="48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tcPr>
          <w:p>
            <w:pPr>
              <w:ind w:left="4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Corey Goodman, Ph.D.</w:t>
            </w:r>
          </w:p>
        </w:tc>
        <w:tc>
          <w:tcPr>
            <w:tcW w:w="11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38,500</w:t>
            </w:r>
          </w:p>
        </w:tc>
        <w:tc>
          <w:tcPr>
            <w:tcW w:w="102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327,447</w:t>
            </w:r>
          </w:p>
        </w:tc>
        <w:tc>
          <w:tcPr>
            <w:tcW w:w="82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365,947</w:t>
            </w:r>
          </w:p>
        </w:tc>
        <w:tc>
          <w:tcPr>
            <w:tcW w:w="0" w:type="dxa"/>
            <w:vAlign w:val="bottom"/>
          </w:tcPr>
          <w:p>
            <w:pPr>
              <w:spacing w:after="0"/>
              <w:rPr>
                <w:sz w:val="1"/>
                <w:szCs w:val="1"/>
                <w:color w:val="auto"/>
              </w:rPr>
            </w:pPr>
          </w:p>
        </w:tc>
      </w:tr>
      <w:tr>
        <w:trPr>
          <w:trHeight w:val="203"/>
        </w:trPr>
        <w:tc>
          <w:tcPr>
            <w:tcW w:w="8020" w:type="dxa"/>
            <w:vAlign w:val="bottom"/>
            <w:gridSpan w:val="2"/>
          </w:tcPr>
          <w:p>
            <w:pPr>
              <w:spacing w:after="0" w:line="202" w:lineRule="exact"/>
              <w:rPr>
                <w:sz w:val="20"/>
                <w:szCs w:val="20"/>
                <w:color w:val="auto"/>
              </w:rPr>
            </w:pPr>
            <w:r>
              <w:rPr>
                <w:rFonts w:ascii="Arial" w:cs="Arial" w:eastAsia="Arial" w:hAnsi="Arial"/>
                <w:sz w:val="18"/>
                <w:szCs w:val="18"/>
                <w:color w:val="auto"/>
              </w:rPr>
              <w:t>Rekha Hemrajani</w:t>
            </w:r>
            <w:r>
              <w:rPr>
                <w:rFonts w:ascii="Arial" w:cs="Arial" w:eastAsia="Arial" w:hAnsi="Arial"/>
                <w:sz w:val="15"/>
                <w:szCs w:val="15"/>
                <w:color w:val="auto"/>
              </w:rPr>
              <w:t>(4)</w:t>
            </w:r>
          </w:p>
        </w:tc>
        <w:tc>
          <w:tcPr>
            <w:tcW w:w="11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37,111</w:t>
            </w:r>
          </w:p>
        </w:tc>
        <w:tc>
          <w:tcPr>
            <w:tcW w:w="10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301,961</w:t>
            </w:r>
          </w:p>
        </w:tc>
        <w:tc>
          <w:tcPr>
            <w:tcW w:w="8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339,072</w:t>
            </w: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Jason Lettmann</w:t>
            </w:r>
            <w:r>
              <w:rPr>
                <w:rFonts w:ascii="Arial" w:cs="Arial" w:eastAsia="Arial" w:hAnsi="Arial"/>
                <w:sz w:val="15"/>
                <w:szCs w:val="15"/>
                <w:color w:val="auto"/>
              </w:rPr>
              <w:t>(4)</w:t>
            </w:r>
          </w:p>
        </w:tc>
        <w:tc>
          <w:tcPr>
            <w:tcW w:w="11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24,292</w:t>
            </w:r>
          </w:p>
        </w:tc>
        <w:tc>
          <w:tcPr>
            <w:tcW w:w="102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327,447</w:t>
            </w:r>
          </w:p>
        </w:tc>
        <w:tc>
          <w:tcPr>
            <w:tcW w:w="82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351,739</w:t>
            </w:r>
          </w:p>
        </w:tc>
        <w:tc>
          <w:tcPr>
            <w:tcW w:w="0" w:type="dxa"/>
            <w:vAlign w:val="bottom"/>
          </w:tcPr>
          <w:p>
            <w:pPr>
              <w:spacing w:after="0"/>
              <w:rPr>
                <w:sz w:val="1"/>
                <w:szCs w:val="1"/>
                <w:color w:val="auto"/>
              </w:rPr>
            </w:pPr>
          </w:p>
        </w:tc>
      </w:tr>
      <w:tr>
        <w:trPr>
          <w:trHeight w:val="203"/>
        </w:trPr>
        <w:tc>
          <w:tcPr>
            <w:tcW w:w="8020" w:type="dxa"/>
            <w:vAlign w:val="bottom"/>
            <w:gridSpan w:val="2"/>
          </w:tcPr>
          <w:p>
            <w:pPr>
              <w:spacing w:after="0" w:line="202" w:lineRule="exact"/>
              <w:rPr>
                <w:sz w:val="20"/>
                <w:szCs w:val="20"/>
                <w:color w:val="auto"/>
              </w:rPr>
            </w:pPr>
            <w:r>
              <w:rPr>
                <w:rFonts w:ascii="Arial" w:cs="Arial" w:eastAsia="Arial" w:hAnsi="Arial"/>
                <w:sz w:val="18"/>
                <w:szCs w:val="18"/>
                <w:color w:val="auto"/>
              </w:rPr>
              <w:t>Jack Nielsen</w:t>
            </w:r>
            <w:r>
              <w:rPr>
                <w:rFonts w:ascii="Arial" w:cs="Arial" w:eastAsia="Arial" w:hAnsi="Arial"/>
                <w:sz w:val="15"/>
                <w:szCs w:val="15"/>
                <w:color w:val="auto"/>
              </w:rPr>
              <w:t>(4)</w:t>
            </w:r>
          </w:p>
        </w:tc>
        <w:tc>
          <w:tcPr>
            <w:tcW w:w="11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24,063</w:t>
            </w:r>
          </w:p>
        </w:tc>
        <w:tc>
          <w:tcPr>
            <w:tcW w:w="10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327,447</w:t>
            </w:r>
          </w:p>
        </w:tc>
        <w:tc>
          <w:tcPr>
            <w:tcW w:w="8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351,510</w:t>
            </w: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Graham Walmsley, M.D., Ph.D.</w:t>
            </w:r>
            <w:r>
              <w:rPr>
                <w:rFonts w:ascii="Arial" w:cs="Arial" w:eastAsia="Arial" w:hAnsi="Arial"/>
                <w:sz w:val="15"/>
                <w:szCs w:val="15"/>
                <w:color w:val="auto"/>
              </w:rPr>
              <w:t>(4)</w:t>
            </w:r>
          </w:p>
        </w:tc>
        <w:tc>
          <w:tcPr>
            <w:tcW w:w="11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23,604</w:t>
            </w:r>
          </w:p>
        </w:tc>
        <w:tc>
          <w:tcPr>
            <w:tcW w:w="102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327,447</w:t>
            </w:r>
          </w:p>
        </w:tc>
        <w:tc>
          <w:tcPr>
            <w:tcW w:w="82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351,051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8" w:lineRule="exact"/>
        <w:rPr>
          <w:sz w:val="20"/>
          <w:szCs w:val="20"/>
          <w:color w:val="auto"/>
        </w:rPr>
      </w:pPr>
    </w:p>
    <w:p>
      <w:pPr>
        <w:ind w:left="540" w:right="40" w:hanging="424"/>
        <w:spacing w:after="0" w:line="246"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This column reflects the aggregate grant date fair value of option awards granted to the officer in the applicable fiscal year, computed in accordance with Financial Accounting Standards Board</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40"/>
          </w:cols>
          <w:pgMar w:left="32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right="20"/>
        <w:spacing w:after="0" w:line="238" w:lineRule="auto"/>
        <w:rPr>
          <w:sz w:val="20"/>
          <w:szCs w:val="20"/>
          <w:color w:val="auto"/>
        </w:rPr>
      </w:pPr>
      <w:r>
        <w:rPr>
          <w:rFonts w:ascii="Arial" w:cs="Arial" w:eastAsia="Arial" w:hAnsi="Arial"/>
          <w:sz w:val="18"/>
          <w:szCs w:val="18"/>
          <w:color w:val="auto"/>
        </w:rPr>
        <w:t xml:space="preserve">(FASB) Accounting Standards Codification (ASC)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xml:space="preserve"> (Topic 718). See Note 8 to our financial statements for the year ended December 31, 2020 included in our Annual Report on Form 10-K for the year ended December 31, 2020 for a discussion of the assumptions made by us in determining the grant date fair value of our equity awards. Our named executive officers will only realize compensation to the extent the trading price of our common stock is greater than the exercise price of such stock options.</w:t>
      </w:r>
    </w:p>
    <w:p>
      <w:pPr>
        <w:ind w:left="540" w:hanging="424"/>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Dr. Adelman resigned from our board of directors in February 2020.</w:t>
      </w:r>
    </w:p>
    <w:p>
      <w:pPr>
        <w:ind w:left="540" w:right="460" w:hanging="424"/>
        <w:spacing w:after="0" w:line="234"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Ms. Gaynor resigned from our board of directors in April 2020 and continues to serve on the board of directors of ALX Oncology Limited, one of our subsidiaries.</w:t>
      </w:r>
    </w:p>
    <w:p>
      <w:pPr>
        <w:spacing w:after="0" w:line="1" w:lineRule="exact"/>
        <w:rPr>
          <w:rFonts w:ascii="Arial" w:cs="Arial" w:eastAsia="Arial" w:hAnsi="Arial"/>
          <w:sz w:val="18"/>
          <w:szCs w:val="18"/>
          <w:color w:val="auto"/>
        </w:rPr>
      </w:pPr>
    </w:p>
    <w:p>
      <w:pPr>
        <w:ind w:left="540" w:right="120" w:hanging="424"/>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Mr. Nielsen and Dr. Walmsley joined our board of directors in February 2020, and Ms. Hemrajani and Mr. Lettmann joined our board of directors in April 2020. Therefore, their respective fees set forth in the table above were prorated for the portion of 2020 in which they served as directors.</w:t>
      </w:r>
    </w:p>
    <w:p>
      <w:pPr>
        <w:spacing w:after="0" w:line="20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lists all outstanding equity awards held by non-employee directors as of December 31, 2020:</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0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2"/>
          </w:tcPr>
          <w:p>
            <w:pPr>
              <w:jc w:val="right"/>
              <w:ind w:right="284"/>
              <w:spacing w:after="0"/>
              <w:rPr>
                <w:sz w:val="20"/>
                <w:szCs w:val="20"/>
                <w:color w:val="auto"/>
              </w:rPr>
            </w:pPr>
            <w:r>
              <w:rPr>
                <w:rFonts w:ascii="Arial" w:cs="Arial" w:eastAsia="Arial" w:hAnsi="Arial"/>
                <w:sz w:val="14"/>
                <w:szCs w:val="14"/>
                <w:b w:val="1"/>
                <w:bCs w:val="1"/>
                <w:color w:val="auto"/>
              </w:rPr>
              <w:t>Option Awards</w:t>
            </w:r>
          </w:p>
        </w:tc>
        <w:tc>
          <w:tcPr>
            <w:tcW w:w="5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80" w:type="dxa"/>
            <w:vAlign w:val="bottom"/>
            <w:gridSpan w:val="2"/>
          </w:tcPr>
          <w:p>
            <w:pPr>
              <w:jc w:val="center"/>
              <w:ind w:right="604"/>
              <w:spacing w:after="0" w:line="143" w:lineRule="exact"/>
              <w:rPr>
                <w:sz w:val="20"/>
                <w:szCs w:val="20"/>
                <w:color w:val="auto"/>
              </w:rPr>
            </w:pPr>
            <w:r>
              <w:rPr>
                <w:rFonts w:ascii="Arial" w:cs="Arial" w:eastAsia="Arial" w:hAnsi="Arial"/>
                <w:sz w:val="14"/>
                <w:szCs w:val="14"/>
                <w:b w:val="1"/>
                <w:bCs w:val="1"/>
                <w:color w:val="auto"/>
              </w:rPr>
              <w:t>Number of</w:t>
            </w: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Number of</w:t>
            </w:r>
          </w:p>
        </w:tc>
        <w:tc>
          <w:tcPr>
            <w:tcW w:w="1680" w:type="dxa"/>
            <w:vAlign w:val="bottom"/>
            <w:gridSpan w:val="2"/>
          </w:tcPr>
          <w:p>
            <w:pPr>
              <w:jc w:val="center"/>
              <w:ind w:right="604"/>
              <w:spacing w:after="0"/>
              <w:rPr>
                <w:sz w:val="20"/>
                <w:szCs w:val="20"/>
                <w:color w:val="auto"/>
              </w:rPr>
            </w:pPr>
            <w:r>
              <w:rPr>
                <w:rFonts w:ascii="Arial" w:cs="Arial" w:eastAsia="Arial" w:hAnsi="Arial"/>
                <w:sz w:val="14"/>
                <w:szCs w:val="14"/>
                <w:b w:val="1"/>
                <w:bCs w:val="1"/>
                <w:color w:val="auto"/>
              </w:rPr>
              <w:t>Securities</w:t>
            </w: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Securities</w:t>
            </w:r>
          </w:p>
        </w:tc>
        <w:tc>
          <w:tcPr>
            <w:tcW w:w="1680" w:type="dxa"/>
            <w:vAlign w:val="bottom"/>
            <w:gridSpan w:val="2"/>
          </w:tcPr>
          <w:p>
            <w:pPr>
              <w:jc w:val="center"/>
              <w:ind w:right="624"/>
              <w:spacing w:after="0"/>
              <w:rPr>
                <w:sz w:val="20"/>
                <w:szCs w:val="20"/>
                <w:color w:val="auto"/>
              </w:rPr>
            </w:pPr>
            <w:r>
              <w:rPr>
                <w:rFonts w:ascii="Arial" w:cs="Arial" w:eastAsia="Arial" w:hAnsi="Arial"/>
                <w:sz w:val="14"/>
                <w:szCs w:val="14"/>
                <w:b w:val="1"/>
                <w:bCs w:val="1"/>
                <w:color w:val="auto"/>
              </w:rPr>
              <w:t>Underlying</w:t>
            </w:r>
          </w:p>
        </w:tc>
        <w:tc>
          <w:tcPr>
            <w:tcW w:w="11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Option</w:t>
            </w:r>
          </w:p>
        </w:tc>
        <w:tc>
          <w:tcPr>
            <w:tcW w:w="8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162"/>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99"/>
              </w:rPr>
              <w:t>Name</w:t>
            </w:r>
          </w:p>
        </w:tc>
        <w:tc>
          <w:tcPr>
            <w:tcW w:w="3940" w:type="dxa"/>
            <w:vAlign w:val="bottom"/>
            <w:vMerge w:val="restart"/>
          </w:tcPr>
          <w:p>
            <w:pPr>
              <w:spacing w:after="0"/>
              <w:rPr>
                <w:sz w:val="14"/>
                <w:szCs w:val="14"/>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Date of</w:t>
            </w:r>
          </w:p>
        </w:tc>
        <w:tc>
          <w:tcPr>
            <w:tcW w:w="19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Underlying</w:t>
            </w:r>
          </w:p>
        </w:tc>
        <w:tc>
          <w:tcPr>
            <w:tcW w:w="1680" w:type="dxa"/>
            <w:vAlign w:val="bottom"/>
            <w:gridSpan w:val="2"/>
          </w:tcPr>
          <w:p>
            <w:pPr>
              <w:jc w:val="center"/>
              <w:ind w:right="624"/>
              <w:spacing w:after="0"/>
              <w:rPr>
                <w:sz w:val="20"/>
                <w:szCs w:val="20"/>
                <w:color w:val="auto"/>
              </w:rPr>
            </w:pPr>
            <w:r>
              <w:rPr>
                <w:rFonts w:ascii="Arial" w:cs="Arial" w:eastAsia="Arial" w:hAnsi="Arial"/>
                <w:sz w:val="14"/>
                <w:szCs w:val="14"/>
                <w:b w:val="1"/>
                <w:bCs w:val="1"/>
                <w:color w:val="auto"/>
              </w:rPr>
              <w:t>Unexercisable</w:t>
            </w:r>
          </w:p>
        </w:tc>
        <w:tc>
          <w:tcPr>
            <w:tcW w:w="11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Exercise</w:t>
            </w:r>
          </w:p>
        </w:tc>
        <w:tc>
          <w:tcPr>
            <w:tcW w:w="8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82"/>
        </w:trPr>
        <w:tc>
          <w:tcPr>
            <w:tcW w:w="400" w:type="dxa"/>
            <w:vAlign w:val="bottom"/>
            <w:tcBorders>
              <w:bottom w:val="single" w:sz="8" w:color="auto"/>
            </w:tcBorders>
            <w:vMerge w:val="continue"/>
          </w:tcPr>
          <w:p>
            <w:pPr>
              <w:spacing w:after="0"/>
              <w:rPr>
                <w:sz w:val="15"/>
                <w:szCs w:val="15"/>
                <w:color w:val="auto"/>
              </w:rPr>
            </w:pPr>
          </w:p>
        </w:tc>
        <w:tc>
          <w:tcPr>
            <w:tcW w:w="3940" w:type="dxa"/>
            <w:vAlign w:val="bottom"/>
            <w:vMerge w:val="continue"/>
          </w:tcPr>
          <w:p>
            <w:pPr>
              <w:spacing w:after="0"/>
              <w:rPr>
                <w:sz w:val="15"/>
                <w:szCs w:val="15"/>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Grant</w:t>
            </w:r>
          </w:p>
        </w:tc>
        <w:tc>
          <w:tcPr>
            <w:tcW w:w="19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Exercisable Options</w:t>
            </w:r>
          </w:p>
        </w:tc>
        <w:tc>
          <w:tcPr>
            <w:tcW w:w="1680" w:type="dxa"/>
            <w:vAlign w:val="bottom"/>
            <w:gridSpan w:val="2"/>
          </w:tcPr>
          <w:p>
            <w:pPr>
              <w:jc w:val="center"/>
              <w:ind w:right="624"/>
              <w:spacing w:after="0"/>
              <w:rPr>
                <w:sz w:val="20"/>
                <w:szCs w:val="20"/>
                <w:color w:val="auto"/>
              </w:rPr>
            </w:pPr>
            <w:r>
              <w:rPr>
                <w:rFonts w:ascii="Arial" w:cs="Arial" w:eastAsia="Arial" w:hAnsi="Arial"/>
                <w:sz w:val="14"/>
                <w:szCs w:val="14"/>
                <w:b w:val="1"/>
                <w:bCs w:val="1"/>
                <w:color w:val="auto"/>
              </w:rPr>
              <w:t>Options</w:t>
            </w:r>
          </w:p>
        </w:tc>
        <w:tc>
          <w:tcPr>
            <w:tcW w:w="11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 xml:space="preserve">Price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8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190"/>
        </w:trPr>
        <w:tc>
          <w:tcPr>
            <w:tcW w:w="43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Corey Goodman, Ph.D.</w:t>
            </w:r>
          </w:p>
        </w:tc>
        <w:tc>
          <w:tcPr>
            <w:tcW w:w="6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7/16/20</w:t>
            </w:r>
          </w:p>
        </w:tc>
        <w:tc>
          <w:tcPr>
            <w:tcW w:w="52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ind w:left="940"/>
              <w:spacing w:after="0" w:line="189" w:lineRule="exact"/>
              <w:rPr>
                <w:sz w:val="20"/>
                <w:szCs w:val="20"/>
                <w:color w:val="auto"/>
              </w:rPr>
            </w:pPr>
            <w:r>
              <w:rPr>
                <w:rFonts w:ascii="Arial" w:cs="Arial" w:eastAsia="Arial" w:hAnsi="Arial"/>
                <w:sz w:val="18"/>
                <w:szCs w:val="18"/>
                <w:color w:val="auto"/>
                <w:w w:val="93"/>
              </w:rPr>
              <w:t>3,334</w:t>
            </w:r>
          </w:p>
        </w:tc>
        <w:tc>
          <w:tcPr>
            <w:tcW w:w="52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20,675</w:t>
            </w:r>
          </w:p>
        </w:tc>
        <w:tc>
          <w:tcPr>
            <w:tcW w:w="700" w:type="dxa"/>
            <w:vAlign w:val="bottom"/>
            <w:tcBorders>
              <w:top w:val="single" w:sz="8" w:color="CCEEFF"/>
            </w:tcBorders>
            <w:shd w:val="clear" w:color="auto" w:fill="CCEEFF"/>
          </w:tcPr>
          <w:p>
            <w:pPr>
              <w:jc w:val="right"/>
              <w:ind w:right="424"/>
              <w:spacing w:after="0" w:line="168" w:lineRule="exact"/>
              <w:rPr>
                <w:sz w:val="20"/>
                <w:szCs w:val="20"/>
                <w:color w:val="auto"/>
              </w:rPr>
            </w:pPr>
            <w:r>
              <w:rPr>
                <w:rFonts w:ascii="Arial" w:cs="Arial" w:eastAsia="Arial" w:hAnsi="Arial"/>
                <w:sz w:val="15"/>
                <w:szCs w:val="15"/>
                <w:color w:val="auto"/>
                <w:w w:val="97"/>
              </w:rPr>
              <w:t>(1)</w:t>
            </w:r>
          </w:p>
        </w:tc>
        <w:tc>
          <w:tcPr>
            <w:tcW w:w="5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19.00</w:t>
            </w:r>
          </w:p>
        </w:tc>
        <w:tc>
          <w:tcPr>
            <w:tcW w:w="52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07/15/30</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340" w:type="dxa"/>
            <w:vAlign w:val="bottom"/>
            <w:gridSpan w:val="2"/>
          </w:tcPr>
          <w:p>
            <w:pPr>
              <w:spacing w:after="0" w:line="202" w:lineRule="exact"/>
              <w:rPr>
                <w:sz w:val="20"/>
                <w:szCs w:val="20"/>
                <w:color w:val="auto"/>
              </w:rPr>
            </w:pPr>
            <w:r>
              <w:rPr>
                <w:rFonts w:ascii="Arial" w:cs="Arial" w:eastAsia="Arial" w:hAnsi="Arial"/>
                <w:sz w:val="18"/>
                <w:szCs w:val="18"/>
                <w:color w:val="auto"/>
              </w:rPr>
              <w:t>Rekha Hemrajani</w:t>
            </w:r>
          </w:p>
        </w:tc>
        <w:tc>
          <w:tcPr>
            <w:tcW w:w="118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4/30/20</w:t>
            </w:r>
          </w:p>
        </w:tc>
        <w:tc>
          <w:tcPr>
            <w:tcW w:w="1900" w:type="dxa"/>
            <w:vAlign w:val="bottom"/>
            <w:gridSpan w:val="2"/>
          </w:tcPr>
          <w:p>
            <w:pPr>
              <w:ind w:left="1100"/>
              <w:spacing w:after="0" w:line="202" w:lineRule="exact"/>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424"/>
              <w:spacing w:after="0" w:line="202" w:lineRule="exact"/>
              <w:rPr>
                <w:sz w:val="20"/>
                <w:szCs w:val="20"/>
                <w:color w:val="auto"/>
              </w:rPr>
            </w:pPr>
            <w:r>
              <w:rPr>
                <w:rFonts w:ascii="Arial" w:cs="Arial" w:eastAsia="Arial" w:hAnsi="Arial"/>
                <w:sz w:val="18"/>
                <w:szCs w:val="18"/>
                <w:color w:val="auto"/>
              </w:rPr>
              <w:t>87,378</w:t>
            </w:r>
            <w:r>
              <w:rPr>
                <w:rFonts w:ascii="Arial" w:cs="Arial" w:eastAsia="Arial" w:hAnsi="Arial"/>
                <w:sz w:val="15"/>
                <w:szCs w:val="15"/>
                <w:color w:val="auto"/>
              </w:rPr>
              <w:t>(2)</w:t>
            </w:r>
          </w:p>
        </w:tc>
        <w:tc>
          <w:tcPr>
            <w:tcW w:w="110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4.81</w:t>
            </w: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04/29/30</w:t>
            </w:r>
          </w:p>
        </w:tc>
        <w:tc>
          <w:tcPr>
            <w:tcW w:w="0" w:type="dxa"/>
            <w:vAlign w:val="bottom"/>
          </w:tcPr>
          <w:p>
            <w:pPr>
              <w:spacing w:after="0"/>
              <w:rPr>
                <w:sz w:val="1"/>
                <w:szCs w:val="1"/>
                <w:color w:val="auto"/>
              </w:rPr>
            </w:pPr>
          </w:p>
        </w:tc>
      </w:tr>
      <w:tr>
        <w:trPr>
          <w:trHeight w:val="203"/>
        </w:trPr>
        <w:tc>
          <w:tcPr>
            <w:tcW w:w="43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Jason Lettmann</w:t>
            </w:r>
          </w:p>
        </w:tc>
        <w:tc>
          <w:tcPr>
            <w:tcW w:w="118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7/16/20</w:t>
            </w:r>
          </w:p>
        </w:tc>
        <w:tc>
          <w:tcPr>
            <w:tcW w:w="1900" w:type="dxa"/>
            <w:vAlign w:val="bottom"/>
            <w:gridSpan w:val="2"/>
            <w:shd w:val="clear" w:color="auto" w:fill="CCEEFF"/>
          </w:tcPr>
          <w:p>
            <w:pPr>
              <w:ind w:left="940"/>
              <w:spacing w:after="0" w:line="202" w:lineRule="exact"/>
              <w:rPr>
                <w:sz w:val="20"/>
                <w:szCs w:val="20"/>
                <w:color w:val="auto"/>
              </w:rPr>
            </w:pPr>
            <w:r>
              <w:rPr>
                <w:rFonts w:ascii="Arial" w:cs="Arial" w:eastAsia="Arial" w:hAnsi="Arial"/>
                <w:sz w:val="18"/>
                <w:szCs w:val="18"/>
                <w:color w:val="auto"/>
              </w:rPr>
              <w:t>3,334</w:t>
            </w:r>
          </w:p>
        </w:tc>
        <w:tc>
          <w:tcPr>
            <w:tcW w:w="1680" w:type="dxa"/>
            <w:vAlign w:val="bottom"/>
            <w:gridSpan w:val="2"/>
            <w:shd w:val="clear" w:color="auto" w:fill="CCEEFF"/>
          </w:tcPr>
          <w:p>
            <w:pPr>
              <w:jc w:val="right"/>
              <w:ind w:right="424"/>
              <w:spacing w:after="0" w:line="202" w:lineRule="exact"/>
              <w:rPr>
                <w:sz w:val="20"/>
                <w:szCs w:val="20"/>
                <w:color w:val="auto"/>
              </w:rPr>
            </w:pPr>
            <w:r>
              <w:rPr>
                <w:rFonts w:ascii="Arial" w:cs="Arial" w:eastAsia="Arial" w:hAnsi="Arial"/>
                <w:sz w:val="18"/>
                <w:szCs w:val="18"/>
                <w:color w:val="auto"/>
              </w:rPr>
              <w:t>20,675</w:t>
            </w:r>
            <w:r>
              <w:rPr>
                <w:rFonts w:ascii="Arial" w:cs="Arial" w:eastAsia="Arial" w:hAnsi="Arial"/>
                <w:sz w:val="15"/>
                <w:szCs w:val="15"/>
                <w:color w:val="auto"/>
              </w:rPr>
              <w:t>(1)</w:t>
            </w:r>
          </w:p>
        </w:tc>
        <w:tc>
          <w:tcPr>
            <w:tcW w:w="110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19.00</w:t>
            </w: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07/15/30</w:t>
            </w:r>
          </w:p>
        </w:tc>
        <w:tc>
          <w:tcPr>
            <w:tcW w:w="0" w:type="dxa"/>
            <w:vAlign w:val="bottom"/>
          </w:tcPr>
          <w:p>
            <w:pPr>
              <w:spacing w:after="0"/>
              <w:rPr>
                <w:sz w:val="1"/>
                <w:szCs w:val="1"/>
                <w:color w:val="auto"/>
              </w:rPr>
            </w:pPr>
          </w:p>
        </w:tc>
      </w:tr>
      <w:tr>
        <w:trPr>
          <w:trHeight w:val="203"/>
        </w:trPr>
        <w:tc>
          <w:tcPr>
            <w:tcW w:w="4340" w:type="dxa"/>
            <w:vAlign w:val="bottom"/>
            <w:gridSpan w:val="2"/>
          </w:tcPr>
          <w:p>
            <w:pPr>
              <w:spacing w:after="0" w:line="202" w:lineRule="exact"/>
              <w:rPr>
                <w:sz w:val="20"/>
                <w:szCs w:val="20"/>
                <w:color w:val="auto"/>
              </w:rPr>
            </w:pPr>
            <w:r>
              <w:rPr>
                <w:rFonts w:ascii="Arial" w:cs="Arial" w:eastAsia="Arial" w:hAnsi="Arial"/>
                <w:sz w:val="18"/>
                <w:szCs w:val="18"/>
                <w:color w:val="auto"/>
              </w:rPr>
              <w:t>Jack Nielsen</w:t>
            </w:r>
          </w:p>
        </w:tc>
        <w:tc>
          <w:tcPr>
            <w:tcW w:w="118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7/16/20</w:t>
            </w:r>
          </w:p>
        </w:tc>
        <w:tc>
          <w:tcPr>
            <w:tcW w:w="1900" w:type="dxa"/>
            <w:vAlign w:val="bottom"/>
            <w:gridSpan w:val="2"/>
          </w:tcPr>
          <w:p>
            <w:pPr>
              <w:ind w:left="940"/>
              <w:spacing w:after="0" w:line="202" w:lineRule="exact"/>
              <w:rPr>
                <w:sz w:val="20"/>
                <w:szCs w:val="20"/>
                <w:color w:val="auto"/>
              </w:rPr>
            </w:pPr>
            <w:r>
              <w:rPr>
                <w:rFonts w:ascii="Arial" w:cs="Arial" w:eastAsia="Arial" w:hAnsi="Arial"/>
                <w:sz w:val="18"/>
                <w:szCs w:val="18"/>
                <w:color w:val="auto"/>
              </w:rPr>
              <w:t>3,334</w:t>
            </w:r>
          </w:p>
        </w:tc>
        <w:tc>
          <w:tcPr>
            <w:tcW w:w="1680" w:type="dxa"/>
            <w:vAlign w:val="bottom"/>
            <w:gridSpan w:val="2"/>
          </w:tcPr>
          <w:p>
            <w:pPr>
              <w:jc w:val="right"/>
              <w:ind w:right="424"/>
              <w:spacing w:after="0" w:line="202" w:lineRule="exact"/>
              <w:rPr>
                <w:sz w:val="20"/>
                <w:szCs w:val="20"/>
                <w:color w:val="auto"/>
              </w:rPr>
            </w:pPr>
            <w:r>
              <w:rPr>
                <w:rFonts w:ascii="Arial" w:cs="Arial" w:eastAsia="Arial" w:hAnsi="Arial"/>
                <w:sz w:val="18"/>
                <w:szCs w:val="18"/>
                <w:color w:val="auto"/>
              </w:rPr>
              <w:t>20,675</w:t>
            </w:r>
            <w:r>
              <w:rPr>
                <w:rFonts w:ascii="Arial" w:cs="Arial" w:eastAsia="Arial" w:hAnsi="Arial"/>
                <w:sz w:val="15"/>
                <w:szCs w:val="15"/>
                <w:color w:val="auto"/>
              </w:rPr>
              <w:t>(1)</w:t>
            </w:r>
          </w:p>
        </w:tc>
        <w:tc>
          <w:tcPr>
            <w:tcW w:w="110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19.00</w:t>
            </w: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07/15/30</w:t>
            </w:r>
          </w:p>
        </w:tc>
        <w:tc>
          <w:tcPr>
            <w:tcW w:w="0" w:type="dxa"/>
            <w:vAlign w:val="bottom"/>
          </w:tcPr>
          <w:p>
            <w:pPr>
              <w:spacing w:after="0"/>
              <w:rPr>
                <w:sz w:val="1"/>
                <w:szCs w:val="1"/>
                <w:color w:val="auto"/>
              </w:rPr>
            </w:pPr>
          </w:p>
        </w:tc>
      </w:tr>
      <w:tr>
        <w:trPr>
          <w:trHeight w:val="203"/>
        </w:trPr>
        <w:tc>
          <w:tcPr>
            <w:tcW w:w="43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Graham Walmsley, M.D. Ph.D.</w:t>
            </w:r>
          </w:p>
        </w:tc>
        <w:tc>
          <w:tcPr>
            <w:tcW w:w="118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7/16/20</w:t>
            </w:r>
          </w:p>
        </w:tc>
        <w:tc>
          <w:tcPr>
            <w:tcW w:w="1900" w:type="dxa"/>
            <w:vAlign w:val="bottom"/>
            <w:gridSpan w:val="2"/>
            <w:shd w:val="clear" w:color="auto" w:fill="CCEEFF"/>
          </w:tcPr>
          <w:p>
            <w:pPr>
              <w:ind w:left="940"/>
              <w:spacing w:after="0" w:line="202" w:lineRule="exact"/>
              <w:rPr>
                <w:sz w:val="20"/>
                <w:szCs w:val="20"/>
                <w:color w:val="auto"/>
              </w:rPr>
            </w:pPr>
            <w:r>
              <w:rPr>
                <w:rFonts w:ascii="Arial" w:cs="Arial" w:eastAsia="Arial" w:hAnsi="Arial"/>
                <w:sz w:val="18"/>
                <w:szCs w:val="18"/>
                <w:color w:val="auto"/>
              </w:rPr>
              <w:t>3,334</w:t>
            </w:r>
          </w:p>
        </w:tc>
        <w:tc>
          <w:tcPr>
            <w:tcW w:w="1680" w:type="dxa"/>
            <w:vAlign w:val="bottom"/>
            <w:gridSpan w:val="2"/>
            <w:shd w:val="clear" w:color="auto" w:fill="CCEEFF"/>
          </w:tcPr>
          <w:p>
            <w:pPr>
              <w:jc w:val="right"/>
              <w:ind w:right="424"/>
              <w:spacing w:after="0" w:line="202" w:lineRule="exact"/>
              <w:rPr>
                <w:sz w:val="20"/>
                <w:szCs w:val="20"/>
                <w:color w:val="auto"/>
              </w:rPr>
            </w:pPr>
            <w:r>
              <w:rPr>
                <w:rFonts w:ascii="Arial" w:cs="Arial" w:eastAsia="Arial" w:hAnsi="Arial"/>
                <w:sz w:val="18"/>
                <w:szCs w:val="18"/>
                <w:color w:val="auto"/>
              </w:rPr>
              <w:t>20,675</w:t>
            </w:r>
            <w:r>
              <w:rPr>
                <w:rFonts w:ascii="Arial" w:cs="Arial" w:eastAsia="Arial" w:hAnsi="Arial"/>
                <w:sz w:val="15"/>
                <w:szCs w:val="15"/>
                <w:color w:val="auto"/>
              </w:rPr>
              <w:t>(1)</w:t>
            </w:r>
          </w:p>
        </w:tc>
        <w:tc>
          <w:tcPr>
            <w:tcW w:w="110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19.00</w:t>
            </w: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07/15/30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8" w:lineRule="exact"/>
        <w:rPr>
          <w:sz w:val="20"/>
          <w:szCs w:val="20"/>
          <w:color w:val="auto"/>
        </w:rPr>
      </w:pPr>
    </w:p>
    <w:p>
      <w:pPr>
        <w:ind w:left="540" w:right="140" w:hanging="424"/>
        <w:spacing w:after="0" w:line="234"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July 2020, our board of directors granted each non-employee director other than Ms. Hemrajani an option to purchase 24,009 shares of our common stock, which became effective as of the date of the effectiveness of the registration statement filed for our initial public offering. Shares subject to the option vest in 1/36th equal monthly installments beginning on August 16, 2020 subject to continued service through each such vesting date.</w:t>
      </w:r>
    </w:p>
    <w:p>
      <w:pPr>
        <w:spacing w:after="0" w:line="2" w:lineRule="exact"/>
        <w:rPr>
          <w:rFonts w:ascii="Arial" w:cs="Arial" w:eastAsia="Arial" w:hAnsi="Arial"/>
          <w:sz w:val="18"/>
          <w:szCs w:val="18"/>
          <w:color w:val="auto"/>
        </w:rPr>
      </w:pPr>
    </w:p>
    <w:p>
      <w:pPr>
        <w:ind w:left="540" w:right="580" w:hanging="424"/>
        <w:spacing w:after="0" w:line="246"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1/4th of the shares subject to the option vested on April 27, 2021 and 1/36th of the remaining shares subject to the option vest monthly thereafter subject to continued service through each such vesting date.</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40"/>
          </w:cols>
          <w:pgMar w:left="32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PROPOSAL NO. 1</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ELECTION OF DIRECTORS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board of directors is currently composed of seven members. In accordance with our amended and restated certificate of incorporation, our board of directors is divided into three classes with staggered three-year terms. At the Annual Meeting, three Class I directors will be elected for a three-year term to succeed the same class whose term is then expiring.</w:t>
      </w:r>
    </w:p>
    <w:p>
      <w:pPr>
        <w:spacing w:after="0" w:line="203"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Each director’s term continues until the election and qualification of such director’s successor, or such director’s earlier death, resignation or removal. Any increase or decrease in the number of directors will be distributed among the three classes so that, as nearly as possible, each class will consist of one-third of our directors. This classification of our board of directors may have the effect of delaying or preventing changes in control of our company.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Nominees</w:t>
      </w:r>
    </w:p>
    <w:p>
      <w:pPr>
        <w:spacing w:after="0" w:line="126"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Our corporate governance and nominating committee has recommended, and our board of directors has approved, Corey Goodman, Ph.D., Jason Lettmann, and Sophia Randolph, M.D., Ph.D. as nominees for election as Class I directors at the Annual Meeting. If elected, each of Drs. Goodman and Randolph and Mr. Lettmann will serve as a Class I director until the 2024 annual meeting of stockholders or until his or her successor is duly elected and qualified. Drs. Goodman and Randolph and Mr. Lettmann are currently directors of our company, and each has agreed to being named in this proxy statement as a nominee. For information concerning the nominees, please see the section titled “Board of Directors and Corporate Governance.”</w:t>
      </w:r>
    </w:p>
    <w:p>
      <w:pPr>
        <w:spacing w:after="0" w:line="205"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If you are a stockholder of record and you sign your proxy card or vote over the Internet or by telephone but do not give instructions with respect to the voting of directors, your shares will be voted FOR the election of Drs. Goodman and Randolph and Mr. Lettmann. If you are a street name stockholder of shares of our common stock and you do not give voting instructions to your broker, bank or other nominee, then your broker, bank or other nominee will leave your shares unvoted on this matter. We expect that Drs. Goodman and Randolph and Mr. Lettmann will accept such nomination; however, in the event that a director nominee is unable or declines to serve as a director at the time of the Annual Meeting, the proxies will be voted for any nominee who shall be designated by our board of directors to fill such vacancy.</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Vote Required</w:t>
      </w:r>
    </w:p>
    <w:p>
      <w:pPr>
        <w:spacing w:after="0" w:line="126"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The election of Class I directors requires a plurality of the votes of the shares of our common stock present in person (including virtually) or represented by proxy at the Annual Meeting and entitled to vote thereon to be approved. “Plurality” means that the three nominees who receive the most votes cast FOR will be elected as Class I directors. As a result, any shares not voted FOR a particular nominee (whether as a result of voting withheld or a broker non-vote) will not be counted in such nominee’s favor and will have no effect on the outcome of the election.</w:t>
      </w:r>
    </w:p>
    <w:p>
      <w:pPr>
        <w:spacing w:after="0" w:line="180" w:lineRule="exact"/>
        <w:rPr>
          <w:sz w:val="20"/>
          <w:szCs w:val="20"/>
          <w:color w:val="auto"/>
        </w:rPr>
      </w:pPr>
    </w:p>
    <w:p>
      <w:pPr>
        <w:ind w:left="120" w:right="520"/>
        <w:spacing w:after="0" w:line="271" w:lineRule="auto"/>
        <w:rPr>
          <w:sz w:val="20"/>
          <w:szCs w:val="20"/>
          <w:color w:val="auto"/>
        </w:rPr>
      </w:pPr>
      <w:r>
        <w:rPr>
          <w:rFonts w:ascii="Arial" w:cs="Arial" w:eastAsia="Arial" w:hAnsi="Arial"/>
          <w:sz w:val="18"/>
          <w:szCs w:val="18"/>
          <w:b w:val="1"/>
          <w:bCs w:val="1"/>
          <w:color w:val="auto"/>
        </w:rPr>
        <w:t>THE BOARD OF DIRECTORS RECOMMENDS A VOTE “FOR” THE ELECTION OF EACH OF THE THREE NOMINEES NAMED ABOVE AS CLASS I DIRECTORS TO SERVE FOR A THREE-YEAR TERM.</w:t>
      </w:r>
    </w:p>
    <w:p>
      <w:pPr>
        <w:spacing w:after="0" w:line="1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PROPOSAL NO. 2</w:t>
      </w:r>
    </w:p>
    <w:p>
      <w:pPr>
        <w:spacing w:after="0" w:line="1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RATIFICATION OF APPOINTMENT OF</w:t>
      </w:r>
    </w:p>
    <w:p>
      <w:pPr>
        <w:jc w:val="center"/>
        <w:ind w:right="-21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12" w:lineRule="exact"/>
        <w:rPr>
          <w:sz w:val="20"/>
          <w:szCs w:val="20"/>
          <w:color w:val="auto"/>
        </w:rPr>
      </w:pPr>
    </w:p>
    <w:p>
      <w:pPr>
        <w:ind w:left="120"/>
        <w:spacing w:after="0" w:line="246" w:lineRule="auto"/>
        <w:rPr>
          <w:sz w:val="20"/>
          <w:szCs w:val="20"/>
          <w:color w:val="auto"/>
        </w:rPr>
      </w:pPr>
      <w:r>
        <w:rPr>
          <w:rFonts w:ascii="Arial" w:cs="Arial" w:eastAsia="Arial" w:hAnsi="Arial"/>
          <w:sz w:val="18"/>
          <w:szCs w:val="18"/>
          <w:color w:val="auto"/>
        </w:rPr>
        <w:t>Our audit committee has appointed KPMG LLP, an independent registered public accounting firm, to audit our financial statements for our fiscal year ending December 31, 2021. KPMG LLP has served as our independent registered public accounting firm since 2016.</w:t>
      </w:r>
    </w:p>
    <w:p>
      <w:pPr>
        <w:spacing w:after="0" w:line="197"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At the Annual Meeting, our stockholders are being asked to ratify the appointment of KPMG LLP as our independent registered public accounting firm for our fiscal year ending December 31, 2021. Stockholder ratification of the appointment of KPMG LLP is not required by our bylaws or other applicable legal requirements. However, our board of directors is submitting the appointment of KPMG LLP to our stockholders for ratification as a matter of good corporate governance. In the event that this appointment is not ratified by the affirmative vote of a majority of the shares present in person (including virtually) or represented by proxy at the Annual Meeting and entitled to vote, such appointment will be reconsidered by our audit committee. Even if the appointment is ratified, our audit committee, in its sole discretion, may appoint another independent registered public accounting firm at any time during our fiscal year ending December 31, 2021 if our audit committee believes that such a change would be in the best interests our company and our stockholders. A representative of KPMG LLP is expected to be present at the Annual Meeting, will have an opportunity to make a statement if he or she wishes to do so, and is expected to be available to respond to appropriate questions from stockholders.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Fees Paid to the Independent Registered Public Accounting Firm</w:t>
      </w:r>
    </w:p>
    <w:p>
      <w:pPr>
        <w:spacing w:after="0" w:line="126" w:lineRule="exact"/>
        <w:rPr>
          <w:sz w:val="20"/>
          <w:szCs w:val="20"/>
          <w:color w:val="auto"/>
        </w:rPr>
      </w:pPr>
    </w:p>
    <w:p>
      <w:pPr>
        <w:ind w:left="120" w:right="420"/>
        <w:spacing w:after="0" w:line="246" w:lineRule="auto"/>
        <w:rPr>
          <w:sz w:val="20"/>
          <w:szCs w:val="20"/>
          <w:color w:val="auto"/>
        </w:rPr>
      </w:pPr>
      <w:r>
        <w:rPr>
          <w:rFonts w:ascii="Arial" w:cs="Arial" w:eastAsia="Arial" w:hAnsi="Arial"/>
          <w:sz w:val="18"/>
          <w:szCs w:val="18"/>
          <w:color w:val="auto"/>
        </w:rPr>
        <w:t>The following table presents fees for professional audit services and other services rendered to us by KPMG LLP for our fiscal years ended December 31, 2020 and 2019.</w:t>
      </w:r>
    </w:p>
    <w:p>
      <w:pPr>
        <w:spacing w:after="0" w:line="211" w:lineRule="exact"/>
        <w:rPr>
          <w:sz w:val="20"/>
          <w:szCs w:val="20"/>
          <w:color w:val="auto"/>
        </w:rPr>
      </w:pPr>
    </w:p>
    <w:tbl>
      <w:tblPr>
        <w:tblLayout w:type="fixed"/>
        <w:tblInd w:w="1440" w:type="dxa"/>
        <w:tblCellMar>
          <w:top w:w="0" w:type="dxa"/>
          <w:left w:w="0" w:type="dxa"/>
          <w:bottom w:w="0" w:type="dxa"/>
          <w:right w:w="0" w:type="dxa"/>
        </w:tblCellMar>
      </w:tblPr>
      <w:tr>
        <w:trPr>
          <w:trHeight w:val="175"/>
        </w:trPr>
        <w:tc>
          <w:tcPr>
            <w:tcW w:w="6020" w:type="dxa"/>
            <w:vAlign w:val="bottom"/>
          </w:tcPr>
          <w:p>
            <w:pPr>
              <w:spacing w:after="0"/>
              <w:rPr>
                <w:sz w:val="15"/>
                <w:szCs w:val="15"/>
                <w:color w:val="auto"/>
              </w:rPr>
            </w:pPr>
          </w:p>
        </w:tc>
        <w:tc>
          <w:tcPr>
            <w:tcW w:w="980" w:type="dxa"/>
            <w:vAlign w:val="bottom"/>
          </w:tcPr>
          <w:p>
            <w:pPr>
              <w:jc w:val="right"/>
              <w:ind w:right="253"/>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5"/>
                <w:szCs w:val="15"/>
                <w:color w:val="auto"/>
              </w:rPr>
            </w:pPr>
          </w:p>
        </w:tc>
        <w:tc>
          <w:tcPr>
            <w:tcW w:w="108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5"/>
                <w:szCs w:val="15"/>
                <w:color w:val="auto"/>
              </w:rPr>
            </w:pPr>
          </w:p>
        </w:tc>
      </w:tr>
      <w:tr>
        <w:trPr>
          <w:trHeight w:val="196"/>
        </w:trPr>
        <w:tc>
          <w:tcPr>
            <w:tcW w:w="6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Audit Fees</w:t>
            </w:r>
            <w:r>
              <w:rPr>
                <w:rFonts w:ascii="Arial" w:cs="Arial" w:eastAsia="Arial" w:hAnsi="Arial"/>
                <w:sz w:val="15"/>
                <w:szCs w:val="15"/>
                <w:color w:val="auto"/>
              </w:rPr>
              <w:t>(1)</w:t>
            </w: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$ 1,381,242</w:t>
            </w: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$ 270,880</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6020" w:type="dxa"/>
            <w:vAlign w:val="bottom"/>
          </w:tcPr>
          <w:p>
            <w:pPr>
              <w:spacing w:after="0" w:line="202" w:lineRule="exact"/>
              <w:rPr>
                <w:sz w:val="20"/>
                <w:szCs w:val="20"/>
                <w:color w:val="auto"/>
              </w:rPr>
            </w:pPr>
            <w:r>
              <w:rPr>
                <w:rFonts w:ascii="Arial" w:cs="Arial" w:eastAsia="Arial" w:hAnsi="Arial"/>
                <w:sz w:val="18"/>
                <w:szCs w:val="18"/>
                <w:color w:val="auto"/>
              </w:rPr>
              <w:t>Audit-Related Fees</w:t>
            </w:r>
          </w:p>
        </w:tc>
        <w:tc>
          <w:tcPr>
            <w:tcW w:w="1200" w:type="dxa"/>
            <w:vAlign w:val="bottom"/>
            <w:gridSpan w:val="2"/>
          </w:tcPr>
          <w:p>
            <w:pPr>
              <w:ind w:left="70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203"/>
        </w:trPr>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 Fees</w:t>
            </w:r>
            <w:r>
              <w:rPr>
                <w:rFonts w:ascii="Arial" w:cs="Arial" w:eastAsia="Arial" w:hAnsi="Arial"/>
                <w:sz w:val="15"/>
                <w:szCs w:val="15"/>
                <w:color w:val="auto"/>
              </w:rPr>
              <w:t>(2)</w:t>
            </w:r>
          </w:p>
        </w:tc>
        <w:tc>
          <w:tcPr>
            <w:tcW w:w="12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43,116</w:t>
            </w:r>
          </w:p>
        </w:tc>
        <w:tc>
          <w:tcPr>
            <w:tcW w:w="11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57,468</w:t>
            </w:r>
          </w:p>
        </w:tc>
      </w:tr>
      <w:tr>
        <w:trPr>
          <w:trHeight w:val="209"/>
        </w:trPr>
        <w:tc>
          <w:tcPr>
            <w:tcW w:w="6020" w:type="dxa"/>
            <w:vAlign w:val="bottom"/>
          </w:tcPr>
          <w:p>
            <w:pPr>
              <w:spacing w:after="0" w:line="202" w:lineRule="exact"/>
              <w:rPr>
                <w:sz w:val="20"/>
                <w:szCs w:val="20"/>
                <w:color w:val="auto"/>
              </w:rPr>
            </w:pPr>
            <w:r>
              <w:rPr>
                <w:rFonts w:ascii="Arial" w:cs="Arial" w:eastAsia="Arial" w:hAnsi="Arial"/>
                <w:sz w:val="18"/>
                <w:szCs w:val="18"/>
                <w:color w:val="auto"/>
              </w:rPr>
              <w:t>All Other Fees</w:t>
            </w: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1,780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03"/>
        </w:trPr>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Fees</w:t>
            </w:r>
          </w:p>
        </w:tc>
        <w:tc>
          <w:tcPr>
            <w:tcW w:w="12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$ 1,426,138</w:t>
            </w:r>
          </w:p>
        </w:tc>
        <w:tc>
          <w:tcPr>
            <w:tcW w:w="11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$ 328,348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8" w:lineRule="exact"/>
        <w:rPr>
          <w:sz w:val="20"/>
          <w:szCs w:val="20"/>
          <w:color w:val="auto"/>
        </w:rPr>
      </w:pPr>
    </w:p>
    <w:p>
      <w:pPr>
        <w:ind w:left="540" w:right="120" w:hanging="424"/>
        <w:spacing w:after="0" w:line="234"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“Audit Fees” consist of fees billed for professional services rendered in connection with the audit of our annual financial statements and reviews of our quarterly financial statements for those fiscal years. This category also includes fees for services incurred in connection with our initial public offering.</w:t>
      </w:r>
    </w:p>
    <w:p>
      <w:pPr>
        <w:spacing w:after="0" w:line="2" w:lineRule="exact"/>
        <w:rPr>
          <w:rFonts w:ascii="Arial" w:cs="Arial" w:eastAsia="Arial" w:hAnsi="Arial"/>
          <w:sz w:val="18"/>
          <w:szCs w:val="18"/>
          <w:color w:val="auto"/>
        </w:rPr>
      </w:pPr>
    </w:p>
    <w:p>
      <w:pPr>
        <w:ind w:left="540" w:hanging="424"/>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“Tax Fees” consist of fees billed for professional services rendered by KPMG LLP for tax compliance, tax advice and tax planning.</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Auditor Independence</w:t>
      </w:r>
    </w:p>
    <w:p>
      <w:pPr>
        <w:spacing w:after="0" w:line="126" w:lineRule="exact"/>
        <w:rPr>
          <w:sz w:val="20"/>
          <w:szCs w:val="20"/>
          <w:color w:val="auto"/>
        </w:rPr>
      </w:pPr>
    </w:p>
    <w:p>
      <w:pPr>
        <w:ind w:left="120" w:right="80"/>
        <w:spacing w:after="0" w:line="246" w:lineRule="auto"/>
        <w:rPr>
          <w:sz w:val="20"/>
          <w:szCs w:val="20"/>
          <w:color w:val="auto"/>
        </w:rPr>
      </w:pPr>
      <w:r>
        <w:rPr>
          <w:rFonts w:ascii="Arial" w:cs="Arial" w:eastAsia="Arial" w:hAnsi="Arial"/>
          <w:sz w:val="18"/>
          <w:szCs w:val="18"/>
          <w:color w:val="auto"/>
        </w:rPr>
        <w:t>In our fiscal year ended December 31, 2020, there were no other professional services provided by KPMG LLP that would have required our audit committee to consider their compatibility with maintaining the independence of KPMG LLP.</w:t>
      </w:r>
    </w:p>
    <w:p>
      <w:pPr>
        <w:spacing w:after="0" w:line="283" w:lineRule="exact"/>
        <w:rPr>
          <w:sz w:val="20"/>
          <w:szCs w:val="20"/>
          <w:color w:val="auto"/>
        </w:rPr>
      </w:pPr>
    </w:p>
    <w:p>
      <w:pPr>
        <w:ind w:left="120" w:right="680"/>
        <w:spacing w:after="0" w:line="271" w:lineRule="auto"/>
        <w:rPr>
          <w:sz w:val="20"/>
          <w:szCs w:val="20"/>
          <w:color w:val="auto"/>
        </w:rPr>
      </w:pPr>
      <w:r>
        <w:rPr>
          <w:rFonts w:ascii="Arial" w:cs="Arial" w:eastAsia="Arial" w:hAnsi="Arial"/>
          <w:sz w:val="18"/>
          <w:szCs w:val="18"/>
          <w:b w:val="1"/>
          <w:bCs w:val="1"/>
          <w:color w:val="auto"/>
        </w:rPr>
        <w:t>Audit Committee Policy on Pre-Approval of Audit and Permissible Non-Audit Services of Independent Registered Public Accounting Firm</w:t>
      </w:r>
    </w:p>
    <w:p>
      <w:pPr>
        <w:spacing w:after="0" w:line="68" w:lineRule="exact"/>
        <w:rPr>
          <w:sz w:val="20"/>
          <w:szCs w:val="20"/>
          <w:color w:val="auto"/>
        </w:rPr>
      </w:pPr>
    </w:p>
    <w:p>
      <w:pPr>
        <w:ind w:left="120" w:right="400"/>
        <w:spacing w:after="0" w:line="246" w:lineRule="auto"/>
        <w:rPr>
          <w:sz w:val="20"/>
          <w:szCs w:val="20"/>
          <w:color w:val="auto"/>
        </w:rPr>
      </w:pPr>
      <w:r>
        <w:rPr>
          <w:rFonts w:ascii="Arial" w:cs="Arial" w:eastAsia="Arial" w:hAnsi="Arial"/>
          <w:sz w:val="18"/>
          <w:szCs w:val="18"/>
          <w:color w:val="auto"/>
        </w:rPr>
        <w:t>Our audit committee has established a policy governing our use of the services of our independent registered public accounting firm. Under the policy, our audit committee is required to pre-approve all</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40"/>
          </w:cols>
          <w:pgMar w:left="320" w:top="459" w:right="5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60"/>
        <w:spacing w:after="0" w:line="238" w:lineRule="auto"/>
        <w:rPr>
          <w:sz w:val="20"/>
          <w:szCs w:val="20"/>
          <w:color w:val="auto"/>
        </w:rPr>
      </w:pPr>
      <w:r>
        <w:rPr>
          <w:rFonts w:ascii="Arial" w:cs="Arial" w:eastAsia="Arial" w:hAnsi="Arial"/>
          <w:sz w:val="18"/>
          <w:szCs w:val="18"/>
          <w:color w:val="auto"/>
        </w:rPr>
        <w:t>audit and permissible non-audit services performed by our independent registered public accounting firm in order to ensure that the provision of such services does not impair such accounting firm’s independence. All services provided by KPMG LLP for our fiscal year ended December 31, 2019 were approved by our board of directors, and following adoption of our pre-approval policy in June 2020, all fees paid to KPMG LLP for our fiscal year ended December 31, 2020 were pre-approved by our audit committee.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Vote Required</w:t>
      </w:r>
    </w:p>
    <w:p>
      <w:pPr>
        <w:spacing w:after="0" w:line="126"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The ratification of the appointment of KPMG LLP as our independent registered public accounting firm for our fiscal year ending December 31, 2021 requires the affirmative vote of a majority of the shares of our common stock present in person (including virtually) or represented by proxy at the Annual Meeting and entitled to vote thereon. Abstentions will have the effect of a vote AGAINST this proposal, and broker non-votes will have no effect.</w:t>
      </w:r>
    </w:p>
    <w:p>
      <w:pPr>
        <w:spacing w:after="0" w:line="183"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b w:val="1"/>
          <w:bCs w:val="1"/>
          <w:color w:val="auto"/>
        </w:rPr>
        <w:t>THE BOARD OF DIRECTORS RECOMMENDS A VOTE “FOR” THE RATIFICATION OF THE APPOINTMENT OF KPMG LLP AS OUR INDEPENDENT REGISTERED PUBLIC ACCOUNTING FIRM FOR OUR FISCAL YEAR ENDING DECEMBER 31, 2021.</w:t>
      </w:r>
    </w:p>
    <w:p>
      <w:pPr>
        <w:spacing w:after="0" w:line="1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00"/>
          </w:cols>
          <w:pgMar w:left="320" w:top="459" w:right="4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AUDIT COMMITTEE REPORT</w:t>
      </w:r>
    </w:p>
    <w:p>
      <w:pPr>
        <w:spacing w:after="0" w:line="234"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The audit committee is a committee of the board of directors comprised solely of independent directors as required by the listing standards of the Nasdaq Stock Market LLC and the rules and regulations of the Securities and Exchange Commission (the SEC). The composition of the audit committee, the attributes of its members and the responsibilities of the audit committee, as reflected in its charter, are intended to be in accordance with applicable requirements for corporate audit committees. The audit committee operates under a written charter approved by the board of directors, which is available on our website at https://ir.alxoncology.com/. The audit committee reviews and assesses the adequacy of its charter and the audit committee’s performance on an annual basis.</w:t>
      </w:r>
    </w:p>
    <w:p>
      <w:pPr>
        <w:spacing w:after="0" w:line="205"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With respect to the Company’s financial reporting process, the Company’s management is responsible for (1) establishing and maintaining internal controls and (2) preparing the Company’s financial statements. The Company’s independent registered public accounting firm, KPMG LLP (KPMG), is responsible for performing an independent audit of the Company’s financial statements. It is the responsibility of the audit committee to oversee these activities. It is not the responsibility of the audit committee to prepare the Company’s financial statements. These are the fundamental responsibilities of management.</w:t>
      </w:r>
    </w:p>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the performance of its oversight function, the audit committee has:</w:t>
      </w:r>
    </w:p>
    <w:p>
      <w:pPr>
        <w:spacing w:after="0" w:line="117" w:lineRule="exact"/>
        <w:rPr>
          <w:sz w:val="20"/>
          <w:szCs w:val="20"/>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reviewed and discussed the audited financial statements with management and KPMG;</w:t>
      </w:r>
    </w:p>
    <w:p>
      <w:pPr>
        <w:spacing w:after="0" w:line="117" w:lineRule="exact"/>
        <w:rPr>
          <w:rFonts w:ascii="Arial" w:cs="Arial" w:eastAsia="Arial" w:hAnsi="Arial"/>
          <w:sz w:val="18"/>
          <w:szCs w:val="18"/>
          <w:color w:val="auto"/>
        </w:rPr>
      </w:pPr>
    </w:p>
    <w:p>
      <w:pPr>
        <w:ind w:left="1080" w:right="40" w:hanging="424"/>
        <w:spacing w:after="0" w:line="246"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discussed with KPMG the matters required to be discussed by the applicable requirements of the Public Company Accounting Oversight Board (PCAOB) and the SEC; and</w:t>
      </w:r>
    </w:p>
    <w:p>
      <w:pPr>
        <w:spacing w:after="0" w:line="102" w:lineRule="exact"/>
        <w:rPr>
          <w:rFonts w:ascii="Arial" w:cs="Arial" w:eastAsia="Arial" w:hAnsi="Arial"/>
          <w:sz w:val="18"/>
          <w:szCs w:val="18"/>
          <w:color w:val="auto"/>
        </w:rPr>
      </w:pPr>
    </w:p>
    <w:p>
      <w:pPr>
        <w:ind w:left="1080" w:right="32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received the written disclosures and the letter from KPMG required by applicable requirements of the PCAOB regarding the independent accountant’s communications with the audit committee concerning independence and has discussed with KPMG its independence.</w:t>
      </w:r>
    </w:p>
    <w:p>
      <w:pPr>
        <w:spacing w:after="0" w:line="203" w:lineRule="exact"/>
        <w:rPr>
          <w:sz w:val="20"/>
          <w:szCs w:val="20"/>
          <w:color w:val="auto"/>
        </w:rPr>
      </w:pPr>
    </w:p>
    <w:p>
      <w:pPr>
        <w:ind w:left="120" w:right="120"/>
        <w:spacing w:after="0"/>
        <w:rPr>
          <w:sz w:val="20"/>
          <w:szCs w:val="20"/>
          <w:color w:val="auto"/>
        </w:rPr>
      </w:pPr>
      <w:r>
        <w:rPr>
          <w:rFonts w:ascii="Arial" w:cs="Arial" w:eastAsia="Arial" w:hAnsi="Arial"/>
          <w:sz w:val="18"/>
          <w:szCs w:val="18"/>
          <w:color w:val="auto"/>
        </w:rPr>
        <w:t>Based on the audit committee’s review and discussions with management and KPMG, the audit committee recommended to the board of directors that the audited financial statements be included in the Company’s Annual Report on Form 10-K for the fiscal year ended December 31, 2020 for filing with the SEC.</w:t>
      </w:r>
    </w:p>
    <w:p>
      <w:pPr>
        <w:spacing w:after="0" w:line="20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Respectfully submitted by the members of the audit committee of the board of directors:</w:t>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Rekha Hemrajani (Chair)</w:t>
      </w:r>
    </w:p>
    <w:p>
      <w:pPr>
        <w:spacing w:after="0" w:line="1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Graham Walmsley, M.D., Ph.D.</w:t>
      </w:r>
    </w:p>
    <w:p>
      <w:pPr>
        <w:ind w:left="120"/>
        <w:spacing w:after="0"/>
        <w:rPr>
          <w:sz w:val="20"/>
          <w:szCs w:val="20"/>
          <w:color w:val="auto"/>
        </w:rPr>
      </w:pPr>
      <w:r>
        <w:rPr>
          <w:rFonts w:ascii="Arial" w:cs="Arial" w:eastAsia="Arial" w:hAnsi="Arial"/>
          <w:sz w:val="18"/>
          <w:szCs w:val="18"/>
          <w:b w:val="1"/>
          <w:bCs w:val="1"/>
          <w:color w:val="auto"/>
        </w:rPr>
        <w:t>Jack Nielsen</w:t>
      </w:r>
    </w:p>
    <w:p>
      <w:pPr>
        <w:spacing w:after="0" w:line="194" w:lineRule="exact"/>
        <w:rPr>
          <w:sz w:val="20"/>
          <w:szCs w:val="20"/>
          <w:color w:val="auto"/>
        </w:rPr>
      </w:pPr>
    </w:p>
    <w:p>
      <w:pPr>
        <w:ind w:left="120" w:right="20"/>
        <w:spacing w:after="0" w:line="242" w:lineRule="auto"/>
        <w:rPr>
          <w:sz w:val="20"/>
          <w:szCs w:val="20"/>
          <w:color w:val="auto"/>
        </w:rPr>
      </w:pPr>
      <w:r>
        <w:rPr>
          <w:rFonts w:ascii="Arial" w:cs="Arial" w:eastAsia="Arial" w:hAnsi="Arial"/>
          <w:sz w:val="18"/>
          <w:szCs w:val="18"/>
          <w:i w:val="1"/>
          <w:iCs w:val="1"/>
          <w:color w:val="auto"/>
        </w:rPr>
        <w:t>This report of the audit committee is required by the SEC and, in accordance with the SEC’s rules, will not be deemed to be part of or incorporated by reference by any general statement incorporating by reference this proxy statement into any filing under the Securities Act of 1933, as amended (the Securities Act), or under the Securities Exchange Act of 1934, as amended (the Exchange Act), except to the extent that we specifically incorporate this information by reference, and will not otherwise be deemed “soliciting material” or “filed” under either the Securities Act or the Exchange Act.</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EXECUTIVE OFFICERS</w:t>
      </w:r>
    </w:p>
    <w:p>
      <w:pPr>
        <w:spacing w:after="0" w:line="234" w:lineRule="exact"/>
        <w:rPr>
          <w:sz w:val="20"/>
          <w:szCs w:val="20"/>
          <w:color w:val="auto"/>
        </w:rPr>
      </w:pPr>
    </w:p>
    <w:p>
      <w:pPr>
        <w:ind w:left="120" w:right="200"/>
        <w:spacing w:after="0" w:line="246" w:lineRule="auto"/>
        <w:rPr>
          <w:sz w:val="20"/>
          <w:szCs w:val="20"/>
          <w:color w:val="auto"/>
        </w:rPr>
      </w:pPr>
      <w:r>
        <w:rPr>
          <w:rFonts w:ascii="Arial" w:cs="Arial" w:eastAsia="Arial" w:hAnsi="Arial"/>
          <w:sz w:val="18"/>
          <w:szCs w:val="18"/>
          <w:color w:val="auto"/>
        </w:rPr>
        <w:t>The following table sets forth certain information about our executive officers as of March 31, 2021. Officers are elected by our board of directors to hold office until their successors are elected and qualified.</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00" w:type="dxa"/>
            <w:vAlign w:val="bottom"/>
          </w:tcPr>
          <w:p>
            <w:pPr>
              <w:spacing w:after="0"/>
              <w:rPr>
                <w:sz w:val="20"/>
                <w:szCs w:val="20"/>
                <w:color w:val="auto"/>
              </w:rPr>
            </w:pPr>
            <w:r>
              <w:rPr>
                <w:rFonts w:ascii="Arial" w:cs="Arial" w:eastAsia="Arial" w:hAnsi="Arial"/>
                <w:sz w:val="14"/>
                <w:szCs w:val="14"/>
                <w:b w:val="1"/>
                <w:bCs w:val="1"/>
                <w:color w:val="auto"/>
                <w:w w:val="99"/>
              </w:rPr>
              <w:t>Name</w:t>
            </w:r>
          </w:p>
        </w:tc>
        <w:tc>
          <w:tcPr>
            <w:tcW w:w="2800" w:type="dxa"/>
            <w:vAlign w:val="bottom"/>
          </w:tcPr>
          <w:p>
            <w:pPr>
              <w:spacing w:after="0"/>
              <w:rPr>
                <w:sz w:val="15"/>
                <w:szCs w:val="15"/>
                <w:color w:val="auto"/>
              </w:rPr>
            </w:pPr>
          </w:p>
        </w:tc>
        <w:tc>
          <w:tcPr>
            <w:tcW w:w="1080" w:type="dxa"/>
            <w:vAlign w:val="bottom"/>
            <w:gridSpan w:val="2"/>
          </w:tcPr>
          <w:p>
            <w:pPr>
              <w:jc w:val="center"/>
              <w:ind w:left="696"/>
              <w:spacing w:after="0"/>
              <w:rPr>
                <w:sz w:val="20"/>
                <w:szCs w:val="20"/>
                <w:color w:val="auto"/>
              </w:rPr>
            </w:pPr>
            <w:r>
              <w:rPr>
                <w:rFonts w:ascii="Arial" w:cs="Arial" w:eastAsia="Arial" w:hAnsi="Arial"/>
                <w:sz w:val="14"/>
                <w:szCs w:val="14"/>
                <w:b w:val="1"/>
                <w:bCs w:val="1"/>
                <w:color w:val="auto"/>
                <w:w w:val="98"/>
              </w:rPr>
              <w:t>Age</w:t>
            </w:r>
          </w:p>
        </w:tc>
        <w:tc>
          <w:tcPr>
            <w:tcW w:w="3300" w:type="dxa"/>
            <w:vAlign w:val="bottom"/>
          </w:tcPr>
          <w:p>
            <w:pPr>
              <w:spacing w:after="0"/>
              <w:rPr>
                <w:sz w:val="15"/>
                <w:szCs w:val="15"/>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20"/>
        </w:trPr>
        <w:tc>
          <w:tcPr>
            <w:tcW w:w="40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80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200" w:type="dxa"/>
            <w:vAlign w:val="bottom"/>
            <w:gridSpan w:val="2"/>
          </w:tcPr>
          <w:p>
            <w:pPr>
              <w:spacing w:after="0" w:line="195" w:lineRule="exact"/>
              <w:rPr>
                <w:sz w:val="20"/>
                <w:szCs w:val="20"/>
                <w:color w:val="auto"/>
              </w:rPr>
            </w:pPr>
            <w:r>
              <w:rPr>
                <w:rFonts w:ascii="Arial" w:cs="Arial" w:eastAsia="Arial" w:hAnsi="Arial"/>
                <w:sz w:val="18"/>
                <w:szCs w:val="18"/>
                <w:color w:val="auto"/>
              </w:rPr>
              <w:t>Jaume Pons, Ph.D.</w:t>
            </w:r>
          </w:p>
        </w:tc>
        <w:tc>
          <w:tcPr>
            <w:tcW w:w="800" w:type="dxa"/>
            <w:vAlign w:val="bottom"/>
            <w:vMerge w:val="continue"/>
          </w:tcPr>
          <w:p>
            <w:pPr>
              <w:spacing w:after="0"/>
              <w:rPr>
                <w:sz w:val="16"/>
                <w:szCs w:val="16"/>
                <w:color w:val="auto"/>
              </w:rPr>
            </w:pPr>
          </w:p>
        </w:tc>
        <w:tc>
          <w:tcPr>
            <w:tcW w:w="280" w:type="dxa"/>
            <w:vAlign w:val="bottom"/>
          </w:tcPr>
          <w:p>
            <w:pPr>
              <w:jc w:val="center"/>
              <w:spacing w:after="0" w:line="195" w:lineRule="exact"/>
              <w:rPr>
                <w:sz w:val="20"/>
                <w:szCs w:val="20"/>
                <w:color w:val="auto"/>
              </w:rPr>
            </w:pPr>
            <w:r>
              <w:rPr>
                <w:rFonts w:ascii="Arial" w:cs="Arial" w:eastAsia="Arial" w:hAnsi="Arial"/>
                <w:sz w:val="18"/>
                <w:szCs w:val="18"/>
                <w:color w:val="auto"/>
                <w:w w:val="99"/>
              </w:rPr>
              <w:t>55</w:t>
            </w:r>
          </w:p>
        </w:tc>
        <w:tc>
          <w:tcPr>
            <w:tcW w:w="4160" w:type="dxa"/>
            <w:vAlign w:val="bottom"/>
            <w:gridSpan w:val="3"/>
          </w:tcPr>
          <w:p>
            <w:pPr>
              <w:ind w:left="460"/>
              <w:spacing w:after="0" w:line="195" w:lineRule="exact"/>
              <w:rPr>
                <w:sz w:val="20"/>
                <w:szCs w:val="20"/>
                <w:color w:val="auto"/>
              </w:rPr>
            </w:pPr>
            <w:r>
              <w:rPr>
                <w:rFonts w:ascii="Arial" w:cs="Arial" w:eastAsia="Arial" w:hAnsi="Arial"/>
                <w:sz w:val="18"/>
                <w:szCs w:val="18"/>
                <w:color w:val="auto"/>
                <w:w w:val="98"/>
              </w:rPr>
              <w:t>Chief Executive Officer, President and Director</w:t>
            </w:r>
          </w:p>
        </w:tc>
        <w:tc>
          <w:tcPr>
            <w:tcW w:w="0" w:type="dxa"/>
            <w:vAlign w:val="bottom"/>
          </w:tcPr>
          <w:p>
            <w:pPr>
              <w:spacing w:after="0"/>
              <w:rPr>
                <w:sz w:val="1"/>
                <w:szCs w:val="1"/>
                <w:color w:val="auto"/>
              </w:rPr>
            </w:pPr>
          </w:p>
        </w:tc>
      </w:tr>
      <w:tr>
        <w:trPr>
          <w:trHeight w:val="203"/>
        </w:trPr>
        <w:tc>
          <w:tcPr>
            <w:tcW w:w="3200" w:type="dxa"/>
            <w:vAlign w:val="bottom"/>
            <w:gridSpan w:val="2"/>
          </w:tcPr>
          <w:p>
            <w:pPr>
              <w:spacing w:after="0" w:line="202" w:lineRule="exact"/>
              <w:rPr>
                <w:sz w:val="20"/>
                <w:szCs w:val="20"/>
                <w:color w:val="auto"/>
              </w:rPr>
            </w:pPr>
            <w:r>
              <w:rPr>
                <w:rFonts w:ascii="Arial" w:cs="Arial" w:eastAsia="Arial" w:hAnsi="Arial"/>
                <w:sz w:val="18"/>
                <w:szCs w:val="18"/>
                <w:color w:val="auto"/>
              </w:rPr>
              <w:t>Sophia Randolph, M.D., Ph.D.</w:t>
            </w:r>
          </w:p>
        </w:tc>
        <w:tc>
          <w:tcPr>
            <w:tcW w:w="1080" w:type="dxa"/>
            <w:vAlign w:val="bottom"/>
            <w:gridSpan w:val="2"/>
          </w:tcPr>
          <w:p>
            <w:pPr>
              <w:jc w:val="center"/>
              <w:ind w:left="676"/>
              <w:spacing w:after="0" w:line="202" w:lineRule="exact"/>
              <w:rPr>
                <w:sz w:val="20"/>
                <w:szCs w:val="20"/>
                <w:color w:val="auto"/>
              </w:rPr>
            </w:pPr>
            <w:r>
              <w:rPr>
                <w:rFonts w:ascii="Arial" w:cs="Arial" w:eastAsia="Arial" w:hAnsi="Arial"/>
                <w:sz w:val="18"/>
                <w:szCs w:val="18"/>
                <w:color w:val="auto"/>
                <w:w w:val="99"/>
              </w:rPr>
              <w:t>53</w:t>
            </w:r>
          </w:p>
        </w:tc>
        <w:tc>
          <w:tcPr>
            <w:tcW w:w="4160" w:type="dxa"/>
            <w:vAlign w:val="bottom"/>
            <w:gridSpan w:val="3"/>
          </w:tcPr>
          <w:p>
            <w:pPr>
              <w:ind w:left="460"/>
              <w:spacing w:after="0" w:line="202" w:lineRule="exact"/>
              <w:rPr>
                <w:sz w:val="20"/>
                <w:szCs w:val="20"/>
                <w:color w:val="auto"/>
              </w:rPr>
            </w:pPr>
            <w:r>
              <w:rPr>
                <w:rFonts w:ascii="Arial" w:cs="Arial" w:eastAsia="Arial" w:hAnsi="Arial"/>
                <w:sz w:val="18"/>
                <w:szCs w:val="18"/>
                <w:color w:val="auto"/>
              </w:rPr>
              <w:t>Chief Medical Officer and Director</w:t>
            </w:r>
          </w:p>
        </w:tc>
        <w:tc>
          <w:tcPr>
            <w:tcW w:w="0" w:type="dxa"/>
            <w:vAlign w:val="bottom"/>
          </w:tcPr>
          <w:p>
            <w:pPr>
              <w:spacing w:after="0"/>
              <w:rPr>
                <w:sz w:val="1"/>
                <w:szCs w:val="1"/>
                <w:color w:val="auto"/>
              </w:rPr>
            </w:pPr>
          </w:p>
        </w:tc>
      </w:tr>
      <w:tr>
        <w:trPr>
          <w:trHeight w:val="217"/>
        </w:trPr>
        <w:tc>
          <w:tcPr>
            <w:tcW w:w="3200" w:type="dxa"/>
            <w:vAlign w:val="bottom"/>
            <w:gridSpan w:val="2"/>
          </w:tcPr>
          <w:p>
            <w:pPr>
              <w:spacing w:after="0"/>
              <w:rPr>
                <w:sz w:val="20"/>
                <w:szCs w:val="20"/>
                <w:color w:val="auto"/>
              </w:rPr>
            </w:pPr>
            <w:r>
              <w:rPr>
                <w:rFonts w:ascii="Arial" w:cs="Arial" w:eastAsia="Arial" w:hAnsi="Arial"/>
                <w:sz w:val="18"/>
                <w:szCs w:val="18"/>
                <w:color w:val="auto"/>
              </w:rPr>
              <w:t>Peter Garcia.</w:t>
            </w:r>
          </w:p>
        </w:tc>
        <w:tc>
          <w:tcPr>
            <w:tcW w:w="1080" w:type="dxa"/>
            <w:vAlign w:val="bottom"/>
            <w:gridSpan w:val="2"/>
          </w:tcPr>
          <w:p>
            <w:pPr>
              <w:jc w:val="center"/>
              <w:ind w:left="676"/>
              <w:spacing w:after="0"/>
              <w:rPr>
                <w:sz w:val="20"/>
                <w:szCs w:val="20"/>
                <w:color w:val="auto"/>
              </w:rPr>
            </w:pPr>
            <w:r>
              <w:rPr>
                <w:rFonts w:ascii="Arial" w:cs="Arial" w:eastAsia="Arial" w:hAnsi="Arial"/>
                <w:sz w:val="18"/>
                <w:szCs w:val="18"/>
                <w:color w:val="auto"/>
                <w:w w:val="99"/>
              </w:rPr>
              <w:t>59</w:t>
            </w:r>
          </w:p>
        </w:tc>
        <w:tc>
          <w:tcPr>
            <w:tcW w:w="4160" w:type="dxa"/>
            <w:vAlign w:val="bottom"/>
            <w:gridSpan w:val="3"/>
          </w:tcPr>
          <w:p>
            <w:pPr>
              <w:ind w:left="46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the biography of Dr. Pons, please see “Board of Directors and Corporate Governance—Continuing Directors.”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the biography of Dr. Randolph, please see “Board of Directors and Corporate Governance—Director Nominees.”</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 xml:space="preserve">Peter Garcia </w:t>
      </w:r>
      <w:r>
        <w:rPr>
          <w:rFonts w:ascii="Arial" w:cs="Arial" w:eastAsia="Arial" w:hAnsi="Arial"/>
          <w:sz w:val="18"/>
          <w:szCs w:val="18"/>
          <w:color w:val="auto"/>
        </w:rPr>
        <w:t>has served as our Chief Financial Officer since January 2020. Prior to joining us, he served as Vice President and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Officer from May 2013 until August 2019 and as Acting Chief Accounting Officer from May 2013 until July 2013 at PDL BioPharma, Inc., an acquirer of royalties and pharmaceutical assets. From October 2011 to May 2013, Mr. Garcia served as Chief Financial Officer at BioTime, Inc., a clinical-stage biotechnology company now known as Lineage Cell Therapeutics. He previously served as Chief Financial Officer of six biotechnology and high technology companies, including Marina Biotech, Nanosys, Nuvelo, Novacept, IntraBiotics Pharmaceuticals and Dendreon. Mr. Garcia holds a B.A. in Economics and Sociology from Stanford University and an M.B.A. from the University of California, Los Angeles.</w:t>
      </w:r>
    </w:p>
    <w:p>
      <w:pPr>
        <w:spacing w:after="0" w:line="13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40"/>
          </w:cols>
          <w:pgMar w:left="320" w:top="459" w:right="5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EXECUTIVE COMPENSATION</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Processes and Procedures for Compensation Decisions</w:t>
      </w:r>
    </w:p>
    <w:p>
      <w:pPr>
        <w:spacing w:after="0" w:line="126"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Our compensation committee is responsible for the executive compensation programs for our executive officers and reports to our board of directors on its discussions, decisions and other actions. Typically, our Chief Executive Officer makes recommendations to our compensation committee, often attends committee meetings and is involved in the determination of compensation for the respective executive officers who report to him, except that the Chief Executive Officer does not make recommendations as to his own compensation. Our Chief Executive Officer makes recommendations to our compensation committee regarding short- and long-term compensation for all executive officers (other than himself) based on our results, an individual executive officer’s contribution toward these results and performance toward individual goal achievement. Our compensation committee then reviews the recommendations and other data. Our compensation committee makes decisions as to total compensation for each executive office, although it may instead, in its discretion, make recommendations to our board of directors regarding executive compensation for its approval.</w:t>
      </w:r>
    </w:p>
    <w:p>
      <w:pPr>
        <w:spacing w:after="0" w:line="207"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Our compensation committee is authorized to retain the services of one or more executive compensation advisors, as it sees fit, in connection with the establishment of our compensation programs and related policies. In 2020, our compensation committee retained Compensia, a national compensation consultant, to provide it with information, recommendations and other advice relating to executive compensation on an ongoing basis. Compensia serves at the discretion of our compensation committee. As part of its engagement, Compensia assists our compensation committee in developing an appropriate group of peer companies to help us determine the appropriate level of overall compensation for our executive officers, as well as assess each separate element of compensation, with a goal of ensuring that the compensation we offer to our executive officers is competitive and fair.</w:t>
      </w:r>
    </w:p>
    <w:p>
      <w:pPr>
        <w:spacing w:after="0" w:line="203"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Our compensation committee periodically considers and assesses Compensia’s independence, including whether Compensia has any potential conflicts of interest with our company or members of our compensation committee. In connection with Compensia’s engagement, our compensation committee conducted such a review and concluded that it was not aware of any conflict of interest that had been raised by work performed by Compensia or the individual consultants employed by Compensia that perform services for our compensation committee.</w:t>
      </w:r>
    </w:p>
    <w:p>
      <w:pPr>
        <w:spacing w:after="0" w:line="202" w:lineRule="exact"/>
        <w:rPr>
          <w:sz w:val="20"/>
          <w:szCs w:val="20"/>
          <w:color w:val="auto"/>
        </w:rPr>
      </w:pPr>
    </w:p>
    <w:p>
      <w:pPr>
        <w:ind w:left="120" w:right="300"/>
        <w:spacing w:after="0" w:line="246" w:lineRule="auto"/>
        <w:rPr>
          <w:sz w:val="20"/>
          <w:szCs w:val="20"/>
          <w:color w:val="auto"/>
        </w:rPr>
      </w:pPr>
      <w:r>
        <w:rPr>
          <w:rFonts w:ascii="Arial" w:cs="Arial" w:eastAsia="Arial" w:hAnsi="Arial"/>
          <w:sz w:val="18"/>
          <w:szCs w:val="18"/>
          <w:color w:val="auto"/>
        </w:rPr>
        <w:t>Our named executive officers for the fiscal year ended December 31, 2020, which consist of our principal executive officer and the next two most highly compensated executive officers who were serving as executive officers as of December 31, 2020 are:</w:t>
      </w:r>
    </w:p>
    <w:p>
      <w:pPr>
        <w:spacing w:after="0" w:line="102" w:lineRule="exact"/>
        <w:rPr>
          <w:sz w:val="20"/>
          <w:szCs w:val="20"/>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Jaume Pons, Ph.D., our Chief Executive Officer, President and Director;</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Peter Garcia, our Chief Financial Officer; and</w:t>
      </w:r>
    </w:p>
    <w:p>
      <w:pPr>
        <w:spacing w:after="0" w:line="117" w:lineRule="exact"/>
        <w:rPr>
          <w:rFonts w:ascii="Arial" w:cs="Arial" w:eastAsia="Arial" w:hAnsi="Arial"/>
          <w:sz w:val="18"/>
          <w:szCs w:val="18"/>
          <w:color w:val="auto"/>
        </w:rPr>
      </w:pPr>
    </w:p>
    <w:p>
      <w:pPr>
        <w:ind w:left="5520" w:right="4500" w:hanging="4864"/>
        <w:spacing w:after="0" w:line="418" w:lineRule="auto"/>
        <w:tabs>
          <w:tab w:leader="none" w:pos="1084" w:val="left"/>
        </w:tabs>
        <w:numPr>
          <w:ilvl w:val="0"/>
          <w:numId w:val="25"/>
        </w:numPr>
        <w:rPr>
          <w:rFonts w:ascii="Arial" w:cs="Arial" w:eastAsia="Arial" w:hAnsi="Arial"/>
          <w:sz w:val="18"/>
          <w:szCs w:val="18"/>
          <w:color w:val="auto"/>
        </w:rPr>
      </w:pPr>
      <w:r>
        <w:rPr>
          <w:rFonts w:ascii="Arial" w:cs="Arial" w:eastAsia="Arial" w:hAnsi="Arial"/>
          <w:sz w:val="18"/>
          <w:szCs w:val="18"/>
          <w:color w:val="auto"/>
        </w:rPr>
        <w:t>Sophia Randolph, M.D., Ph.D., our Chief Medical Officer and Director. 25</w:t>
      </w:r>
    </w:p>
    <w:p>
      <w:pPr>
        <w:sectPr>
          <w:pgSz w:w="11900" w:h="16838" w:orient="portrait"/>
          <w:cols w:equalWidth="0" w:num="1">
            <w:col w:w="11140"/>
          </w:cols>
          <w:pgMar w:left="32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Compensation Table</w:t>
      </w:r>
    </w:p>
    <w:p>
      <w:pPr>
        <w:spacing w:after="0" w:line="126" w:lineRule="exact"/>
        <w:rPr>
          <w:sz w:val="20"/>
          <w:szCs w:val="20"/>
          <w:color w:val="auto"/>
        </w:rPr>
      </w:pPr>
    </w:p>
    <w:p>
      <w:pPr>
        <w:ind w:left="120" w:right="1140"/>
        <w:spacing w:after="0" w:line="246" w:lineRule="auto"/>
        <w:rPr>
          <w:sz w:val="20"/>
          <w:szCs w:val="20"/>
          <w:color w:val="auto"/>
        </w:rPr>
      </w:pPr>
      <w:r>
        <w:rPr>
          <w:rFonts w:ascii="Arial" w:cs="Arial" w:eastAsia="Arial" w:hAnsi="Arial"/>
          <w:sz w:val="18"/>
          <w:szCs w:val="18"/>
          <w:color w:val="auto"/>
        </w:rPr>
        <w:t>The following table provides information regarding the compensation of our named executive officers during the years ended December 31, 2019 and 2020.</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Non-Equity</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Option</w:t>
            </w:r>
          </w:p>
        </w:tc>
        <w:tc>
          <w:tcPr>
            <w:tcW w:w="11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Incentive Plan</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All Other</w:t>
            </w: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94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230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center"/>
              <w:ind w:right="140"/>
              <w:spacing w:after="0" w:line="159" w:lineRule="exact"/>
              <w:rPr>
                <w:sz w:val="20"/>
                <w:szCs w:val="20"/>
                <w:color w:val="auto"/>
              </w:rPr>
            </w:pPr>
            <w:r>
              <w:rPr>
                <w:rFonts w:ascii="Arial" w:cs="Arial" w:eastAsia="Arial" w:hAnsi="Arial"/>
                <w:sz w:val="14"/>
                <w:szCs w:val="14"/>
                <w:b w:val="1"/>
                <w:bCs w:val="1"/>
                <w:color w:val="auto"/>
              </w:rPr>
              <w:t>Awards</w:t>
            </w:r>
          </w:p>
        </w:tc>
        <w:tc>
          <w:tcPr>
            <w:tcW w:w="1180" w:type="dxa"/>
            <w:vAlign w:val="bottom"/>
            <w:gridSpan w:val="2"/>
          </w:tcPr>
          <w:p>
            <w:pPr>
              <w:jc w:val="right"/>
              <w:ind w:right="160"/>
              <w:spacing w:after="0" w:line="159" w:lineRule="exact"/>
              <w:rPr>
                <w:sz w:val="20"/>
                <w:szCs w:val="20"/>
                <w:color w:val="auto"/>
              </w:rPr>
            </w:pPr>
            <w:r>
              <w:rPr>
                <w:rFonts w:ascii="Arial" w:cs="Arial" w:eastAsia="Arial" w:hAnsi="Arial"/>
                <w:sz w:val="14"/>
                <w:szCs w:val="14"/>
                <w:b w:val="1"/>
                <w:bCs w:val="1"/>
                <w:color w:val="auto"/>
              </w:rPr>
              <w:t>Compensation</w:t>
            </w:r>
          </w:p>
        </w:tc>
        <w:tc>
          <w:tcPr>
            <w:tcW w:w="880" w:type="dxa"/>
            <w:vAlign w:val="bottom"/>
            <w:gridSpan w:val="2"/>
          </w:tcPr>
          <w:p>
            <w:pPr>
              <w:ind w:left="140"/>
              <w:spacing w:after="0" w:line="159" w:lineRule="exact"/>
              <w:rPr>
                <w:sz w:val="20"/>
                <w:szCs w:val="20"/>
                <w:color w:val="auto"/>
              </w:rPr>
            </w:pPr>
            <w:r>
              <w:rPr>
                <w:rFonts w:ascii="Arial" w:cs="Arial" w:eastAsia="Arial" w:hAnsi="Arial"/>
                <w:sz w:val="14"/>
                <w:szCs w:val="14"/>
                <w:b w:val="1"/>
                <w:bCs w:val="1"/>
                <w:color w:val="auto"/>
              </w:rPr>
              <w:t>Bonus</w:t>
            </w:r>
          </w:p>
        </w:tc>
        <w:tc>
          <w:tcPr>
            <w:tcW w:w="1180" w:type="dxa"/>
            <w:vAlign w:val="bottom"/>
            <w:gridSpan w:val="2"/>
          </w:tcPr>
          <w:p>
            <w:pPr>
              <w:jc w:val="center"/>
              <w:ind w:right="180"/>
              <w:spacing w:after="0" w:line="159" w:lineRule="exact"/>
              <w:rPr>
                <w:sz w:val="20"/>
                <w:szCs w:val="20"/>
                <w:color w:val="auto"/>
              </w:rPr>
            </w:pPr>
            <w:r>
              <w:rPr>
                <w:rFonts w:ascii="Arial" w:cs="Arial" w:eastAsia="Arial" w:hAnsi="Arial"/>
                <w:sz w:val="14"/>
                <w:szCs w:val="14"/>
                <w:b w:val="1"/>
                <w:bCs w:val="1"/>
                <w:color w:val="auto"/>
              </w:rPr>
              <w:t>Compensation</w:t>
            </w: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1940" w:type="dxa"/>
            <w:vAlign w:val="bottom"/>
            <w:tcBorders>
              <w:bottom w:val="single" w:sz="8" w:color="auto"/>
            </w:tcBorders>
            <w:vMerge w:val="continue"/>
          </w:tcPr>
          <w:p>
            <w:pPr>
              <w:spacing w:after="0"/>
              <w:rPr>
                <w:sz w:val="16"/>
                <w:szCs w:val="16"/>
                <w:color w:val="auto"/>
              </w:rPr>
            </w:pPr>
          </w:p>
        </w:tc>
        <w:tc>
          <w:tcPr>
            <w:tcW w:w="2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4"/>
          </w:tcPr>
          <w:p>
            <w:pPr>
              <w:ind w:left="80"/>
              <w:spacing w:after="0"/>
              <w:rPr>
                <w:sz w:val="20"/>
                <w:szCs w:val="20"/>
                <w:color w:val="auto"/>
              </w:rPr>
            </w:pPr>
            <w:r>
              <w:rPr>
                <w:rFonts w:ascii="Arial" w:cs="Arial" w:eastAsia="Arial" w:hAnsi="Arial"/>
                <w:sz w:val="14"/>
                <w:szCs w:val="14"/>
                <w:b w:val="1"/>
                <w:bCs w:val="1"/>
                <w:color w:val="auto"/>
              </w:rPr>
              <w:t xml:space="preserve">Year    Salary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860" w:type="dxa"/>
            <w:vAlign w:val="bottom"/>
          </w:tcPr>
          <w:p>
            <w:pPr>
              <w:jc w:val="center"/>
              <w:spacing w:after="0" w:line="165"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9"/>
                <w:szCs w:val="19"/>
                <w:b w:val="1"/>
                <w:bCs w:val="1"/>
                <w:color w:val="auto"/>
                <w:vertAlign w:val="superscript"/>
              </w:rPr>
              <w:t>(1)</w:t>
            </w:r>
          </w:p>
        </w:tc>
        <w:tc>
          <w:tcPr>
            <w:tcW w:w="160" w:type="dxa"/>
            <w:vAlign w:val="bottom"/>
          </w:tcPr>
          <w:p>
            <w:pPr>
              <w:spacing w:after="0"/>
              <w:rPr>
                <w:sz w:val="16"/>
                <w:szCs w:val="16"/>
                <w:color w:val="auto"/>
              </w:rPr>
            </w:pPr>
          </w:p>
        </w:tc>
        <w:tc>
          <w:tcPr>
            <w:tcW w:w="1020" w:type="dxa"/>
            <w:vAlign w:val="bottom"/>
          </w:tcPr>
          <w:p>
            <w:pPr>
              <w:jc w:val="center"/>
              <w:spacing w:after="0" w:line="165"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9"/>
                <w:szCs w:val="19"/>
                <w:b w:val="1"/>
                <w:bCs w:val="1"/>
                <w:color w:val="auto"/>
                <w:vertAlign w:val="superscript"/>
              </w:rPr>
              <w:t>(2)</w:t>
            </w:r>
          </w:p>
        </w:tc>
        <w:tc>
          <w:tcPr>
            <w:tcW w:w="160" w:type="dxa"/>
            <w:vAlign w:val="bottom"/>
          </w:tcPr>
          <w:p>
            <w:pPr>
              <w:spacing w:after="0"/>
              <w:rPr>
                <w:sz w:val="16"/>
                <w:szCs w:val="16"/>
                <w:color w:val="auto"/>
              </w:rPr>
            </w:pPr>
          </w:p>
        </w:tc>
        <w:tc>
          <w:tcPr>
            <w:tcW w:w="720" w:type="dxa"/>
            <w:vAlign w:val="bottom"/>
          </w:tcPr>
          <w:p>
            <w:pPr>
              <w:jc w:val="right"/>
              <w:ind w:right="117"/>
              <w:spacing w:after="0" w:line="165"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9"/>
                <w:szCs w:val="19"/>
                <w:b w:val="1"/>
                <w:bCs w:val="1"/>
                <w:color w:val="auto"/>
                <w:vertAlign w:val="superscript"/>
              </w:rPr>
              <w:t>(3)</w:t>
            </w:r>
          </w:p>
        </w:tc>
        <w:tc>
          <w:tcPr>
            <w:tcW w:w="16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92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1"/>
        </w:trPr>
        <w:tc>
          <w:tcPr>
            <w:tcW w:w="4240" w:type="dxa"/>
            <w:vAlign w:val="bottom"/>
            <w:tcBorders>
              <w:top w:val="single" w:sz="8" w:color="CCEEFF"/>
            </w:tcBorders>
            <w:gridSpan w:val="2"/>
            <w:shd w:val="clear" w:color="auto" w:fill="CCEEFF"/>
          </w:tcPr>
          <w:p>
            <w:pPr>
              <w:spacing w:after="0" w:line="170" w:lineRule="exact"/>
              <w:rPr>
                <w:sz w:val="20"/>
                <w:szCs w:val="20"/>
                <w:color w:val="auto"/>
              </w:rPr>
            </w:pPr>
            <w:r>
              <w:rPr>
                <w:rFonts w:ascii="Arial" w:cs="Arial" w:eastAsia="Arial" w:hAnsi="Arial"/>
                <w:sz w:val="18"/>
                <w:szCs w:val="18"/>
                <w:color w:val="auto"/>
              </w:rPr>
              <w:t>Jaume Pons, Ph.D.</w:t>
            </w:r>
          </w:p>
        </w:tc>
        <w:tc>
          <w:tcPr>
            <w:tcW w:w="10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ind w:left="60"/>
              <w:spacing w:after="0" w:line="170" w:lineRule="exact"/>
              <w:rPr>
                <w:sz w:val="20"/>
                <w:szCs w:val="20"/>
                <w:color w:val="auto"/>
              </w:rPr>
            </w:pPr>
            <w:r>
              <w:rPr>
                <w:rFonts w:ascii="Arial" w:cs="Arial" w:eastAsia="Arial" w:hAnsi="Arial"/>
                <w:sz w:val="18"/>
                <w:szCs w:val="18"/>
                <w:color w:val="auto"/>
                <w:w w:val="94"/>
              </w:rPr>
              <w:t>2020</w:t>
            </w:r>
          </w:p>
        </w:tc>
        <w:tc>
          <w:tcPr>
            <w:tcW w:w="16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487,708</w:t>
            </w:r>
          </w:p>
        </w:tc>
        <w:tc>
          <w:tcPr>
            <w:tcW w:w="16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5,953,964</w:t>
            </w:r>
          </w:p>
        </w:tc>
        <w:tc>
          <w:tcPr>
            <w:tcW w:w="16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292,759</w:t>
            </w:r>
          </w:p>
        </w:tc>
        <w:tc>
          <w:tcPr>
            <w:tcW w:w="16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500,000</w:t>
            </w:r>
          </w:p>
        </w:tc>
        <w:tc>
          <w:tcPr>
            <w:tcW w:w="16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ind w:left="740"/>
              <w:spacing w:after="0" w:line="170"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7,234,431</w:t>
            </w: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424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Chief Executive Officer, President and Director</w:t>
            </w:r>
          </w:p>
        </w:tc>
        <w:tc>
          <w:tcPr>
            <w:tcW w:w="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2019</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422,300</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134,002</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147,900</w:t>
            </w:r>
          </w:p>
        </w:tc>
        <w:tc>
          <w:tcPr>
            <w:tcW w:w="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704,202</w:t>
            </w:r>
          </w:p>
        </w:tc>
        <w:tc>
          <w:tcPr>
            <w:tcW w:w="0" w:type="dxa"/>
            <w:vAlign w:val="bottom"/>
          </w:tcPr>
          <w:p>
            <w:pPr>
              <w:spacing w:after="0"/>
              <w:rPr>
                <w:sz w:val="1"/>
                <w:szCs w:val="1"/>
                <w:color w:val="auto"/>
              </w:rPr>
            </w:pPr>
          </w:p>
        </w:tc>
      </w:tr>
      <w:tr>
        <w:trPr>
          <w:trHeight w:val="292"/>
        </w:trPr>
        <w:tc>
          <w:tcPr>
            <w:tcW w:w="4240" w:type="dxa"/>
            <w:vAlign w:val="bottom"/>
            <w:gridSpan w:val="2"/>
          </w:tcPr>
          <w:p>
            <w:pPr>
              <w:spacing w:after="0"/>
              <w:rPr>
                <w:sz w:val="20"/>
                <w:szCs w:val="20"/>
                <w:color w:val="auto"/>
              </w:rPr>
            </w:pPr>
            <w:r>
              <w:rPr>
                <w:rFonts w:ascii="Arial" w:cs="Arial" w:eastAsia="Arial" w:hAnsi="Arial"/>
                <w:sz w:val="18"/>
                <w:szCs w:val="18"/>
                <w:color w:val="auto"/>
              </w:rPr>
              <w:t>Peter Garcia</w:t>
            </w:r>
          </w:p>
        </w:tc>
        <w:tc>
          <w:tcPr>
            <w:tcW w:w="720" w:type="dxa"/>
            <w:vAlign w:val="bottom"/>
            <w:gridSpan w:val="3"/>
          </w:tcPr>
          <w:p>
            <w:pPr>
              <w:ind w:left="160"/>
              <w:spacing w:after="0"/>
              <w:rPr>
                <w:sz w:val="20"/>
                <w:szCs w:val="20"/>
                <w:color w:val="auto"/>
              </w:rPr>
            </w:pPr>
            <w:r>
              <w:rPr>
                <w:rFonts w:ascii="Arial" w:cs="Arial" w:eastAsia="Arial" w:hAnsi="Arial"/>
                <w:sz w:val="18"/>
                <w:szCs w:val="18"/>
                <w:color w:val="auto"/>
              </w:rPr>
              <w:t>2020</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416,818</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2,006,792</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200,837</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200,000</w:t>
            </w:r>
          </w:p>
        </w:tc>
        <w:tc>
          <w:tcPr>
            <w:tcW w:w="11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2,824,447</w:t>
            </w:r>
          </w:p>
        </w:tc>
        <w:tc>
          <w:tcPr>
            <w:tcW w:w="0" w:type="dxa"/>
            <w:vAlign w:val="bottom"/>
          </w:tcPr>
          <w:p>
            <w:pPr>
              <w:spacing w:after="0"/>
              <w:rPr>
                <w:sz w:val="1"/>
                <w:szCs w:val="1"/>
                <w:color w:val="auto"/>
              </w:rPr>
            </w:pPr>
          </w:p>
        </w:tc>
      </w:tr>
      <w:tr>
        <w:trPr>
          <w:trHeight w:val="235"/>
        </w:trPr>
        <w:tc>
          <w:tcPr>
            <w:tcW w:w="4240" w:type="dxa"/>
            <w:vAlign w:val="bottom"/>
            <w:gridSpan w:val="2"/>
          </w:tcPr>
          <w:p>
            <w:pPr>
              <w:ind w:left="180"/>
              <w:spacing w:after="0"/>
              <w:rPr>
                <w:sz w:val="20"/>
                <w:szCs w:val="20"/>
                <w:color w:val="auto"/>
              </w:rPr>
            </w:pPr>
            <w:r>
              <w:rPr>
                <w:rFonts w:ascii="Arial" w:cs="Arial" w:eastAsia="Arial" w:hAnsi="Arial"/>
                <w:sz w:val="18"/>
                <w:szCs w:val="18"/>
                <w:i w:val="1"/>
                <w:iCs w:val="1"/>
                <w:color w:val="auto"/>
              </w:rPr>
              <w:t>Chief Financial Officer</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194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424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color w:val="auto"/>
              </w:rPr>
              <w:t>Sophia Randolph, M.D., Ph.D.</w:t>
            </w:r>
          </w:p>
        </w:tc>
        <w:tc>
          <w:tcPr>
            <w:tcW w:w="720" w:type="dxa"/>
            <w:vAlign w:val="bottom"/>
            <w:gridSpan w:val="3"/>
            <w:shd w:val="clear" w:color="auto" w:fill="CCEEFF"/>
          </w:tcPr>
          <w:p>
            <w:pPr>
              <w:ind w:left="160"/>
              <w:spacing w:after="0" w:line="183" w:lineRule="exact"/>
              <w:rPr>
                <w:sz w:val="20"/>
                <w:szCs w:val="20"/>
                <w:color w:val="auto"/>
              </w:rPr>
            </w:pPr>
            <w:r>
              <w:rPr>
                <w:rFonts w:ascii="Arial" w:cs="Arial" w:eastAsia="Arial" w:hAnsi="Arial"/>
                <w:sz w:val="18"/>
                <w:szCs w:val="18"/>
                <w:color w:val="auto"/>
              </w:rPr>
              <w:t>2020</w:t>
            </w:r>
          </w:p>
        </w:tc>
        <w:tc>
          <w:tcPr>
            <w:tcW w:w="880" w:type="dxa"/>
            <w:vAlign w:val="bottom"/>
            <w:gridSpan w:val="2"/>
            <w:shd w:val="clear" w:color="auto" w:fill="CCEEFF"/>
          </w:tcPr>
          <w:p>
            <w:pPr>
              <w:jc w:val="right"/>
              <w:ind w:right="160"/>
              <w:spacing w:after="0" w:line="183" w:lineRule="exact"/>
              <w:rPr>
                <w:sz w:val="20"/>
                <w:szCs w:val="20"/>
                <w:color w:val="auto"/>
              </w:rPr>
            </w:pPr>
            <w:r>
              <w:rPr>
                <w:rFonts w:ascii="Arial" w:cs="Arial" w:eastAsia="Arial" w:hAnsi="Arial"/>
                <w:sz w:val="18"/>
                <w:szCs w:val="18"/>
                <w:color w:val="auto"/>
              </w:rPr>
              <w:t>397,588</w:t>
            </w:r>
          </w:p>
        </w:tc>
        <w:tc>
          <w:tcPr>
            <w:tcW w:w="1020" w:type="dxa"/>
            <w:vAlign w:val="bottom"/>
            <w:gridSpan w:val="2"/>
            <w:shd w:val="clear" w:color="auto" w:fill="CCEEFF"/>
          </w:tcPr>
          <w:p>
            <w:pPr>
              <w:jc w:val="right"/>
              <w:ind w:right="160"/>
              <w:spacing w:after="0" w:line="183" w:lineRule="exact"/>
              <w:rPr>
                <w:sz w:val="20"/>
                <w:szCs w:val="20"/>
                <w:color w:val="auto"/>
              </w:rPr>
            </w:pPr>
            <w:r>
              <w:rPr>
                <w:rFonts w:ascii="Arial" w:cs="Arial" w:eastAsia="Arial" w:hAnsi="Arial"/>
                <w:sz w:val="18"/>
                <w:szCs w:val="18"/>
                <w:color w:val="auto"/>
              </w:rPr>
              <w:t>1,818,862</w:t>
            </w:r>
          </w:p>
        </w:tc>
        <w:tc>
          <w:tcPr>
            <w:tcW w:w="1180" w:type="dxa"/>
            <w:vAlign w:val="bottom"/>
            <w:gridSpan w:val="2"/>
            <w:shd w:val="clear" w:color="auto" w:fill="CCEEFF"/>
          </w:tcPr>
          <w:p>
            <w:pPr>
              <w:jc w:val="right"/>
              <w:ind w:right="160"/>
              <w:spacing w:after="0" w:line="183" w:lineRule="exact"/>
              <w:rPr>
                <w:sz w:val="20"/>
                <w:szCs w:val="20"/>
                <w:color w:val="auto"/>
              </w:rPr>
            </w:pPr>
            <w:r>
              <w:rPr>
                <w:rFonts w:ascii="Arial" w:cs="Arial" w:eastAsia="Arial" w:hAnsi="Arial"/>
                <w:sz w:val="18"/>
                <w:szCs w:val="18"/>
                <w:color w:val="auto"/>
              </w:rPr>
              <w:t>190,915</w:t>
            </w:r>
          </w:p>
        </w:tc>
        <w:tc>
          <w:tcPr>
            <w:tcW w:w="880" w:type="dxa"/>
            <w:vAlign w:val="bottom"/>
            <w:gridSpan w:val="2"/>
            <w:shd w:val="clear" w:color="auto" w:fill="CCEEFF"/>
          </w:tcPr>
          <w:p>
            <w:pPr>
              <w:jc w:val="right"/>
              <w:ind w:right="160"/>
              <w:spacing w:after="0" w:line="183" w:lineRule="exact"/>
              <w:rPr>
                <w:sz w:val="20"/>
                <w:szCs w:val="20"/>
                <w:color w:val="auto"/>
              </w:rPr>
            </w:pPr>
            <w:r>
              <w:rPr>
                <w:rFonts w:ascii="Arial" w:cs="Arial" w:eastAsia="Arial" w:hAnsi="Arial"/>
                <w:sz w:val="18"/>
                <w:szCs w:val="18"/>
                <w:color w:val="auto"/>
              </w:rPr>
              <w:t>350,000</w:t>
            </w:r>
          </w:p>
        </w:tc>
        <w:tc>
          <w:tcPr>
            <w:tcW w:w="1180" w:type="dxa"/>
            <w:vAlign w:val="bottom"/>
            <w:gridSpan w:val="2"/>
            <w:shd w:val="clear" w:color="auto" w:fill="CCEEFF"/>
          </w:tcPr>
          <w:p>
            <w:pPr>
              <w:ind w:left="740"/>
              <w:spacing w:after="0" w:line="183"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line="183" w:lineRule="exact"/>
              <w:rPr>
                <w:sz w:val="20"/>
                <w:szCs w:val="20"/>
                <w:color w:val="auto"/>
              </w:rPr>
            </w:pPr>
            <w:r>
              <w:rPr>
                <w:rFonts w:ascii="Arial" w:cs="Arial" w:eastAsia="Arial" w:hAnsi="Arial"/>
                <w:sz w:val="18"/>
                <w:szCs w:val="18"/>
                <w:color w:val="auto"/>
              </w:rPr>
              <w:t>2,757,365</w:t>
            </w:r>
          </w:p>
        </w:tc>
        <w:tc>
          <w:tcPr>
            <w:tcW w:w="0" w:type="dxa"/>
            <w:vAlign w:val="bottom"/>
          </w:tcPr>
          <w:p>
            <w:pPr>
              <w:spacing w:after="0"/>
              <w:rPr>
                <w:sz w:val="1"/>
                <w:szCs w:val="1"/>
                <w:color w:val="auto"/>
              </w:rPr>
            </w:pPr>
          </w:p>
        </w:tc>
      </w:tr>
      <w:tr>
        <w:trPr>
          <w:trHeight w:val="221"/>
        </w:trPr>
        <w:tc>
          <w:tcPr>
            <w:tcW w:w="424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Chief Medical Officer and Director</w:t>
            </w:r>
          </w:p>
        </w:tc>
        <w:tc>
          <w:tcPr>
            <w:tcW w:w="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2019</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351,100</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40,834</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105,400</w:t>
            </w:r>
          </w:p>
        </w:tc>
        <w:tc>
          <w:tcPr>
            <w:tcW w:w="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497,334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8" w:lineRule="exact"/>
        <w:rPr>
          <w:sz w:val="20"/>
          <w:szCs w:val="20"/>
          <w:color w:val="auto"/>
        </w:rPr>
      </w:pPr>
    </w:p>
    <w:p>
      <w:pPr>
        <w:ind w:left="540" w:right="40" w:hanging="424"/>
        <w:spacing w:after="0" w:line="234" w:lineRule="auto"/>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This column reflects the aggregate grant date fair value of option awards granted to the officer in the applicable fiscal year, computed in accordance with FASB ASC Topic 718. See Note 8 to our financial statements for the year ended December 31, 2020 included in our Annual Report on Form 10-K for the year ended December 31, 2020 for a discussion of the assumptions made by us in determining the grant date fair value of our equity awards. Our named executive officers will only realize compensation to the extent the trading price of our common stock is greater than the exercise price of such stock options.</w:t>
      </w:r>
    </w:p>
    <w:p>
      <w:pPr>
        <w:spacing w:after="0" w:line="3" w:lineRule="exact"/>
        <w:rPr>
          <w:rFonts w:ascii="Arial" w:cs="Arial" w:eastAsia="Arial" w:hAnsi="Arial"/>
          <w:sz w:val="18"/>
          <w:szCs w:val="18"/>
          <w:color w:val="auto"/>
        </w:rPr>
      </w:pPr>
    </w:p>
    <w:p>
      <w:pPr>
        <w:ind w:left="540" w:right="240" w:hanging="424"/>
        <w:spacing w:after="0" w:line="234" w:lineRule="auto"/>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amounts disclosed represent discretionary bonuses based upon achievement of certain Company and individual performance metrics.</w:t>
      </w:r>
    </w:p>
    <w:p>
      <w:pPr>
        <w:spacing w:after="0" w:line="1" w:lineRule="exact"/>
        <w:rPr>
          <w:rFonts w:ascii="Arial" w:cs="Arial" w:eastAsia="Arial" w:hAnsi="Arial"/>
          <w:sz w:val="18"/>
          <w:szCs w:val="18"/>
          <w:color w:val="auto"/>
        </w:rPr>
      </w:pPr>
    </w:p>
    <w:p>
      <w:pPr>
        <w:ind w:left="540" w:right="660" w:hanging="424"/>
        <w:spacing w:after="0" w:line="246" w:lineRule="auto"/>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amounts disclosed represent discretionary bonuses that were not based on satisfaction of performance targets that were pre-established or communicated.</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40"/>
          </w:cols>
          <w:pgMar w:left="32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Outstanding Equity Awards at 2020 Year-End</w:t>
      </w:r>
    </w:p>
    <w:p>
      <w:pPr>
        <w:spacing w:after="0" w:line="126" w:lineRule="exact"/>
        <w:rPr>
          <w:sz w:val="20"/>
          <w:szCs w:val="20"/>
          <w:color w:val="auto"/>
        </w:rPr>
      </w:pPr>
    </w:p>
    <w:p>
      <w:pPr>
        <w:ind w:left="120" w:right="300"/>
        <w:spacing w:after="0" w:line="246" w:lineRule="auto"/>
        <w:rPr>
          <w:sz w:val="20"/>
          <w:szCs w:val="20"/>
          <w:color w:val="auto"/>
        </w:rPr>
      </w:pPr>
      <w:r>
        <w:rPr>
          <w:rFonts w:ascii="Arial" w:cs="Arial" w:eastAsia="Arial" w:hAnsi="Arial"/>
          <w:sz w:val="18"/>
          <w:szCs w:val="18"/>
          <w:color w:val="auto"/>
        </w:rPr>
        <w:t>The following table provides information regarding outstanding equity awards held by our named executive officers as of December 31, 2020.</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0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Option Awards</w:t>
            </w:r>
          </w:p>
        </w:tc>
        <w:tc>
          <w:tcPr>
            <w:tcW w:w="7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tcPr>
          <w:p>
            <w:pPr>
              <w:jc w:val="center"/>
              <w:ind w:right="424"/>
              <w:spacing w:after="0" w:line="143" w:lineRule="exact"/>
              <w:rPr>
                <w:sz w:val="20"/>
                <w:szCs w:val="20"/>
                <w:color w:val="auto"/>
              </w:rPr>
            </w:pPr>
            <w:r>
              <w:rPr>
                <w:rFonts w:ascii="Arial" w:cs="Arial" w:eastAsia="Arial" w:hAnsi="Arial"/>
                <w:sz w:val="14"/>
                <w:szCs w:val="14"/>
                <w:b w:val="1"/>
                <w:bCs w:val="1"/>
                <w:color w:val="auto"/>
              </w:rPr>
              <w:t>Number of</w:t>
            </w:r>
          </w:p>
        </w:tc>
        <w:tc>
          <w:tcPr>
            <w:tcW w:w="126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rPr>
              <w:t>Number of</w:t>
            </w: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center"/>
              <w:ind w:right="424"/>
              <w:spacing w:after="0"/>
              <w:rPr>
                <w:sz w:val="20"/>
                <w:szCs w:val="20"/>
                <w:color w:val="auto"/>
              </w:rPr>
            </w:pPr>
            <w:r>
              <w:rPr>
                <w:rFonts w:ascii="Arial" w:cs="Arial" w:eastAsia="Arial" w:hAnsi="Arial"/>
                <w:sz w:val="14"/>
                <w:szCs w:val="14"/>
                <w:b w:val="1"/>
                <w:bCs w:val="1"/>
                <w:color w:val="auto"/>
              </w:rPr>
              <w:t>Securities</w:t>
            </w: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Securities</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center"/>
              <w:ind w:right="424"/>
              <w:spacing w:after="0"/>
              <w:rPr>
                <w:sz w:val="20"/>
                <w:szCs w:val="20"/>
                <w:color w:val="auto"/>
              </w:rPr>
            </w:pPr>
            <w:r>
              <w:rPr>
                <w:rFonts w:ascii="Arial" w:cs="Arial" w:eastAsia="Arial" w:hAnsi="Arial"/>
                <w:sz w:val="14"/>
                <w:szCs w:val="14"/>
                <w:b w:val="1"/>
                <w:bCs w:val="1"/>
                <w:color w:val="auto"/>
              </w:rPr>
              <w:t>Underlying</w:t>
            </w: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Underlying</w:t>
            </w: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Option</w:t>
            </w:r>
          </w:p>
        </w:tc>
        <w:tc>
          <w:tcPr>
            <w:tcW w:w="8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159"/>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99"/>
              </w:rPr>
              <w:t>Name</w:t>
            </w:r>
          </w:p>
        </w:tc>
        <w:tc>
          <w:tcPr>
            <w:tcW w:w="514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jc w:val="right"/>
              <w:ind w:right="420"/>
              <w:spacing w:after="0" w:line="159" w:lineRule="exact"/>
              <w:rPr>
                <w:sz w:val="20"/>
                <w:szCs w:val="20"/>
                <w:color w:val="auto"/>
              </w:rPr>
            </w:pPr>
            <w:r>
              <w:rPr>
                <w:rFonts w:ascii="Arial" w:cs="Arial" w:eastAsia="Arial" w:hAnsi="Arial"/>
                <w:sz w:val="14"/>
                <w:szCs w:val="14"/>
                <w:b w:val="1"/>
                <w:bCs w:val="1"/>
                <w:color w:val="auto"/>
              </w:rPr>
              <w:t>Date of</w:t>
            </w:r>
          </w:p>
        </w:tc>
        <w:tc>
          <w:tcPr>
            <w:tcW w:w="1300" w:type="dxa"/>
            <w:vAlign w:val="bottom"/>
            <w:gridSpan w:val="2"/>
          </w:tcPr>
          <w:p>
            <w:pPr>
              <w:jc w:val="center"/>
              <w:ind w:right="424"/>
              <w:spacing w:after="0" w:line="159" w:lineRule="exact"/>
              <w:rPr>
                <w:sz w:val="20"/>
                <w:szCs w:val="20"/>
                <w:color w:val="auto"/>
              </w:rPr>
            </w:pPr>
            <w:r>
              <w:rPr>
                <w:rFonts w:ascii="Arial" w:cs="Arial" w:eastAsia="Arial" w:hAnsi="Arial"/>
                <w:sz w:val="14"/>
                <w:szCs w:val="14"/>
                <w:b w:val="1"/>
                <w:bCs w:val="1"/>
                <w:color w:val="auto"/>
              </w:rPr>
              <w:t>Exercisable</w:t>
            </w:r>
          </w:p>
        </w:tc>
        <w:tc>
          <w:tcPr>
            <w:tcW w:w="1260" w:type="dxa"/>
            <w:vAlign w:val="bottom"/>
            <w:gridSpan w:val="2"/>
          </w:tcPr>
          <w:p>
            <w:pPr>
              <w:jc w:val="center"/>
              <w:ind w:right="280"/>
              <w:spacing w:after="0" w:line="159" w:lineRule="exact"/>
              <w:rPr>
                <w:sz w:val="20"/>
                <w:szCs w:val="20"/>
                <w:color w:val="auto"/>
              </w:rPr>
            </w:pPr>
            <w:r>
              <w:rPr>
                <w:rFonts w:ascii="Arial" w:cs="Arial" w:eastAsia="Arial" w:hAnsi="Arial"/>
                <w:sz w:val="14"/>
                <w:szCs w:val="14"/>
                <w:b w:val="1"/>
                <w:bCs w:val="1"/>
                <w:color w:val="auto"/>
              </w:rPr>
              <w:t>Unexercisable</w:t>
            </w:r>
          </w:p>
        </w:tc>
        <w:tc>
          <w:tcPr>
            <w:tcW w:w="860" w:type="dxa"/>
            <w:vAlign w:val="bottom"/>
            <w:gridSpan w:val="2"/>
          </w:tcPr>
          <w:p>
            <w:pPr>
              <w:jc w:val="center"/>
              <w:ind w:right="260"/>
              <w:spacing w:after="0" w:line="159" w:lineRule="exact"/>
              <w:rPr>
                <w:sz w:val="20"/>
                <w:szCs w:val="20"/>
                <w:color w:val="auto"/>
              </w:rPr>
            </w:pPr>
            <w:r>
              <w:rPr>
                <w:rFonts w:ascii="Arial" w:cs="Arial" w:eastAsia="Arial" w:hAnsi="Arial"/>
                <w:sz w:val="14"/>
                <w:szCs w:val="14"/>
                <w:b w:val="1"/>
                <w:bCs w:val="1"/>
                <w:color w:val="auto"/>
              </w:rPr>
              <w:t>Exercise</w:t>
            </w:r>
          </w:p>
        </w:tc>
        <w:tc>
          <w:tcPr>
            <w:tcW w:w="820" w:type="dxa"/>
            <w:vAlign w:val="bottom"/>
            <w:gridSpan w:val="2"/>
          </w:tcPr>
          <w:p>
            <w:pPr>
              <w:jc w:val="center"/>
              <w:ind w:right="60"/>
              <w:spacing w:after="0" w:line="159" w:lineRule="exact"/>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85"/>
        </w:trPr>
        <w:tc>
          <w:tcPr>
            <w:tcW w:w="400" w:type="dxa"/>
            <w:vAlign w:val="bottom"/>
            <w:tcBorders>
              <w:bottom w:val="single" w:sz="8" w:color="auto"/>
            </w:tcBorders>
            <w:vMerge w:val="continue"/>
          </w:tcPr>
          <w:p>
            <w:pPr>
              <w:spacing w:after="0"/>
              <w:rPr>
                <w:sz w:val="16"/>
                <w:szCs w:val="16"/>
                <w:color w:val="auto"/>
              </w:rPr>
            </w:pPr>
          </w:p>
        </w:tc>
        <w:tc>
          <w:tcPr>
            <w:tcW w:w="51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Grant</w:t>
            </w:r>
          </w:p>
        </w:tc>
        <w:tc>
          <w:tcPr>
            <w:tcW w:w="1300" w:type="dxa"/>
            <w:vAlign w:val="bottom"/>
            <w:gridSpan w:val="2"/>
          </w:tcPr>
          <w:p>
            <w:pPr>
              <w:jc w:val="center"/>
              <w:ind w:right="444"/>
              <w:spacing w:after="0"/>
              <w:rPr>
                <w:sz w:val="20"/>
                <w:szCs w:val="20"/>
                <w:color w:val="auto"/>
              </w:rPr>
            </w:pPr>
            <w:r>
              <w:rPr>
                <w:rFonts w:ascii="Arial" w:cs="Arial" w:eastAsia="Arial" w:hAnsi="Arial"/>
                <w:sz w:val="14"/>
                <w:szCs w:val="14"/>
                <w:b w:val="1"/>
                <w:bCs w:val="1"/>
                <w:color w:val="auto"/>
              </w:rPr>
              <w:t>Options</w:t>
            </w:r>
          </w:p>
        </w:tc>
        <w:tc>
          <w:tcPr>
            <w:tcW w:w="1260" w:type="dxa"/>
            <w:vAlign w:val="bottom"/>
            <w:gridSpan w:val="2"/>
          </w:tcPr>
          <w:p>
            <w:pPr>
              <w:jc w:val="center"/>
              <w:ind w:right="280"/>
              <w:spacing w:after="0" w:line="165" w:lineRule="exact"/>
              <w:rPr>
                <w:sz w:val="20"/>
                <w:szCs w:val="20"/>
                <w:color w:val="auto"/>
              </w:rPr>
            </w:pPr>
            <w:r>
              <w:rPr>
                <w:rFonts w:ascii="Arial" w:cs="Arial" w:eastAsia="Arial" w:hAnsi="Arial"/>
                <w:sz w:val="12"/>
                <w:szCs w:val="12"/>
                <w:b w:val="1"/>
                <w:bCs w:val="1"/>
                <w:color w:val="auto"/>
              </w:rPr>
              <w:t>Options</w:t>
            </w:r>
            <w:r>
              <w:rPr>
                <w:rFonts w:ascii="Arial" w:cs="Arial" w:eastAsia="Arial" w:hAnsi="Arial"/>
                <w:sz w:val="19"/>
                <w:szCs w:val="19"/>
                <w:b w:val="1"/>
                <w:bCs w:val="1"/>
                <w:color w:val="auto"/>
                <w:vertAlign w:val="superscript"/>
              </w:rPr>
              <w:t>(1)</w:t>
            </w: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 xml:space="preserve">Price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8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186"/>
        </w:trPr>
        <w:tc>
          <w:tcPr>
            <w:tcW w:w="5540" w:type="dxa"/>
            <w:vAlign w:val="bottom"/>
            <w:tcBorders>
              <w:top w:val="single" w:sz="8" w:color="CCEEFF"/>
            </w:tcBorders>
            <w:gridSpan w:val="2"/>
            <w:shd w:val="clear" w:color="auto" w:fill="CCEEFF"/>
          </w:tcPr>
          <w:p>
            <w:pPr>
              <w:spacing w:after="0" w:line="186" w:lineRule="exact"/>
              <w:rPr>
                <w:sz w:val="20"/>
                <w:szCs w:val="20"/>
                <w:color w:val="auto"/>
              </w:rPr>
            </w:pPr>
            <w:r>
              <w:rPr>
                <w:rFonts w:ascii="Arial" w:cs="Arial" w:eastAsia="Arial" w:hAnsi="Arial"/>
                <w:sz w:val="18"/>
                <w:szCs w:val="18"/>
                <w:color w:val="auto"/>
              </w:rPr>
              <w:t>Jaume Pons, Ph.D.</w:t>
            </w:r>
          </w:p>
        </w:tc>
        <w:tc>
          <w:tcPr>
            <w:tcW w:w="20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line="186" w:lineRule="exact"/>
              <w:rPr>
                <w:sz w:val="20"/>
                <w:szCs w:val="20"/>
                <w:color w:val="auto"/>
              </w:rPr>
            </w:pPr>
            <w:r>
              <w:rPr>
                <w:rFonts w:ascii="Arial" w:cs="Arial" w:eastAsia="Arial" w:hAnsi="Arial"/>
                <w:sz w:val="18"/>
                <w:szCs w:val="18"/>
                <w:color w:val="auto"/>
              </w:rPr>
              <w:t>07/16/20</w:t>
            </w:r>
          </w:p>
        </w:tc>
        <w:tc>
          <w:tcPr>
            <w:tcW w:w="28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line="186" w:lineRule="exact"/>
              <w:rPr>
                <w:sz w:val="20"/>
                <w:szCs w:val="20"/>
                <w:color w:val="auto"/>
              </w:rPr>
            </w:pPr>
            <w:r>
              <w:rPr>
                <w:rFonts w:ascii="Arial" w:cs="Arial" w:eastAsia="Arial" w:hAnsi="Arial"/>
                <w:sz w:val="18"/>
                <w:szCs w:val="18"/>
                <w:color w:val="auto"/>
              </w:rPr>
              <w:t>28,413</w:t>
            </w:r>
          </w:p>
        </w:tc>
        <w:tc>
          <w:tcPr>
            <w:tcW w:w="500" w:type="dxa"/>
            <w:vAlign w:val="bottom"/>
            <w:tcBorders>
              <w:top w:val="single" w:sz="8" w:color="CCEEFF"/>
            </w:tcBorders>
            <w:shd w:val="clear" w:color="auto" w:fill="CCEEFF"/>
          </w:tcPr>
          <w:p>
            <w:pPr>
              <w:jc w:val="right"/>
              <w:ind w:right="224"/>
              <w:spacing w:after="0" w:line="168" w:lineRule="exact"/>
              <w:rPr>
                <w:sz w:val="20"/>
                <w:szCs w:val="20"/>
                <w:color w:val="auto"/>
              </w:rPr>
            </w:pPr>
            <w:r>
              <w:rPr>
                <w:rFonts w:ascii="Arial" w:cs="Arial" w:eastAsia="Arial" w:hAnsi="Arial"/>
                <w:sz w:val="15"/>
                <w:szCs w:val="15"/>
                <w:color w:val="auto"/>
                <w:w w:val="97"/>
              </w:rPr>
              <w:t>(2)</w:t>
            </w:r>
          </w:p>
        </w:tc>
        <w:tc>
          <w:tcPr>
            <w:tcW w:w="980" w:type="dxa"/>
            <w:vAlign w:val="bottom"/>
            <w:tcBorders>
              <w:top w:val="single" w:sz="8" w:color="auto"/>
            </w:tcBorders>
            <w:shd w:val="clear" w:color="auto" w:fill="CCEEFF"/>
          </w:tcPr>
          <w:p>
            <w:pPr>
              <w:jc w:val="right"/>
              <w:spacing w:after="0" w:line="186" w:lineRule="exact"/>
              <w:rPr>
                <w:sz w:val="20"/>
                <w:szCs w:val="20"/>
                <w:color w:val="auto"/>
              </w:rPr>
            </w:pPr>
            <w:r>
              <w:rPr>
                <w:rFonts w:ascii="Arial" w:cs="Arial" w:eastAsia="Arial" w:hAnsi="Arial"/>
                <w:sz w:val="18"/>
                <w:szCs w:val="18"/>
                <w:color w:val="auto"/>
              </w:rPr>
              <w:t>244,358</w:t>
            </w:r>
          </w:p>
        </w:tc>
        <w:tc>
          <w:tcPr>
            <w:tcW w:w="28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spacing w:after="0" w:line="186" w:lineRule="exact"/>
              <w:rPr>
                <w:sz w:val="20"/>
                <w:szCs w:val="20"/>
                <w:color w:val="auto"/>
              </w:rPr>
            </w:pPr>
            <w:r>
              <w:rPr>
                <w:rFonts w:ascii="Arial" w:cs="Arial" w:eastAsia="Arial" w:hAnsi="Arial"/>
                <w:sz w:val="18"/>
                <w:szCs w:val="18"/>
                <w:color w:val="auto"/>
              </w:rPr>
              <w:t>19.00</w:t>
            </w:r>
          </w:p>
        </w:tc>
        <w:tc>
          <w:tcPr>
            <w:tcW w:w="2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line="186" w:lineRule="exact"/>
              <w:rPr>
                <w:sz w:val="20"/>
                <w:szCs w:val="20"/>
                <w:color w:val="auto"/>
              </w:rPr>
            </w:pPr>
            <w:r>
              <w:rPr>
                <w:rFonts w:ascii="Arial" w:cs="Arial" w:eastAsia="Arial" w:hAnsi="Arial"/>
                <w:sz w:val="18"/>
                <w:szCs w:val="18"/>
                <w:color w:val="auto"/>
              </w:rPr>
              <w:t>7/15/30</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0" w:type="dxa"/>
            <w:vAlign w:val="bottom"/>
            <w:shd w:val="clear" w:color="auto" w:fill="CCEEFF"/>
          </w:tcPr>
          <w:p>
            <w:pPr>
              <w:spacing w:after="0"/>
              <w:rPr>
                <w:sz w:val="17"/>
                <w:szCs w:val="17"/>
                <w:color w:val="auto"/>
              </w:rPr>
            </w:pPr>
          </w:p>
        </w:tc>
        <w:tc>
          <w:tcPr>
            <w:tcW w:w="5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04/27/20</w:t>
            </w:r>
          </w:p>
        </w:tc>
        <w:tc>
          <w:tcPr>
            <w:tcW w:w="1300" w:type="dxa"/>
            <w:vAlign w:val="bottom"/>
            <w:gridSpan w:val="2"/>
            <w:shd w:val="clear" w:color="auto" w:fill="CCEEFF"/>
          </w:tcPr>
          <w:p>
            <w:pPr>
              <w:jc w:val="right"/>
              <w:ind w:right="224"/>
              <w:spacing w:after="0" w:line="202" w:lineRule="exact"/>
              <w:rPr>
                <w:sz w:val="20"/>
                <w:szCs w:val="20"/>
                <w:color w:val="auto"/>
              </w:rPr>
            </w:pPr>
            <w:r>
              <w:rPr>
                <w:rFonts w:ascii="Arial" w:cs="Arial" w:eastAsia="Arial" w:hAnsi="Arial"/>
                <w:sz w:val="18"/>
                <w:szCs w:val="18"/>
                <w:color w:val="auto"/>
              </w:rPr>
              <w:t>33,054</w:t>
            </w:r>
            <w:r>
              <w:rPr>
                <w:rFonts w:ascii="Arial" w:cs="Arial" w:eastAsia="Arial" w:hAnsi="Arial"/>
                <w:sz w:val="15"/>
                <w:szCs w:val="15"/>
                <w:color w:val="auto"/>
              </w:rPr>
              <w:t>(3)</w:t>
            </w:r>
          </w:p>
        </w:tc>
        <w:tc>
          <w:tcPr>
            <w:tcW w:w="12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165,256</w:t>
            </w:r>
          </w:p>
        </w:tc>
        <w:tc>
          <w:tcPr>
            <w:tcW w:w="8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4.81</w:t>
            </w: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4/26/30</w:t>
            </w:r>
          </w:p>
        </w:tc>
        <w:tc>
          <w:tcPr>
            <w:tcW w:w="0" w:type="dxa"/>
            <w:vAlign w:val="bottom"/>
          </w:tcPr>
          <w:p>
            <w:pPr>
              <w:spacing w:after="0"/>
              <w:rPr>
                <w:sz w:val="1"/>
                <w:szCs w:val="1"/>
                <w:color w:val="auto"/>
              </w:rPr>
            </w:pPr>
          </w:p>
        </w:tc>
      </w:tr>
      <w:tr>
        <w:trPr>
          <w:trHeight w:val="203"/>
        </w:trPr>
        <w:tc>
          <w:tcPr>
            <w:tcW w:w="400" w:type="dxa"/>
            <w:vAlign w:val="bottom"/>
            <w:shd w:val="clear" w:color="auto" w:fill="CCEEFF"/>
          </w:tcPr>
          <w:p>
            <w:pPr>
              <w:spacing w:after="0"/>
              <w:rPr>
                <w:sz w:val="17"/>
                <w:szCs w:val="17"/>
                <w:color w:val="auto"/>
              </w:rPr>
            </w:pPr>
          </w:p>
        </w:tc>
        <w:tc>
          <w:tcPr>
            <w:tcW w:w="5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03/09/20</w:t>
            </w:r>
          </w:p>
        </w:tc>
        <w:tc>
          <w:tcPr>
            <w:tcW w:w="1300" w:type="dxa"/>
            <w:vAlign w:val="bottom"/>
            <w:gridSpan w:val="2"/>
            <w:shd w:val="clear" w:color="auto" w:fill="CCEEFF"/>
          </w:tcPr>
          <w:p>
            <w:pPr>
              <w:jc w:val="right"/>
              <w:ind w:right="224"/>
              <w:spacing w:after="0" w:line="202" w:lineRule="exact"/>
              <w:rPr>
                <w:sz w:val="20"/>
                <w:szCs w:val="20"/>
                <w:color w:val="auto"/>
              </w:rPr>
            </w:pPr>
            <w:r>
              <w:rPr>
                <w:rFonts w:ascii="Arial" w:cs="Arial" w:eastAsia="Arial" w:hAnsi="Arial"/>
                <w:sz w:val="18"/>
                <w:szCs w:val="18"/>
                <w:color w:val="auto"/>
              </w:rPr>
              <w:t>552,533</w:t>
            </w:r>
            <w:r>
              <w:rPr>
                <w:rFonts w:ascii="Arial" w:cs="Arial" w:eastAsia="Arial" w:hAnsi="Arial"/>
                <w:sz w:val="15"/>
                <w:szCs w:val="15"/>
                <w:color w:val="auto"/>
              </w:rPr>
              <w:t>(4)</w:t>
            </w:r>
          </w:p>
        </w:tc>
        <w:tc>
          <w:tcPr>
            <w:tcW w:w="12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4.08</w:t>
            </w: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03/08/30</w:t>
            </w:r>
          </w:p>
        </w:tc>
        <w:tc>
          <w:tcPr>
            <w:tcW w:w="0" w:type="dxa"/>
            <w:vAlign w:val="bottom"/>
          </w:tcPr>
          <w:p>
            <w:pPr>
              <w:spacing w:after="0"/>
              <w:rPr>
                <w:sz w:val="1"/>
                <w:szCs w:val="1"/>
                <w:color w:val="auto"/>
              </w:rPr>
            </w:pPr>
          </w:p>
        </w:tc>
      </w:tr>
      <w:tr>
        <w:trPr>
          <w:trHeight w:val="203"/>
        </w:trPr>
        <w:tc>
          <w:tcPr>
            <w:tcW w:w="400" w:type="dxa"/>
            <w:vAlign w:val="bottom"/>
            <w:shd w:val="clear" w:color="auto" w:fill="CCEEFF"/>
          </w:tcPr>
          <w:p>
            <w:pPr>
              <w:spacing w:after="0"/>
              <w:rPr>
                <w:sz w:val="17"/>
                <w:szCs w:val="17"/>
                <w:color w:val="auto"/>
              </w:rPr>
            </w:pPr>
          </w:p>
        </w:tc>
        <w:tc>
          <w:tcPr>
            <w:tcW w:w="5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09/12/19</w:t>
            </w:r>
          </w:p>
        </w:tc>
        <w:tc>
          <w:tcPr>
            <w:tcW w:w="2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24"/>
              <w:spacing w:after="0" w:line="202" w:lineRule="exact"/>
              <w:rPr>
                <w:sz w:val="20"/>
                <w:szCs w:val="20"/>
                <w:color w:val="auto"/>
              </w:rPr>
            </w:pPr>
            <w:r>
              <w:rPr>
                <w:rFonts w:ascii="Arial" w:cs="Arial" w:eastAsia="Arial" w:hAnsi="Arial"/>
                <w:sz w:val="18"/>
                <w:szCs w:val="18"/>
                <w:color w:val="auto"/>
              </w:rPr>
              <w:t>105,719</w:t>
            </w:r>
            <w:r>
              <w:rPr>
                <w:rFonts w:ascii="Arial" w:cs="Arial" w:eastAsia="Arial" w:hAnsi="Arial"/>
                <w:sz w:val="15"/>
                <w:szCs w:val="15"/>
                <w:color w:val="auto"/>
              </w:rPr>
              <w:t>(5)</w:t>
            </w:r>
          </w:p>
        </w:tc>
        <w:tc>
          <w:tcPr>
            <w:tcW w:w="12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1.91</w:t>
            </w: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09/11/29</w:t>
            </w:r>
          </w:p>
        </w:tc>
        <w:tc>
          <w:tcPr>
            <w:tcW w:w="0" w:type="dxa"/>
            <w:vAlign w:val="bottom"/>
          </w:tcPr>
          <w:p>
            <w:pPr>
              <w:spacing w:after="0"/>
              <w:rPr>
                <w:sz w:val="1"/>
                <w:szCs w:val="1"/>
                <w:color w:val="auto"/>
              </w:rPr>
            </w:pPr>
          </w:p>
        </w:tc>
      </w:tr>
      <w:tr>
        <w:trPr>
          <w:trHeight w:val="206"/>
        </w:trPr>
        <w:tc>
          <w:tcPr>
            <w:tcW w:w="400" w:type="dxa"/>
            <w:vAlign w:val="bottom"/>
            <w:shd w:val="clear" w:color="auto" w:fill="CCEEFF"/>
          </w:tcPr>
          <w:p>
            <w:pPr>
              <w:spacing w:after="0"/>
              <w:rPr>
                <w:sz w:val="17"/>
                <w:szCs w:val="17"/>
                <w:color w:val="auto"/>
              </w:rPr>
            </w:pPr>
          </w:p>
        </w:tc>
        <w:tc>
          <w:tcPr>
            <w:tcW w:w="5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03/30/17</w:t>
            </w:r>
          </w:p>
        </w:tc>
        <w:tc>
          <w:tcPr>
            <w:tcW w:w="2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24"/>
              <w:spacing w:after="0" w:line="206" w:lineRule="exact"/>
              <w:rPr>
                <w:sz w:val="20"/>
                <w:szCs w:val="20"/>
                <w:color w:val="auto"/>
              </w:rPr>
            </w:pPr>
            <w:r>
              <w:rPr>
                <w:rFonts w:ascii="Arial" w:cs="Arial" w:eastAsia="Arial" w:hAnsi="Arial"/>
                <w:sz w:val="18"/>
                <w:szCs w:val="18"/>
                <w:color w:val="auto"/>
              </w:rPr>
              <w:t>240,330</w:t>
            </w:r>
            <w:r>
              <w:rPr>
                <w:rFonts w:ascii="Arial" w:cs="Arial" w:eastAsia="Arial" w:hAnsi="Arial"/>
                <w:sz w:val="15"/>
                <w:szCs w:val="15"/>
                <w:color w:val="auto"/>
              </w:rPr>
              <w:t>(6)</w:t>
            </w:r>
          </w:p>
        </w:tc>
        <w:tc>
          <w:tcPr>
            <w:tcW w:w="1260" w:type="dxa"/>
            <w:vAlign w:val="bottom"/>
            <w:gridSpan w:val="2"/>
            <w:shd w:val="clear" w:color="auto" w:fill="CCEEFF"/>
          </w:tcPr>
          <w:p>
            <w:pPr>
              <w:jc w:val="right"/>
              <w:ind w:right="280"/>
              <w:spacing w:after="0" w:line="206" w:lineRule="exact"/>
              <w:rPr>
                <w:sz w:val="20"/>
                <w:szCs w:val="20"/>
                <w:color w:val="auto"/>
              </w:rPr>
            </w:pPr>
            <w:r>
              <w:rPr>
                <w:rFonts w:ascii="Arial" w:cs="Arial" w:eastAsia="Arial" w:hAnsi="Arial"/>
                <w:sz w:val="18"/>
                <w:szCs w:val="18"/>
                <w:color w:val="auto"/>
              </w:rPr>
              <w:t>21,849</w:t>
            </w:r>
          </w:p>
        </w:tc>
        <w:tc>
          <w:tcPr>
            <w:tcW w:w="860" w:type="dxa"/>
            <w:vAlign w:val="bottom"/>
            <w:gridSpan w:val="2"/>
            <w:shd w:val="clear" w:color="auto" w:fill="CCEEFF"/>
          </w:tcPr>
          <w:p>
            <w:pPr>
              <w:jc w:val="right"/>
              <w:ind w:right="260"/>
              <w:spacing w:after="0" w:line="206" w:lineRule="exact"/>
              <w:rPr>
                <w:sz w:val="20"/>
                <w:szCs w:val="20"/>
                <w:color w:val="auto"/>
              </w:rPr>
            </w:pPr>
            <w:r>
              <w:rPr>
                <w:rFonts w:ascii="Arial" w:cs="Arial" w:eastAsia="Arial" w:hAnsi="Arial"/>
                <w:sz w:val="18"/>
                <w:szCs w:val="18"/>
                <w:color w:val="auto"/>
              </w:rPr>
              <w:t>0.99</w:t>
            </w:r>
          </w:p>
        </w:tc>
        <w:tc>
          <w:tcPr>
            <w:tcW w:w="820" w:type="dxa"/>
            <w:vAlign w:val="bottom"/>
            <w:gridSpan w:val="2"/>
            <w:shd w:val="clear" w:color="auto" w:fill="CCEEFF"/>
          </w:tcPr>
          <w:p>
            <w:pPr>
              <w:jc w:val="right"/>
              <w:ind w:right="60"/>
              <w:spacing w:after="0" w:line="206" w:lineRule="exact"/>
              <w:rPr>
                <w:sz w:val="20"/>
                <w:szCs w:val="20"/>
                <w:color w:val="auto"/>
              </w:rPr>
            </w:pPr>
            <w:r>
              <w:rPr>
                <w:rFonts w:ascii="Arial" w:cs="Arial" w:eastAsia="Arial" w:hAnsi="Arial"/>
                <w:sz w:val="18"/>
                <w:szCs w:val="18"/>
                <w:color w:val="auto"/>
              </w:rPr>
              <w:t>03/29/27</w:t>
            </w:r>
          </w:p>
        </w:tc>
        <w:tc>
          <w:tcPr>
            <w:tcW w:w="0" w:type="dxa"/>
            <w:vAlign w:val="bottom"/>
          </w:tcPr>
          <w:p>
            <w:pPr>
              <w:spacing w:after="0"/>
              <w:rPr>
                <w:sz w:val="1"/>
                <w:szCs w:val="1"/>
                <w:color w:val="auto"/>
              </w:rPr>
            </w:pPr>
          </w:p>
        </w:tc>
      </w:tr>
      <w:tr>
        <w:trPr>
          <w:trHeight w:val="199"/>
        </w:trPr>
        <w:tc>
          <w:tcPr>
            <w:tcW w:w="5540" w:type="dxa"/>
            <w:vAlign w:val="bottom"/>
            <w:gridSpan w:val="2"/>
          </w:tcPr>
          <w:p>
            <w:pPr>
              <w:spacing w:after="0" w:line="199" w:lineRule="exact"/>
              <w:rPr>
                <w:sz w:val="20"/>
                <w:szCs w:val="20"/>
                <w:color w:val="auto"/>
              </w:rPr>
            </w:pPr>
            <w:r>
              <w:rPr>
                <w:rFonts w:ascii="Arial" w:cs="Arial" w:eastAsia="Arial" w:hAnsi="Arial"/>
                <w:sz w:val="18"/>
                <w:szCs w:val="18"/>
                <w:color w:val="auto"/>
              </w:rPr>
              <w:t>Peter Garcia</w:t>
            </w:r>
          </w:p>
        </w:tc>
        <w:tc>
          <w:tcPr>
            <w:tcW w:w="200" w:type="dxa"/>
            <w:vAlign w:val="bottom"/>
          </w:tcPr>
          <w:p>
            <w:pPr>
              <w:spacing w:after="0"/>
              <w:rPr>
                <w:sz w:val="17"/>
                <w:szCs w:val="17"/>
                <w:color w:val="auto"/>
              </w:rPr>
            </w:pPr>
          </w:p>
        </w:tc>
        <w:tc>
          <w:tcPr>
            <w:tcW w:w="760" w:type="dxa"/>
            <w:vAlign w:val="bottom"/>
          </w:tcPr>
          <w:p>
            <w:pPr>
              <w:jc w:val="right"/>
              <w:spacing w:after="0" w:line="199" w:lineRule="exact"/>
              <w:rPr>
                <w:sz w:val="20"/>
                <w:szCs w:val="20"/>
                <w:color w:val="auto"/>
              </w:rPr>
            </w:pPr>
            <w:r>
              <w:rPr>
                <w:rFonts w:ascii="Arial" w:cs="Arial" w:eastAsia="Arial" w:hAnsi="Arial"/>
                <w:sz w:val="18"/>
                <w:szCs w:val="18"/>
                <w:color w:val="auto"/>
              </w:rPr>
              <w:t>07/16/20</w:t>
            </w:r>
          </w:p>
        </w:tc>
        <w:tc>
          <w:tcPr>
            <w:tcW w:w="280" w:type="dxa"/>
            <w:vAlign w:val="bottom"/>
          </w:tcPr>
          <w:p>
            <w:pPr>
              <w:spacing w:after="0"/>
              <w:rPr>
                <w:sz w:val="17"/>
                <w:szCs w:val="17"/>
                <w:color w:val="auto"/>
              </w:rPr>
            </w:pPr>
          </w:p>
        </w:tc>
        <w:tc>
          <w:tcPr>
            <w:tcW w:w="1300" w:type="dxa"/>
            <w:vAlign w:val="bottom"/>
            <w:gridSpan w:val="2"/>
          </w:tcPr>
          <w:p>
            <w:pPr>
              <w:jc w:val="right"/>
              <w:ind w:right="224"/>
              <w:spacing w:after="0" w:line="199" w:lineRule="exact"/>
              <w:rPr>
                <w:sz w:val="20"/>
                <w:szCs w:val="20"/>
                <w:color w:val="auto"/>
              </w:rPr>
            </w:pPr>
            <w:r>
              <w:rPr>
                <w:rFonts w:ascii="Arial" w:cs="Arial" w:eastAsia="Arial" w:hAnsi="Arial"/>
                <w:sz w:val="18"/>
                <w:szCs w:val="18"/>
                <w:color w:val="auto"/>
              </w:rPr>
              <w:t>9,182</w:t>
            </w:r>
            <w:r>
              <w:rPr>
                <w:rFonts w:ascii="Arial" w:cs="Arial" w:eastAsia="Arial" w:hAnsi="Arial"/>
                <w:sz w:val="15"/>
                <w:szCs w:val="15"/>
                <w:color w:val="auto"/>
              </w:rPr>
              <w:t>(2)</w:t>
            </w:r>
          </w:p>
        </w:tc>
        <w:tc>
          <w:tcPr>
            <w:tcW w:w="1260" w:type="dxa"/>
            <w:vAlign w:val="bottom"/>
            <w:gridSpan w:val="2"/>
          </w:tcPr>
          <w:p>
            <w:pPr>
              <w:jc w:val="right"/>
              <w:ind w:right="280"/>
              <w:spacing w:after="0" w:line="199" w:lineRule="exact"/>
              <w:rPr>
                <w:sz w:val="20"/>
                <w:szCs w:val="20"/>
                <w:color w:val="auto"/>
              </w:rPr>
            </w:pPr>
            <w:r>
              <w:rPr>
                <w:rFonts w:ascii="Arial" w:cs="Arial" w:eastAsia="Arial" w:hAnsi="Arial"/>
                <w:sz w:val="18"/>
                <w:szCs w:val="18"/>
                <w:color w:val="auto"/>
              </w:rPr>
              <w:t>78,955</w:t>
            </w:r>
          </w:p>
        </w:tc>
        <w:tc>
          <w:tcPr>
            <w:tcW w:w="860" w:type="dxa"/>
            <w:vAlign w:val="bottom"/>
            <w:gridSpan w:val="2"/>
          </w:tcPr>
          <w:p>
            <w:pPr>
              <w:jc w:val="right"/>
              <w:ind w:right="260"/>
              <w:spacing w:after="0" w:line="199" w:lineRule="exact"/>
              <w:rPr>
                <w:sz w:val="20"/>
                <w:szCs w:val="20"/>
                <w:color w:val="auto"/>
              </w:rPr>
            </w:pPr>
            <w:r>
              <w:rPr>
                <w:rFonts w:ascii="Arial" w:cs="Arial" w:eastAsia="Arial" w:hAnsi="Arial"/>
                <w:sz w:val="18"/>
                <w:szCs w:val="18"/>
                <w:color w:val="auto"/>
              </w:rPr>
              <w:t>19.00</w:t>
            </w:r>
          </w:p>
        </w:tc>
        <w:tc>
          <w:tcPr>
            <w:tcW w:w="820" w:type="dxa"/>
            <w:vAlign w:val="bottom"/>
            <w:gridSpan w:val="2"/>
          </w:tcPr>
          <w:p>
            <w:pPr>
              <w:jc w:val="right"/>
              <w:ind w:right="60"/>
              <w:spacing w:after="0" w:line="199" w:lineRule="exact"/>
              <w:rPr>
                <w:sz w:val="20"/>
                <w:szCs w:val="20"/>
                <w:color w:val="auto"/>
              </w:rPr>
            </w:pPr>
            <w:r>
              <w:rPr>
                <w:rFonts w:ascii="Arial" w:cs="Arial" w:eastAsia="Arial" w:hAnsi="Arial"/>
                <w:sz w:val="18"/>
                <w:szCs w:val="18"/>
                <w:color w:val="auto"/>
              </w:rPr>
              <w:t>7/15/30</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124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04/27/20</w:t>
            </w:r>
          </w:p>
        </w:tc>
        <w:tc>
          <w:tcPr>
            <w:tcW w:w="1300" w:type="dxa"/>
            <w:vAlign w:val="bottom"/>
            <w:gridSpan w:val="2"/>
          </w:tcPr>
          <w:p>
            <w:pPr>
              <w:jc w:val="right"/>
              <w:ind w:right="224"/>
              <w:spacing w:after="0" w:line="202" w:lineRule="exact"/>
              <w:rPr>
                <w:sz w:val="20"/>
                <w:szCs w:val="20"/>
                <w:color w:val="auto"/>
              </w:rPr>
            </w:pPr>
            <w:r>
              <w:rPr>
                <w:rFonts w:ascii="Arial" w:cs="Arial" w:eastAsia="Arial" w:hAnsi="Arial"/>
                <w:sz w:val="18"/>
                <w:szCs w:val="18"/>
                <w:color w:val="auto"/>
              </w:rPr>
              <w:t>0</w:t>
            </w:r>
            <w:r>
              <w:rPr>
                <w:rFonts w:ascii="Arial" w:cs="Arial" w:eastAsia="Arial" w:hAnsi="Arial"/>
                <w:sz w:val="15"/>
                <w:szCs w:val="15"/>
                <w:color w:val="auto"/>
              </w:rPr>
              <w:t>(7)</w:t>
            </w:r>
          </w:p>
        </w:tc>
        <w:tc>
          <w:tcPr>
            <w:tcW w:w="12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29,176</w:t>
            </w:r>
          </w:p>
        </w:tc>
        <w:tc>
          <w:tcPr>
            <w:tcW w:w="8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4.81</w:t>
            </w: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4/26/30</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124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03/09/20</w:t>
            </w:r>
          </w:p>
        </w:tc>
        <w:tc>
          <w:tcPr>
            <w:tcW w:w="1300" w:type="dxa"/>
            <w:vAlign w:val="bottom"/>
            <w:gridSpan w:val="2"/>
          </w:tcPr>
          <w:p>
            <w:pPr>
              <w:jc w:val="right"/>
              <w:ind w:right="224"/>
              <w:spacing w:after="0" w:line="202" w:lineRule="exact"/>
              <w:rPr>
                <w:sz w:val="20"/>
                <w:szCs w:val="20"/>
                <w:color w:val="auto"/>
              </w:rPr>
            </w:pPr>
            <w:r>
              <w:rPr>
                <w:rFonts w:ascii="Arial" w:cs="Arial" w:eastAsia="Arial" w:hAnsi="Arial"/>
                <w:sz w:val="18"/>
                <w:szCs w:val="18"/>
                <w:color w:val="auto"/>
              </w:rPr>
              <w:t>99,838</w:t>
            </w:r>
            <w:r>
              <w:rPr>
                <w:rFonts w:ascii="Arial" w:cs="Arial" w:eastAsia="Arial" w:hAnsi="Arial"/>
                <w:sz w:val="15"/>
                <w:szCs w:val="15"/>
                <w:color w:val="auto"/>
              </w:rPr>
              <w:t>(8)</w:t>
            </w:r>
          </w:p>
        </w:tc>
        <w:tc>
          <w:tcPr>
            <w:tcW w:w="12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4.08</w:t>
            </w: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03/08/30</w:t>
            </w:r>
          </w:p>
        </w:tc>
        <w:tc>
          <w:tcPr>
            <w:tcW w:w="0" w:type="dxa"/>
            <w:vAlign w:val="bottom"/>
          </w:tcPr>
          <w:p>
            <w:pPr>
              <w:spacing w:after="0"/>
              <w:rPr>
                <w:sz w:val="1"/>
                <w:szCs w:val="1"/>
                <w:color w:val="auto"/>
              </w:rPr>
            </w:pPr>
          </w:p>
        </w:tc>
      </w:tr>
      <w:tr>
        <w:trPr>
          <w:trHeight w:val="206"/>
        </w:trPr>
        <w:tc>
          <w:tcPr>
            <w:tcW w:w="40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1240" w:type="dxa"/>
            <w:vAlign w:val="bottom"/>
            <w:gridSpan w:val="3"/>
          </w:tcPr>
          <w:p>
            <w:pPr>
              <w:jc w:val="right"/>
              <w:ind w:right="280"/>
              <w:spacing w:after="0" w:line="206" w:lineRule="exact"/>
              <w:rPr>
                <w:sz w:val="20"/>
                <w:szCs w:val="20"/>
                <w:color w:val="auto"/>
              </w:rPr>
            </w:pPr>
            <w:r>
              <w:rPr>
                <w:rFonts w:ascii="Arial" w:cs="Arial" w:eastAsia="Arial" w:hAnsi="Arial"/>
                <w:sz w:val="18"/>
                <w:szCs w:val="18"/>
                <w:color w:val="auto"/>
              </w:rPr>
              <w:t>03/09/20</w:t>
            </w:r>
          </w:p>
        </w:tc>
        <w:tc>
          <w:tcPr>
            <w:tcW w:w="1300" w:type="dxa"/>
            <w:vAlign w:val="bottom"/>
            <w:gridSpan w:val="2"/>
          </w:tcPr>
          <w:p>
            <w:pPr>
              <w:jc w:val="right"/>
              <w:ind w:right="224"/>
              <w:spacing w:after="0" w:line="206" w:lineRule="exact"/>
              <w:rPr>
                <w:sz w:val="20"/>
                <w:szCs w:val="20"/>
                <w:color w:val="auto"/>
              </w:rPr>
            </w:pPr>
            <w:r>
              <w:rPr>
                <w:rFonts w:ascii="Arial" w:cs="Arial" w:eastAsia="Arial" w:hAnsi="Arial"/>
                <w:sz w:val="18"/>
                <w:szCs w:val="18"/>
                <w:color w:val="auto"/>
              </w:rPr>
              <w:t>152,417</w:t>
            </w:r>
            <w:r>
              <w:rPr>
                <w:rFonts w:ascii="Arial" w:cs="Arial" w:eastAsia="Arial" w:hAnsi="Arial"/>
                <w:sz w:val="15"/>
                <w:szCs w:val="15"/>
                <w:color w:val="auto"/>
              </w:rPr>
              <w:t>(9)</w:t>
            </w:r>
          </w:p>
        </w:tc>
        <w:tc>
          <w:tcPr>
            <w:tcW w:w="1260" w:type="dxa"/>
            <w:vAlign w:val="bottom"/>
            <w:gridSpan w:val="2"/>
          </w:tcPr>
          <w:p>
            <w:pPr>
              <w:jc w:val="right"/>
              <w:ind w:right="380"/>
              <w:spacing w:after="0" w:line="206"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line="206" w:lineRule="exact"/>
              <w:rPr>
                <w:sz w:val="20"/>
                <w:szCs w:val="20"/>
                <w:color w:val="auto"/>
              </w:rPr>
            </w:pPr>
            <w:r>
              <w:rPr>
                <w:rFonts w:ascii="Arial" w:cs="Arial" w:eastAsia="Arial" w:hAnsi="Arial"/>
                <w:sz w:val="18"/>
                <w:szCs w:val="18"/>
                <w:color w:val="auto"/>
              </w:rPr>
              <w:t>4.08</w:t>
            </w:r>
          </w:p>
        </w:tc>
        <w:tc>
          <w:tcPr>
            <w:tcW w:w="820" w:type="dxa"/>
            <w:vAlign w:val="bottom"/>
            <w:gridSpan w:val="2"/>
          </w:tcPr>
          <w:p>
            <w:pPr>
              <w:jc w:val="right"/>
              <w:ind w:right="60"/>
              <w:spacing w:after="0" w:line="206" w:lineRule="exact"/>
              <w:rPr>
                <w:sz w:val="20"/>
                <w:szCs w:val="20"/>
                <w:color w:val="auto"/>
              </w:rPr>
            </w:pPr>
            <w:r>
              <w:rPr>
                <w:rFonts w:ascii="Arial" w:cs="Arial" w:eastAsia="Arial" w:hAnsi="Arial"/>
                <w:sz w:val="18"/>
                <w:szCs w:val="18"/>
                <w:color w:val="auto"/>
              </w:rPr>
              <w:t>03/08/30</w:t>
            </w:r>
          </w:p>
        </w:tc>
        <w:tc>
          <w:tcPr>
            <w:tcW w:w="0" w:type="dxa"/>
            <w:vAlign w:val="bottom"/>
          </w:tcPr>
          <w:p>
            <w:pPr>
              <w:spacing w:after="0"/>
              <w:rPr>
                <w:sz w:val="1"/>
                <w:szCs w:val="1"/>
                <w:color w:val="auto"/>
              </w:rPr>
            </w:pPr>
          </w:p>
        </w:tc>
      </w:tr>
      <w:tr>
        <w:trPr>
          <w:trHeight w:val="199"/>
        </w:trPr>
        <w:tc>
          <w:tcPr>
            <w:tcW w:w="5540" w:type="dxa"/>
            <w:vAlign w:val="bottom"/>
            <w:gridSpan w:val="2"/>
            <w:shd w:val="clear" w:color="auto" w:fill="CCEEFF"/>
          </w:tcPr>
          <w:p>
            <w:pPr>
              <w:spacing w:after="0" w:line="199" w:lineRule="exact"/>
              <w:rPr>
                <w:sz w:val="20"/>
                <w:szCs w:val="20"/>
                <w:color w:val="auto"/>
              </w:rPr>
            </w:pPr>
            <w:r>
              <w:rPr>
                <w:rFonts w:ascii="Arial" w:cs="Arial" w:eastAsia="Arial" w:hAnsi="Arial"/>
                <w:sz w:val="18"/>
                <w:szCs w:val="18"/>
                <w:color w:val="auto"/>
              </w:rPr>
              <w:t>Sophia Randolph, M.D., Ph.D.</w:t>
            </w:r>
          </w:p>
        </w:tc>
        <w:tc>
          <w:tcPr>
            <w:tcW w:w="1240" w:type="dxa"/>
            <w:vAlign w:val="bottom"/>
            <w:gridSpan w:val="3"/>
            <w:shd w:val="clear" w:color="auto" w:fill="CCEEFF"/>
          </w:tcPr>
          <w:p>
            <w:pPr>
              <w:jc w:val="right"/>
              <w:ind w:right="280"/>
              <w:spacing w:after="0" w:line="199" w:lineRule="exact"/>
              <w:rPr>
                <w:sz w:val="20"/>
                <w:szCs w:val="20"/>
                <w:color w:val="auto"/>
              </w:rPr>
            </w:pPr>
            <w:r>
              <w:rPr>
                <w:rFonts w:ascii="Arial" w:cs="Arial" w:eastAsia="Arial" w:hAnsi="Arial"/>
                <w:sz w:val="18"/>
                <w:szCs w:val="18"/>
                <w:color w:val="auto"/>
              </w:rPr>
              <w:t>07/16/20</w:t>
            </w:r>
          </w:p>
        </w:tc>
        <w:tc>
          <w:tcPr>
            <w:tcW w:w="1300" w:type="dxa"/>
            <w:vAlign w:val="bottom"/>
            <w:gridSpan w:val="2"/>
            <w:shd w:val="clear" w:color="auto" w:fill="CCEEFF"/>
          </w:tcPr>
          <w:p>
            <w:pPr>
              <w:jc w:val="right"/>
              <w:ind w:right="224"/>
              <w:spacing w:after="0" w:line="199" w:lineRule="exact"/>
              <w:rPr>
                <w:sz w:val="20"/>
                <w:szCs w:val="20"/>
                <w:color w:val="auto"/>
              </w:rPr>
            </w:pPr>
            <w:r>
              <w:rPr>
                <w:rFonts w:ascii="Arial" w:cs="Arial" w:eastAsia="Arial" w:hAnsi="Arial"/>
                <w:sz w:val="18"/>
                <w:szCs w:val="18"/>
                <w:color w:val="auto"/>
              </w:rPr>
              <w:t>9,339</w:t>
            </w:r>
            <w:r>
              <w:rPr>
                <w:rFonts w:ascii="Arial" w:cs="Arial" w:eastAsia="Arial" w:hAnsi="Arial"/>
                <w:sz w:val="15"/>
                <w:szCs w:val="15"/>
                <w:color w:val="auto"/>
              </w:rPr>
              <w:t>(2)</w:t>
            </w:r>
          </w:p>
        </w:tc>
        <w:tc>
          <w:tcPr>
            <w:tcW w:w="1260" w:type="dxa"/>
            <w:vAlign w:val="bottom"/>
            <w:gridSpan w:val="2"/>
            <w:shd w:val="clear" w:color="auto" w:fill="CCEEFF"/>
          </w:tcPr>
          <w:p>
            <w:pPr>
              <w:jc w:val="right"/>
              <w:ind w:right="280"/>
              <w:spacing w:after="0" w:line="199" w:lineRule="exact"/>
              <w:rPr>
                <w:sz w:val="20"/>
                <w:szCs w:val="20"/>
                <w:color w:val="auto"/>
              </w:rPr>
            </w:pPr>
            <w:r>
              <w:rPr>
                <w:rFonts w:ascii="Arial" w:cs="Arial" w:eastAsia="Arial" w:hAnsi="Arial"/>
                <w:sz w:val="18"/>
                <w:szCs w:val="18"/>
                <w:color w:val="auto"/>
              </w:rPr>
              <w:t>80,318</w:t>
            </w:r>
          </w:p>
        </w:tc>
        <w:tc>
          <w:tcPr>
            <w:tcW w:w="860" w:type="dxa"/>
            <w:vAlign w:val="bottom"/>
            <w:gridSpan w:val="2"/>
            <w:shd w:val="clear" w:color="auto" w:fill="CCEEFF"/>
          </w:tcPr>
          <w:p>
            <w:pPr>
              <w:jc w:val="right"/>
              <w:ind w:right="260"/>
              <w:spacing w:after="0" w:line="199" w:lineRule="exact"/>
              <w:rPr>
                <w:sz w:val="20"/>
                <w:szCs w:val="20"/>
                <w:color w:val="auto"/>
              </w:rPr>
            </w:pPr>
            <w:r>
              <w:rPr>
                <w:rFonts w:ascii="Arial" w:cs="Arial" w:eastAsia="Arial" w:hAnsi="Arial"/>
                <w:sz w:val="18"/>
                <w:szCs w:val="18"/>
                <w:color w:val="auto"/>
              </w:rPr>
              <w:t>19.00</w:t>
            </w:r>
          </w:p>
        </w:tc>
        <w:tc>
          <w:tcPr>
            <w:tcW w:w="820" w:type="dxa"/>
            <w:vAlign w:val="bottom"/>
            <w:gridSpan w:val="2"/>
            <w:shd w:val="clear" w:color="auto" w:fill="CCEEFF"/>
          </w:tcPr>
          <w:p>
            <w:pPr>
              <w:jc w:val="right"/>
              <w:ind w:right="60"/>
              <w:spacing w:after="0" w:line="199" w:lineRule="exact"/>
              <w:rPr>
                <w:sz w:val="20"/>
                <w:szCs w:val="20"/>
                <w:color w:val="auto"/>
              </w:rPr>
            </w:pPr>
            <w:r>
              <w:rPr>
                <w:rFonts w:ascii="Arial" w:cs="Arial" w:eastAsia="Arial" w:hAnsi="Arial"/>
                <w:sz w:val="18"/>
                <w:szCs w:val="18"/>
                <w:color w:val="auto"/>
              </w:rPr>
              <w:t>7/15/30</w:t>
            </w:r>
          </w:p>
        </w:tc>
        <w:tc>
          <w:tcPr>
            <w:tcW w:w="0" w:type="dxa"/>
            <w:vAlign w:val="bottom"/>
          </w:tcPr>
          <w:p>
            <w:pPr>
              <w:spacing w:after="0"/>
              <w:rPr>
                <w:sz w:val="1"/>
                <w:szCs w:val="1"/>
                <w:color w:val="auto"/>
              </w:rPr>
            </w:pPr>
          </w:p>
        </w:tc>
      </w:tr>
      <w:tr>
        <w:trPr>
          <w:trHeight w:val="203"/>
        </w:trPr>
        <w:tc>
          <w:tcPr>
            <w:tcW w:w="400" w:type="dxa"/>
            <w:vAlign w:val="bottom"/>
            <w:shd w:val="clear" w:color="auto" w:fill="CCEEFF"/>
          </w:tcPr>
          <w:p>
            <w:pPr>
              <w:spacing w:after="0"/>
              <w:rPr>
                <w:sz w:val="17"/>
                <w:szCs w:val="17"/>
                <w:color w:val="auto"/>
              </w:rPr>
            </w:pPr>
          </w:p>
        </w:tc>
        <w:tc>
          <w:tcPr>
            <w:tcW w:w="5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04/27/20</w:t>
            </w:r>
          </w:p>
        </w:tc>
        <w:tc>
          <w:tcPr>
            <w:tcW w:w="1300" w:type="dxa"/>
            <w:vAlign w:val="bottom"/>
            <w:gridSpan w:val="2"/>
            <w:shd w:val="clear" w:color="auto" w:fill="CCEEFF"/>
          </w:tcPr>
          <w:p>
            <w:pPr>
              <w:jc w:val="right"/>
              <w:ind w:right="224"/>
              <w:spacing w:after="0" w:line="202" w:lineRule="exact"/>
              <w:rPr>
                <w:sz w:val="20"/>
                <w:szCs w:val="20"/>
                <w:color w:val="auto"/>
              </w:rPr>
            </w:pPr>
            <w:r>
              <w:rPr>
                <w:rFonts w:ascii="Arial" w:cs="Arial" w:eastAsia="Arial" w:hAnsi="Arial"/>
                <w:sz w:val="18"/>
                <w:szCs w:val="18"/>
                <w:color w:val="auto"/>
              </w:rPr>
              <w:t>6,610</w:t>
            </w:r>
            <w:r>
              <w:rPr>
                <w:rFonts w:ascii="Arial" w:cs="Arial" w:eastAsia="Arial" w:hAnsi="Arial"/>
                <w:sz w:val="15"/>
                <w:szCs w:val="15"/>
                <w:color w:val="auto"/>
              </w:rPr>
              <w:t>(3)</w:t>
            </w:r>
          </w:p>
        </w:tc>
        <w:tc>
          <w:tcPr>
            <w:tcW w:w="12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44,069</w:t>
            </w:r>
          </w:p>
        </w:tc>
        <w:tc>
          <w:tcPr>
            <w:tcW w:w="8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4.81</w:t>
            </w: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4/26/30</w:t>
            </w:r>
          </w:p>
        </w:tc>
        <w:tc>
          <w:tcPr>
            <w:tcW w:w="0" w:type="dxa"/>
            <w:vAlign w:val="bottom"/>
          </w:tcPr>
          <w:p>
            <w:pPr>
              <w:spacing w:after="0"/>
              <w:rPr>
                <w:sz w:val="1"/>
                <w:szCs w:val="1"/>
                <w:color w:val="auto"/>
              </w:rPr>
            </w:pPr>
          </w:p>
        </w:tc>
      </w:tr>
      <w:tr>
        <w:trPr>
          <w:trHeight w:val="203"/>
        </w:trPr>
        <w:tc>
          <w:tcPr>
            <w:tcW w:w="400" w:type="dxa"/>
            <w:vAlign w:val="bottom"/>
            <w:shd w:val="clear" w:color="auto" w:fill="CCEEFF"/>
          </w:tcPr>
          <w:p>
            <w:pPr>
              <w:spacing w:after="0"/>
              <w:rPr>
                <w:sz w:val="17"/>
                <w:szCs w:val="17"/>
                <w:color w:val="auto"/>
              </w:rPr>
            </w:pPr>
          </w:p>
        </w:tc>
        <w:tc>
          <w:tcPr>
            <w:tcW w:w="5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03/09/20</w:t>
            </w:r>
          </w:p>
        </w:tc>
        <w:tc>
          <w:tcPr>
            <w:tcW w:w="1300" w:type="dxa"/>
            <w:vAlign w:val="bottom"/>
            <w:gridSpan w:val="2"/>
            <w:shd w:val="clear" w:color="auto" w:fill="CCEEFF"/>
          </w:tcPr>
          <w:p>
            <w:pPr>
              <w:jc w:val="right"/>
              <w:ind w:right="224"/>
              <w:spacing w:after="0" w:line="202" w:lineRule="exact"/>
              <w:rPr>
                <w:sz w:val="20"/>
                <w:szCs w:val="20"/>
                <w:color w:val="auto"/>
              </w:rPr>
            </w:pPr>
            <w:r>
              <w:rPr>
                <w:rFonts w:ascii="Arial" w:cs="Arial" w:eastAsia="Arial" w:hAnsi="Arial"/>
                <w:sz w:val="18"/>
                <w:szCs w:val="18"/>
                <w:color w:val="auto"/>
              </w:rPr>
              <w:t>137,906</w:t>
            </w:r>
            <w:r>
              <w:rPr>
                <w:rFonts w:ascii="Arial" w:cs="Arial" w:eastAsia="Arial" w:hAnsi="Arial"/>
                <w:sz w:val="15"/>
                <w:szCs w:val="15"/>
                <w:color w:val="auto"/>
              </w:rPr>
              <w:t>(4)</w:t>
            </w:r>
          </w:p>
        </w:tc>
        <w:tc>
          <w:tcPr>
            <w:tcW w:w="12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4.08</w:t>
            </w: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03/08/30</w:t>
            </w:r>
          </w:p>
        </w:tc>
        <w:tc>
          <w:tcPr>
            <w:tcW w:w="0" w:type="dxa"/>
            <w:vAlign w:val="bottom"/>
          </w:tcPr>
          <w:p>
            <w:pPr>
              <w:spacing w:after="0"/>
              <w:rPr>
                <w:sz w:val="1"/>
                <w:szCs w:val="1"/>
                <w:color w:val="auto"/>
              </w:rPr>
            </w:pPr>
          </w:p>
        </w:tc>
      </w:tr>
      <w:tr>
        <w:trPr>
          <w:trHeight w:val="203"/>
        </w:trPr>
        <w:tc>
          <w:tcPr>
            <w:tcW w:w="400" w:type="dxa"/>
            <w:vAlign w:val="bottom"/>
            <w:shd w:val="clear" w:color="auto" w:fill="CCEEFF"/>
          </w:tcPr>
          <w:p>
            <w:pPr>
              <w:spacing w:after="0"/>
              <w:rPr>
                <w:sz w:val="17"/>
                <w:szCs w:val="17"/>
                <w:color w:val="auto"/>
              </w:rPr>
            </w:pPr>
          </w:p>
        </w:tc>
        <w:tc>
          <w:tcPr>
            <w:tcW w:w="5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09/12/19</w:t>
            </w:r>
          </w:p>
        </w:tc>
        <w:tc>
          <w:tcPr>
            <w:tcW w:w="2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24"/>
              <w:spacing w:after="0" w:line="202" w:lineRule="exact"/>
              <w:rPr>
                <w:sz w:val="20"/>
                <w:szCs w:val="20"/>
                <w:color w:val="auto"/>
              </w:rPr>
            </w:pPr>
            <w:r>
              <w:rPr>
                <w:rFonts w:ascii="Arial" w:cs="Arial" w:eastAsia="Arial" w:hAnsi="Arial"/>
                <w:sz w:val="18"/>
                <w:szCs w:val="18"/>
                <w:color w:val="auto"/>
              </w:rPr>
              <w:t>23,490</w:t>
            </w:r>
            <w:r>
              <w:rPr>
                <w:rFonts w:ascii="Arial" w:cs="Arial" w:eastAsia="Arial" w:hAnsi="Arial"/>
                <w:sz w:val="15"/>
                <w:szCs w:val="15"/>
                <w:color w:val="auto"/>
              </w:rPr>
              <w:t>(5)</w:t>
            </w:r>
          </w:p>
        </w:tc>
        <w:tc>
          <w:tcPr>
            <w:tcW w:w="12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1.91</w:t>
            </w: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09/11/29</w:t>
            </w:r>
          </w:p>
        </w:tc>
        <w:tc>
          <w:tcPr>
            <w:tcW w:w="0" w:type="dxa"/>
            <w:vAlign w:val="bottom"/>
          </w:tcPr>
          <w:p>
            <w:pPr>
              <w:spacing w:after="0"/>
              <w:rPr>
                <w:sz w:val="1"/>
                <w:szCs w:val="1"/>
                <w:color w:val="auto"/>
              </w:rPr>
            </w:pPr>
          </w:p>
        </w:tc>
      </w:tr>
      <w:tr>
        <w:trPr>
          <w:trHeight w:val="206"/>
        </w:trPr>
        <w:tc>
          <w:tcPr>
            <w:tcW w:w="400" w:type="dxa"/>
            <w:vAlign w:val="bottom"/>
            <w:shd w:val="clear" w:color="auto" w:fill="CCEEFF"/>
          </w:tcPr>
          <w:p>
            <w:pPr>
              <w:spacing w:after="0"/>
              <w:rPr>
                <w:sz w:val="17"/>
                <w:szCs w:val="17"/>
                <w:color w:val="auto"/>
              </w:rPr>
            </w:pPr>
          </w:p>
        </w:tc>
        <w:tc>
          <w:tcPr>
            <w:tcW w:w="5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03/30/17</w:t>
            </w:r>
          </w:p>
        </w:tc>
        <w:tc>
          <w:tcPr>
            <w:tcW w:w="2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24"/>
              <w:spacing w:after="0" w:line="206" w:lineRule="exact"/>
              <w:rPr>
                <w:sz w:val="20"/>
                <w:szCs w:val="20"/>
                <w:color w:val="auto"/>
              </w:rPr>
            </w:pPr>
            <w:r>
              <w:rPr>
                <w:rFonts w:ascii="Arial" w:cs="Arial" w:eastAsia="Arial" w:hAnsi="Arial"/>
                <w:sz w:val="18"/>
                <w:szCs w:val="18"/>
                <w:color w:val="auto"/>
              </w:rPr>
              <w:t>7,107</w:t>
            </w:r>
            <w:r>
              <w:rPr>
                <w:rFonts w:ascii="Arial" w:cs="Arial" w:eastAsia="Arial" w:hAnsi="Arial"/>
                <w:sz w:val="15"/>
                <w:szCs w:val="15"/>
                <w:color w:val="auto"/>
              </w:rPr>
              <w:t>(6)</w:t>
            </w:r>
          </w:p>
        </w:tc>
        <w:tc>
          <w:tcPr>
            <w:tcW w:w="1260" w:type="dxa"/>
            <w:vAlign w:val="bottom"/>
            <w:gridSpan w:val="2"/>
            <w:shd w:val="clear" w:color="auto" w:fill="CCEEFF"/>
          </w:tcPr>
          <w:p>
            <w:pPr>
              <w:jc w:val="right"/>
              <w:ind w:right="280"/>
              <w:spacing w:after="0" w:line="206" w:lineRule="exact"/>
              <w:rPr>
                <w:sz w:val="20"/>
                <w:szCs w:val="20"/>
                <w:color w:val="auto"/>
              </w:rPr>
            </w:pPr>
            <w:r>
              <w:rPr>
                <w:rFonts w:ascii="Arial" w:cs="Arial" w:eastAsia="Arial" w:hAnsi="Arial"/>
                <w:sz w:val="18"/>
                <w:szCs w:val="18"/>
                <w:color w:val="auto"/>
              </w:rPr>
              <w:t>5,686</w:t>
            </w:r>
          </w:p>
        </w:tc>
        <w:tc>
          <w:tcPr>
            <w:tcW w:w="860" w:type="dxa"/>
            <w:vAlign w:val="bottom"/>
            <w:gridSpan w:val="2"/>
            <w:shd w:val="clear" w:color="auto" w:fill="CCEEFF"/>
          </w:tcPr>
          <w:p>
            <w:pPr>
              <w:jc w:val="right"/>
              <w:ind w:right="260"/>
              <w:spacing w:after="0" w:line="206" w:lineRule="exact"/>
              <w:rPr>
                <w:sz w:val="20"/>
                <w:szCs w:val="20"/>
                <w:color w:val="auto"/>
              </w:rPr>
            </w:pPr>
            <w:r>
              <w:rPr>
                <w:rFonts w:ascii="Arial" w:cs="Arial" w:eastAsia="Arial" w:hAnsi="Arial"/>
                <w:sz w:val="18"/>
                <w:szCs w:val="18"/>
                <w:color w:val="auto"/>
              </w:rPr>
              <w:t>0.99</w:t>
            </w:r>
          </w:p>
        </w:tc>
        <w:tc>
          <w:tcPr>
            <w:tcW w:w="820" w:type="dxa"/>
            <w:vAlign w:val="bottom"/>
            <w:gridSpan w:val="2"/>
            <w:shd w:val="clear" w:color="auto" w:fill="CCEEFF"/>
          </w:tcPr>
          <w:p>
            <w:pPr>
              <w:jc w:val="right"/>
              <w:ind w:right="60"/>
              <w:spacing w:after="0" w:line="206" w:lineRule="exact"/>
              <w:rPr>
                <w:sz w:val="20"/>
                <w:szCs w:val="20"/>
                <w:color w:val="auto"/>
              </w:rPr>
            </w:pPr>
            <w:r>
              <w:rPr>
                <w:rFonts w:ascii="Arial" w:cs="Arial" w:eastAsia="Arial" w:hAnsi="Arial"/>
                <w:sz w:val="18"/>
                <w:szCs w:val="18"/>
                <w:color w:val="auto"/>
              </w:rPr>
              <w:t>03/29/27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540" w:right="280" w:hanging="424"/>
        <w:spacing w:after="0" w:line="248" w:lineRule="auto"/>
        <w:tabs>
          <w:tab w:leader="none" w:pos="5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unvested portion of these awards are also subject to vesting acceleration under certain circumstances, as will be more fully described below under “—Potential Payments upon Termination or Change in Control—Change in Control and Severance Policy.”</w:t>
      </w:r>
    </w:p>
    <w:p>
      <w:pPr>
        <w:spacing w:after="0" w:line="1" w:lineRule="exact"/>
        <w:rPr>
          <w:rFonts w:ascii="Arial" w:cs="Arial" w:eastAsia="Arial" w:hAnsi="Arial"/>
          <w:sz w:val="17"/>
          <w:szCs w:val="17"/>
          <w:color w:val="auto"/>
        </w:rPr>
      </w:pPr>
    </w:p>
    <w:p>
      <w:pPr>
        <w:ind w:left="540" w:right="100" w:hanging="424"/>
        <w:spacing w:after="0" w:line="234"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1/48th of the shares subject to the option vest each month beginning on August 16, 2020, subject to continued service through each such vesting date.</w:t>
      </w:r>
    </w:p>
    <w:p>
      <w:pPr>
        <w:spacing w:after="0" w:line="1" w:lineRule="exact"/>
        <w:rPr>
          <w:rFonts w:ascii="Arial" w:cs="Arial" w:eastAsia="Arial" w:hAnsi="Arial"/>
          <w:sz w:val="18"/>
          <w:szCs w:val="18"/>
          <w:color w:val="auto"/>
        </w:rPr>
      </w:pPr>
    </w:p>
    <w:p>
      <w:pPr>
        <w:ind w:left="540" w:right="320" w:hanging="424"/>
        <w:spacing w:after="0" w:line="234"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1/48th of the shares subject to the option vest each month beginning on May 27, 2020, subject to continued service through each such vesting date.</w:t>
      </w:r>
    </w:p>
    <w:p>
      <w:pPr>
        <w:spacing w:after="0" w:line="1" w:lineRule="exact"/>
        <w:rPr>
          <w:rFonts w:ascii="Arial" w:cs="Arial" w:eastAsia="Arial" w:hAnsi="Arial"/>
          <w:sz w:val="18"/>
          <w:szCs w:val="18"/>
          <w:color w:val="auto"/>
        </w:rPr>
      </w:pPr>
    </w:p>
    <w:p>
      <w:pPr>
        <w:ind w:left="540" w:right="340" w:hanging="424"/>
        <w:spacing w:after="0" w:line="234"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option is subject to an early exercise provision and is immediately exercisable. 1/48th of the shares subject to the option vest each month beginning on April 9, 2020, subject to continued service through each such vesting date.</w:t>
      </w:r>
    </w:p>
    <w:p>
      <w:pPr>
        <w:spacing w:after="0" w:line="1" w:lineRule="exact"/>
        <w:rPr>
          <w:rFonts w:ascii="Arial" w:cs="Arial" w:eastAsia="Arial" w:hAnsi="Arial"/>
          <w:sz w:val="18"/>
          <w:szCs w:val="18"/>
          <w:color w:val="auto"/>
        </w:rPr>
      </w:pPr>
    </w:p>
    <w:p>
      <w:pPr>
        <w:ind w:left="540" w:right="340" w:hanging="424"/>
        <w:spacing w:after="0" w:line="234"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option is subject to an early exercise provision and is immediately exercisable. 1/48th of the shares subject to the option vest each month beginning on June 16, 2019, subject to continued service through each such vesting date.</w:t>
      </w:r>
    </w:p>
    <w:p>
      <w:pPr>
        <w:spacing w:after="0" w:line="1" w:lineRule="exact"/>
        <w:rPr>
          <w:rFonts w:ascii="Arial" w:cs="Arial" w:eastAsia="Arial" w:hAnsi="Arial"/>
          <w:sz w:val="18"/>
          <w:szCs w:val="18"/>
          <w:color w:val="auto"/>
        </w:rPr>
      </w:pPr>
    </w:p>
    <w:p>
      <w:pPr>
        <w:ind w:left="540" w:right="420" w:hanging="424"/>
        <w:spacing w:after="0" w:line="234"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1/48th of the shares subject to the option vest each month beginning on May 1, 2017, subject to continued service through each such vesting date.</w:t>
      </w:r>
    </w:p>
    <w:p>
      <w:pPr>
        <w:spacing w:after="0" w:line="1" w:lineRule="exact"/>
        <w:rPr>
          <w:rFonts w:ascii="Arial" w:cs="Arial" w:eastAsia="Arial" w:hAnsi="Arial"/>
          <w:sz w:val="18"/>
          <w:szCs w:val="18"/>
          <w:color w:val="auto"/>
        </w:rPr>
      </w:pPr>
    </w:p>
    <w:p>
      <w:pPr>
        <w:ind w:left="540" w:right="320" w:hanging="424"/>
        <w:spacing w:after="0" w:line="234"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1/4th of the shares subject to the option vest on April 27, 2021, and 1/36</w:t>
      </w:r>
      <w:r>
        <w:rPr>
          <w:rFonts w:ascii="Arial" w:cs="Arial" w:eastAsia="Arial" w:hAnsi="Arial"/>
          <w:sz w:val="15"/>
          <w:szCs w:val="15"/>
          <w:color w:val="auto"/>
        </w:rPr>
        <w:t>th</w:t>
      </w:r>
      <w:r>
        <w:rPr>
          <w:rFonts w:ascii="Arial" w:cs="Arial" w:eastAsia="Arial" w:hAnsi="Arial"/>
          <w:sz w:val="18"/>
          <w:szCs w:val="18"/>
          <w:color w:val="auto"/>
        </w:rPr>
        <w:t xml:space="preserve"> of the remaining shares subject to the option vest each month thereafter, subject to continued service through each such vesting date.</w:t>
      </w:r>
    </w:p>
    <w:p>
      <w:pPr>
        <w:spacing w:after="0" w:line="1" w:lineRule="exact"/>
        <w:rPr>
          <w:rFonts w:ascii="Arial" w:cs="Arial" w:eastAsia="Arial" w:hAnsi="Arial"/>
          <w:sz w:val="18"/>
          <w:szCs w:val="18"/>
          <w:color w:val="auto"/>
        </w:rPr>
      </w:pPr>
    </w:p>
    <w:p>
      <w:pPr>
        <w:ind w:left="540" w:right="180" w:hanging="424"/>
        <w:spacing w:after="0" w:line="234"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option is subject to an early exercise provision and is immediately exercisable. 1/4th of the shares subject to the option vest on January 2, 2021, and 1/36</w:t>
      </w:r>
      <w:r>
        <w:rPr>
          <w:rFonts w:ascii="Arial" w:cs="Arial" w:eastAsia="Arial" w:hAnsi="Arial"/>
          <w:sz w:val="15"/>
          <w:szCs w:val="15"/>
          <w:color w:val="auto"/>
        </w:rPr>
        <w:t>th</w:t>
      </w:r>
      <w:r>
        <w:rPr>
          <w:rFonts w:ascii="Arial" w:cs="Arial" w:eastAsia="Arial" w:hAnsi="Arial"/>
          <w:sz w:val="18"/>
          <w:szCs w:val="18"/>
          <w:color w:val="auto"/>
        </w:rPr>
        <w:t xml:space="preserve"> of the remaining shares subject to the option vest each month thereafter, subject to continued service through each such vesting date.</w:t>
      </w:r>
    </w:p>
    <w:p>
      <w:pPr>
        <w:spacing w:after="0" w:line="2" w:lineRule="exact"/>
        <w:rPr>
          <w:rFonts w:ascii="Arial" w:cs="Arial" w:eastAsia="Arial" w:hAnsi="Arial"/>
          <w:sz w:val="18"/>
          <w:szCs w:val="18"/>
          <w:color w:val="auto"/>
        </w:rPr>
      </w:pPr>
    </w:p>
    <w:p>
      <w:pPr>
        <w:ind w:left="540" w:right="180" w:hanging="424"/>
        <w:spacing w:after="0"/>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option is subject to an early exercise provision and is immediately exercisable. 1/4th of the shares subject to the option vest on March 9, 2021, and 1/36</w:t>
      </w:r>
      <w:r>
        <w:rPr>
          <w:rFonts w:ascii="Arial" w:cs="Arial" w:eastAsia="Arial" w:hAnsi="Arial"/>
          <w:sz w:val="15"/>
          <w:szCs w:val="15"/>
          <w:color w:val="auto"/>
        </w:rPr>
        <w:t>th</w:t>
      </w:r>
      <w:r>
        <w:rPr>
          <w:rFonts w:ascii="Arial" w:cs="Arial" w:eastAsia="Arial" w:hAnsi="Arial"/>
          <w:sz w:val="18"/>
          <w:szCs w:val="18"/>
          <w:color w:val="auto"/>
        </w:rPr>
        <w:t xml:space="preserve"> of the remaining shares subject to the option vest each month thereafter, subject to continued service through each such vesting date.</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40"/>
          </w:cols>
          <w:pgMar w:left="32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Letter Agreements</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Jaume Pons, Ph.D.</w:t>
      </w:r>
    </w:p>
    <w:p>
      <w:pPr>
        <w:spacing w:after="0" w:line="122" w:lineRule="exact"/>
        <w:rPr>
          <w:sz w:val="20"/>
          <w:szCs w:val="20"/>
          <w:color w:val="auto"/>
        </w:rPr>
      </w:pPr>
    </w:p>
    <w:p>
      <w:pPr>
        <w:ind w:left="120" w:right="60"/>
        <w:spacing w:after="0" w:line="248" w:lineRule="auto"/>
        <w:rPr>
          <w:sz w:val="20"/>
          <w:szCs w:val="20"/>
          <w:color w:val="auto"/>
        </w:rPr>
      </w:pPr>
      <w:r>
        <w:rPr>
          <w:rFonts w:ascii="Arial" w:cs="Arial" w:eastAsia="Arial" w:hAnsi="Arial"/>
          <w:sz w:val="17"/>
          <w:szCs w:val="17"/>
          <w:color w:val="auto"/>
        </w:rPr>
        <w:t>In July 2020, we entered into a confirmatory employment letter with Dr. Jaume Pons, our President and Chief Executive Officer. The confirmatory employment letter has no specific term and provides that Dr. Pons is an at-will employee. The employment letter supersedes all existing agreements and understandings that Dr. Pons may have entered into concerning his employment relationship with us.</w:t>
      </w:r>
    </w:p>
    <w:p>
      <w:pPr>
        <w:spacing w:after="0" w:line="2" w:lineRule="exact"/>
        <w:rPr>
          <w:sz w:val="20"/>
          <w:szCs w:val="20"/>
          <w:color w:val="auto"/>
        </w:rPr>
      </w:pPr>
    </w:p>
    <w:p>
      <w:pPr>
        <w:ind w:left="120" w:right="540"/>
        <w:spacing w:after="0" w:line="246" w:lineRule="auto"/>
        <w:rPr>
          <w:sz w:val="20"/>
          <w:szCs w:val="20"/>
          <w:color w:val="auto"/>
        </w:rPr>
      </w:pPr>
      <w:r>
        <w:rPr>
          <w:rFonts w:ascii="Arial" w:cs="Arial" w:eastAsia="Arial" w:hAnsi="Arial"/>
          <w:sz w:val="18"/>
          <w:szCs w:val="18"/>
          <w:color w:val="auto"/>
        </w:rPr>
        <w:t>Dr. Pons’ annual base salary was $550,000 for 2020 and was subsequently increased to $566,500, effective January 1, 2021. He is eligible for an annual target cash incentive payment equal to 50.0% of his annual base salary.</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Peter Garcia</w:t>
      </w:r>
    </w:p>
    <w:p>
      <w:pPr>
        <w:spacing w:after="0" w:line="122"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In July 2020, we entered into a confirmatory employment letter with Peter Garcia, our Chief Financial Officer. The confirmatory employment letter has no specific term and provides that Mr. Garcia is an at-will employee. The employment letter supersedes all existing agreements and understandings that Mr. Garcia may have entered into concerning his employment relationship with us. Mr. Garcia’s annual base salary was $440,000 for 2020 and was subsequently increased to $453,200, effective January 1, 2021. He is eligible for an annual target cash incentive payment equal to 40.0% of his annual base salary.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Sophia Randolph, M.D., Ph.D.</w:t>
      </w:r>
    </w:p>
    <w:p>
      <w:pPr>
        <w:spacing w:after="0" w:line="122" w:lineRule="exact"/>
        <w:rPr>
          <w:sz w:val="20"/>
          <w:szCs w:val="20"/>
          <w:color w:val="auto"/>
        </w:rPr>
      </w:pPr>
    </w:p>
    <w:p>
      <w:pPr>
        <w:jc w:val="both"/>
        <w:ind w:left="120" w:right="420"/>
        <w:spacing w:after="0" w:line="248" w:lineRule="auto"/>
        <w:rPr>
          <w:sz w:val="20"/>
          <w:szCs w:val="20"/>
          <w:color w:val="auto"/>
        </w:rPr>
      </w:pPr>
      <w:r>
        <w:rPr>
          <w:rFonts w:ascii="Arial" w:cs="Arial" w:eastAsia="Arial" w:hAnsi="Arial"/>
          <w:sz w:val="17"/>
          <w:szCs w:val="17"/>
          <w:color w:val="auto"/>
        </w:rPr>
        <w:t>In July 2020, we entered into a confirmatory employment letter with Dr. Sophia Randolph, our Chief Medical Officer. The confirmatory employment letter has no specific term and provides that Dr. Randolph is an at-will employee. The employment letter supersedes all existing agreements and understandings that Dr. Randolph may have entered into concerning her employment relationship with us.</w:t>
      </w:r>
    </w:p>
    <w:p>
      <w:pPr>
        <w:spacing w:after="0" w:line="2" w:lineRule="exact"/>
        <w:rPr>
          <w:sz w:val="20"/>
          <w:szCs w:val="20"/>
          <w:color w:val="auto"/>
        </w:rPr>
      </w:pPr>
    </w:p>
    <w:p>
      <w:pPr>
        <w:ind w:left="120"/>
        <w:spacing w:after="0" w:line="246" w:lineRule="auto"/>
        <w:rPr>
          <w:sz w:val="20"/>
          <w:szCs w:val="20"/>
          <w:color w:val="auto"/>
        </w:rPr>
      </w:pPr>
      <w:r>
        <w:rPr>
          <w:rFonts w:ascii="Arial" w:cs="Arial" w:eastAsia="Arial" w:hAnsi="Arial"/>
          <w:sz w:val="18"/>
          <w:szCs w:val="18"/>
          <w:color w:val="auto"/>
        </w:rPr>
        <w:t>Dr. Randolph’s annual base salary was $440,000 for 2020 and was subsequently increased to $453,200, effective January 1, 2021. She is eligible for an annual target cash incentive payment equal to 40.0% of her annual base salary.</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 in Control and Severance Agreements</w:t>
      </w:r>
    </w:p>
    <w:p>
      <w:pPr>
        <w:spacing w:after="0" w:line="126"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In order to recruit and maintain a stable and effective management team, our compensation committee believes it is appropriate and necessary to provide assurance of certain severance and change in control benefits approved by the compensation committee, in consultation with Compensia. We entered into change in control and severance agreements, or CIC Agreements, with each of our named executive officers that provide for the severance and change in control benefits described below.</w:t>
      </w:r>
    </w:p>
    <w:p>
      <w:pPr>
        <w:spacing w:after="0" w:line="205" w:lineRule="exact"/>
        <w:rPr>
          <w:sz w:val="20"/>
          <w:szCs w:val="20"/>
          <w:color w:val="auto"/>
        </w:rPr>
      </w:pPr>
    </w:p>
    <w:p>
      <w:pPr>
        <w:ind w:left="120" w:right="240"/>
        <w:spacing w:after="0"/>
        <w:rPr>
          <w:sz w:val="20"/>
          <w:szCs w:val="20"/>
          <w:color w:val="auto"/>
        </w:rPr>
      </w:pPr>
      <w:r>
        <w:rPr>
          <w:rFonts w:ascii="Arial" w:cs="Arial" w:eastAsia="Arial" w:hAnsi="Arial"/>
          <w:sz w:val="18"/>
          <w:szCs w:val="18"/>
          <w:color w:val="auto"/>
        </w:rPr>
        <w:t>Each CIC Agreement supersedes any prior agreement or arrangement that the named executive officer may have had with us that provides for severance or change in control payments and benefits. The CIC Agreements have no specific term and will terminate upon written consent by the parties or when all obligations under the CIC Agreement are satisfied.</w:t>
      </w:r>
    </w:p>
    <w:p>
      <w:pPr>
        <w:spacing w:after="0" w:line="203" w:lineRule="exact"/>
        <w:rPr>
          <w:sz w:val="20"/>
          <w:szCs w:val="20"/>
          <w:color w:val="auto"/>
        </w:rPr>
      </w:pPr>
    </w:p>
    <w:p>
      <w:pPr>
        <w:ind w:left="120" w:right="240"/>
        <w:spacing w:after="0" w:line="238" w:lineRule="auto"/>
        <w:rPr>
          <w:sz w:val="20"/>
          <w:szCs w:val="20"/>
          <w:color w:val="auto"/>
        </w:rPr>
      </w:pPr>
      <w:r>
        <w:rPr>
          <w:rFonts w:ascii="Arial" w:cs="Arial" w:eastAsia="Arial" w:hAnsi="Arial"/>
          <w:sz w:val="18"/>
          <w:szCs w:val="18"/>
          <w:color w:val="auto"/>
        </w:rPr>
        <w:t>The CIC Agreements provide that if, other than during the period beginning three months before our change in control through the one-year anniversary of our change in control, or the CIC Period, the named executive officer’s employment with us is terminated by us without cause (as defined in the CIC Agreement, and excluding by reason of his or her death or disability) or by the named executive officer for good reason (as defined in the CIC Agreement), the named executive officer will receive the</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00"/>
          </w:cols>
          <w:pgMar w:left="320" w:top="459" w:right="4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following severance payments and benefits if he or she timely executes and does not revoke a release of claims in our favor:</w:t>
      </w:r>
    </w:p>
    <w:p>
      <w:pPr>
        <w:spacing w:after="0" w:line="117" w:lineRule="exact"/>
        <w:rPr>
          <w:sz w:val="20"/>
          <w:szCs w:val="20"/>
          <w:color w:val="auto"/>
        </w:rPr>
      </w:pPr>
    </w:p>
    <w:p>
      <w:pPr>
        <w:ind w:left="1080" w:right="440" w:hanging="424"/>
        <w:spacing w:after="0" w:line="246"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lump sum cash payment equal to 100% for Dr. Pons, or 75% for Dr. Randolph and Mr. Garcia, of the named executive officer’s base salary as in effect immediately before such termination; and</w:t>
      </w:r>
    </w:p>
    <w:p>
      <w:pPr>
        <w:spacing w:after="0" w:line="102" w:lineRule="exact"/>
        <w:rPr>
          <w:rFonts w:ascii="Arial" w:cs="Arial" w:eastAsia="Arial" w:hAnsi="Arial"/>
          <w:sz w:val="18"/>
          <w:szCs w:val="18"/>
          <w:color w:val="auto"/>
        </w:rPr>
      </w:pPr>
    </w:p>
    <w:p>
      <w:pPr>
        <w:ind w:left="1080" w:right="40" w:hanging="424"/>
        <w:spacing w:after="0" w:line="246"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Company-paid group health, dental and vision coverage under COBRA for the named executive officer and his or her eligible dependents for up to twelve months for Dr. Pons, or nine months for Dr. Randolph and Mr. Garcia.</w:t>
      </w:r>
    </w:p>
    <w:p>
      <w:pPr>
        <w:spacing w:after="0" w:line="197"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If, during the CIC Period, the named executive officer’s employment with us is terminated by us without cause (as defined in the CIC Agreement, and excluding by reason of his or her death or disability) or by the named executive officer for good reason (as defined in the CIC Agreement), the named executive officer will receive the following severance payments and benefits if he or she timely executes and does not revoke a separation agreement and release of claims in our favor:</w:t>
      </w:r>
    </w:p>
    <w:p>
      <w:pPr>
        <w:spacing w:after="0" w:line="110" w:lineRule="exact"/>
        <w:rPr>
          <w:sz w:val="20"/>
          <w:szCs w:val="20"/>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lump sum cash payment equal to 150% for Dr. Pons, or 100% for Dr. Randolph and Mr. Garcia, of the named executive officer’s base salary as in effect immediately before such termination or if greater, the base salary in effect immediately before our change in control;</w:t>
      </w:r>
    </w:p>
    <w:p>
      <w:pPr>
        <w:spacing w:after="0" w:line="108" w:lineRule="exact"/>
        <w:rPr>
          <w:rFonts w:ascii="Arial" w:cs="Arial" w:eastAsia="Arial" w:hAnsi="Arial"/>
          <w:sz w:val="18"/>
          <w:szCs w:val="18"/>
          <w:color w:val="auto"/>
        </w:rPr>
      </w:pPr>
    </w:p>
    <w:p>
      <w:pPr>
        <w:ind w:left="1080" w:right="2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lump sum cash payment equal to 150% for Dr. Pons, or 100% for Dr. Randolph and Mr. Garcia, of the named executive officer’s target bonus opportunity as in effect immediately before such termination or if greater, the target bonus opportunity in effect immediately before our change in control;</w:t>
      </w:r>
    </w:p>
    <w:p>
      <w:pPr>
        <w:spacing w:after="0" w:line="108" w:lineRule="exact"/>
        <w:rPr>
          <w:rFonts w:ascii="Arial" w:cs="Arial" w:eastAsia="Arial" w:hAnsi="Arial"/>
          <w:sz w:val="18"/>
          <w:szCs w:val="18"/>
          <w:color w:val="auto"/>
        </w:rPr>
      </w:pPr>
    </w:p>
    <w:p>
      <w:pPr>
        <w:ind w:left="1080" w:right="40" w:hanging="424"/>
        <w:spacing w:after="0" w:line="246"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Company-paid group health, dental and vision coverage under COBRA for the named executive officer and his or her eligible dependents for up to eighteen months for Dr. Pons, or twelve months for Dr. Randolph and Mr. Garcia; and</w:t>
      </w:r>
    </w:p>
    <w:p>
      <w:pPr>
        <w:spacing w:after="0" w:line="102" w:lineRule="exact"/>
        <w:rPr>
          <w:rFonts w:ascii="Arial" w:cs="Arial" w:eastAsia="Arial" w:hAnsi="Arial"/>
          <w:sz w:val="18"/>
          <w:szCs w:val="18"/>
          <w:color w:val="auto"/>
        </w:rPr>
      </w:pPr>
    </w:p>
    <w:p>
      <w:pPr>
        <w:ind w:left="1080" w:right="140" w:hanging="424"/>
        <w:spacing w:after="0" w:line="246"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100% accelerated vesting and exercisability of the outstanding and unvested Company equity awards (other than Company equity awards subject to performance-based vesting criteria) granted to the named executive officer.</w:t>
      </w:r>
    </w:p>
    <w:p>
      <w:pPr>
        <w:spacing w:after="0" w:line="197" w:lineRule="exact"/>
        <w:rPr>
          <w:sz w:val="20"/>
          <w:szCs w:val="20"/>
          <w:color w:val="auto"/>
        </w:rPr>
      </w:pPr>
    </w:p>
    <w:p>
      <w:pPr>
        <w:ind w:left="120" w:right="120"/>
        <w:spacing w:after="0" w:line="246" w:lineRule="auto"/>
        <w:rPr>
          <w:sz w:val="20"/>
          <w:szCs w:val="20"/>
          <w:color w:val="auto"/>
        </w:rPr>
      </w:pPr>
      <w:r>
        <w:rPr>
          <w:rFonts w:ascii="Arial" w:cs="Arial" w:eastAsia="Arial" w:hAnsi="Arial"/>
          <w:sz w:val="18"/>
          <w:szCs w:val="18"/>
          <w:color w:val="auto"/>
        </w:rPr>
        <w:t>In addition, the CIC Agreement for Dr. Pons provides that in the event of our change in control, 100% of his outstanding Company equity awards (other than Company equity awards subject to performance-based vesting criteria) will accelerate vesting.</w:t>
      </w:r>
    </w:p>
    <w:p>
      <w:pPr>
        <w:spacing w:after="0" w:line="197"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Each CIC Agreement provides that, if any of the amounts provided for under a CIC Agreement or otherwise payable to the named executive officer would constitute “parachute payments” within the meaning of Internal Revenue Code Section 280G and could be subject to the related excise tax, the named executive officer would be entitled to receive either the full payment of benefits under the named executive officer’s CIC Agreement or such lesser amount that would result in no portion of the payments and benefits being subject to the excise tax, whichever results in the greater amount of after-tax benefits to the named executive officer. The CIC Agreements do not provide for any tax gross-ups in connection with our change in control.</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Incentive Compensation Plan</w:t>
      </w:r>
    </w:p>
    <w:p>
      <w:pPr>
        <w:spacing w:after="0" w:line="126"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Our board of directors has adopted our Executive Incentive Compensation Plan, or the Incentive Compensation Plan. Our Incentive Compensation Plan will be administered by the compensation committee of our board of directors, unless and until our board of directors determines otherwise. Our Incentive Compensation Plan allows us to grant incentive awards, generally payable in cash, to employees selected by the administrator, including our named executive officers, based upon performance goals that may be established by the administrator.</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60"/>
          </w:cols>
          <w:pgMar w:left="320" w:top="459" w:right="5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spacing w:after="0" w:line="235" w:lineRule="auto"/>
        <w:rPr>
          <w:sz w:val="20"/>
          <w:szCs w:val="20"/>
          <w:color w:val="auto"/>
        </w:rPr>
      </w:pPr>
      <w:r>
        <w:rPr>
          <w:rFonts w:ascii="Arial" w:cs="Arial" w:eastAsia="Arial" w:hAnsi="Arial"/>
          <w:sz w:val="18"/>
          <w:szCs w:val="18"/>
          <w:color w:val="auto"/>
        </w:rPr>
        <w:t>Under our Incentive Compensation Plan, the administrator determines the performance goals applicable to any award, which goals may include, without limitation, goals related to attainment of research and development milestones; sales bookings; business divestitures and acquisitions; capital raising; cash flow; cash position; contract awards or backlog; corporate transactions; customer renewals; customer retention rates from an acquired company, subsidiary, business unit or division; earnings (which may include any calculation of earnings, including but not limited to earnings before interest and taxes, earnings before taxes, earnings before interest, taxes, depreciation and amortization and net taxes); earnings per share; expenses; financial milestones; gross margin; growth in stockholder value relative to the moving average of the S&amp;P 500 Index or another index; internal rate of return; leadership development or succession planning; license or research collaboration arrangements; market share; net income; net profit; net sales; new product or business development; new product invention or innovation; number of customers; operating cash flow; operating expenses; operating income; operating margin; overhead or other expense reduction; patents; procurement; product defect measures; product release timelines; productivity; profit; regulatory milestones or regularly-related goals; retained earnings; return on assets; return on capital; return on equity; return on investment; return on sales; revenue; revenue growth; sales results; sales growth; savings; stock price; time to market; total stockholder return; working capital; unadjusted or adjusted actual contract value; unadjusted or adjusted total contract value; and individual objectives such as peer reviews or other subjective or objective criteria. The performance goals may differ from participant to participant and from award to award. The administrator also may determine that a target award or portion of a target award will not have a performance goal associated with it but instead will be granted if at all in the compensation committee’s sole discretion.</w:t>
      </w:r>
    </w:p>
    <w:p>
      <w:pPr>
        <w:spacing w:after="0" w:line="213" w:lineRule="exact"/>
        <w:rPr>
          <w:sz w:val="20"/>
          <w:szCs w:val="20"/>
          <w:color w:val="auto"/>
        </w:rPr>
      </w:pPr>
    </w:p>
    <w:p>
      <w:pPr>
        <w:ind w:left="120" w:right="220"/>
        <w:spacing w:after="0" w:line="238" w:lineRule="auto"/>
        <w:rPr>
          <w:sz w:val="20"/>
          <w:szCs w:val="20"/>
          <w:color w:val="auto"/>
        </w:rPr>
      </w:pPr>
      <w:r>
        <w:rPr>
          <w:rFonts w:ascii="Arial" w:cs="Arial" w:eastAsia="Arial" w:hAnsi="Arial"/>
          <w:sz w:val="18"/>
          <w:szCs w:val="18"/>
          <w:color w:val="auto"/>
        </w:rPr>
        <w:t>The administrator of our Incentive Compensation Plan, in its sole discretion and at any time, may increase, reduce or eliminate a participant’s actual award, and/or increase, reduce or eliminate the amount allocated to any bonus pool for a particular performance period. The actual award may be below, at or above a participant’s target award, in the discretion of the administrator. The administrator may determine the amount of any reduction on the basis of such factors as it deems relevant, and the administrator is not required to establish any allocation or weighting with respect to the factors it considers.</w:t>
      </w:r>
    </w:p>
    <w:p>
      <w:pPr>
        <w:spacing w:after="0" w:line="202"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Actual awards generally will be paid in cash (or its equivalent) only after they are earned, and, unless otherwise determined by the administrator, a participant must be employed with us through the date the actual award is paid. The administrator of our Incentive Compensation Plan reserves the right to settle an actual award with a grant of an equity award under our then-current equity compensation plan, which equity award may have such terms and conditions, including vesting, as the administrator of such equity compensation plan determines. Payment of awards occurs as soon as administratively practicable after they are earned, but no later than the dates set forth in our Incentive Compensation Plan.</w:t>
      </w:r>
    </w:p>
    <w:p>
      <w:pPr>
        <w:spacing w:after="0" w:line="205"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Awards under our Incentive Compensation Plan are subject to any clawback policy of ours, which we may be required to adopt from time to time to comply with applicable laws. The administrator also may impose such other clawback, recovery or recoupment provisions with respect to an award under our Incentive Compensation Plan as the administrator determines necessary or appropriate, including for example, reduction, cancellation, forfeiture or recoupment upon a termination of a participant’s employment for cause. Certain participants may be required to reimburse us for certain amounts paid under an award under our Incentive Compensation Plan in connection with certain accounting restatements we may be required to prepare due to our material noncompliance with any financial reporting requirements under applicable securities laws, as a result of misconduct.</w:t>
      </w:r>
    </w:p>
    <w:p>
      <w:pPr>
        <w:spacing w:after="0" w:line="203" w:lineRule="exact"/>
        <w:rPr>
          <w:sz w:val="20"/>
          <w:szCs w:val="20"/>
          <w:color w:val="auto"/>
        </w:rPr>
      </w:pPr>
    </w:p>
    <w:p>
      <w:pPr>
        <w:ind w:left="120"/>
        <w:spacing w:after="0" w:line="246" w:lineRule="auto"/>
        <w:rPr>
          <w:sz w:val="20"/>
          <w:szCs w:val="20"/>
          <w:color w:val="auto"/>
        </w:rPr>
      </w:pPr>
      <w:r>
        <w:rPr>
          <w:rFonts w:ascii="Arial" w:cs="Arial" w:eastAsia="Arial" w:hAnsi="Arial"/>
          <w:sz w:val="18"/>
          <w:szCs w:val="18"/>
          <w:color w:val="auto"/>
        </w:rPr>
        <w:t>The administrator of our Incentive Compensation Plan has the authority to amend, alter, suspend or terminate our Incentive Compensation Plan, provided such action does not impair the existing rights of</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40"/>
        <w:spacing w:after="0" w:line="246" w:lineRule="auto"/>
        <w:rPr>
          <w:sz w:val="20"/>
          <w:szCs w:val="20"/>
          <w:color w:val="auto"/>
        </w:rPr>
      </w:pPr>
      <w:r>
        <w:rPr>
          <w:rFonts w:ascii="Arial" w:cs="Arial" w:eastAsia="Arial" w:hAnsi="Arial"/>
          <w:sz w:val="18"/>
          <w:szCs w:val="18"/>
          <w:color w:val="auto"/>
        </w:rPr>
        <w:t>any participant with respect to any earned awards. Our Incentive Compensation Plan will remain in effect until terminated in accordance with its terms.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401(k) Plan</w:t>
      </w:r>
    </w:p>
    <w:p>
      <w:pPr>
        <w:spacing w:after="0" w:line="126" w:lineRule="exact"/>
        <w:rPr>
          <w:sz w:val="20"/>
          <w:szCs w:val="20"/>
          <w:color w:val="auto"/>
        </w:rPr>
      </w:pPr>
    </w:p>
    <w:p>
      <w:pPr>
        <w:ind w:left="120" w:right="100"/>
        <w:spacing w:after="0" w:line="236" w:lineRule="auto"/>
        <w:rPr>
          <w:sz w:val="20"/>
          <w:szCs w:val="20"/>
          <w:color w:val="auto"/>
        </w:rPr>
      </w:pPr>
      <w:r>
        <w:rPr>
          <w:rFonts w:ascii="Arial" w:cs="Arial" w:eastAsia="Arial" w:hAnsi="Arial"/>
          <w:sz w:val="18"/>
          <w:szCs w:val="18"/>
          <w:color w:val="auto"/>
        </w:rPr>
        <w:t>We maintain a 401(k) retirement savings plan, or 401(k) plan, for the benefit of our employees, including our named executive officers, who satisfy certain eligibility requirements. Our 401(k) plan provides eligible employees with an opportunity to save for retirement on a tax-advantaged basis. Under our 401(k) plan, eligible employees may elect to defer a portion of their compensation, within the limits prescribed by the Code and the applicable limits under the 401(k) plan (generally, up to 90% of the employee’s eligible compensation), on a pre-tax or after-tax (Roth) basis, through contributions to the 401(k) plan. All of a participant’s contributions into the 401(k) plan are 100% vested when contributed. The 401(k) plan permits us to make matching contributions and profit-sharing contributions to eligible participants. The 401(k) plan is intended to qualify under Sections 401(a) and 501(a) of the Code. As a tax-qualified retirement plan, pre-tax contributions to the 401(k) plan and earnings on those pre-tax contributions are not taxable to the employees until distributed from the 401(k) plan, and earnings on Roth contributions are not taxable when distributed from the 401(k) plan.</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Hedging and Pledging Prohibitions</w:t>
      </w:r>
    </w:p>
    <w:p>
      <w:pPr>
        <w:spacing w:after="0" w:line="126"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As part of our Insider Trading Policy, our contractors and employees (including our executive officers and the non-employee members of our board of directors) are prohibited from trading in publicly-traded options, such as puts and calls, and other derivative securities with respect to our securities. This includes any hedging or similar transaction designed to decrease the risks associated with holding shares of our common stock. In addition, our contractors and employees (including our executive officers and the non-employee members of our board of directors) are prohibited from holding our common stock in a margin account or pledging our securities as collateral for a loan.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6" w:lineRule="exact"/>
        <w:rPr>
          <w:sz w:val="20"/>
          <w:szCs w:val="20"/>
          <w:color w:val="auto"/>
        </w:rPr>
      </w:pPr>
    </w:p>
    <w:p>
      <w:pPr>
        <w:ind w:left="120" w:right="200"/>
        <w:spacing w:after="0" w:line="246" w:lineRule="auto"/>
        <w:rPr>
          <w:sz w:val="20"/>
          <w:szCs w:val="20"/>
          <w:color w:val="auto"/>
        </w:rPr>
      </w:pPr>
      <w:r>
        <w:rPr>
          <w:rFonts w:ascii="Arial" w:cs="Arial" w:eastAsia="Arial" w:hAnsi="Arial"/>
          <w:sz w:val="18"/>
          <w:szCs w:val="18"/>
          <w:color w:val="auto"/>
        </w:rPr>
        <w:t>The following table provides information as of December 31, 2020 with respect to shares of our common stock that may be issued under our existing equity compensation plans.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96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Securities</w:t>
            </w: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Remaining</w:t>
            </w: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Available</w:t>
            </w: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for Future</w:t>
            </w: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7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Issuance</w:t>
            </w: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7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Securities to be</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Under Equity</w:t>
            </w: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7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Issued upon</w:t>
            </w:r>
          </w:p>
        </w:tc>
        <w:tc>
          <w:tcPr>
            <w:tcW w:w="120" w:type="dxa"/>
            <w:vAlign w:val="bottom"/>
          </w:tcPr>
          <w:p>
            <w:pPr>
              <w:spacing w:after="0"/>
              <w:rPr>
                <w:sz w:val="14"/>
                <w:szCs w:val="14"/>
                <w:color w:val="auto"/>
              </w:rPr>
            </w:pPr>
          </w:p>
        </w:tc>
        <w:tc>
          <w:tcPr>
            <w:tcW w:w="152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rPr>
              <w:t>Weighted</w:t>
            </w:r>
          </w:p>
        </w:tc>
        <w:tc>
          <w:tcPr>
            <w:tcW w:w="11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Compensation</w:t>
            </w: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7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Exercise of</w:t>
            </w:r>
          </w:p>
        </w:tc>
        <w:tc>
          <w:tcPr>
            <w:tcW w:w="120" w:type="dxa"/>
            <w:vAlign w:val="bottom"/>
          </w:tcPr>
          <w:p>
            <w:pPr>
              <w:spacing w:after="0"/>
              <w:rPr>
                <w:sz w:val="14"/>
                <w:szCs w:val="14"/>
                <w:color w:val="auto"/>
              </w:rPr>
            </w:pPr>
          </w:p>
        </w:tc>
        <w:tc>
          <w:tcPr>
            <w:tcW w:w="152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rPr>
              <w:t>Average</w:t>
            </w:r>
          </w:p>
        </w:tc>
        <w:tc>
          <w:tcPr>
            <w:tcW w:w="11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Plans</w:t>
            </w: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7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Outstanding</w:t>
            </w:r>
          </w:p>
        </w:tc>
        <w:tc>
          <w:tcPr>
            <w:tcW w:w="164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rPr>
              <w:t>Exercise Price</w:t>
            </w:r>
          </w:p>
        </w:tc>
        <w:tc>
          <w:tcPr>
            <w:tcW w:w="11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(Excluding</w:t>
            </w: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7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4"/>
                <w:szCs w:val="14"/>
                <w:color w:val="auto"/>
              </w:rPr>
            </w:pPr>
          </w:p>
        </w:tc>
        <w:tc>
          <w:tcPr>
            <w:tcW w:w="152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rPr>
              <w:t>of</w:t>
            </w:r>
          </w:p>
        </w:tc>
        <w:tc>
          <w:tcPr>
            <w:tcW w:w="11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Securities</w:t>
            </w: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7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Restricted</w:t>
            </w:r>
          </w:p>
        </w:tc>
        <w:tc>
          <w:tcPr>
            <w:tcW w:w="164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rPr>
              <w:t>Outstanding</w:t>
            </w:r>
          </w:p>
        </w:tc>
        <w:tc>
          <w:tcPr>
            <w:tcW w:w="11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Reflected in the</w:t>
            </w:r>
          </w:p>
        </w:tc>
        <w:tc>
          <w:tcPr>
            <w:tcW w:w="0" w:type="dxa"/>
            <w:vAlign w:val="bottom"/>
          </w:tcPr>
          <w:p>
            <w:pPr>
              <w:spacing w:after="0"/>
              <w:rPr>
                <w:sz w:val="1"/>
                <w:szCs w:val="1"/>
                <w:color w:val="auto"/>
              </w:rPr>
            </w:pPr>
          </w:p>
        </w:tc>
      </w:tr>
      <w:tr>
        <w:trPr>
          <w:trHeight w:val="162"/>
        </w:trPr>
        <w:tc>
          <w:tcPr>
            <w:tcW w:w="6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7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Stock Units</w:t>
            </w:r>
          </w:p>
        </w:tc>
        <w:tc>
          <w:tcPr>
            <w:tcW w:w="120" w:type="dxa"/>
            <w:vAlign w:val="bottom"/>
          </w:tcPr>
          <w:p>
            <w:pPr>
              <w:spacing w:after="0"/>
              <w:rPr>
                <w:sz w:val="14"/>
                <w:szCs w:val="14"/>
                <w:color w:val="auto"/>
              </w:rPr>
            </w:pPr>
          </w:p>
        </w:tc>
        <w:tc>
          <w:tcPr>
            <w:tcW w:w="152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rPr>
              <w:t>Options</w:t>
            </w:r>
          </w:p>
        </w:tc>
        <w:tc>
          <w:tcPr>
            <w:tcW w:w="11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first</w:t>
            </w:r>
          </w:p>
        </w:tc>
        <w:tc>
          <w:tcPr>
            <w:tcW w:w="0" w:type="dxa"/>
            <w:vAlign w:val="bottom"/>
          </w:tcPr>
          <w:p>
            <w:pPr>
              <w:spacing w:after="0"/>
              <w:rPr>
                <w:sz w:val="1"/>
                <w:szCs w:val="1"/>
                <w:color w:val="auto"/>
              </w:rPr>
            </w:pPr>
          </w:p>
        </w:tc>
      </w:tr>
      <w:tr>
        <w:trPr>
          <w:trHeight w:val="162"/>
        </w:trPr>
        <w:tc>
          <w:tcPr>
            <w:tcW w:w="6480" w:type="dxa"/>
            <w:vAlign w:val="bottom"/>
            <w:gridSpan w:val="2"/>
            <w:vMerge w:val="continue"/>
          </w:tcPr>
          <w:p>
            <w:pPr>
              <w:spacing w:after="0"/>
              <w:rPr>
                <w:sz w:val="14"/>
                <w:szCs w:val="14"/>
                <w:color w:val="auto"/>
              </w:rPr>
            </w:pPr>
          </w:p>
        </w:tc>
        <w:tc>
          <w:tcPr>
            <w:tcW w:w="17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and Rights (#)</w:t>
            </w:r>
          </w:p>
        </w:tc>
        <w:tc>
          <w:tcPr>
            <w:tcW w:w="164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rPr>
              <w:t xml:space="preserve">and Rights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1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Column) (#)</w:t>
            </w:r>
          </w:p>
        </w:tc>
        <w:tc>
          <w:tcPr>
            <w:tcW w:w="0" w:type="dxa"/>
            <w:vAlign w:val="bottom"/>
          </w:tcPr>
          <w:p>
            <w:pPr>
              <w:spacing w:after="0"/>
              <w:rPr>
                <w:sz w:val="1"/>
                <w:szCs w:val="1"/>
                <w:color w:val="auto"/>
              </w:rPr>
            </w:pPr>
          </w:p>
        </w:tc>
      </w:tr>
      <w:tr>
        <w:trPr>
          <w:trHeight w:val="20"/>
        </w:trPr>
        <w:tc>
          <w:tcPr>
            <w:tcW w:w="960" w:type="dxa"/>
            <w:vAlign w:val="bottom"/>
            <w:tcBorders>
              <w:bottom w:val="single" w:sz="8" w:color="CCEEFF"/>
            </w:tcBorders>
            <w:shd w:val="clear" w:color="auto" w:fill="000000"/>
          </w:tcPr>
          <w:p>
            <w:pPr>
              <w:spacing w:after="0" w:line="20" w:lineRule="exact"/>
              <w:rPr>
                <w:sz w:val="1"/>
                <w:szCs w:val="1"/>
                <w:color w:val="auto"/>
              </w:rPr>
            </w:pPr>
          </w:p>
        </w:tc>
        <w:tc>
          <w:tcPr>
            <w:tcW w:w="55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4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Equity compensation plans approved by security holders</w:t>
            </w:r>
          </w:p>
        </w:tc>
        <w:tc>
          <w:tcPr>
            <w:tcW w:w="10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480" w:type="dxa"/>
            <w:vAlign w:val="bottom"/>
            <w:gridSpan w:val="2"/>
          </w:tcPr>
          <w:p>
            <w:pPr>
              <w:ind w:left="360"/>
              <w:spacing w:after="0" w:line="202" w:lineRule="exact"/>
              <w:rPr>
                <w:sz w:val="20"/>
                <w:szCs w:val="20"/>
                <w:color w:val="auto"/>
              </w:rPr>
            </w:pPr>
            <w:r>
              <w:rPr>
                <w:rFonts w:ascii="Arial" w:cs="Arial" w:eastAsia="Arial" w:hAnsi="Arial"/>
                <w:sz w:val="18"/>
                <w:szCs w:val="18"/>
                <w:i w:val="1"/>
                <w:iCs w:val="1"/>
                <w:color w:val="auto"/>
              </w:rPr>
              <w:t>Amended and Restated 2020 Equity Incentive Plan</w:t>
            </w:r>
            <w:r>
              <w:rPr>
                <w:rFonts w:ascii="Arial" w:cs="Arial" w:eastAsia="Arial" w:hAnsi="Arial"/>
                <w:sz w:val="15"/>
                <w:szCs w:val="15"/>
                <w:i w:val="1"/>
                <w:iCs w:val="1"/>
                <w:color w:val="auto"/>
              </w:rPr>
              <w:t>(1)</w:t>
            </w:r>
          </w:p>
        </w:tc>
        <w:tc>
          <w:tcPr>
            <w:tcW w:w="176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4,857,308</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520" w:type="dxa"/>
            <w:vAlign w:val="bottom"/>
            <w:gridSpan w:val="2"/>
          </w:tcPr>
          <w:p>
            <w:pPr>
              <w:jc w:val="center"/>
              <w:ind w:right="160"/>
              <w:spacing w:after="0" w:line="202" w:lineRule="exact"/>
              <w:rPr>
                <w:sz w:val="20"/>
                <w:szCs w:val="20"/>
                <w:color w:val="auto"/>
              </w:rPr>
            </w:pPr>
            <w:r>
              <w:rPr>
                <w:rFonts w:ascii="Arial" w:cs="Arial" w:eastAsia="Arial" w:hAnsi="Arial"/>
                <w:sz w:val="18"/>
                <w:szCs w:val="18"/>
                <w:color w:val="auto"/>
              </w:rPr>
              <w:t>8.94</w:t>
            </w:r>
          </w:p>
        </w:tc>
        <w:tc>
          <w:tcPr>
            <w:tcW w:w="11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2,835,445</w:t>
            </w:r>
          </w:p>
        </w:tc>
        <w:tc>
          <w:tcPr>
            <w:tcW w:w="0" w:type="dxa"/>
            <w:vAlign w:val="bottom"/>
          </w:tcPr>
          <w:p>
            <w:pPr>
              <w:spacing w:after="0"/>
              <w:rPr>
                <w:sz w:val="1"/>
                <w:szCs w:val="1"/>
                <w:color w:val="auto"/>
              </w:rPr>
            </w:pPr>
          </w:p>
        </w:tc>
      </w:tr>
      <w:tr>
        <w:trPr>
          <w:trHeight w:val="203"/>
        </w:trPr>
        <w:tc>
          <w:tcPr>
            <w:tcW w:w="648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i w:val="1"/>
                <w:iCs w:val="1"/>
                <w:color w:val="auto"/>
              </w:rPr>
              <w:t>2020 Employee Stock Purchase Plan</w:t>
            </w:r>
            <w:r>
              <w:rPr>
                <w:rFonts w:ascii="Arial" w:cs="Arial" w:eastAsia="Arial" w:hAnsi="Arial"/>
                <w:sz w:val="15"/>
                <w:szCs w:val="15"/>
                <w:i w:val="1"/>
                <w:iCs w:val="1"/>
                <w:color w:val="auto"/>
              </w:rPr>
              <w:t>(2)</w:t>
            </w:r>
          </w:p>
        </w:tc>
        <w:tc>
          <w:tcPr>
            <w:tcW w:w="1760" w:type="dxa"/>
            <w:vAlign w:val="bottom"/>
            <w:gridSpan w:val="2"/>
            <w:shd w:val="clear" w:color="auto" w:fill="CCEEFF"/>
          </w:tcPr>
          <w:p>
            <w:pPr>
              <w:ind w:left="8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center"/>
              <w:ind w:right="180"/>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17"/>
        </w:trPr>
        <w:tc>
          <w:tcPr>
            <w:tcW w:w="648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7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52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4" w:lineRule="exact"/>
        <w:rPr>
          <w:sz w:val="20"/>
          <w:szCs w:val="20"/>
          <w:color w:val="auto"/>
        </w:rPr>
      </w:pPr>
    </w:p>
    <w:p>
      <w:pPr>
        <w:ind w:left="540" w:right="260" w:hanging="424"/>
        <w:spacing w:after="0" w:line="246"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board of directors adopted, and our stockholders approved, the 2020 Plan. The 2020 Plan provides that the number of shares available for issuance under the 2020 Plan will be increased</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40"/>
          </w:cols>
          <w:pgMar w:left="32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40"/>
        <w:spacing w:after="0" w:line="234" w:lineRule="auto"/>
        <w:rPr>
          <w:sz w:val="20"/>
          <w:szCs w:val="20"/>
          <w:color w:val="auto"/>
        </w:rPr>
      </w:pPr>
      <w:r>
        <w:rPr>
          <w:rFonts w:ascii="Arial" w:cs="Arial" w:eastAsia="Arial" w:hAnsi="Arial"/>
          <w:sz w:val="18"/>
          <w:szCs w:val="18"/>
          <w:color w:val="auto"/>
        </w:rPr>
        <w:t>on the first day of each fiscal year beginning with the 2021 fiscal year, in an amount equal to the least of (i) 4,000,000 shares, (ii) four percent (4%) of the outstanding shares of our common stock as of the last day of the immediately preceding fiscal year or (iii) such number of shares as our board of directors may determine no later than the last day of our immediately preceding fiscal year.</w:t>
      </w:r>
    </w:p>
    <w:p>
      <w:pPr>
        <w:spacing w:after="0" w:line="2" w:lineRule="exact"/>
        <w:rPr>
          <w:sz w:val="20"/>
          <w:szCs w:val="20"/>
          <w:color w:val="auto"/>
        </w:rPr>
      </w:pPr>
    </w:p>
    <w:p>
      <w:pPr>
        <w:ind w:left="540" w:right="220" w:hanging="424"/>
        <w:spacing w:after="0" w:line="238"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board of directors adopted, and our shareholders approved, the 2020 Employee Stock Purchase Plan (the ESPP). The ESPP provides that the number of shares available for issuance under the ESPP will be increased on the first day of each fiscal year beginning with the 2021 fiscal year, in an amount equal to the least of (i) 800,000 shares, (ii) one percent (1%) of the outstanding shares of our common stock on the last day of the immediately preceding fiscal year or (iii) such number of shares as our board of directors may determine no later than the last day of our immediately preceding fiscal year.</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00"/>
          </w:cols>
          <w:pgMar w:left="320" w:top="459" w:right="4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the beneficial ownership of our common stock as of March 31, 2021 by:</w:t>
      </w:r>
    </w:p>
    <w:p>
      <w:pPr>
        <w:spacing w:after="0" w:line="117" w:lineRule="exact"/>
        <w:rPr>
          <w:sz w:val="20"/>
          <w:szCs w:val="20"/>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each person, or group of affiliated persons, who is known by us to beneficially own more than 5% of our common stock;</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each of our directors and nominees for director; and</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212" w:lineRule="exact"/>
        <w:rPr>
          <w:sz w:val="20"/>
          <w:szCs w:val="20"/>
          <w:color w:val="auto"/>
        </w:rPr>
      </w:pPr>
    </w:p>
    <w:p>
      <w:pPr>
        <w:ind w:left="120" w:right="260"/>
        <w:spacing w:after="0" w:line="238" w:lineRule="auto"/>
        <w:rPr>
          <w:sz w:val="20"/>
          <w:szCs w:val="20"/>
          <w:color w:val="auto"/>
        </w:rPr>
      </w:pPr>
      <w:r>
        <w:rPr>
          <w:rFonts w:ascii="Arial" w:cs="Arial" w:eastAsia="Arial" w:hAnsi="Arial"/>
          <w:sz w:val="18"/>
          <w:szCs w:val="18"/>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 The information does not necessarily indicate beneficial ownership for any other purpose, including for purposes of Sections 13(d) and 13(g) of the Exchange Act.</w:t>
      </w:r>
    </w:p>
    <w:p>
      <w:pPr>
        <w:spacing w:after="0" w:line="202"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We have based our calculation of the percentage of beneficial ownership on 40,208,569 shares of our common stock outstanding as of March 31, 2021. We have deemed shares of our common stock subject to stock options that are currently exercisable or exercisable within 60 days of March 31, 2021, to be outstanding and to be beneficially owned by the person holding the stock option for the purpose of computing the percentage ownership of that person. We did not deem these shares outstanding, however, for the purpose of computing the percentage ownership of any other person.</w:t>
      </w:r>
    </w:p>
    <w:p>
      <w:pPr>
        <w:spacing w:after="0" w:line="202" w:lineRule="exact"/>
        <w:rPr>
          <w:sz w:val="20"/>
          <w:szCs w:val="20"/>
          <w:color w:val="auto"/>
        </w:rPr>
      </w:pPr>
    </w:p>
    <w:p>
      <w:pPr>
        <w:ind w:left="120" w:right="60"/>
        <w:spacing w:after="0" w:line="246" w:lineRule="auto"/>
        <w:rPr>
          <w:sz w:val="20"/>
          <w:szCs w:val="20"/>
          <w:color w:val="auto"/>
        </w:rPr>
      </w:pPr>
      <w:r>
        <w:rPr>
          <w:rFonts w:ascii="Arial" w:cs="Arial" w:eastAsia="Arial" w:hAnsi="Arial"/>
          <w:sz w:val="18"/>
          <w:szCs w:val="18"/>
          <w:color w:val="auto"/>
        </w:rPr>
        <w:t>Unless otherwise indicated, the address of each beneficial owner listed in the table below is c/o ALX Oncology Holdings Inc., 866 Malcolm Road, Suite 100, Burlingame, California 94010.</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160" w:type="dxa"/>
            <w:vAlign w:val="bottom"/>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3820" w:type="dxa"/>
            <w:vAlign w:val="bottom"/>
            <w:vMerge w:val="restart"/>
          </w:tcPr>
          <w:p>
            <w:pPr>
              <w:spacing w:after="0"/>
              <w:rPr>
                <w:sz w:val="14"/>
                <w:szCs w:val="14"/>
                <w:color w:val="auto"/>
              </w:rPr>
            </w:pPr>
          </w:p>
        </w:tc>
        <w:tc>
          <w:tcPr>
            <w:tcW w:w="2940" w:type="dxa"/>
            <w:vAlign w:val="bottom"/>
            <w:gridSpan w:val="2"/>
          </w:tcPr>
          <w:p>
            <w:pPr>
              <w:jc w:val="right"/>
              <w:ind w:right="1360"/>
              <w:spacing w:after="0"/>
              <w:rPr>
                <w:sz w:val="20"/>
                <w:szCs w:val="20"/>
                <w:color w:val="auto"/>
              </w:rPr>
            </w:pPr>
            <w:r>
              <w:rPr>
                <w:rFonts w:ascii="Arial" w:cs="Arial" w:eastAsia="Arial" w:hAnsi="Arial"/>
                <w:sz w:val="14"/>
                <w:szCs w:val="14"/>
                <w:b w:val="1"/>
                <w:bCs w:val="1"/>
                <w:color w:val="auto"/>
              </w:rPr>
              <w:t>NUMBER OF SHARES</w:t>
            </w:r>
          </w:p>
        </w:tc>
        <w:tc>
          <w:tcPr>
            <w:tcW w:w="21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PERCENTAGE OF SHARES</w:t>
            </w:r>
          </w:p>
        </w:tc>
        <w:tc>
          <w:tcPr>
            <w:tcW w:w="0" w:type="dxa"/>
            <w:vAlign w:val="bottom"/>
          </w:tcPr>
          <w:p>
            <w:pPr>
              <w:spacing w:after="0"/>
              <w:rPr>
                <w:sz w:val="1"/>
                <w:szCs w:val="1"/>
                <w:color w:val="auto"/>
              </w:rPr>
            </w:pPr>
          </w:p>
        </w:tc>
      </w:tr>
      <w:tr>
        <w:trPr>
          <w:trHeight w:val="182"/>
        </w:trPr>
        <w:tc>
          <w:tcPr>
            <w:tcW w:w="2160" w:type="dxa"/>
            <w:vAlign w:val="bottom"/>
            <w:tcBorders>
              <w:bottom w:val="single" w:sz="8" w:color="auto"/>
            </w:tcBorders>
            <w:vMerge w:val="continue"/>
          </w:tcPr>
          <w:p>
            <w:pPr>
              <w:spacing w:after="0"/>
              <w:rPr>
                <w:sz w:val="15"/>
                <w:szCs w:val="15"/>
                <w:color w:val="auto"/>
              </w:rPr>
            </w:pPr>
          </w:p>
        </w:tc>
        <w:tc>
          <w:tcPr>
            <w:tcW w:w="3820" w:type="dxa"/>
            <w:vAlign w:val="bottom"/>
            <w:vMerge w:val="continue"/>
          </w:tcPr>
          <w:p>
            <w:pPr>
              <w:spacing w:after="0"/>
              <w:rPr>
                <w:sz w:val="15"/>
                <w:szCs w:val="15"/>
                <w:color w:val="auto"/>
              </w:rPr>
            </w:pPr>
          </w:p>
        </w:tc>
        <w:tc>
          <w:tcPr>
            <w:tcW w:w="2940" w:type="dxa"/>
            <w:vAlign w:val="bottom"/>
            <w:gridSpan w:val="2"/>
          </w:tcPr>
          <w:p>
            <w:pPr>
              <w:jc w:val="right"/>
              <w:ind w:right="1300"/>
              <w:spacing w:after="0"/>
              <w:rPr>
                <w:sz w:val="20"/>
                <w:szCs w:val="20"/>
                <w:color w:val="auto"/>
              </w:rPr>
            </w:pPr>
            <w:r>
              <w:rPr>
                <w:rFonts w:ascii="Arial" w:cs="Arial" w:eastAsia="Arial" w:hAnsi="Arial"/>
                <w:sz w:val="14"/>
                <w:szCs w:val="14"/>
                <w:b w:val="1"/>
                <w:bCs w:val="1"/>
                <w:color w:val="auto"/>
              </w:rPr>
              <w:t>BENEFICIALLY OWNED</w:t>
            </w:r>
          </w:p>
        </w:tc>
        <w:tc>
          <w:tcPr>
            <w:tcW w:w="21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BENEFICIALLY OWNED</w:t>
            </w:r>
          </w:p>
        </w:tc>
        <w:tc>
          <w:tcPr>
            <w:tcW w:w="0" w:type="dxa"/>
            <w:vAlign w:val="bottom"/>
          </w:tcPr>
          <w:p>
            <w:pPr>
              <w:spacing w:after="0"/>
              <w:rPr>
                <w:sz w:val="1"/>
                <w:szCs w:val="1"/>
                <w:color w:val="auto"/>
              </w:rPr>
            </w:pPr>
          </w:p>
        </w:tc>
      </w:tr>
      <w:tr>
        <w:trPr>
          <w:trHeight w:val="176"/>
        </w:trPr>
        <w:tc>
          <w:tcPr>
            <w:tcW w:w="598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5% or Greater Stockholders:</w:t>
            </w:r>
          </w:p>
        </w:tc>
        <w:tc>
          <w:tcPr>
            <w:tcW w:w="164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CCEEFF"/>
            </w:tcBorders>
            <w:shd w:val="clear" w:color="auto" w:fill="CCEEFF"/>
          </w:tcPr>
          <w:p>
            <w:pPr>
              <w:spacing w:after="0"/>
              <w:rPr>
                <w:sz w:val="15"/>
                <w:szCs w:val="15"/>
                <w:color w:val="auto"/>
              </w:rPr>
            </w:pPr>
          </w:p>
        </w:tc>
        <w:tc>
          <w:tcPr>
            <w:tcW w:w="18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980" w:type="dxa"/>
            <w:vAlign w:val="bottom"/>
            <w:gridSpan w:val="2"/>
          </w:tcPr>
          <w:p>
            <w:pPr>
              <w:spacing w:after="0" w:line="202" w:lineRule="exact"/>
              <w:rPr>
                <w:sz w:val="20"/>
                <w:szCs w:val="20"/>
                <w:color w:val="auto"/>
              </w:rPr>
            </w:pPr>
            <w:r>
              <w:rPr>
                <w:rFonts w:ascii="Arial" w:cs="Arial" w:eastAsia="Arial" w:hAnsi="Arial"/>
                <w:sz w:val="18"/>
                <w:szCs w:val="18"/>
                <w:color w:val="auto"/>
              </w:rPr>
              <w:t>Entities affiliated with venBio Partners</w:t>
            </w:r>
            <w:r>
              <w:rPr>
                <w:rFonts w:ascii="Arial" w:cs="Arial" w:eastAsia="Arial" w:hAnsi="Arial"/>
                <w:sz w:val="15"/>
                <w:szCs w:val="15"/>
                <w:color w:val="auto"/>
              </w:rPr>
              <w:t>(1)</w:t>
            </w:r>
          </w:p>
        </w:tc>
        <w:tc>
          <w:tcPr>
            <w:tcW w:w="2940" w:type="dxa"/>
            <w:vAlign w:val="bottom"/>
            <w:gridSpan w:val="2"/>
          </w:tcPr>
          <w:p>
            <w:pPr>
              <w:jc w:val="right"/>
              <w:ind w:right="1300"/>
              <w:spacing w:after="0" w:line="202" w:lineRule="exact"/>
              <w:rPr>
                <w:sz w:val="20"/>
                <w:szCs w:val="20"/>
                <w:color w:val="auto"/>
              </w:rPr>
            </w:pPr>
            <w:r>
              <w:rPr>
                <w:rFonts w:ascii="Arial" w:cs="Arial" w:eastAsia="Arial" w:hAnsi="Arial"/>
                <w:sz w:val="18"/>
                <w:szCs w:val="18"/>
                <w:color w:val="auto"/>
              </w:rPr>
              <w:t>9,699,925</w:t>
            </w:r>
          </w:p>
        </w:tc>
        <w:tc>
          <w:tcPr>
            <w:tcW w:w="2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03"/>
        </w:trPr>
        <w:tc>
          <w:tcPr>
            <w:tcW w:w="59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Entities affiliated with Lightstone Ventures</w:t>
            </w:r>
            <w:r>
              <w:rPr>
                <w:rFonts w:ascii="Arial" w:cs="Arial" w:eastAsia="Arial" w:hAnsi="Arial"/>
                <w:sz w:val="15"/>
                <w:szCs w:val="15"/>
                <w:color w:val="auto"/>
              </w:rPr>
              <w:t>(2)</w:t>
            </w:r>
          </w:p>
        </w:tc>
        <w:tc>
          <w:tcPr>
            <w:tcW w:w="2940" w:type="dxa"/>
            <w:vAlign w:val="bottom"/>
            <w:gridSpan w:val="2"/>
            <w:shd w:val="clear" w:color="auto" w:fill="CCEEFF"/>
          </w:tcPr>
          <w:p>
            <w:pPr>
              <w:jc w:val="right"/>
              <w:ind w:right="1300"/>
              <w:spacing w:after="0" w:line="202" w:lineRule="exact"/>
              <w:rPr>
                <w:sz w:val="20"/>
                <w:szCs w:val="20"/>
                <w:color w:val="auto"/>
              </w:rPr>
            </w:pPr>
            <w:r>
              <w:rPr>
                <w:rFonts w:ascii="Arial" w:cs="Arial" w:eastAsia="Arial" w:hAnsi="Arial"/>
                <w:sz w:val="18"/>
                <w:szCs w:val="18"/>
                <w:color w:val="auto"/>
              </w:rPr>
              <w:t>4,720,990</w:t>
            </w:r>
          </w:p>
        </w:tc>
        <w:tc>
          <w:tcPr>
            <w:tcW w:w="21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3"/>
        </w:trPr>
        <w:tc>
          <w:tcPr>
            <w:tcW w:w="5980" w:type="dxa"/>
            <w:vAlign w:val="bottom"/>
            <w:gridSpan w:val="2"/>
          </w:tcPr>
          <w:p>
            <w:pPr>
              <w:spacing w:after="0" w:line="202" w:lineRule="exact"/>
              <w:rPr>
                <w:sz w:val="20"/>
                <w:szCs w:val="20"/>
                <w:color w:val="auto"/>
              </w:rPr>
            </w:pPr>
            <w:r>
              <w:rPr>
                <w:rFonts w:ascii="Arial" w:cs="Arial" w:eastAsia="Arial" w:hAnsi="Arial"/>
                <w:sz w:val="18"/>
                <w:szCs w:val="18"/>
                <w:color w:val="auto"/>
              </w:rPr>
              <w:t>Entities affiliated with Vivo Capital</w:t>
            </w:r>
            <w:r>
              <w:rPr>
                <w:rFonts w:ascii="Arial" w:cs="Arial" w:eastAsia="Arial" w:hAnsi="Arial"/>
                <w:sz w:val="15"/>
                <w:szCs w:val="15"/>
                <w:color w:val="auto"/>
              </w:rPr>
              <w:t>(3)</w:t>
            </w:r>
          </w:p>
        </w:tc>
        <w:tc>
          <w:tcPr>
            <w:tcW w:w="2940" w:type="dxa"/>
            <w:vAlign w:val="bottom"/>
            <w:gridSpan w:val="2"/>
          </w:tcPr>
          <w:p>
            <w:pPr>
              <w:jc w:val="right"/>
              <w:ind w:right="1300"/>
              <w:spacing w:after="0" w:line="202" w:lineRule="exact"/>
              <w:rPr>
                <w:sz w:val="20"/>
                <w:szCs w:val="20"/>
                <w:color w:val="auto"/>
              </w:rPr>
            </w:pPr>
            <w:r>
              <w:rPr>
                <w:rFonts w:ascii="Arial" w:cs="Arial" w:eastAsia="Arial" w:hAnsi="Arial"/>
                <w:sz w:val="18"/>
                <w:szCs w:val="18"/>
                <w:color w:val="auto"/>
              </w:rPr>
              <w:t>4,220,048</w:t>
            </w:r>
          </w:p>
        </w:tc>
        <w:tc>
          <w:tcPr>
            <w:tcW w:w="2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3"/>
        </w:trPr>
        <w:tc>
          <w:tcPr>
            <w:tcW w:w="59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Entities affiliated with Logos Capital</w:t>
            </w:r>
            <w:r>
              <w:rPr>
                <w:rFonts w:ascii="Arial" w:cs="Arial" w:eastAsia="Arial" w:hAnsi="Arial"/>
                <w:sz w:val="15"/>
                <w:szCs w:val="15"/>
                <w:color w:val="auto"/>
              </w:rPr>
              <w:t>(4)</w:t>
            </w:r>
          </w:p>
        </w:tc>
        <w:tc>
          <w:tcPr>
            <w:tcW w:w="2940" w:type="dxa"/>
            <w:vAlign w:val="bottom"/>
            <w:gridSpan w:val="2"/>
            <w:shd w:val="clear" w:color="auto" w:fill="CCEEFF"/>
          </w:tcPr>
          <w:p>
            <w:pPr>
              <w:jc w:val="right"/>
              <w:ind w:right="1300"/>
              <w:spacing w:after="0" w:line="202" w:lineRule="exact"/>
              <w:rPr>
                <w:sz w:val="20"/>
                <w:szCs w:val="20"/>
                <w:color w:val="auto"/>
              </w:rPr>
            </w:pPr>
            <w:r>
              <w:rPr>
                <w:rFonts w:ascii="Arial" w:cs="Arial" w:eastAsia="Arial" w:hAnsi="Arial"/>
                <w:sz w:val="18"/>
                <w:szCs w:val="18"/>
                <w:color w:val="auto"/>
              </w:rPr>
              <w:t>3,156,981</w:t>
            </w:r>
          </w:p>
        </w:tc>
        <w:tc>
          <w:tcPr>
            <w:tcW w:w="21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3"/>
        </w:trPr>
        <w:tc>
          <w:tcPr>
            <w:tcW w:w="598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Named Executive Officers:</w:t>
            </w:r>
          </w:p>
        </w:tc>
        <w:tc>
          <w:tcPr>
            <w:tcW w:w="16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Jaume Pons, Ph.D.</w:t>
            </w:r>
            <w:r>
              <w:rPr>
                <w:rFonts w:ascii="Arial" w:cs="Arial" w:eastAsia="Arial" w:hAnsi="Arial"/>
                <w:sz w:val="15"/>
                <w:szCs w:val="15"/>
                <w:color w:val="auto"/>
              </w:rPr>
              <w:t>(5)</w:t>
            </w:r>
          </w:p>
        </w:tc>
        <w:tc>
          <w:tcPr>
            <w:tcW w:w="2940" w:type="dxa"/>
            <w:vAlign w:val="bottom"/>
            <w:gridSpan w:val="2"/>
            <w:shd w:val="clear" w:color="auto" w:fill="CCEEFF"/>
          </w:tcPr>
          <w:p>
            <w:pPr>
              <w:jc w:val="right"/>
              <w:ind w:right="1300"/>
              <w:spacing w:after="0" w:line="202" w:lineRule="exact"/>
              <w:rPr>
                <w:sz w:val="20"/>
                <w:szCs w:val="20"/>
                <w:color w:val="auto"/>
              </w:rPr>
            </w:pPr>
            <w:r>
              <w:rPr>
                <w:rFonts w:ascii="Arial" w:cs="Arial" w:eastAsia="Arial" w:hAnsi="Arial"/>
                <w:sz w:val="18"/>
                <w:szCs w:val="18"/>
                <w:color w:val="auto"/>
              </w:rPr>
              <w:t>1,700,214</w:t>
            </w:r>
          </w:p>
        </w:tc>
        <w:tc>
          <w:tcPr>
            <w:tcW w:w="21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3"/>
        </w:trPr>
        <w:tc>
          <w:tcPr>
            <w:tcW w:w="5980" w:type="dxa"/>
            <w:vAlign w:val="bottom"/>
            <w:gridSpan w:val="2"/>
          </w:tcPr>
          <w:p>
            <w:pPr>
              <w:spacing w:after="0" w:line="202" w:lineRule="exact"/>
              <w:rPr>
                <w:sz w:val="20"/>
                <w:szCs w:val="20"/>
                <w:color w:val="auto"/>
              </w:rPr>
            </w:pPr>
            <w:r>
              <w:rPr>
                <w:rFonts w:ascii="Arial" w:cs="Arial" w:eastAsia="Arial" w:hAnsi="Arial"/>
                <w:sz w:val="18"/>
                <w:szCs w:val="18"/>
                <w:color w:val="auto"/>
              </w:rPr>
              <w:t>Sophia Randolph, M.D., Ph.D.</w:t>
            </w:r>
            <w:r>
              <w:rPr>
                <w:rFonts w:ascii="Arial" w:cs="Arial" w:eastAsia="Arial" w:hAnsi="Arial"/>
                <w:sz w:val="15"/>
                <w:szCs w:val="15"/>
                <w:color w:val="auto"/>
              </w:rPr>
              <w:t>(6)</w:t>
            </w:r>
          </w:p>
        </w:tc>
        <w:tc>
          <w:tcPr>
            <w:tcW w:w="2940" w:type="dxa"/>
            <w:vAlign w:val="bottom"/>
            <w:gridSpan w:val="2"/>
          </w:tcPr>
          <w:p>
            <w:pPr>
              <w:jc w:val="right"/>
              <w:ind w:right="1300"/>
              <w:spacing w:after="0" w:line="202" w:lineRule="exact"/>
              <w:rPr>
                <w:sz w:val="20"/>
                <w:szCs w:val="20"/>
                <w:color w:val="auto"/>
              </w:rPr>
            </w:pPr>
            <w:r>
              <w:rPr>
                <w:rFonts w:ascii="Arial" w:cs="Arial" w:eastAsia="Arial" w:hAnsi="Arial"/>
                <w:sz w:val="18"/>
                <w:szCs w:val="18"/>
                <w:color w:val="auto"/>
              </w:rPr>
              <w:t>444,683</w:t>
            </w:r>
          </w:p>
        </w:tc>
        <w:tc>
          <w:tcPr>
            <w:tcW w:w="2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3"/>
        </w:trPr>
        <w:tc>
          <w:tcPr>
            <w:tcW w:w="59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Peter Garcia</w:t>
            </w:r>
            <w:r>
              <w:rPr>
                <w:rFonts w:ascii="Arial" w:cs="Arial" w:eastAsia="Arial" w:hAnsi="Arial"/>
                <w:sz w:val="15"/>
                <w:szCs w:val="15"/>
                <w:color w:val="auto"/>
              </w:rPr>
              <w:t>(7)</w:t>
            </w:r>
          </w:p>
        </w:tc>
        <w:tc>
          <w:tcPr>
            <w:tcW w:w="2940" w:type="dxa"/>
            <w:vAlign w:val="bottom"/>
            <w:gridSpan w:val="2"/>
            <w:shd w:val="clear" w:color="auto" w:fill="CCEEFF"/>
          </w:tcPr>
          <w:p>
            <w:pPr>
              <w:jc w:val="right"/>
              <w:ind w:right="1300"/>
              <w:spacing w:after="0" w:line="202" w:lineRule="exact"/>
              <w:rPr>
                <w:sz w:val="20"/>
                <w:szCs w:val="20"/>
                <w:color w:val="auto"/>
              </w:rPr>
            </w:pPr>
            <w:r>
              <w:rPr>
                <w:rFonts w:ascii="Arial" w:cs="Arial" w:eastAsia="Arial" w:hAnsi="Arial"/>
                <w:sz w:val="18"/>
                <w:szCs w:val="18"/>
                <w:color w:val="auto"/>
              </w:rPr>
              <w:t>302,793</w:t>
            </w:r>
          </w:p>
        </w:tc>
        <w:tc>
          <w:tcPr>
            <w:tcW w:w="21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98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Non-Employee Directors:</w:t>
            </w:r>
          </w:p>
        </w:tc>
        <w:tc>
          <w:tcPr>
            <w:tcW w:w="16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Corey Goodman, Ph.D.</w:t>
            </w:r>
            <w:r>
              <w:rPr>
                <w:rFonts w:ascii="Arial" w:cs="Arial" w:eastAsia="Arial" w:hAnsi="Arial"/>
                <w:sz w:val="15"/>
                <w:szCs w:val="15"/>
                <w:color w:val="auto"/>
              </w:rPr>
              <w:t>(8)</w:t>
            </w:r>
          </w:p>
        </w:tc>
        <w:tc>
          <w:tcPr>
            <w:tcW w:w="2940" w:type="dxa"/>
            <w:vAlign w:val="bottom"/>
            <w:gridSpan w:val="2"/>
            <w:shd w:val="clear" w:color="auto" w:fill="CCEEFF"/>
          </w:tcPr>
          <w:p>
            <w:pPr>
              <w:jc w:val="right"/>
              <w:ind w:right="1300"/>
              <w:spacing w:after="0" w:line="202" w:lineRule="exact"/>
              <w:rPr>
                <w:sz w:val="20"/>
                <w:szCs w:val="20"/>
                <w:color w:val="auto"/>
              </w:rPr>
            </w:pPr>
            <w:r>
              <w:rPr>
                <w:rFonts w:ascii="Arial" w:cs="Arial" w:eastAsia="Arial" w:hAnsi="Arial"/>
                <w:sz w:val="18"/>
                <w:szCs w:val="18"/>
                <w:color w:val="auto"/>
              </w:rPr>
              <w:t>9,873,964</w:t>
            </w:r>
          </w:p>
        </w:tc>
        <w:tc>
          <w:tcPr>
            <w:tcW w:w="21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03"/>
        </w:trPr>
        <w:tc>
          <w:tcPr>
            <w:tcW w:w="5980" w:type="dxa"/>
            <w:vAlign w:val="bottom"/>
            <w:gridSpan w:val="2"/>
          </w:tcPr>
          <w:p>
            <w:pPr>
              <w:spacing w:after="0" w:line="202" w:lineRule="exact"/>
              <w:rPr>
                <w:sz w:val="20"/>
                <w:szCs w:val="20"/>
                <w:color w:val="auto"/>
              </w:rPr>
            </w:pPr>
            <w:r>
              <w:rPr>
                <w:rFonts w:ascii="Arial" w:cs="Arial" w:eastAsia="Arial" w:hAnsi="Arial"/>
                <w:sz w:val="18"/>
                <w:szCs w:val="18"/>
                <w:color w:val="auto"/>
              </w:rPr>
              <w:t>Rekha Hemrajani</w:t>
            </w:r>
            <w:r>
              <w:rPr>
                <w:rFonts w:ascii="Arial" w:cs="Arial" w:eastAsia="Arial" w:hAnsi="Arial"/>
                <w:sz w:val="15"/>
                <w:szCs w:val="15"/>
                <w:color w:val="auto"/>
              </w:rPr>
              <w:t>(9)</w:t>
            </w:r>
          </w:p>
        </w:tc>
        <w:tc>
          <w:tcPr>
            <w:tcW w:w="2940" w:type="dxa"/>
            <w:vAlign w:val="bottom"/>
            <w:gridSpan w:val="2"/>
          </w:tcPr>
          <w:p>
            <w:pPr>
              <w:jc w:val="right"/>
              <w:ind w:right="1300"/>
              <w:spacing w:after="0" w:line="202" w:lineRule="exact"/>
              <w:rPr>
                <w:sz w:val="20"/>
                <w:szCs w:val="20"/>
                <w:color w:val="auto"/>
              </w:rPr>
            </w:pPr>
            <w:r>
              <w:rPr>
                <w:rFonts w:ascii="Arial" w:cs="Arial" w:eastAsia="Arial" w:hAnsi="Arial"/>
                <w:sz w:val="18"/>
                <w:szCs w:val="18"/>
                <w:color w:val="auto"/>
              </w:rPr>
              <w:t>26,665</w:t>
            </w:r>
          </w:p>
        </w:tc>
        <w:tc>
          <w:tcPr>
            <w:tcW w:w="21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9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Jason Lettmann</w:t>
            </w:r>
            <w:r>
              <w:rPr>
                <w:rFonts w:ascii="Arial" w:cs="Arial" w:eastAsia="Arial" w:hAnsi="Arial"/>
                <w:sz w:val="15"/>
                <w:szCs w:val="15"/>
                <w:color w:val="auto"/>
              </w:rPr>
              <w:t>(10)</w:t>
            </w:r>
          </w:p>
        </w:tc>
        <w:tc>
          <w:tcPr>
            <w:tcW w:w="2940" w:type="dxa"/>
            <w:vAlign w:val="bottom"/>
            <w:gridSpan w:val="2"/>
            <w:shd w:val="clear" w:color="auto" w:fill="CCEEFF"/>
          </w:tcPr>
          <w:p>
            <w:pPr>
              <w:jc w:val="right"/>
              <w:ind w:right="1300"/>
              <w:spacing w:after="0" w:line="202" w:lineRule="exact"/>
              <w:rPr>
                <w:sz w:val="20"/>
                <w:szCs w:val="20"/>
                <w:color w:val="auto"/>
              </w:rPr>
            </w:pPr>
            <w:r>
              <w:rPr>
                <w:rFonts w:ascii="Arial" w:cs="Arial" w:eastAsia="Arial" w:hAnsi="Arial"/>
                <w:sz w:val="18"/>
                <w:szCs w:val="18"/>
                <w:color w:val="auto"/>
              </w:rPr>
              <w:t>4,834,879</w:t>
            </w:r>
          </w:p>
        </w:tc>
        <w:tc>
          <w:tcPr>
            <w:tcW w:w="21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3"/>
        </w:trPr>
        <w:tc>
          <w:tcPr>
            <w:tcW w:w="5980" w:type="dxa"/>
            <w:vAlign w:val="bottom"/>
            <w:gridSpan w:val="2"/>
          </w:tcPr>
          <w:p>
            <w:pPr>
              <w:spacing w:after="0" w:line="202" w:lineRule="exact"/>
              <w:rPr>
                <w:sz w:val="20"/>
                <w:szCs w:val="20"/>
                <w:color w:val="auto"/>
              </w:rPr>
            </w:pPr>
            <w:r>
              <w:rPr>
                <w:rFonts w:ascii="Arial" w:cs="Arial" w:eastAsia="Arial" w:hAnsi="Arial"/>
                <w:sz w:val="18"/>
                <w:szCs w:val="18"/>
                <w:color w:val="auto"/>
              </w:rPr>
              <w:t>Jack Nielsen</w:t>
            </w:r>
            <w:r>
              <w:rPr>
                <w:rFonts w:ascii="Arial" w:cs="Arial" w:eastAsia="Arial" w:hAnsi="Arial"/>
                <w:sz w:val="15"/>
                <w:szCs w:val="15"/>
                <w:color w:val="auto"/>
              </w:rPr>
              <w:t>(11)</w:t>
            </w:r>
          </w:p>
        </w:tc>
        <w:tc>
          <w:tcPr>
            <w:tcW w:w="2940" w:type="dxa"/>
            <w:vAlign w:val="bottom"/>
            <w:gridSpan w:val="2"/>
          </w:tcPr>
          <w:p>
            <w:pPr>
              <w:jc w:val="right"/>
              <w:ind w:right="1300"/>
              <w:spacing w:after="0" w:line="202" w:lineRule="exact"/>
              <w:rPr>
                <w:sz w:val="20"/>
                <w:szCs w:val="20"/>
                <w:color w:val="auto"/>
              </w:rPr>
            </w:pPr>
            <w:r>
              <w:rPr>
                <w:rFonts w:ascii="Arial" w:cs="Arial" w:eastAsia="Arial" w:hAnsi="Arial"/>
                <w:sz w:val="18"/>
                <w:szCs w:val="18"/>
                <w:color w:val="auto"/>
              </w:rPr>
              <w:t>4,041,191</w:t>
            </w:r>
          </w:p>
        </w:tc>
        <w:tc>
          <w:tcPr>
            <w:tcW w:w="2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3"/>
        </w:trPr>
        <w:tc>
          <w:tcPr>
            <w:tcW w:w="59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Graham Walmsley, M.D., Ph.D.</w:t>
            </w:r>
            <w:r>
              <w:rPr>
                <w:rFonts w:ascii="Arial" w:cs="Arial" w:eastAsia="Arial" w:hAnsi="Arial"/>
                <w:sz w:val="15"/>
                <w:szCs w:val="15"/>
                <w:color w:val="auto"/>
              </w:rPr>
              <w:t>(12)</w:t>
            </w:r>
          </w:p>
        </w:tc>
        <w:tc>
          <w:tcPr>
            <w:tcW w:w="2940" w:type="dxa"/>
            <w:vAlign w:val="bottom"/>
            <w:gridSpan w:val="2"/>
            <w:shd w:val="clear" w:color="auto" w:fill="CCEEFF"/>
          </w:tcPr>
          <w:p>
            <w:pPr>
              <w:jc w:val="right"/>
              <w:ind w:right="1300"/>
              <w:spacing w:after="0" w:line="202" w:lineRule="exact"/>
              <w:rPr>
                <w:sz w:val="20"/>
                <w:szCs w:val="20"/>
                <w:color w:val="auto"/>
              </w:rPr>
            </w:pPr>
            <w:r>
              <w:rPr>
                <w:rFonts w:ascii="Arial" w:cs="Arial" w:eastAsia="Arial" w:hAnsi="Arial"/>
                <w:sz w:val="18"/>
                <w:szCs w:val="18"/>
                <w:color w:val="auto"/>
              </w:rPr>
              <w:t>3,163,650</w:t>
            </w:r>
          </w:p>
        </w:tc>
        <w:tc>
          <w:tcPr>
            <w:tcW w:w="21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99"/>
        </w:trPr>
        <w:tc>
          <w:tcPr>
            <w:tcW w:w="5980" w:type="dxa"/>
            <w:vAlign w:val="bottom"/>
            <w:gridSpan w:val="2"/>
          </w:tcPr>
          <w:p>
            <w:pPr>
              <w:spacing w:after="0" w:line="199" w:lineRule="exact"/>
              <w:rPr>
                <w:sz w:val="20"/>
                <w:szCs w:val="20"/>
                <w:color w:val="auto"/>
              </w:rPr>
            </w:pPr>
            <w:r>
              <w:rPr>
                <w:rFonts w:ascii="Arial" w:cs="Arial" w:eastAsia="Arial" w:hAnsi="Arial"/>
                <w:sz w:val="18"/>
                <w:szCs w:val="18"/>
                <w:color w:val="auto"/>
              </w:rPr>
              <w:t>All executive officers and directors as a group (8 persons)</w:t>
            </w:r>
          </w:p>
        </w:tc>
        <w:tc>
          <w:tcPr>
            <w:tcW w:w="2940" w:type="dxa"/>
            <w:vAlign w:val="bottom"/>
            <w:gridSpan w:val="2"/>
            <w:vMerge w:val="restart"/>
          </w:tcPr>
          <w:p>
            <w:pPr>
              <w:jc w:val="right"/>
              <w:ind w:right="1300"/>
              <w:spacing w:after="0"/>
              <w:rPr>
                <w:sz w:val="20"/>
                <w:szCs w:val="20"/>
                <w:color w:val="auto"/>
              </w:rPr>
            </w:pPr>
            <w:r>
              <w:rPr>
                <w:rFonts w:ascii="Arial" w:cs="Arial" w:eastAsia="Arial" w:hAnsi="Arial"/>
                <w:sz w:val="18"/>
                <w:szCs w:val="18"/>
                <w:color w:val="auto"/>
              </w:rPr>
              <w:t>24,388,039</w:t>
            </w:r>
          </w:p>
        </w:tc>
        <w:tc>
          <w:tcPr>
            <w:tcW w:w="21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184"/>
        </w:trPr>
        <w:tc>
          <w:tcPr>
            <w:tcW w:w="2160" w:type="dxa"/>
            <w:vAlign w:val="bottom"/>
          </w:tcPr>
          <w:p>
            <w:pPr>
              <w:ind w:left="180"/>
              <w:spacing w:after="0"/>
              <w:rPr>
                <w:sz w:val="20"/>
                <w:szCs w:val="20"/>
                <w:color w:val="auto"/>
              </w:rPr>
            </w:pPr>
            <w:r>
              <w:rPr>
                <w:rFonts w:ascii="Arial" w:cs="Arial" w:eastAsia="Arial" w:hAnsi="Arial"/>
                <w:sz w:val="15"/>
                <w:szCs w:val="15"/>
                <w:color w:val="auto"/>
              </w:rPr>
              <w:t>(13)</w:t>
            </w:r>
          </w:p>
        </w:tc>
        <w:tc>
          <w:tcPr>
            <w:tcW w:w="3820" w:type="dxa"/>
            <w:vAlign w:val="bottom"/>
          </w:tcPr>
          <w:p>
            <w:pPr>
              <w:spacing w:after="0"/>
              <w:rPr>
                <w:sz w:val="16"/>
                <w:szCs w:val="16"/>
                <w:color w:val="auto"/>
              </w:rPr>
            </w:pPr>
          </w:p>
        </w:tc>
        <w:tc>
          <w:tcPr>
            <w:tcW w:w="2940" w:type="dxa"/>
            <w:vAlign w:val="bottom"/>
            <w:gridSpan w:val="2"/>
            <w:vMerge w:val="continue"/>
          </w:tcPr>
          <w:p>
            <w:pPr>
              <w:spacing w:after="0"/>
              <w:rPr>
                <w:sz w:val="16"/>
                <w:szCs w:val="16"/>
                <w:color w:val="auto"/>
              </w:rPr>
            </w:pPr>
          </w:p>
        </w:tc>
        <w:tc>
          <w:tcPr>
            <w:tcW w:w="21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73660</wp:posOffset>
            </wp:positionV>
            <wp:extent cx="77152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5" w:lineRule="exact"/>
        <w:rPr>
          <w:sz w:val="20"/>
          <w:szCs w:val="20"/>
          <w:color w:val="auto"/>
        </w:rPr>
      </w:pPr>
    </w:p>
    <w:p>
      <w:pPr>
        <w:ind w:left="540" w:hanging="424"/>
        <w:spacing w:after="0"/>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beneficial ownership of less than one percent (1%) of the outstanding shares of our common stock.</w:t>
      </w:r>
    </w:p>
    <w:p>
      <w:pPr>
        <w:jc w:val="both"/>
        <w:ind w:left="540" w:right="140" w:hanging="424"/>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a Schedule 13D reporting beneficial ownership as of, and filed with the SEC on, October 1, 2020, the shares consist of (i) 5,268,325 shares held of record by venBio Global Strategic Fund II, L.P. (GSF II LP); (ii) 3,969,789 shares held of record by venBio Global Strategic</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40"/>
          </w:cols>
          <w:pgMar w:left="32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40" w:right="180"/>
        <w:spacing w:after="0" w:line="248" w:lineRule="auto"/>
        <w:rPr>
          <w:sz w:val="20"/>
          <w:szCs w:val="20"/>
          <w:color w:val="auto"/>
        </w:rPr>
      </w:pPr>
      <w:r>
        <w:rPr>
          <w:rFonts w:ascii="Arial" w:cs="Arial" w:eastAsia="Arial" w:hAnsi="Arial"/>
          <w:sz w:val="17"/>
          <w:szCs w:val="17"/>
          <w:color w:val="auto"/>
        </w:rPr>
        <w:t>Fund, L.P. (GSF LP); and (iii) 461,811 shares held of record by venBio SPV, LLC. venBio Global Strategic GP II, L.P. (GS GP II LP) is the general partner of GSF II LP and venBio Global Strategic GP II, Ltd. (GS GP II Ltd) is the general partner of GS GP II LP. venBio Global Strategic GP, L.P. (GS GP LP) is the general partner of GSF LP and venBio Global Strategic GP, Ltd. (GS GP Ltd) is the general partner of GS GP LP. As the Directors of venBio Global GS GP II Ltd and GS GP Ltd and the Managing Directors of venBio SPV, LLC (SPV LLC), Robert Adelman and Corey Goodman, one of our directors, share voting and dispositive power with respect to the shares held of record by GSF II LP, GSF LP and SPV LLC. An additional 96,406 shares are held of record by</w:t>
      </w:r>
    </w:p>
    <w:p>
      <w:pPr>
        <w:spacing w:after="0" w:line="3" w:lineRule="exact"/>
        <w:rPr>
          <w:sz w:val="20"/>
          <w:szCs w:val="20"/>
          <w:color w:val="auto"/>
        </w:rPr>
      </w:pPr>
    </w:p>
    <w:p>
      <w:pPr>
        <w:ind w:left="540" w:right="300"/>
        <w:spacing w:after="0" w:line="234" w:lineRule="auto"/>
        <w:rPr>
          <w:sz w:val="20"/>
          <w:szCs w:val="20"/>
          <w:color w:val="auto"/>
        </w:rPr>
      </w:pPr>
      <w:r>
        <w:rPr>
          <w:rFonts w:ascii="Arial" w:cs="Arial" w:eastAsia="Arial" w:hAnsi="Arial"/>
          <w:sz w:val="18"/>
          <w:szCs w:val="18"/>
          <w:color w:val="auto"/>
        </w:rPr>
        <w:t>Dr. Adelman. The address for these entities is c/o venBio Partners, LLC, 1700 Owens Street, Suite 595, San Francisco, California 94158.</w:t>
      </w:r>
    </w:p>
    <w:p>
      <w:pPr>
        <w:spacing w:after="0" w:line="1" w:lineRule="exact"/>
        <w:rPr>
          <w:sz w:val="20"/>
          <w:szCs w:val="20"/>
          <w:color w:val="auto"/>
        </w:rPr>
      </w:pPr>
    </w:p>
    <w:p>
      <w:pPr>
        <w:ind w:left="540" w:right="40" w:hanging="424"/>
        <w:spacing w:after="0" w:line="234"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a Schedule 13D reporting beneficial ownership as of, and filed with the SEC on, July 31, 2020, the shares consist of (i) 2,268,087 shares held of record by Lightstone Ventures, LP (LV LP); (ii) 2,023,469 shares held of record by Lightstone Ventures II, LP (LV II LP); (iii) 309,222 shares held of record by Lightstone Ventures (A), LP (LV(A) LP); and (iv) 120,212 shares held of record by Lightstone Ventures II (A), LP (LV II(A) LP). LSV Associates, LLC (LSV Associates) is the General Partner of LV LP and LV(A) LP. As the individual general partners of LSV Associates, Michael A. Carusi, Jean M. George and Henry A. Plain Jr. share voting and dispositive power with respect to the shares held of record by LV LP and LV(A) LP. LSV Associates II, LLC (LSV Associates II) is the General Partner of LV II LP and LV II(A) LP. As the individual general partners of LSV Associates II, Michael A. Carusi, Jean M. George, Henry A. Plain Jr. and Jason W. Lettmann share voting and dispositive power with respect to the shares held of record by LV II LP and LV II(A) LP. The address for these entities is c/o LSV Capital Management, LLC, 2884 Sand Hill Road, Suite 121, Menlo Park, California 94025.</w:t>
      </w:r>
    </w:p>
    <w:p>
      <w:pPr>
        <w:spacing w:after="0" w:line="6" w:lineRule="exact"/>
        <w:rPr>
          <w:rFonts w:ascii="Arial" w:cs="Arial" w:eastAsia="Arial" w:hAnsi="Arial"/>
          <w:sz w:val="18"/>
          <w:szCs w:val="18"/>
          <w:color w:val="auto"/>
        </w:rPr>
      </w:pPr>
    </w:p>
    <w:p>
      <w:pPr>
        <w:ind w:left="540" w:right="80" w:hanging="424"/>
        <w:spacing w:after="0" w:line="234"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a Schedule 13G reporting beneficial ownership as of, and filed with the SEC on, July 29, 2020, the shares consist of (i) 4,034,522 shares held of record by Vivo Capital Fund IX, L.P. (VIVO IX LP) and (ii) 185,526 shares held of record by Vivo Opportunity Fund, L.P. (VOF). Vivo Capital IX, LLC (VIVO IX LLC) is the General Partner of VIVO IX LP. As the managing members of VIVO IX LLC, Frank Kung, Edgar Engleman, Shan Fu, Jack Nielsen and Michael Chang share voting and dispositive power with respect to the shares held of record by VIVO IX LP, but each disclaims beneficial ownership of such shares except to the extent of his individual pecuniary interest therein. Vivo Opportunity, LLC is the general partner of VOF. As the managing members of Vivo Opportunity, LLC, Gaurav Aggarwal, Shan Fu, Frank King and Michael Chang share voting and dispositive power with respect to the shares held of record by VOF but each disclaims beneficial ownership of such shares except to the extent of his individual pecuniary interest therein. The address for these entities is c/o Vivo Capital, 192 Lytton Avenue, Palo Alto, California 94301.</w:t>
      </w:r>
    </w:p>
    <w:p>
      <w:pPr>
        <w:spacing w:after="0" w:line="6" w:lineRule="exact"/>
        <w:rPr>
          <w:rFonts w:ascii="Arial" w:cs="Arial" w:eastAsia="Arial" w:hAnsi="Arial"/>
          <w:sz w:val="18"/>
          <w:szCs w:val="18"/>
          <w:color w:val="auto"/>
        </w:rPr>
      </w:pPr>
    </w:p>
    <w:p>
      <w:pPr>
        <w:ind w:left="540" w:right="40" w:hanging="424"/>
        <w:spacing w:after="0" w:line="234"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shares consist of (i) 2,161,981 shares held of record by Logos Opportunities Fund I, L.P. (LOS I LP) and (ii) 975,000 shares held of record by Logos Global Master Fund, L.P. (LGMF LP). Logos Opportunities GP, LLC (Logos Opportunities GP) is the general partner of LOS I LP, and Logos GP LLC (Logos GP) is the general partner of LGMF LP. Arsani William and Graham Walmsley are the managing members of Logos Opportunities GP and Logos GP and share voting and dispositive power with respect to the shares held of record by LOS I LP and LGMF LP. The address for these entities is c/o Logos Global Management, LP, 1 Letterman Drive, Building D, Suite D3-700, San Francisco, California 94129.</w:t>
      </w:r>
    </w:p>
    <w:p>
      <w:pPr>
        <w:spacing w:after="0" w:line="4" w:lineRule="exact"/>
        <w:rPr>
          <w:rFonts w:ascii="Arial" w:cs="Arial" w:eastAsia="Arial" w:hAnsi="Arial"/>
          <w:sz w:val="18"/>
          <w:szCs w:val="18"/>
          <w:color w:val="auto"/>
        </w:rPr>
      </w:pPr>
    </w:p>
    <w:p>
      <w:pPr>
        <w:ind w:left="540" w:right="220" w:hanging="424"/>
        <w:spacing w:after="0" w:line="234"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Consists of (i) 561,346 shares held of record by Dr. Pons and (ii) 1,138,868 shares issuable upon option exercise within 60 days of March 31, 2021, of which 497,511 are fully vested as of March 31, 2021.</w:t>
      </w:r>
    </w:p>
    <w:p>
      <w:pPr>
        <w:spacing w:after="0" w:line="1" w:lineRule="exact"/>
        <w:rPr>
          <w:rFonts w:ascii="Arial" w:cs="Arial" w:eastAsia="Arial" w:hAnsi="Arial"/>
          <w:sz w:val="18"/>
          <w:szCs w:val="18"/>
          <w:color w:val="auto"/>
        </w:rPr>
      </w:pPr>
    </w:p>
    <w:p>
      <w:pPr>
        <w:ind w:left="540" w:hanging="424"/>
        <w:spacing w:after="0" w:line="234"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Consists of (i) 201,137 shares held of record by Dr. Randolph and (ii) 243,546 shares issuable upon option exercise within 60 days of March 31, 2021, of which 69,849 are fully vested as of March 31, 2021.</w:t>
      </w:r>
    </w:p>
    <w:p>
      <w:pPr>
        <w:spacing w:after="0" w:line="1" w:lineRule="exact"/>
        <w:rPr>
          <w:rFonts w:ascii="Arial" w:cs="Arial" w:eastAsia="Arial" w:hAnsi="Arial"/>
          <w:sz w:val="18"/>
          <w:szCs w:val="18"/>
          <w:color w:val="auto"/>
        </w:rPr>
      </w:pPr>
    </w:p>
    <w:p>
      <w:pPr>
        <w:ind w:left="540" w:right="440" w:hanging="424"/>
        <w:spacing w:after="0" w:line="246"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Consists of (i) 9,128 shares held of record by Mr. Garcia and (ii) 293,665 shares issuable upon option exercise within 60 days of March 31, 2021, of which 77,977 are fully vested as of March 31, 2021.</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40"/>
          </w:cols>
          <w:pgMar w:left="32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40" w:hanging="424"/>
        <w:spacing w:after="0" w:line="234"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Consists of (i) the shares disclosed in footnote (1) above which are held of record by entities affiliated with venBio Partners; (ii) 113,287 shares held of record by the Goodman Barinaga Trust for which Dr. Goodman serves as trustee; (iii) 54,083 shares held of record by the Emaldi Corporation for which Dr. Goodman serves as a director and (iv) 6,669 shares issuable upon option exercise within 60 days of March 31, 2021, of which 6,669 are fully vested.</w:t>
      </w:r>
    </w:p>
    <w:p>
      <w:pPr>
        <w:spacing w:after="0" w:line="2" w:lineRule="exact"/>
        <w:rPr>
          <w:rFonts w:ascii="Arial" w:cs="Arial" w:eastAsia="Arial" w:hAnsi="Arial"/>
          <w:sz w:val="18"/>
          <w:szCs w:val="18"/>
          <w:color w:val="auto"/>
        </w:rPr>
      </w:pPr>
    </w:p>
    <w:p>
      <w:pPr>
        <w:ind w:left="540" w:right="20" w:hanging="424"/>
        <w:spacing w:after="0" w:line="234"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Consists of (i) 3,000 shares held of record by Rekha Hemrajani and (ii) 23,665 shares issuable upon option exercise within 60 days of March 31, 2021, of which 23,665 are fully vested.</w:t>
      </w:r>
    </w:p>
    <w:p>
      <w:pPr>
        <w:spacing w:after="0" w:line="1" w:lineRule="exact"/>
        <w:rPr>
          <w:rFonts w:ascii="Arial" w:cs="Arial" w:eastAsia="Arial" w:hAnsi="Arial"/>
          <w:sz w:val="18"/>
          <w:szCs w:val="18"/>
          <w:color w:val="auto"/>
        </w:rPr>
      </w:pPr>
    </w:p>
    <w:p>
      <w:pPr>
        <w:ind w:left="540" w:right="80" w:hanging="424"/>
        <w:spacing w:after="0" w:line="234"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Consists of (i) the shares disclosed in footnote (2) above which are held of record by entities affiliated with Lightstone Ventures; (ii) 107,220 shares held of record by Mr. Lettmann and (iii) 6,669 shares issuable upon option exercise within 60 days of March 31, 2021, of which 6,669 are fully vested.</w:t>
      </w:r>
    </w:p>
    <w:p>
      <w:pPr>
        <w:spacing w:after="0" w:line="2" w:lineRule="exact"/>
        <w:rPr>
          <w:rFonts w:ascii="Arial" w:cs="Arial" w:eastAsia="Arial" w:hAnsi="Arial"/>
          <w:sz w:val="18"/>
          <w:szCs w:val="18"/>
          <w:color w:val="auto"/>
        </w:rPr>
      </w:pPr>
    </w:p>
    <w:p>
      <w:pPr>
        <w:ind w:left="540" w:right="80" w:hanging="424"/>
        <w:spacing w:after="0" w:line="234"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Consists of (i) the shares disclosed in footnote (3) above that are held of record by VIVO IX LP and (ii) 6,669 shares issuable upon option exercise within 60 days of March 31, 2021, of which 6,669 are fully vested.</w:t>
      </w:r>
    </w:p>
    <w:p>
      <w:pPr>
        <w:spacing w:after="0" w:line="1" w:lineRule="exact"/>
        <w:rPr>
          <w:rFonts w:ascii="Arial" w:cs="Arial" w:eastAsia="Arial" w:hAnsi="Arial"/>
          <w:sz w:val="18"/>
          <w:szCs w:val="18"/>
          <w:color w:val="auto"/>
        </w:rPr>
      </w:pPr>
    </w:p>
    <w:p>
      <w:pPr>
        <w:ind w:left="540" w:right="260" w:hanging="424"/>
        <w:spacing w:after="0" w:line="234"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Consists of (i) the shares disclosed in footnote (4) above that are held of record by LOS I LP and LGMF LP and (ii) 6,669 shares issuable upon option exercise within 60 days of March 31, 2021, of which 6,669 are fully vested.</w:t>
      </w:r>
    </w:p>
    <w:p>
      <w:pPr>
        <w:spacing w:after="0" w:line="1" w:lineRule="exact"/>
        <w:rPr>
          <w:rFonts w:ascii="Arial" w:cs="Arial" w:eastAsia="Arial" w:hAnsi="Arial"/>
          <w:sz w:val="18"/>
          <w:szCs w:val="18"/>
          <w:color w:val="auto"/>
        </w:rPr>
      </w:pPr>
    </w:p>
    <w:p>
      <w:pPr>
        <w:ind w:left="540" w:hanging="424"/>
        <w:spacing w:after="0" w:line="246"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Consists of (i) 22,661,619 shares beneficially owned by our executive officers and directors and (ii) 1,726,420 shares issuable upon option exercise within 60 days of March 31, 2021, of which 695,678 are fully vested.</w:t>
      </w:r>
    </w:p>
    <w:p>
      <w:pPr>
        <w:spacing w:after="0" w:line="12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80"/>
          </w:cols>
          <w:pgMar w:left="320" w:top="459" w:right="5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CERTAIN RELATIONSHIPS, RELATED PARTY AND OTHER TRANSACTIONS</w:t>
      </w:r>
    </w:p>
    <w:p>
      <w:pPr>
        <w:spacing w:after="0" w:line="234" w:lineRule="exact"/>
        <w:rPr>
          <w:sz w:val="20"/>
          <w:szCs w:val="20"/>
          <w:color w:val="auto"/>
        </w:rPr>
      </w:pPr>
    </w:p>
    <w:p>
      <w:pPr>
        <w:ind w:left="120" w:right="220"/>
        <w:spacing w:after="0"/>
        <w:rPr>
          <w:sz w:val="20"/>
          <w:szCs w:val="20"/>
          <w:color w:val="auto"/>
        </w:rPr>
      </w:pPr>
      <w:r>
        <w:rPr>
          <w:rFonts w:ascii="Arial" w:cs="Arial" w:eastAsia="Arial" w:hAnsi="Arial"/>
          <w:sz w:val="18"/>
          <w:szCs w:val="18"/>
          <w:color w:val="auto"/>
        </w:rPr>
        <w:t>The following is a description of certain relationships and transactions since the beginning of our last fiscal year involving our directors, executive officers or beneficial holders of more than 5% of our capital stock. Compensation arrangements with our directors and officers are described in “Management—Director Compensation,” “Executive Compensation” and “Management.”</w:t>
      </w:r>
    </w:p>
    <w:p>
      <w:pPr>
        <w:spacing w:after="0" w:line="203"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Prior to April 1, 2020, all of our beneficial holders were shareholders of our predecessor, ALX Oncology Limited. On April 1, 2020, we were incorporated in Delaware and completed a reorganization whereby ALX Oncology Limited became our wholly-owned subsidiary and all of the shareholders, warrantholders and optionholders of ALX Oncology Limited became our stockholders, warrantholders and optionholders, holding the same number of corresponding shares, warrants and/or options in us as they did in ALX Oncology Limited immediately prior to the reorganization.</w:t>
      </w:r>
    </w:p>
    <w:p>
      <w:pPr>
        <w:spacing w:after="0" w:line="202" w:lineRule="exact"/>
        <w:rPr>
          <w:sz w:val="20"/>
          <w:szCs w:val="20"/>
          <w:color w:val="auto"/>
        </w:rPr>
      </w:pPr>
    </w:p>
    <w:p>
      <w:pPr>
        <w:ind w:left="120" w:right="140"/>
        <w:spacing w:after="0"/>
        <w:rPr>
          <w:sz w:val="20"/>
          <w:szCs w:val="20"/>
          <w:color w:val="auto"/>
        </w:rPr>
      </w:pPr>
      <w:r>
        <w:rPr>
          <w:rFonts w:ascii="Arial" w:cs="Arial" w:eastAsia="Arial" w:hAnsi="Arial"/>
          <w:sz w:val="18"/>
          <w:szCs w:val="18"/>
          <w:color w:val="auto"/>
        </w:rPr>
        <w:t>The related-party transaction disclosures included below reflect transactions between ALX Oncology Limited and related parties from January 1, 2020 to March 30, 2020, the period prior to our incorporation and the effectiveness of the reorganization. For all other times, it includes transactions between us and related parties.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Reorganization Transaction</w:t>
      </w:r>
    </w:p>
    <w:p>
      <w:pPr>
        <w:spacing w:after="0" w:line="126"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As described above, on April 1, 2020, we consummated a reorganization whereby we issued and sold to the existing shareholders of ALX Oncology Limited an aggregate of 3,166,946 shares of our common stock at purchase prices per share ranging from $0.007 to $1.91, an aggregate of 9,297,081 shares of our Series A convertible preferred stock at a purchase price per share of $6.58, an aggregate of 1,016,727 shares of our Series B convertible preferred stock at a purchase price per share of $9.4972 and an aggregate of 11,055,966 shares of our Series C convertible preferred stock at a purchase price per share of $9.4972, in exchange for promissory notes with an aggregate principal amount of $176.3 million. We also acquired 525,000,000 ordinary shares of ALX Oncology Limited in exchange for the promissory notes that were acquired in connection with such issuance and sale of our capital stock.</w:t>
      </w:r>
    </w:p>
    <w:p>
      <w:pPr>
        <w:spacing w:after="0" w:line="203"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Purchasers of our shares of common stock, Series A convertible preferred stock, Series B convertible preferred stock and Series C convertible preferred stock include certain of our directors and executive officers and venture capital funds that beneficially own more than 5% of our outstanding capital stock and/or are represented on our board of directors. The following table presents the number of shares purchased and the total purchase price paid by these persons.</w:t>
      </w:r>
    </w:p>
    <w:p>
      <w:pPr>
        <w:sectPr>
          <w:pgSz w:w="11900" w:h="16838" w:orient="portrait"/>
          <w:cols w:equalWidth="0" w:num="1">
            <w:col w:w="11120"/>
          </w:cols>
          <w:pgMar w:left="320" w:top="459" w:right="459" w:bottom="1440" w:gutter="0" w:footer="0" w:header="0"/>
        </w:sectPr>
      </w:pPr>
    </w:p>
    <w:p>
      <w:pPr>
        <w:spacing w:after="0" w:line="368" w:lineRule="exact"/>
        <w:rPr>
          <w:sz w:val="20"/>
          <w:szCs w:val="20"/>
          <w:color w:val="auto"/>
        </w:rPr>
      </w:pPr>
    </w:p>
    <w:p>
      <w:pPr>
        <w:ind w:left="120"/>
        <w:spacing w:after="0"/>
        <w:rPr>
          <w:sz w:val="20"/>
          <w:szCs w:val="20"/>
          <w:color w:val="auto"/>
        </w:rPr>
      </w:pPr>
      <w:r>
        <w:rPr>
          <w:rFonts w:ascii="Arial" w:cs="Arial" w:eastAsia="Arial" w:hAnsi="Arial"/>
          <w:sz w:val="14"/>
          <w:szCs w:val="14"/>
          <w:b w:val="1"/>
          <w:bCs w:val="1"/>
          <w:u w:val="single" w:color="auto"/>
          <w:color w:val="auto"/>
        </w:rPr>
        <w:t>INVESTOR</w:t>
      </w:r>
    </w:p>
    <w:p>
      <w:pPr>
        <w:spacing w:after="0" w:line="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Sophia Randolph, M.D., Ph.D.</w:t>
      </w: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-128905</wp:posOffset>
            </wp:positionV>
            <wp:extent cx="699516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235" w:lineRule="exact"/>
        <w:rPr>
          <w:sz w:val="20"/>
          <w:szCs w:val="20"/>
          <w:color w:val="auto"/>
        </w:rPr>
      </w:pPr>
    </w:p>
    <w:p>
      <w:pPr>
        <w:ind w:left="540" w:hanging="424"/>
        <w:spacing w:after="0"/>
        <w:tabs>
          <w:tab w:leader="none" w:pos="5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Dr. Randolph currently serves as our Chief Medical Officer and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20"/>
        <w:spacing w:after="0"/>
        <w:rPr>
          <w:sz w:val="20"/>
          <w:szCs w:val="20"/>
          <w:color w:val="auto"/>
        </w:rPr>
      </w:pPr>
      <w:r>
        <w:rPr>
          <w:rFonts w:ascii="Arial" w:cs="Arial" w:eastAsia="Arial" w:hAnsi="Arial"/>
          <w:sz w:val="14"/>
          <w:szCs w:val="14"/>
          <w:b w:val="1"/>
          <w:bCs w:val="1"/>
          <w:u w:val="single" w:color="auto"/>
          <w:color w:val="auto"/>
        </w:rPr>
        <w:t>INVESTOR</w:t>
      </w:r>
    </w:p>
    <w:p>
      <w:pPr>
        <w:spacing w:after="0" w:line="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Entities affiliated with venBio Global Strategic Fund, LP</w:t>
      </w: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-128905</wp:posOffset>
            </wp:positionV>
            <wp:extent cx="699516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Entities affiliated with Lightstone Ventures, LP</w:t>
      </w:r>
      <w:r>
        <w:rPr>
          <w:rFonts w:ascii="Arial" w:cs="Arial" w:eastAsia="Arial" w:hAnsi="Arial"/>
          <w:sz w:val="15"/>
          <w:szCs w:val="15"/>
          <w:color w:val="auto"/>
        </w:rPr>
        <w:t>(2)</w:t>
      </w:r>
    </w:p>
    <w:p>
      <w:pPr>
        <w:ind w:left="120"/>
        <w:spacing w:after="0" w:line="234" w:lineRule="auto"/>
        <w:rPr>
          <w:sz w:val="20"/>
          <w:szCs w:val="20"/>
          <w:color w:val="auto"/>
        </w:rPr>
      </w:pPr>
      <w:r>
        <w:rPr>
          <w:rFonts w:ascii="Arial" w:cs="Arial" w:eastAsia="Arial" w:hAnsi="Arial"/>
          <w:sz w:val="18"/>
          <w:szCs w:val="18"/>
          <w:color w:val="auto"/>
        </w:rPr>
        <w:t>Goodman Barinaga Trust</w:t>
      </w: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1289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Jason Lettmann</w:t>
      </w:r>
      <w:r>
        <w:rPr>
          <w:rFonts w:ascii="Arial" w:cs="Arial" w:eastAsia="Arial" w:hAnsi="Arial"/>
          <w:sz w:val="15"/>
          <w:szCs w:val="15"/>
          <w:color w:val="auto"/>
        </w:rPr>
        <w:t>(4)</w:t>
      </w:r>
    </w:p>
    <w:p>
      <w:pPr>
        <w:spacing w:after="0" w:line="14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080" w:type="dxa"/>
            <w:vAlign w:val="bottom"/>
            <w:gridSpan w:val="4"/>
          </w:tcPr>
          <w:p>
            <w:pPr>
              <w:jc w:val="right"/>
              <w:ind w:right="1040"/>
              <w:spacing w:after="0"/>
              <w:rPr>
                <w:sz w:val="20"/>
                <w:szCs w:val="20"/>
                <w:color w:val="auto"/>
              </w:rPr>
            </w:pPr>
            <w:r>
              <w:rPr>
                <w:rFonts w:ascii="Arial" w:cs="Arial" w:eastAsia="Arial" w:hAnsi="Arial"/>
                <w:sz w:val="14"/>
                <w:szCs w:val="14"/>
                <w:b w:val="1"/>
                <w:bCs w:val="1"/>
                <w:color w:val="auto"/>
              </w:rPr>
              <w:t>SHARES OF</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TOTAL PURCHASE</w:t>
            </w:r>
          </w:p>
        </w:tc>
      </w:tr>
      <w:tr>
        <w:trPr>
          <w:trHeight w:val="175"/>
        </w:trPr>
        <w:tc>
          <w:tcPr>
            <w:tcW w:w="208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5"/>
                <w:szCs w:val="15"/>
                <w:color w:val="auto"/>
              </w:rPr>
            </w:pPr>
          </w:p>
        </w:tc>
        <w:tc>
          <w:tcPr>
            <w:tcW w:w="1080" w:type="dxa"/>
            <w:vAlign w:val="bottom"/>
            <w:gridSpan w:val="2"/>
          </w:tcPr>
          <w:p>
            <w:pPr>
              <w:ind w:left="180"/>
              <w:spacing w:after="0"/>
              <w:rPr>
                <w:sz w:val="20"/>
                <w:szCs w:val="20"/>
                <w:color w:val="auto"/>
              </w:rPr>
            </w:pPr>
            <w:r>
              <w:rPr>
                <w:rFonts w:ascii="Arial" w:cs="Arial" w:eastAsia="Arial" w:hAnsi="Arial"/>
                <w:sz w:val="14"/>
                <w:szCs w:val="14"/>
                <w:b w:val="1"/>
                <w:bCs w:val="1"/>
                <w:color w:val="auto"/>
              </w:rPr>
              <w:t>PRICE</w:t>
            </w:r>
          </w:p>
        </w:tc>
      </w:tr>
      <w:tr>
        <w:trPr>
          <w:trHeight w:val="210"/>
        </w:trPr>
        <w:tc>
          <w:tcPr>
            <w:tcW w:w="12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132,966</w:t>
            </w: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131,250</w:t>
            </w:r>
          </w:p>
        </w:tc>
        <w:tc>
          <w:tcPr>
            <w:tcW w:w="20" w:type="dxa"/>
            <w:vAlign w:val="bottom"/>
          </w:tcPr>
          <w:p>
            <w:pPr>
              <w:spacing w:after="0"/>
              <w:rPr>
                <w:sz w:val="18"/>
                <w:szCs w:val="18"/>
                <w:color w:val="auto"/>
              </w:rPr>
            </w:pPr>
          </w:p>
        </w:tc>
      </w:tr>
      <w:tr>
        <w:trPr>
          <w:trHeight w:val="823"/>
        </w:trPr>
        <w:tc>
          <w:tcPr>
            <w:tcW w:w="440" w:type="dxa"/>
            <w:vAlign w:val="bottom"/>
          </w:tcPr>
          <w:p>
            <w:pPr>
              <w:spacing w:after="0"/>
              <w:rPr>
                <w:sz w:val="24"/>
                <w:szCs w:val="24"/>
                <w:color w:val="auto"/>
              </w:rPr>
            </w:pPr>
          </w:p>
        </w:tc>
        <w:tc>
          <w:tcPr>
            <w:tcW w:w="164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rPr>
              <w:t>SHARES OF</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2"/>
        </w:trPr>
        <w:tc>
          <w:tcPr>
            <w:tcW w:w="440" w:type="dxa"/>
            <w:vAlign w:val="bottom"/>
          </w:tcPr>
          <w:p>
            <w:pPr>
              <w:spacing w:after="0"/>
              <w:rPr>
                <w:sz w:val="14"/>
                <w:szCs w:val="14"/>
                <w:color w:val="auto"/>
              </w:rPr>
            </w:pPr>
          </w:p>
        </w:tc>
        <w:tc>
          <w:tcPr>
            <w:tcW w:w="164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rPr>
              <w:t>SERIES A</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40" w:type="dxa"/>
            <w:vAlign w:val="bottom"/>
          </w:tcPr>
          <w:p>
            <w:pPr>
              <w:spacing w:after="0"/>
              <w:rPr>
                <w:sz w:val="14"/>
                <w:szCs w:val="14"/>
                <w:color w:val="auto"/>
              </w:rPr>
            </w:pPr>
          </w:p>
        </w:tc>
        <w:tc>
          <w:tcPr>
            <w:tcW w:w="164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rPr>
              <w:t>CONVERTIBLE</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40" w:type="dxa"/>
            <w:vAlign w:val="bottom"/>
          </w:tcPr>
          <w:p>
            <w:pPr>
              <w:spacing w:after="0"/>
              <w:rPr>
                <w:sz w:val="14"/>
                <w:szCs w:val="14"/>
                <w:color w:val="auto"/>
              </w:rPr>
            </w:pPr>
          </w:p>
        </w:tc>
        <w:tc>
          <w:tcPr>
            <w:tcW w:w="164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rPr>
              <w:t>PREFERRED</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TOTAL PURCHASE</w:t>
            </w:r>
          </w:p>
        </w:tc>
      </w:tr>
      <w:tr>
        <w:trPr>
          <w:trHeight w:val="175"/>
        </w:trPr>
        <w:tc>
          <w:tcPr>
            <w:tcW w:w="440" w:type="dxa"/>
            <w:vAlign w:val="bottom"/>
          </w:tcPr>
          <w:p>
            <w:pPr>
              <w:spacing w:after="0"/>
              <w:rPr>
                <w:sz w:val="15"/>
                <w:szCs w:val="15"/>
                <w:color w:val="auto"/>
              </w:rPr>
            </w:pPr>
          </w:p>
        </w:tc>
        <w:tc>
          <w:tcPr>
            <w:tcW w:w="164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rPr>
              <w:t>STOCK</w:t>
            </w:r>
          </w:p>
        </w:tc>
        <w:tc>
          <w:tcPr>
            <w:tcW w:w="260" w:type="dxa"/>
            <w:vAlign w:val="bottom"/>
          </w:tcPr>
          <w:p>
            <w:pPr>
              <w:spacing w:after="0"/>
              <w:rPr>
                <w:sz w:val="15"/>
                <w:szCs w:val="15"/>
                <w:color w:val="auto"/>
              </w:rPr>
            </w:pPr>
          </w:p>
        </w:tc>
        <w:tc>
          <w:tcPr>
            <w:tcW w:w="1080" w:type="dxa"/>
            <w:vAlign w:val="bottom"/>
            <w:gridSpan w:val="2"/>
          </w:tcPr>
          <w:p>
            <w:pPr>
              <w:ind w:left="180"/>
              <w:spacing w:after="0"/>
              <w:rPr>
                <w:sz w:val="20"/>
                <w:szCs w:val="20"/>
                <w:color w:val="auto"/>
              </w:rPr>
            </w:pPr>
            <w:r>
              <w:rPr>
                <w:rFonts w:ascii="Arial" w:cs="Arial" w:eastAsia="Arial" w:hAnsi="Arial"/>
                <w:sz w:val="14"/>
                <w:szCs w:val="14"/>
                <w:b w:val="1"/>
                <w:bCs w:val="1"/>
                <w:color w:val="auto"/>
              </w:rPr>
              <w:t>PRICE</w:t>
            </w:r>
          </w:p>
        </w:tc>
      </w:tr>
      <w:tr>
        <w:trPr>
          <w:trHeight w:val="195"/>
        </w:trPr>
        <w:tc>
          <w:tcPr>
            <w:tcW w:w="440" w:type="dxa"/>
            <w:vAlign w:val="bottom"/>
          </w:tcPr>
          <w:p>
            <w:pPr>
              <w:spacing w:after="0"/>
              <w:rPr>
                <w:sz w:val="16"/>
                <w:szCs w:val="16"/>
                <w:color w:val="auto"/>
              </w:rPr>
            </w:pPr>
          </w:p>
        </w:tc>
        <w:tc>
          <w:tcPr>
            <w:tcW w:w="104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rPr>
              <w:t>5,498,608</w:t>
            </w:r>
          </w:p>
        </w:tc>
        <w:tc>
          <w:tcPr>
            <w:tcW w:w="600" w:type="dxa"/>
            <w:vAlign w:val="bottom"/>
          </w:tcPr>
          <w:p>
            <w:pPr>
              <w:spacing w:after="0"/>
              <w:rPr>
                <w:sz w:val="16"/>
                <w:szCs w:val="16"/>
                <w:color w:val="auto"/>
              </w:rPr>
            </w:pPr>
          </w:p>
        </w:tc>
        <w:tc>
          <w:tcPr>
            <w:tcW w:w="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36,184,150</w:t>
            </w:r>
          </w:p>
        </w:tc>
        <w:tc>
          <w:tcPr>
            <w:tcW w:w="20" w:type="dxa"/>
            <w:vAlign w:val="bottom"/>
          </w:tcPr>
          <w:p>
            <w:pPr>
              <w:spacing w:after="0"/>
              <w:rPr>
                <w:sz w:val="16"/>
                <w:szCs w:val="16"/>
                <w:color w:val="auto"/>
              </w:rPr>
            </w:pPr>
          </w:p>
        </w:tc>
      </w:tr>
      <w:tr>
        <w:trPr>
          <w:trHeight w:val="203"/>
        </w:trPr>
        <w:tc>
          <w:tcPr>
            <w:tcW w:w="2080" w:type="dxa"/>
            <w:vAlign w:val="bottom"/>
            <w:gridSpan w:val="4"/>
          </w:tcPr>
          <w:p>
            <w:pPr>
              <w:jc w:val="right"/>
              <w:ind w:right="600"/>
              <w:spacing w:after="0" w:line="202" w:lineRule="exact"/>
              <w:rPr>
                <w:sz w:val="20"/>
                <w:szCs w:val="20"/>
                <w:color w:val="auto"/>
              </w:rPr>
            </w:pPr>
            <w:r>
              <w:rPr>
                <w:rFonts w:ascii="Arial" w:cs="Arial" w:eastAsia="Arial" w:hAnsi="Arial"/>
                <w:sz w:val="18"/>
                <w:szCs w:val="18"/>
                <w:color w:val="auto"/>
              </w:rPr>
              <w:t>2,579,776</w:t>
            </w:r>
          </w:p>
        </w:tc>
        <w:tc>
          <w:tcPr>
            <w:tcW w:w="2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16,976,504</w:t>
            </w:r>
          </w:p>
        </w:tc>
      </w:tr>
      <w:tr>
        <w:trPr>
          <w:trHeight w:val="203"/>
        </w:trPr>
        <w:tc>
          <w:tcPr>
            <w:tcW w:w="2080" w:type="dxa"/>
            <w:vAlign w:val="bottom"/>
            <w:gridSpan w:val="4"/>
          </w:tcPr>
          <w:p>
            <w:pPr>
              <w:jc w:val="right"/>
              <w:ind w:right="600"/>
              <w:spacing w:after="0" w:line="202" w:lineRule="exact"/>
              <w:rPr>
                <w:sz w:val="20"/>
                <w:szCs w:val="20"/>
                <w:color w:val="auto"/>
              </w:rPr>
            </w:pPr>
            <w:r>
              <w:rPr>
                <w:rFonts w:ascii="Arial" w:cs="Arial" w:eastAsia="Arial" w:hAnsi="Arial"/>
                <w:sz w:val="18"/>
                <w:szCs w:val="18"/>
                <w:color w:val="auto"/>
              </w:rPr>
              <w:t>78,175</w:t>
            </w:r>
          </w:p>
        </w:tc>
        <w:tc>
          <w:tcPr>
            <w:tcW w:w="2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514,446</w:t>
            </w:r>
          </w:p>
        </w:tc>
      </w:tr>
      <w:tr>
        <w:trPr>
          <w:trHeight w:val="217"/>
        </w:trPr>
        <w:tc>
          <w:tcPr>
            <w:tcW w:w="2080" w:type="dxa"/>
            <w:vAlign w:val="bottom"/>
            <w:gridSpan w:val="4"/>
          </w:tcPr>
          <w:p>
            <w:pPr>
              <w:jc w:val="right"/>
              <w:ind w:right="600"/>
              <w:spacing w:after="0"/>
              <w:rPr>
                <w:sz w:val="20"/>
                <w:szCs w:val="20"/>
                <w:color w:val="auto"/>
              </w:rPr>
            </w:pPr>
            <w:r>
              <w:rPr>
                <w:rFonts w:ascii="Arial" w:cs="Arial" w:eastAsia="Arial" w:hAnsi="Arial"/>
                <w:sz w:val="18"/>
                <w:szCs w:val="18"/>
                <w:color w:val="auto"/>
              </w:rPr>
              <w:t>78,175</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514,446</w:t>
            </w:r>
          </w:p>
        </w:tc>
      </w:tr>
    </w:tbl>
    <w:p>
      <w:pPr>
        <w:sectPr>
          <w:pgSz w:w="11900" w:h="16838" w:orient="portrait"/>
          <w:cols w:equalWidth="0" w:num="2">
            <w:col w:w="6960" w:space="720"/>
            <w:col w:w="3440"/>
          </w:cols>
          <w:pgMar w:left="320" w:top="459" w:right="459" w:bottom="1440" w:gutter="0" w:footer="0" w:header="0"/>
          <w:type w:val="continuous"/>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40" w:right="340" w:hanging="424"/>
        <w:spacing w:after="0" w:line="234" w:lineRule="auto"/>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Entities affiliated with venBio Global Strategic Fund, LP whose shares are aggregated for the purposes of reporting ownership information include venBio Global Strategic Fund LP and venBio Global Strategic Fund II L.P. Dr. Corey Goodman, our Executive Chairman, is a Managing Partner of venBio Partners. Dr. Jaume Pons, our Chief Executive Officer and a member of our board of directors, is a venture partner of venBio Partners.</w:t>
      </w:r>
    </w:p>
    <w:p>
      <w:pPr>
        <w:spacing w:after="0" w:line="2" w:lineRule="exact"/>
        <w:rPr>
          <w:rFonts w:ascii="Arial" w:cs="Arial" w:eastAsia="Arial" w:hAnsi="Arial"/>
          <w:sz w:val="18"/>
          <w:szCs w:val="18"/>
          <w:color w:val="auto"/>
        </w:rPr>
      </w:pPr>
    </w:p>
    <w:p>
      <w:pPr>
        <w:ind w:left="540" w:right="340" w:hanging="424"/>
        <w:spacing w:after="0" w:line="234" w:lineRule="auto"/>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Entities affiliated with Lightstone Ventures, LP whose shares are aggregated for the purposes of reporting ownership information include Lightstone Ventures, LP, Lightstone Ventures (A), LP, Lightstone Ventures II, LP and Lightstone Ventures II (A), LP. Jason Lettmann, a member of our board of directors, is a General Partner of Lightstone Ventures. Dr. Jaume Pons, our Chief Executive Officer and a member of our board of directors, is a scientific advisor of Lightstone Ventures.</w:t>
      </w:r>
    </w:p>
    <w:p>
      <w:pPr>
        <w:spacing w:after="0" w:line="2" w:lineRule="exact"/>
        <w:rPr>
          <w:rFonts w:ascii="Arial" w:cs="Arial" w:eastAsia="Arial" w:hAnsi="Arial"/>
          <w:sz w:val="18"/>
          <w:szCs w:val="18"/>
          <w:color w:val="auto"/>
        </w:rPr>
      </w:pPr>
    </w:p>
    <w:p>
      <w:pPr>
        <w:ind w:left="540" w:hanging="424"/>
        <w:spacing w:after="0" w:line="234" w:lineRule="auto"/>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Dr. Goodman, our Executive Chairman, is a trustee of the Goodman Barinaga Trust.</w:t>
      </w:r>
    </w:p>
    <w:p>
      <w:pPr>
        <w:ind w:left="540" w:hanging="424"/>
        <w:spacing w:after="0"/>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Mr. Lettmann, a member of our board of directors, is a General Partner of Lightstone Ventures.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4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2580" w:type="dxa"/>
            <w:vAlign w:val="bottom"/>
            <w:gridSpan w:val="2"/>
          </w:tcPr>
          <w:p>
            <w:pPr>
              <w:jc w:val="center"/>
              <w:ind w:right="1040"/>
              <w:spacing w:after="0"/>
              <w:rPr>
                <w:sz w:val="20"/>
                <w:szCs w:val="20"/>
                <w:color w:val="auto"/>
              </w:rPr>
            </w:pPr>
            <w:r>
              <w:rPr>
                <w:rFonts w:ascii="Arial" w:cs="Arial" w:eastAsia="Arial" w:hAnsi="Arial"/>
                <w:sz w:val="14"/>
                <w:szCs w:val="14"/>
                <w:b w:val="1"/>
                <w:bCs w:val="1"/>
                <w:color w:val="auto"/>
              </w:rPr>
              <w:t>SHARES OF SERIES B</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rPr>
              <w:t>INVESTOR</w:t>
            </w:r>
          </w:p>
        </w:tc>
        <w:tc>
          <w:tcPr>
            <w:tcW w:w="6320" w:type="dxa"/>
            <w:vAlign w:val="bottom"/>
            <w:vMerge w:val="restart"/>
          </w:tcPr>
          <w:p>
            <w:pPr>
              <w:spacing w:after="0"/>
              <w:rPr>
                <w:sz w:val="14"/>
                <w:szCs w:val="14"/>
                <w:color w:val="auto"/>
              </w:rPr>
            </w:pPr>
          </w:p>
        </w:tc>
        <w:tc>
          <w:tcPr>
            <w:tcW w:w="2580" w:type="dxa"/>
            <w:vAlign w:val="bottom"/>
            <w:gridSpan w:val="2"/>
          </w:tcPr>
          <w:p>
            <w:pPr>
              <w:jc w:val="center"/>
              <w:ind w:right="1040"/>
              <w:spacing w:after="0"/>
              <w:rPr>
                <w:sz w:val="20"/>
                <w:szCs w:val="20"/>
                <w:color w:val="auto"/>
              </w:rPr>
            </w:pPr>
            <w:r>
              <w:rPr>
                <w:rFonts w:ascii="Arial" w:cs="Arial" w:eastAsia="Arial" w:hAnsi="Arial"/>
                <w:sz w:val="14"/>
                <w:szCs w:val="14"/>
                <w:b w:val="1"/>
                <w:bCs w:val="1"/>
                <w:color w:val="auto"/>
              </w:rPr>
              <w:t>CONVERTIBLE</w:t>
            </w: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TOTAL PURCHASE</w:t>
            </w:r>
          </w:p>
        </w:tc>
        <w:tc>
          <w:tcPr>
            <w:tcW w:w="0" w:type="dxa"/>
            <w:vAlign w:val="bottom"/>
          </w:tcPr>
          <w:p>
            <w:pPr>
              <w:spacing w:after="0"/>
              <w:rPr>
                <w:sz w:val="1"/>
                <w:szCs w:val="1"/>
                <w:color w:val="auto"/>
              </w:rPr>
            </w:pPr>
          </w:p>
        </w:tc>
      </w:tr>
      <w:tr>
        <w:trPr>
          <w:trHeight w:val="182"/>
        </w:trPr>
        <w:tc>
          <w:tcPr>
            <w:tcW w:w="740" w:type="dxa"/>
            <w:vAlign w:val="bottom"/>
            <w:tcBorders>
              <w:bottom w:val="single" w:sz="8" w:color="auto"/>
            </w:tcBorders>
            <w:vMerge w:val="continue"/>
          </w:tcPr>
          <w:p>
            <w:pPr>
              <w:spacing w:after="0"/>
              <w:rPr>
                <w:sz w:val="15"/>
                <w:szCs w:val="15"/>
                <w:color w:val="auto"/>
              </w:rPr>
            </w:pPr>
          </w:p>
        </w:tc>
        <w:tc>
          <w:tcPr>
            <w:tcW w:w="6320" w:type="dxa"/>
            <w:vAlign w:val="bottom"/>
            <w:vMerge w:val="continue"/>
          </w:tcPr>
          <w:p>
            <w:pPr>
              <w:spacing w:after="0"/>
              <w:rPr>
                <w:sz w:val="15"/>
                <w:szCs w:val="15"/>
                <w:color w:val="auto"/>
              </w:rPr>
            </w:pPr>
          </w:p>
        </w:tc>
        <w:tc>
          <w:tcPr>
            <w:tcW w:w="2580" w:type="dxa"/>
            <w:vAlign w:val="bottom"/>
            <w:gridSpan w:val="2"/>
          </w:tcPr>
          <w:p>
            <w:pPr>
              <w:jc w:val="center"/>
              <w:ind w:right="1040"/>
              <w:spacing w:after="0"/>
              <w:rPr>
                <w:sz w:val="20"/>
                <w:szCs w:val="20"/>
                <w:color w:val="auto"/>
              </w:rPr>
            </w:pPr>
            <w:r>
              <w:rPr>
                <w:rFonts w:ascii="Arial" w:cs="Arial" w:eastAsia="Arial" w:hAnsi="Arial"/>
                <w:sz w:val="14"/>
                <w:szCs w:val="14"/>
                <w:b w:val="1"/>
                <w:bCs w:val="1"/>
                <w:color w:val="auto"/>
              </w:rPr>
              <w:t>PREFERRED STOCK</w:t>
            </w:r>
          </w:p>
        </w:tc>
        <w:tc>
          <w:tcPr>
            <w:tcW w:w="260" w:type="dxa"/>
            <w:vAlign w:val="bottom"/>
          </w:tcPr>
          <w:p>
            <w:pPr>
              <w:spacing w:after="0"/>
              <w:rPr>
                <w:sz w:val="15"/>
                <w:szCs w:val="15"/>
                <w:color w:val="auto"/>
              </w:rPr>
            </w:pPr>
          </w:p>
        </w:tc>
        <w:tc>
          <w:tcPr>
            <w:tcW w:w="1120" w:type="dxa"/>
            <w:vAlign w:val="bottom"/>
            <w:gridSpan w:val="2"/>
          </w:tcPr>
          <w:p>
            <w:pPr>
              <w:ind w:left="18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90"/>
        </w:trPr>
        <w:tc>
          <w:tcPr>
            <w:tcW w:w="70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Entities affiliated with venBio Global Strategic Fund, LP</w:t>
            </w:r>
            <w:r>
              <w:rPr>
                <w:rFonts w:ascii="Arial" w:cs="Arial" w:eastAsia="Arial" w:hAnsi="Arial"/>
                <w:sz w:val="15"/>
                <w:szCs w:val="15"/>
                <w:color w:val="auto"/>
              </w:rPr>
              <w:t>(1)</w:t>
            </w:r>
          </w:p>
        </w:tc>
        <w:tc>
          <w:tcPr>
            <w:tcW w:w="15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490,411</w:t>
            </w:r>
          </w:p>
        </w:tc>
        <w:tc>
          <w:tcPr>
            <w:tcW w:w="10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4,657,496</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060" w:type="dxa"/>
            <w:vAlign w:val="bottom"/>
            <w:gridSpan w:val="2"/>
          </w:tcPr>
          <w:p>
            <w:pPr>
              <w:spacing w:after="0" w:line="202" w:lineRule="exact"/>
              <w:rPr>
                <w:sz w:val="20"/>
                <w:szCs w:val="20"/>
                <w:color w:val="auto"/>
              </w:rPr>
            </w:pPr>
            <w:r>
              <w:rPr>
                <w:rFonts w:ascii="Arial" w:cs="Arial" w:eastAsia="Arial" w:hAnsi="Arial"/>
                <w:sz w:val="18"/>
                <w:szCs w:val="18"/>
                <w:color w:val="auto"/>
              </w:rPr>
              <w:t>Entities affiliated with Lightstone Ventures, LP</w:t>
            </w:r>
            <w:r>
              <w:rPr>
                <w:rFonts w:ascii="Arial" w:cs="Arial" w:eastAsia="Arial" w:hAnsi="Arial"/>
                <w:sz w:val="15"/>
                <w:szCs w:val="15"/>
                <w:color w:val="auto"/>
              </w:rPr>
              <w:t>(2)</w:t>
            </w:r>
          </w:p>
        </w:tc>
        <w:tc>
          <w:tcPr>
            <w:tcW w:w="2580" w:type="dxa"/>
            <w:vAlign w:val="bottom"/>
            <w:gridSpan w:val="2"/>
          </w:tcPr>
          <w:p>
            <w:pPr>
              <w:jc w:val="right"/>
              <w:ind w:right="1040"/>
              <w:spacing w:after="0" w:line="202" w:lineRule="exact"/>
              <w:rPr>
                <w:sz w:val="20"/>
                <w:szCs w:val="20"/>
                <w:color w:val="auto"/>
              </w:rPr>
            </w:pPr>
            <w:r>
              <w:rPr>
                <w:rFonts w:ascii="Arial" w:cs="Arial" w:eastAsia="Arial" w:hAnsi="Arial"/>
                <w:sz w:val="18"/>
                <w:szCs w:val="18"/>
                <w:color w:val="auto"/>
              </w:rPr>
              <w:t>230,084</w:t>
            </w:r>
          </w:p>
        </w:tc>
        <w:tc>
          <w:tcPr>
            <w:tcW w:w="2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2,185,155</w:t>
            </w:r>
          </w:p>
        </w:tc>
        <w:tc>
          <w:tcPr>
            <w:tcW w:w="0" w:type="dxa"/>
            <w:vAlign w:val="bottom"/>
          </w:tcPr>
          <w:p>
            <w:pPr>
              <w:spacing w:after="0"/>
              <w:rPr>
                <w:sz w:val="1"/>
                <w:szCs w:val="1"/>
                <w:color w:val="auto"/>
              </w:rPr>
            </w:pPr>
          </w:p>
        </w:tc>
      </w:tr>
      <w:tr>
        <w:trPr>
          <w:trHeight w:val="203"/>
        </w:trPr>
        <w:tc>
          <w:tcPr>
            <w:tcW w:w="70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Goodman Barinaga Trust</w:t>
            </w:r>
            <w:r>
              <w:rPr>
                <w:rFonts w:ascii="Arial" w:cs="Arial" w:eastAsia="Arial" w:hAnsi="Arial"/>
                <w:sz w:val="15"/>
                <w:szCs w:val="15"/>
                <w:color w:val="auto"/>
              </w:rPr>
              <w:t>(3)</w:t>
            </w:r>
          </w:p>
        </w:tc>
        <w:tc>
          <w:tcPr>
            <w:tcW w:w="2580" w:type="dxa"/>
            <w:vAlign w:val="bottom"/>
            <w:gridSpan w:val="2"/>
            <w:shd w:val="clear" w:color="auto" w:fill="CCEEFF"/>
          </w:tcPr>
          <w:p>
            <w:pPr>
              <w:jc w:val="right"/>
              <w:ind w:right="1040"/>
              <w:spacing w:after="0" w:line="202" w:lineRule="exact"/>
              <w:rPr>
                <w:sz w:val="20"/>
                <w:szCs w:val="20"/>
                <w:color w:val="auto"/>
              </w:rPr>
            </w:pPr>
            <w:r>
              <w:rPr>
                <w:rFonts w:ascii="Arial" w:cs="Arial" w:eastAsia="Arial" w:hAnsi="Arial"/>
                <w:sz w:val="18"/>
                <w:szCs w:val="18"/>
                <w:color w:val="auto"/>
              </w:rPr>
              <w:t>15,794</w:t>
            </w:r>
          </w:p>
        </w:tc>
        <w:tc>
          <w:tcPr>
            <w:tcW w:w="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149,999</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540" w:right="340" w:hanging="424"/>
        <w:spacing w:after="0" w:line="234" w:lineRule="auto"/>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Entities affiliated with venBio Global Strategic Fund, LP whose shares are aggregated for the purposes of reporting ownership information include venBio Global Strategic Fund LP and venBio Global Strategic Fund II L.P. Dr. Corey Goodman, our Executive Chairman, is a Managing Partner of venBio Partners. Dr. Jaume Pons, our Chief Executive Officer and a member of our board of directors, is a venture partner of venBio Partners.</w:t>
      </w:r>
    </w:p>
    <w:p>
      <w:pPr>
        <w:spacing w:after="0" w:line="2" w:lineRule="exact"/>
        <w:rPr>
          <w:rFonts w:ascii="Arial" w:cs="Arial" w:eastAsia="Arial" w:hAnsi="Arial"/>
          <w:sz w:val="18"/>
          <w:szCs w:val="18"/>
          <w:color w:val="auto"/>
        </w:rPr>
      </w:pPr>
    </w:p>
    <w:p>
      <w:pPr>
        <w:ind w:left="540" w:right="340" w:hanging="424"/>
        <w:spacing w:after="0" w:line="234" w:lineRule="auto"/>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Entities affiliated with Lightstone Ventures, LP whose shares are aggregated for the purposes of reporting ownership information include Lightstone Ventures, LP, Lightstone Ventures (A), LP, Lightstone Ventures II, LP and Lightstone Ventures II (A), LP. Jason Lettmann, a member of our board of directors, is a General Partner of Lightstone Ventures. Dr. Jaume Pons, our Chief Executive Officer and a member of our board of directors, is a scientific advisor of Lightstone Ventures.</w:t>
      </w:r>
    </w:p>
    <w:p>
      <w:pPr>
        <w:spacing w:after="0" w:line="2" w:lineRule="exact"/>
        <w:rPr>
          <w:rFonts w:ascii="Arial" w:cs="Arial" w:eastAsia="Arial" w:hAnsi="Arial"/>
          <w:sz w:val="18"/>
          <w:szCs w:val="18"/>
          <w:color w:val="auto"/>
        </w:rPr>
      </w:pPr>
    </w:p>
    <w:p>
      <w:pPr>
        <w:ind w:left="540" w:hanging="424"/>
        <w:spacing w:after="0"/>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Dr. Goodman, our Executive Chairman, is a trustee of the Goodman Barinaga Trust.</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4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242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rPr>
              <w:t>SHARES OF SERIES C</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rPr>
              <w:t>INVESTOR</w:t>
            </w:r>
          </w:p>
        </w:tc>
        <w:tc>
          <w:tcPr>
            <w:tcW w:w="6480" w:type="dxa"/>
            <w:vAlign w:val="bottom"/>
            <w:vMerge w:val="restart"/>
          </w:tcPr>
          <w:p>
            <w:pPr>
              <w:spacing w:after="0"/>
              <w:rPr>
                <w:sz w:val="14"/>
                <w:szCs w:val="14"/>
                <w:color w:val="auto"/>
              </w:rPr>
            </w:pPr>
          </w:p>
        </w:tc>
        <w:tc>
          <w:tcPr>
            <w:tcW w:w="242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rPr>
              <w:t>CONVERTIBLE</w:t>
            </w: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TOTAL PURCHASE</w:t>
            </w:r>
          </w:p>
        </w:tc>
        <w:tc>
          <w:tcPr>
            <w:tcW w:w="0" w:type="dxa"/>
            <w:vAlign w:val="bottom"/>
          </w:tcPr>
          <w:p>
            <w:pPr>
              <w:spacing w:after="0"/>
              <w:rPr>
                <w:sz w:val="1"/>
                <w:szCs w:val="1"/>
                <w:color w:val="auto"/>
              </w:rPr>
            </w:pPr>
          </w:p>
        </w:tc>
      </w:tr>
      <w:tr>
        <w:trPr>
          <w:trHeight w:val="182"/>
        </w:trPr>
        <w:tc>
          <w:tcPr>
            <w:tcW w:w="740" w:type="dxa"/>
            <w:vAlign w:val="bottom"/>
            <w:tcBorders>
              <w:bottom w:val="single" w:sz="8" w:color="auto"/>
            </w:tcBorders>
            <w:vMerge w:val="continue"/>
          </w:tcPr>
          <w:p>
            <w:pPr>
              <w:spacing w:after="0"/>
              <w:rPr>
                <w:sz w:val="15"/>
                <w:szCs w:val="15"/>
                <w:color w:val="auto"/>
              </w:rPr>
            </w:pPr>
          </w:p>
        </w:tc>
        <w:tc>
          <w:tcPr>
            <w:tcW w:w="6480" w:type="dxa"/>
            <w:vAlign w:val="bottom"/>
            <w:vMerge w:val="continue"/>
          </w:tcPr>
          <w:p>
            <w:pPr>
              <w:spacing w:after="0"/>
              <w:rPr>
                <w:sz w:val="15"/>
                <w:szCs w:val="15"/>
                <w:color w:val="auto"/>
              </w:rPr>
            </w:pPr>
          </w:p>
        </w:tc>
        <w:tc>
          <w:tcPr>
            <w:tcW w:w="242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rPr>
              <w:t>PREFERRED STOCK</w:t>
            </w:r>
          </w:p>
        </w:tc>
        <w:tc>
          <w:tcPr>
            <w:tcW w:w="260" w:type="dxa"/>
            <w:vAlign w:val="bottom"/>
          </w:tcPr>
          <w:p>
            <w:pPr>
              <w:spacing w:after="0"/>
              <w:rPr>
                <w:sz w:val="15"/>
                <w:szCs w:val="15"/>
                <w:color w:val="auto"/>
              </w:rPr>
            </w:pPr>
          </w:p>
        </w:tc>
        <w:tc>
          <w:tcPr>
            <w:tcW w:w="1120" w:type="dxa"/>
            <w:vAlign w:val="bottom"/>
            <w:gridSpan w:val="2"/>
          </w:tcPr>
          <w:p>
            <w:pPr>
              <w:ind w:left="18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90"/>
        </w:trPr>
        <w:tc>
          <w:tcPr>
            <w:tcW w:w="72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Emaldi Corporation</w:t>
            </w:r>
            <w:r>
              <w:rPr>
                <w:rFonts w:ascii="Arial" w:cs="Arial" w:eastAsia="Arial" w:hAnsi="Arial"/>
                <w:sz w:val="15"/>
                <w:szCs w:val="15"/>
                <w:color w:val="auto"/>
              </w:rPr>
              <w:t>(1)</w:t>
            </w:r>
          </w:p>
        </w:tc>
        <w:tc>
          <w:tcPr>
            <w:tcW w:w="15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52,647</w:t>
            </w:r>
          </w:p>
        </w:tc>
        <w:tc>
          <w:tcPr>
            <w:tcW w:w="86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500,000</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220" w:type="dxa"/>
            <w:vAlign w:val="bottom"/>
            <w:gridSpan w:val="2"/>
          </w:tcPr>
          <w:p>
            <w:pPr>
              <w:spacing w:after="0" w:line="202" w:lineRule="exact"/>
              <w:rPr>
                <w:sz w:val="20"/>
                <w:szCs w:val="20"/>
                <w:color w:val="auto"/>
              </w:rPr>
            </w:pPr>
            <w:r>
              <w:rPr>
                <w:rFonts w:ascii="Arial" w:cs="Arial" w:eastAsia="Arial" w:hAnsi="Arial"/>
                <w:sz w:val="18"/>
                <w:szCs w:val="18"/>
                <w:color w:val="auto"/>
              </w:rPr>
              <w:t>Entities affiliated with venBio Global Strategic Fund, LP</w:t>
            </w:r>
            <w:r>
              <w:rPr>
                <w:rFonts w:ascii="Arial" w:cs="Arial" w:eastAsia="Arial" w:hAnsi="Arial"/>
                <w:sz w:val="15"/>
                <w:szCs w:val="15"/>
                <w:color w:val="auto"/>
              </w:rPr>
              <w:t>(2)</w:t>
            </w:r>
          </w:p>
        </w:tc>
        <w:tc>
          <w:tcPr>
            <w:tcW w:w="2420" w:type="dxa"/>
            <w:vAlign w:val="bottom"/>
            <w:gridSpan w:val="2"/>
          </w:tcPr>
          <w:p>
            <w:pPr>
              <w:jc w:val="right"/>
              <w:ind w:right="860"/>
              <w:spacing w:after="0" w:line="202" w:lineRule="exact"/>
              <w:rPr>
                <w:sz w:val="20"/>
                <w:szCs w:val="20"/>
                <w:color w:val="auto"/>
              </w:rPr>
            </w:pPr>
            <w:r>
              <w:rPr>
                <w:rFonts w:ascii="Arial" w:cs="Arial" w:eastAsia="Arial" w:hAnsi="Arial"/>
                <w:sz w:val="18"/>
                <w:szCs w:val="18"/>
                <w:color w:val="auto"/>
              </w:rPr>
              <w:t>1,052,950</w:t>
            </w:r>
          </w:p>
        </w:tc>
        <w:tc>
          <w:tcPr>
            <w:tcW w:w="2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10,000,001</w:t>
            </w:r>
          </w:p>
        </w:tc>
        <w:tc>
          <w:tcPr>
            <w:tcW w:w="0" w:type="dxa"/>
            <w:vAlign w:val="bottom"/>
          </w:tcPr>
          <w:p>
            <w:pPr>
              <w:spacing w:after="0"/>
              <w:rPr>
                <w:sz w:val="1"/>
                <w:szCs w:val="1"/>
                <w:color w:val="auto"/>
              </w:rPr>
            </w:pPr>
          </w:p>
        </w:tc>
      </w:tr>
      <w:tr>
        <w:trPr>
          <w:trHeight w:val="203"/>
        </w:trPr>
        <w:tc>
          <w:tcPr>
            <w:tcW w:w="72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Entities affiliated with Lightstone Ventures, LP</w:t>
            </w:r>
            <w:r>
              <w:rPr>
                <w:rFonts w:ascii="Arial" w:cs="Arial" w:eastAsia="Arial" w:hAnsi="Arial"/>
                <w:sz w:val="15"/>
                <w:szCs w:val="15"/>
                <w:color w:val="auto"/>
              </w:rPr>
              <w:t>(3)</w:t>
            </w:r>
          </w:p>
        </w:tc>
        <w:tc>
          <w:tcPr>
            <w:tcW w:w="2420" w:type="dxa"/>
            <w:vAlign w:val="bottom"/>
            <w:gridSpan w:val="2"/>
            <w:shd w:val="clear" w:color="auto" w:fill="CCEEFF"/>
          </w:tcPr>
          <w:p>
            <w:pPr>
              <w:jc w:val="right"/>
              <w:ind w:right="860"/>
              <w:spacing w:after="0" w:line="202" w:lineRule="exact"/>
              <w:rPr>
                <w:sz w:val="20"/>
                <w:szCs w:val="20"/>
                <w:color w:val="auto"/>
              </w:rPr>
            </w:pPr>
            <w:r>
              <w:rPr>
                <w:rFonts w:ascii="Arial" w:cs="Arial" w:eastAsia="Arial" w:hAnsi="Arial"/>
                <w:sz w:val="18"/>
                <w:szCs w:val="18"/>
                <w:color w:val="auto"/>
              </w:rPr>
              <w:t>859,311</w:t>
            </w:r>
          </w:p>
        </w:tc>
        <w:tc>
          <w:tcPr>
            <w:tcW w:w="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8,161,004</w:t>
            </w:r>
          </w:p>
        </w:tc>
        <w:tc>
          <w:tcPr>
            <w:tcW w:w="0" w:type="dxa"/>
            <w:vAlign w:val="bottom"/>
          </w:tcPr>
          <w:p>
            <w:pPr>
              <w:spacing w:after="0"/>
              <w:rPr>
                <w:sz w:val="1"/>
                <w:szCs w:val="1"/>
                <w:color w:val="auto"/>
              </w:rPr>
            </w:pPr>
          </w:p>
        </w:tc>
      </w:tr>
      <w:tr>
        <w:trPr>
          <w:trHeight w:val="203"/>
        </w:trPr>
        <w:tc>
          <w:tcPr>
            <w:tcW w:w="7220" w:type="dxa"/>
            <w:vAlign w:val="bottom"/>
            <w:gridSpan w:val="2"/>
          </w:tcPr>
          <w:p>
            <w:pPr>
              <w:spacing w:after="0" w:line="202" w:lineRule="exact"/>
              <w:rPr>
                <w:sz w:val="20"/>
                <w:szCs w:val="20"/>
                <w:color w:val="auto"/>
              </w:rPr>
            </w:pPr>
            <w:r>
              <w:rPr>
                <w:rFonts w:ascii="Arial" w:cs="Arial" w:eastAsia="Arial" w:hAnsi="Arial"/>
                <w:sz w:val="18"/>
                <w:szCs w:val="18"/>
                <w:color w:val="auto"/>
              </w:rPr>
              <w:t>Logos Opportunities Fund I, LP</w:t>
            </w:r>
            <w:r>
              <w:rPr>
                <w:rFonts w:ascii="Arial" w:cs="Arial" w:eastAsia="Arial" w:hAnsi="Arial"/>
                <w:sz w:val="15"/>
                <w:szCs w:val="15"/>
                <w:color w:val="auto"/>
              </w:rPr>
              <w:t>(4)</w:t>
            </w:r>
          </w:p>
        </w:tc>
        <w:tc>
          <w:tcPr>
            <w:tcW w:w="2420" w:type="dxa"/>
            <w:vAlign w:val="bottom"/>
            <w:gridSpan w:val="2"/>
          </w:tcPr>
          <w:p>
            <w:pPr>
              <w:jc w:val="right"/>
              <w:ind w:right="860"/>
              <w:spacing w:after="0" w:line="202" w:lineRule="exact"/>
              <w:rPr>
                <w:sz w:val="20"/>
                <w:szCs w:val="20"/>
                <w:color w:val="auto"/>
              </w:rPr>
            </w:pPr>
            <w:r>
              <w:rPr>
                <w:rFonts w:ascii="Arial" w:cs="Arial" w:eastAsia="Arial" w:hAnsi="Arial"/>
                <w:sz w:val="18"/>
                <w:szCs w:val="18"/>
                <w:color w:val="auto"/>
              </w:rPr>
              <w:t>2,105,901</w:t>
            </w:r>
          </w:p>
        </w:tc>
        <w:tc>
          <w:tcPr>
            <w:tcW w:w="2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20,000,000</w:t>
            </w:r>
          </w:p>
        </w:tc>
        <w:tc>
          <w:tcPr>
            <w:tcW w:w="0" w:type="dxa"/>
            <w:vAlign w:val="bottom"/>
          </w:tcPr>
          <w:p>
            <w:pPr>
              <w:spacing w:after="0"/>
              <w:rPr>
                <w:sz w:val="1"/>
                <w:szCs w:val="1"/>
                <w:color w:val="auto"/>
              </w:rPr>
            </w:pPr>
          </w:p>
        </w:tc>
      </w:tr>
      <w:tr>
        <w:trPr>
          <w:trHeight w:val="203"/>
        </w:trPr>
        <w:tc>
          <w:tcPr>
            <w:tcW w:w="72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Vivo Capital Fund IX, LP</w:t>
            </w:r>
            <w:r>
              <w:rPr>
                <w:rFonts w:ascii="Arial" w:cs="Arial" w:eastAsia="Arial" w:hAnsi="Arial"/>
                <w:sz w:val="15"/>
                <w:szCs w:val="15"/>
                <w:color w:val="auto"/>
              </w:rPr>
              <w:t>(5)</w:t>
            </w:r>
          </w:p>
        </w:tc>
        <w:tc>
          <w:tcPr>
            <w:tcW w:w="2420" w:type="dxa"/>
            <w:vAlign w:val="bottom"/>
            <w:gridSpan w:val="2"/>
            <w:shd w:val="clear" w:color="auto" w:fill="CCEEFF"/>
          </w:tcPr>
          <w:p>
            <w:pPr>
              <w:jc w:val="right"/>
              <w:ind w:right="860"/>
              <w:spacing w:after="0" w:line="202" w:lineRule="exact"/>
              <w:rPr>
                <w:sz w:val="20"/>
                <w:szCs w:val="20"/>
                <w:color w:val="auto"/>
              </w:rPr>
            </w:pPr>
            <w:r>
              <w:rPr>
                <w:rFonts w:ascii="Arial" w:cs="Arial" w:eastAsia="Arial" w:hAnsi="Arial"/>
                <w:sz w:val="18"/>
                <w:szCs w:val="18"/>
                <w:color w:val="auto"/>
              </w:rPr>
              <w:t>3,158,851</w:t>
            </w:r>
          </w:p>
        </w:tc>
        <w:tc>
          <w:tcPr>
            <w:tcW w:w="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30,000,000</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540" w:hanging="424"/>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Dr. Corey Goodman, our Executive Chairman, is a director of Emaldi Corporation.</w:t>
      </w:r>
    </w:p>
    <w:p>
      <w:pPr>
        <w:ind w:left="540" w:right="340" w:hanging="424"/>
        <w:spacing w:after="0" w:line="234"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Entities affiliated with venBio Global Strategic Fund, LP whose shares are aggregated for the purposes of reporting ownership information include venBio Global Strategic Fund LP and venBio Global Strategic Fund II L.P. Dr. Corey Goodman, our Executive Chairman, is a Managing Partner of venBio Partners. Dr. Jaume Pons, our Chief Executive Officer and a member of our board of directors, is a venture partner of venBio Partners.</w:t>
      </w:r>
    </w:p>
    <w:p>
      <w:pPr>
        <w:spacing w:after="0" w:line="2" w:lineRule="exact"/>
        <w:rPr>
          <w:rFonts w:ascii="Arial" w:cs="Arial" w:eastAsia="Arial" w:hAnsi="Arial"/>
          <w:sz w:val="18"/>
          <w:szCs w:val="18"/>
          <w:color w:val="auto"/>
        </w:rPr>
      </w:pPr>
    </w:p>
    <w:p>
      <w:pPr>
        <w:ind w:left="540" w:right="340" w:hanging="424"/>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Entities affiliated with Lightstone Ventures, LP whose shares are aggregated for the purposes of reporting ownership information include Lightstone Ventures, LP, Lightstone Ventures (A), LP, Lightstone Ventures II, LP and Lightstone Ventures II (A), LP. Jason Lettmann, a member of our board of directors, is a General Partner of Lightstone Ventures. Dr. Jaume Pons, our Chief</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40"/>
          </w:cols>
          <w:pgMar w:left="32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Executive Officer and a member of our board of directors, is a scientific advisor of Lightstone Ventures.</w:t>
      </w:r>
    </w:p>
    <w:p>
      <w:pPr>
        <w:ind w:left="540" w:hanging="424"/>
        <w:spacing w:after="0" w:line="234" w:lineRule="auto"/>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Dr. Graham Walmsley, a member of our board of directors, is a Founding Member and Managing Partner of Logos Capital.</w:t>
      </w:r>
    </w:p>
    <w:p>
      <w:pPr>
        <w:ind w:left="540" w:hanging="424"/>
        <w:spacing w:after="0"/>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Jack Nielsen, a member of our board of directors, is a Managing Partner of Vivo Capital.</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Convertible Preferred Share Financings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Series C Convertible Preferred Shares Transaction</w:t>
      </w:r>
    </w:p>
    <w:p>
      <w:pPr>
        <w:spacing w:after="0" w:line="126" w:lineRule="exact"/>
        <w:rPr>
          <w:sz w:val="20"/>
          <w:szCs w:val="20"/>
          <w:color w:val="auto"/>
        </w:rPr>
      </w:pPr>
    </w:p>
    <w:p>
      <w:pPr>
        <w:ind w:left="120" w:right="60"/>
        <w:spacing w:after="0" w:line="246" w:lineRule="auto"/>
        <w:rPr>
          <w:sz w:val="20"/>
          <w:szCs w:val="20"/>
          <w:color w:val="auto"/>
        </w:rPr>
      </w:pPr>
      <w:r>
        <w:rPr>
          <w:rFonts w:ascii="Arial" w:cs="Arial" w:eastAsia="Arial" w:hAnsi="Arial"/>
          <w:sz w:val="18"/>
          <w:szCs w:val="18"/>
          <w:color w:val="auto"/>
        </w:rPr>
        <w:t>In February 2020, we issued and sold an aggregate of 11,055,966 shares of our Series C convertible preferred shares at a purchase price of $9.4972 per share for an aggregate purchase price of approximately $105.0 million.</w:t>
      </w:r>
    </w:p>
    <w:p>
      <w:pPr>
        <w:spacing w:after="0" w:line="89" w:lineRule="exact"/>
        <w:rPr>
          <w:sz w:val="20"/>
          <w:szCs w:val="20"/>
          <w:color w:val="auto"/>
        </w:rPr>
      </w:pPr>
    </w:p>
    <w:p>
      <w:pPr>
        <w:ind w:left="120" w:right="400"/>
        <w:spacing w:after="0"/>
        <w:rPr>
          <w:sz w:val="20"/>
          <w:szCs w:val="20"/>
          <w:color w:val="auto"/>
        </w:rPr>
      </w:pPr>
      <w:r>
        <w:rPr>
          <w:rFonts w:ascii="Arial" w:cs="Arial" w:eastAsia="Arial" w:hAnsi="Arial"/>
          <w:sz w:val="18"/>
          <w:szCs w:val="18"/>
          <w:color w:val="auto"/>
        </w:rPr>
        <w:t>Purchasers of our Series C convertible preferred shares include venture capital funds that beneficially owned more than 5% of our outstanding share capital and/or are represented on our board of directors. The following table presents the number of shares and the total purchase price paid by these persons.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4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240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rPr>
              <w:t>SERIES C</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rPr>
              <w:t>INVESTOR</w:t>
            </w:r>
          </w:p>
        </w:tc>
        <w:tc>
          <w:tcPr>
            <w:tcW w:w="6500" w:type="dxa"/>
            <w:vAlign w:val="bottom"/>
            <w:vMerge w:val="restart"/>
          </w:tcPr>
          <w:p>
            <w:pPr>
              <w:spacing w:after="0"/>
              <w:rPr>
                <w:sz w:val="14"/>
                <w:szCs w:val="14"/>
                <w:color w:val="auto"/>
              </w:rPr>
            </w:pPr>
          </w:p>
        </w:tc>
        <w:tc>
          <w:tcPr>
            <w:tcW w:w="240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rPr>
              <w:t>CONVERTIBLE</w:t>
            </w: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TOTAL PURCHASE</w:t>
            </w:r>
          </w:p>
        </w:tc>
        <w:tc>
          <w:tcPr>
            <w:tcW w:w="0" w:type="dxa"/>
            <w:vAlign w:val="bottom"/>
          </w:tcPr>
          <w:p>
            <w:pPr>
              <w:spacing w:after="0"/>
              <w:rPr>
                <w:sz w:val="1"/>
                <w:szCs w:val="1"/>
                <w:color w:val="auto"/>
              </w:rPr>
            </w:pPr>
          </w:p>
        </w:tc>
      </w:tr>
      <w:tr>
        <w:trPr>
          <w:trHeight w:val="182"/>
        </w:trPr>
        <w:tc>
          <w:tcPr>
            <w:tcW w:w="740" w:type="dxa"/>
            <w:vAlign w:val="bottom"/>
            <w:tcBorders>
              <w:bottom w:val="single" w:sz="8" w:color="auto"/>
            </w:tcBorders>
            <w:vMerge w:val="continue"/>
          </w:tcPr>
          <w:p>
            <w:pPr>
              <w:spacing w:after="0"/>
              <w:rPr>
                <w:sz w:val="15"/>
                <w:szCs w:val="15"/>
                <w:color w:val="auto"/>
              </w:rPr>
            </w:pPr>
          </w:p>
        </w:tc>
        <w:tc>
          <w:tcPr>
            <w:tcW w:w="6500" w:type="dxa"/>
            <w:vAlign w:val="bottom"/>
            <w:vMerge w:val="continue"/>
          </w:tcPr>
          <w:p>
            <w:pPr>
              <w:spacing w:after="0"/>
              <w:rPr>
                <w:sz w:val="15"/>
                <w:szCs w:val="15"/>
                <w:color w:val="auto"/>
              </w:rPr>
            </w:pPr>
          </w:p>
        </w:tc>
        <w:tc>
          <w:tcPr>
            <w:tcW w:w="240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rPr>
              <w:t>PREFERRED SHARES</w:t>
            </w:r>
          </w:p>
        </w:tc>
        <w:tc>
          <w:tcPr>
            <w:tcW w:w="260" w:type="dxa"/>
            <w:vAlign w:val="bottom"/>
          </w:tcPr>
          <w:p>
            <w:pPr>
              <w:spacing w:after="0"/>
              <w:rPr>
                <w:sz w:val="15"/>
                <w:szCs w:val="15"/>
                <w:color w:val="auto"/>
              </w:rPr>
            </w:pPr>
          </w:p>
        </w:tc>
        <w:tc>
          <w:tcPr>
            <w:tcW w:w="1120" w:type="dxa"/>
            <w:vAlign w:val="bottom"/>
            <w:gridSpan w:val="2"/>
          </w:tcPr>
          <w:p>
            <w:pPr>
              <w:ind w:left="18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89"/>
        </w:trPr>
        <w:tc>
          <w:tcPr>
            <w:tcW w:w="72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Emaldi Corporation</w:t>
            </w:r>
            <w:r>
              <w:rPr>
                <w:rFonts w:ascii="Arial" w:cs="Arial" w:eastAsia="Arial" w:hAnsi="Arial"/>
                <w:sz w:val="15"/>
                <w:szCs w:val="15"/>
                <w:color w:val="auto"/>
              </w:rPr>
              <w:t>(1)</w:t>
            </w:r>
          </w:p>
        </w:tc>
        <w:tc>
          <w:tcPr>
            <w:tcW w:w="15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52,647</w:t>
            </w:r>
          </w:p>
        </w:tc>
        <w:tc>
          <w:tcPr>
            <w:tcW w:w="86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500,000</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240" w:type="dxa"/>
            <w:vAlign w:val="bottom"/>
            <w:gridSpan w:val="2"/>
          </w:tcPr>
          <w:p>
            <w:pPr>
              <w:spacing w:after="0" w:line="202" w:lineRule="exact"/>
              <w:rPr>
                <w:sz w:val="20"/>
                <w:szCs w:val="20"/>
                <w:color w:val="auto"/>
              </w:rPr>
            </w:pPr>
            <w:r>
              <w:rPr>
                <w:rFonts w:ascii="Arial" w:cs="Arial" w:eastAsia="Arial" w:hAnsi="Arial"/>
                <w:sz w:val="18"/>
                <w:szCs w:val="18"/>
                <w:color w:val="auto"/>
              </w:rPr>
              <w:t>Entities affiliated with venBio Global Strategic Fund, LP</w:t>
            </w:r>
            <w:r>
              <w:rPr>
                <w:rFonts w:ascii="Arial" w:cs="Arial" w:eastAsia="Arial" w:hAnsi="Arial"/>
                <w:sz w:val="15"/>
                <w:szCs w:val="15"/>
                <w:color w:val="auto"/>
              </w:rPr>
              <w:t>(2)</w:t>
            </w:r>
          </w:p>
        </w:tc>
        <w:tc>
          <w:tcPr>
            <w:tcW w:w="2400" w:type="dxa"/>
            <w:vAlign w:val="bottom"/>
            <w:gridSpan w:val="2"/>
          </w:tcPr>
          <w:p>
            <w:pPr>
              <w:jc w:val="right"/>
              <w:ind w:right="860"/>
              <w:spacing w:after="0" w:line="202" w:lineRule="exact"/>
              <w:rPr>
                <w:sz w:val="20"/>
                <w:szCs w:val="20"/>
                <w:color w:val="auto"/>
              </w:rPr>
            </w:pPr>
            <w:r>
              <w:rPr>
                <w:rFonts w:ascii="Arial" w:cs="Arial" w:eastAsia="Arial" w:hAnsi="Arial"/>
                <w:sz w:val="18"/>
                <w:szCs w:val="18"/>
                <w:color w:val="auto"/>
              </w:rPr>
              <w:t>1,052,950</w:t>
            </w:r>
          </w:p>
        </w:tc>
        <w:tc>
          <w:tcPr>
            <w:tcW w:w="2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10,000,001</w:t>
            </w:r>
          </w:p>
        </w:tc>
        <w:tc>
          <w:tcPr>
            <w:tcW w:w="0" w:type="dxa"/>
            <w:vAlign w:val="bottom"/>
          </w:tcPr>
          <w:p>
            <w:pPr>
              <w:spacing w:after="0"/>
              <w:rPr>
                <w:sz w:val="1"/>
                <w:szCs w:val="1"/>
                <w:color w:val="auto"/>
              </w:rPr>
            </w:pPr>
          </w:p>
        </w:tc>
      </w:tr>
      <w:tr>
        <w:trPr>
          <w:trHeight w:val="203"/>
        </w:trPr>
        <w:tc>
          <w:tcPr>
            <w:tcW w:w="7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Entities affiliated with Lightstone Ventures, LP</w:t>
            </w:r>
            <w:r>
              <w:rPr>
                <w:rFonts w:ascii="Arial" w:cs="Arial" w:eastAsia="Arial" w:hAnsi="Arial"/>
                <w:sz w:val="15"/>
                <w:szCs w:val="15"/>
                <w:color w:val="auto"/>
              </w:rPr>
              <w:t>(3)</w:t>
            </w:r>
          </w:p>
        </w:tc>
        <w:tc>
          <w:tcPr>
            <w:tcW w:w="2400" w:type="dxa"/>
            <w:vAlign w:val="bottom"/>
            <w:gridSpan w:val="2"/>
            <w:shd w:val="clear" w:color="auto" w:fill="CCEEFF"/>
          </w:tcPr>
          <w:p>
            <w:pPr>
              <w:jc w:val="right"/>
              <w:ind w:right="860"/>
              <w:spacing w:after="0" w:line="202" w:lineRule="exact"/>
              <w:rPr>
                <w:sz w:val="20"/>
                <w:szCs w:val="20"/>
                <w:color w:val="auto"/>
              </w:rPr>
            </w:pPr>
            <w:r>
              <w:rPr>
                <w:rFonts w:ascii="Arial" w:cs="Arial" w:eastAsia="Arial" w:hAnsi="Arial"/>
                <w:sz w:val="18"/>
                <w:szCs w:val="18"/>
                <w:color w:val="auto"/>
              </w:rPr>
              <w:t>859,311</w:t>
            </w:r>
          </w:p>
        </w:tc>
        <w:tc>
          <w:tcPr>
            <w:tcW w:w="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8,161,004</w:t>
            </w:r>
          </w:p>
        </w:tc>
        <w:tc>
          <w:tcPr>
            <w:tcW w:w="0" w:type="dxa"/>
            <w:vAlign w:val="bottom"/>
          </w:tcPr>
          <w:p>
            <w:pPr>
              <w:spacing w:after="0"/>
              <w:rPr>
                <w:sz w:val="1"/>
                <w:szCs w:val="1"/>
                <w:color w:val="auto"/>
              </w:rPr>
            </w:pPr>
          </w:p>
        </w:tc>
      </w:tr>
      <w:tr>
        <w:trPr>
          <w:trHeight w:val="203"/>
        </w:trPr>
        <w:tc>
          <w:tcPr>
            <w:tcW w:w="7240" w:type="dxa"/>
            <w:vAlign w:val="bottom"/>
            <w:gridSpan w:val="2"/>
          </w:tcPr>
          <w:p>
            <w:pPr>
              <w:spacing w:after="0" w:line="202" w:lineRule="exact"/>
              <w:rPr>
                <w:sz w:val="20"/>
                <w:szCs w:val="20"/>
                <w:color w:val="auto"/>
              </w:rPr>
            </w:pPr>
            <w:r>
              <w:rPr>
                <w:rFonts w:ascii="Arial" w:cs="Arial" w:eastAsia="Arial" w:hAnsi="Arial"/>
                <w:sz w:val="18"/>
                <w:szCs w:val="18"/>
                <w:color w:val="auto"/>
              </w:rPr>
              <w:t>Logos Opportunities Fund I, LP</w:t>
            </w:r>
            <w:r>
              <w:rPr>
                <w:rFonts w:ascii="Arial" w:cs="Arial" w:eastAsia="Arial" w:hAnsi="Arial"/>
                <w:sz w:val="15"/>
                <w:szCs w:val="15"/>
                <w:color w:val="auto"/>
              </w:rPr>
              <w:t>(4)</w:t>
            </w:r>
          </w:p>
        </w:tc>
        <w:tc>
          <w:tcPr>
            <w:tcW w:w="2400" w:type="dxa"/>
            <w:vAlign w:val="bottom"/>
            <w:gridSpan w:val="2"/>
          </w:tcPr>
          <w:p>
            <w:pPr>
              <w:jc w:val="right"/>
              <w:ind w:right="860"/>
              <w:spacing w:after="0" w:line="202" w:lineRule="exact"/>
              <w:rPr>
                <w:sz w:val="20"/>
                <w:szCs w:val="20"/>
                <w:color w:val="auto"/>
              </w:rPr>
            </w:pPr>
            <w:r>
              <w:rPr>
                <w:rFonts w:ascii="Arial" w:cs="Arial" w:eastAsia="Arial" w:hAnsi="Arial"/>
                <w:sz w:val="18"/>
                <w:szCs w:val="18"/>
                <w:color w:val="auto"/>
              </w:rPr>
              <w:t>2,105,901</w:t>
            </w:r>
          </w:p>
        </w:tc>
        <w:tc>
          <w:tcPr>
            <w:tcW w:w="2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20,000,000</w:t>
            </w:r>
          </w:p>
        </w:tc>
        <w:tc>
          <w:tcPr>
            <w:tcW w:w="0" w:type="dxa"/>
            <w:vAlign w:val="bottom"/>
          </w:tcPr>
          <w:p>
            <w:pPr>
              <w:spacing w:after="0"/>
              <w:rPr>
                <w:sz w:val="1"/>
                <w:szCs w:val="1"/>
                <w:color w:val="auto"/>
              </w:rPr>
            </w:pPr>
          </w:p>
        </w:tc>
      </w:tr>
      <w:tr>
        <w:trPr>
          <w:trHeight w:val="203"/>
        </w:trPr>
        <w:tc>
          <w:tcPr>
            <w:tcW w:w="7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Vivo Capital Fund IX, LP</w:t>
            </w:r>
            <w:r>
              <w:rPr>
                <w:rFonts w:ascii="Arial" w:cs="Arial" w:eastAsia="Arial" w:hAnsi="Arial"/>
                <w:sz w:val="15"/>
                <w:szCs w:val="15"/>
                <w:color w:val="auto"/>
              </w:rPr>
              <w:t>(5)</w:t>
            </w:r>
          </w:p>
        </w:tc>
        <w:tc>
          <w:tcPr>
            <w:tcW w:w="2400" w:type="dxa"/>
            <w:vAlign w:val="bottom"/>
            <w:gridSpan w:val="2"/>
            <w:shd w:val="clear" w:color="auto" w:fill="CCEEFF"/>
          </w:tcPr>
          <w:p>
            <w:pPr>
              <w:jc w:val="right"/>
              <w:ind w:right="860"/>
              <w:spacing w:after="0" w:line="202" w:lineRule="exact"/>
              <w:rPr>
                <w:sz w:val="20"/>
                <w:szCs w:val="20"/>
                <w:color w:val="auto"/>
              </w:rPr>
            </w:pPr>
            <w:r>
              <w:rPr>
                <w:rFonts w:ascii="Arial" w:cs="Arial" w:eastAsia="Arial" w:hAnsi="Arial"/>
                <w:sz w:val="18"/>
                <w:szCs w:val="18"/>
                <w:color w:val="auto"/>
              </w:rPr>
              <w:t>3,158,851</w:t>
            </w:r>
          </w:p>
        </w:tc>
        <w:tc>
          <w:tcPr>
            <w:tcW w:w="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30,000,000</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540" w:hanging="424"/>
        <w:spacing w:after="0"/>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Dr. Corey Goodman, our Executive Chairman, is a director of Emaldi Corporation.</w:t>
      </w:r>
    </w:p>
    <w:p>
      <w:pPr>
        <w:ind w:left="540" w:right="340" w:hanging="424"/>
        <w:spacing w:after="0" w:line="234" w:lineRule="auto"/>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Entities affiliated with venBio Global Strategic Fund, LP whose shares are aggregated for the purposes of reporting ownership information include venBio Global Strategic Fund LP and venBio Global Strategic Fund II L.P. Dr. Corey Goodman, our Executive Chairman, is a Managing Partner of venBio Partners. Dr. Jaume Pons, our Chief Executive Officer and a member of our board of directors, is a venture partner of venBio Partners.</w:t>
      </w:r>
    </w:p>
    <w:p>
      <w:pPr>
        <w:spacing w:after="0" w:line="2" w:lineRule="exact"/>
        <w:rPr>
          <w:rFonts w:ascii="Arial" w:cs="Arial" w:eastAsia="Arial" w:hAnsi="Arial"/>
          <w:sz w:val="18"/>
          <w:szCs w:val="18"/>
          <w:color w:val="auto"/>
        </w:rPr>
      </w:pPr>
    </w:p>
    <w:p>
      <w:pPr>
        <w:ind w:left="540" w:right="340" w:hanging="424"/>
        <w:spacing w:after="0" w:line="234" w:lineRule="auto"/>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Entities affiliated with Lightstone Ventures, LP whose shares are aggregated for the purposes of reporting ownership information include Lightstone Ventures, LP, Lightstone Ventures (A), LP, Lightstone Ventures II, LP and Lightstone Ventures II (A), LP. Jason Lettmann, a member of our board of directors, is a General Partner of Lightstone Ventures. Dr. Jaume Pons, our Chief Executive Officer and a member of our board of directors, is a scientific advisor of Lightstone Ventures.</w:t>
      </w:r>
    </w:p>
    <w:p>
      <w:pPr>
        <w:spacing w:after="0" w:line="2" w:lineRule="exact"/>
        <w:rPr>
          <w:rFonts w:ascii="Arial" w:cs="Arial" w:eastAsia="Arial" w:hAnsi="Arial"/>
          <w:sz w:val="18"/>
          <w:szCs w:val="18"/>
          <w:color w:val="auto"/>
        </w:rPr>
      </w:pPr>
    </w:p>
    <w:p>
      <w:pPr>
        <w:ind w:left="540" w:hanging="424"/>
        <w:spacing w:after="0" w:line="234" w:lineRule="auto"/>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Dr. Graham Walmsley, a member of our board of directors, is a Founding Member and Managing Partner of Logos Capital.</w:t>
      </w:r>
    </w:p>
    <w:p>
      <w:pPr>
        <w:ind w:left="540" w:hanging="424"/>
        <w:spacing w:after="0"/>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Jack Nielsen, a member of our board of directors, is a Managing Partner of Vivo Capital.</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Investors’ Rights Agreement</w:t>
      </w:r>
    </w:p>
    <w:p>
      <w:pPr>
        <w:spacing w:after="0" w:line="126"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We are party to an investors’ rights agreement, as amended, with certain holders of our capital stock, including venBio, Lightstone Ventures, Vivo Capital and Logos Capital. Under our investors’ rights agreement, certain holders of our capital stock have the right to demand that we file a registration statement or request that their shares of our capital stock be covered by a registration statement that we are otherwise filing.</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venBio Consulting Agreement</w:t>
      </w:r>
    </w:p>
    <w:p>
      <w:pPr>
        <w:spacing w:after="0" w:line="126" w:lineRule="exact"/>
        <w:rPr>
          <w:sz w:val="20"/>
          <w:szCs w:val="20"/>
          <w:color w:val="auto"/>
        </w:rPr>
      </w:pPr>
    </w:p>
    <w:p>
      <w:pPr>
        <w:ind w:left="120" w:right="360"/>
        <w:spacing w:after="0" w:line="246" w:lineRule="auto"/>
        <w:rPr>
          <w:sz w:val="20"/>
          <w:szCs w:val="20"/>
          <w:color w:val="auto"/>
        </w:rPr>
      </w:pPr>
      <w:r>
        <w:rPr>
          <w:rFonts w:ascii="Arial" w:cs="Arial" w:eastAsia="Arial" w:hAnsi="Arial"/>
          <w:sz w:val="18"/>
          <w:szCs w:val="18"/>
          <w:color w:val="auto"/>
        </w:rPr>
        <w:t>In January 2017, Dr. Jaume Pons, our Chief Executive Officer and the Chief Executive Officer of ALX Oncology Limited, entered into a consulting agreement with venBio, one of our stockholders and an</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40"/>
          </w:cols>
          <w:pgMar w:left="32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20"/>
        <w:spacing w:after="0" w:line="234" w:lineRule="auto"/>
        <w:rPr>
          <w:sz w:val="20"/>
          <w:szCs w:val="20"/>
          <w:color w:val="auto"/>
        </w:rPr>
      </w:pPr>
      <w:r>
        <w:rPr>
          <w:rFonts w:ascii="Arial" w:cs="Arial" w:eastAsia="Arial" w:hAnsi="Arial"/>
          <w:sz w:val="18"/>
          <w:szCs w:val="18"/>
          <w:color w:val="auto"/>
        </w:rPr>
        <w:t>affiliate of one of our directors, Dr. Corey Goodman, to provide assistance with deal generation, evaluate potential investments and serve on boards of venBio’s portfolio companies. In accordance with this agreement as compensation for services provided, venBio paid</w:t>
      </w:r>
    </w:p>
    <w:p>
      <w:pPr>
        <w:spacing w:after="0" w:line="1" w:lineRule="exact"/>
        <w:rPr>
          <w:sz w:val="20"/>
          <w:szCs w:val="20"/>
          <w:color w:val="auto"/>
        </w:rPr>
      </w:pPr>
    </w:p>
    <w:p>
      <w:pPr>
        <w:ind w:left="120" w:right="120"/>
        <w:spacing w:after="0" w:line="246" w:lineRule="auto"/>
        <w:rPr>
          <w:sz w:val="20"/>
          <w:szCs w:val="20"/>
          <w:color w:val="auto"/>
        </w:rPr>
      </w:pPr>
      <w:r>
        <w:rPr>
          <w:rFonts w:ascii="Arial" w:cs="Arial" w:eastAsia="Arial" w:hAnsi="Arial"/>
          <w:sz w:val="18"/>
          <w:szCs w:val="18"/>
          <w:color w:val="auto"/>
        </w:rPr>
        <w:t>Dr. Pons approximately $125,000 per year in 2017, 2018, 2019 and 2020. The consulting agreement remains in effect until terminated by either party with or without prior notice.</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Tallac Therapeutics Agreements</w:t>
      </w:r>
    </w:p>
    <w:p>
      <w:pPr>
        <w:spacing w:after="0" w:line="126" w:lineRule="exact"/>
        <w:rPr>
          <w:sz w:val="20"/>
          <w:szCs w:val="20"/>
          <w:color w:val="auto"/>
        </w:rPr>
      </w:pPr>
    </w:p>
    <w:p>
      <w:pPr>
        <w:ind w:left="120" w:right="240"/>
        <w:spacing w:after="0" w:line="237" w:lineRule="auto"/>
        <w:rPr>
          <w:sz w:val="20"/>
          <w:szCs w:val="20"/>
          <w:color w:val="auto"/>
        </w:rPr>
      </w:pPr>
      <w:r>
        <w:rPr>
          <w:rFonts w:ascii="Arial" w:cs="Arial" w:eastAsia="Arial" w:hAnsi="Arial"/>
          <w:sz w:val="18"/>
          <w:szCs w:val="18"/>
          <w:color w:val="auto"/>
        </w:rPr>
        <w:t>In May 2018, Dr. Jaume Pons, our Chief Executive Officer, entered into a consulting agreement with Tallac Therapeutics. Dr. Pons was engaged to provide management services. In accordance with this agreement as compensation for his services, Tallac Therapeutics issued Dr. Pons shares of its common stock. The consulting agreement will terminate automatically upon the later of completion of all projects under the consulting agreement or two years. In addition, Tallac Therapeutics may terminate the agreement at any time without prior notice, and Dr. Pons may terminate the agreement upon 30 days’ prior written notice if no services remain outstanding under the agreement.</w:t>
      </w:r>
    </w:p>
    <w:p>
      <w:pPr>
        <w:spacing w:after="0" w:line="205" w:lineRule="exact"/>
        <w:rPr>
          <w:sz w:val="20"/>
          <w:szCs w:val="20"/>
          <w:color w:val="auto"/>
        </w:rPr>
      </w:pPr>
    </w:p>
    <w:p>
      <w:pPr>
        <w:ind w:left="120" w:right="100"/>
        <w:spacing w:after="0"/>
        <w:rPr>
          <w:sz w:val="20"/>
          <w:szCs w:val="20"/>
          <w:color w:val="auto"/>
        </w:rPr>
      </w:pPr>
      <w:r>
        <w:rPr>
          <w:rFonts w:ascii="Arial" w:cs="Arial" w:eastAsia="Arial" w:hAnsi="Arial"/>
          <w:sz w:val="18"/>
          <w:szCs w:val="18"/>
          <w:color w:val="auto"/>
        </w:rPr>
        <w:t>Dr. Pons served as the Chief Executive Officer of Tallac Therapeutics until April 2020, and Dr. Hong Wan, our former Chief Scientific Officer, currently serves as the Chief Executive Officer of Tallac Therapeutics. Dr. Pons also currently serves as a member of the board of directors of Tallac Therapeutics.</w:t>
      </w:r>
    </w:p>
    <w:p>
      <w:pPr>
        <w:spacing w:after="0" w:line="203" w:lineRule="exact"/>
        <w:rPr>
          <w:sz w:val="20"/>
          <w:szCs w:val="20"/>
          <w:color w:val="auto"/>
        </w:rPr>
      </w:pPr>
    </w:p>
    <w:p>
      <w:pPr>
        <w:ind w:left="120"/>
        <w:spacing w:after="0" w:line="246" w:lineRule="auto"/>
        <w:rPr>
          <w:sz w:val="20"/>
          <w:szCs w:val="20"/>
          <w:color w:val="auto"/>
        </w:rPr>
      </w:pPr>
      <w:r>
        <w:rPr>
          <w:rFonts w:ascii="Arial" w:cs="Arial" w:eastAsia="Arial" w:hAnsi="Arial"/>
          <w:sz w:val="18"/>
          <w:szCs w:val="18"/>
          <w:color w:val="auto"/>
        </w:rPr>
        <w:t>In addition, two of our current investors, venBio and Lightstone Ventures, who were also investors of ALX Oncology Limited prior to April 1, 2020, are also investors in Tallac Therapeutics.</w:t>
      </w:r>
    </w:p>
    <w:p>
      <w:pPr>
        <w:spacing w:after="0" w:line="197" w:lineRule="exact"/>
        <w:rPr>
          <w:sz w:val="20"/>
          <w:szCs w:val="20"/>
          <w:color w:val="auto"/>
        </w:rPr>
      </w:pPr>
    </w:p>
    <w:p>
      <w:pPr>
        <w:ind w:left="120" w:right="180"/>
        <w:spacing w:after="0" w:line="237" w:lineRule="auto"/>
        <w:rPr>
          <w:sz w:val="20"/>
          <w:szCs w:val="20"/>
          <w:color w:val="auto"/>
        </w:rPr>
      </w:pPr>
      <w:r>
        <w:rPr>
          <w:rFonts w:ascii="Arial" w:cs="Arial" w:eastAsia="Arial" w:hAnsi="Arial"/>
          <w:sz w:val="18"/>
          <w:szCs w:val="18"/>
          <w:color w:val="auto"/>
        </w:rPr>
        <w:t>In June 2018, we entered into the Tollnine Agreement to provide research and development services to Tallac Therapeutics. Pursuant to the terms of the Tollnine Agreement, which was amended in May 2019 and was terminated effective as of June 30, 2020, ALX Oncology Inc. (f/k/a Alexo Therapeutics Inc.), our indirectly wholly-owned subsidiary, provided certain research and development services to Tallac Therapeutics for a service fee based on the costs incurred by the Company plus a mark-up. For the years ended December 31, 2018, 2019 and 2020, we recognized related-party revenues of $2.1 million, $4.8 million and $1.2 million, respectively. As of December 31, 2018, 2019 and 2020, we had outstanding related-party receivables from Tallac Therapeutics of $0.9 million, $0.5 million and zero, respectively.</w:t>
      </w:r>
    </w:p>
    <w:p>
      <w:pPr>
        <w:spacing w:after="0" w:line="203" w:lineRule="exact"/>
        <w:rPr>
          <w:sz w:val="20"/>
          <w:szCs w:val="20"/>
          <w:color w:val="auto"/>
        </w:rPr>
      </w:pPr>
    </w:p>
    <w:p>
      <w:pPr>
        <w:ind w:left="120" w:right="200"/>
        <w:spacing w:after="0" w:line="246" w:lineRule="auto"/>
        <w:rPr>
          <w:sz w:val="20"/>
          <w:szCs w:val="20"/>
          <w:color w:val="auto"/>
        </w:rPr>
      </w:pPr>
      <w:r>
        <w:rPr>
          <w:rFonts w:ascii="Arial" w:cs="Arial" w:eastAsia="Arial" w:hAnsi="Arial"/>
          <w:sz w:val="18"/>
          <w:szCs w:val="18"/>
          <w:color w:val="auto"/>
        </w:rPr>
        <w:t>As of July 1, 2020, we terminated the Tollnine Agreement and entered into a series of transactions with Tallac Therapeutics and Dr. Wan as described below.</w:t>
      </w:r>
    </w:p>
    <w:p>
      <w:pPr>
        <w:spacing w:after="0" w:line="80" w:lineRule="exact"/>
        <w:rPr>
          <w:sz w:val="20"/>
          <w:szCs w:val="20"/>
          <w:color w:val="auto"/>
        </w:rPr>
      </w:pPr>
    </w:p>
    <w:p>
      <w:pPr>
        <w:ind w:left="1080" w:right="60" w:hanging="424"/>
        <w:spacing w:after="0" w:line="244"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 xml:space="preserve">Entry into the Tallac Services Agreement: </w:t>
      </w:r>
      <w:r>
        <w:rPr>
          <w:rFonts w:ascii="Arial" w:cs="Arial" w:eastAsia="Arial" w:hAnsi="Arial"/>
          <w:sz w:val="18"/>
          <w:szCs w:val="18"/>
          <w:color w:val="auto"/>
        </w:rPr>
        <w:t>We entered into the Tallac Services Agreement, with Tallac Therapeutics</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as of July 1, 2020. The Tallac Services Agreement provides that Tallac Therapeutics will provide certain preclinical research services to us for a service fee based on the costs incurred by Tallac Therapeutics plus a mark-up equal to 10.0% of such costs. The Tallac Services Agreement has an initial term of four years and is renewed automatically for additional one year terms thereafter.</w:t>
      </w:r>
    </w:p>
    <w:p>
      <w:pPr>
        <w:spacing w:after="0" w:line="81" w:lineRule="exact"/>
        <w:rPr>
          <w:rFonts w:ascii="Arial" w:cs="Arial" w:eastAsia="Arial" w:hAnsi="Arial"/>
          <w:sz w:val="18"/>
          <w:szCs w:val="18"/>
          <w:color w:val="auto"/>
        </w:rPr>
      </w:pPr>
    </w:p>
    <w:p>
      <w:pPr>
        <w:ind w:left="1080" w:right="1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 xml:space="preserve">Resignation of Dr. Wan and entry into Consulting Agreement: </w:t>
      </w:r>
      <w:r>
        <w:rPr>
          <w:rFonts w:ascii="Arial" w:cs="Arial" w:eastAsia="Arial" w:hAnsi="Arial"/>
          <w:sz w:val="18"/>
          <w:szCs w:val="18"/>
          <w:color w:val="auto"/>
        </w:rPr>
        <w:t>Dr. Wan resigned from her position as our Chief Scientific</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and ceased to be our employee effective as of June 30, 2020. In connection with her resignation, we entered into a Consulting Agreement with Dr. Wan effective as of July 1, 2020. Under the Consulting Agreement, Dr. Wan serves as our Chief Science Consultant and, among other things, spends approximately 20% of her time performing activities typically performed by a consulting scientific adviser in the biotechnology industry. In exchange for such services, the options to purchase shares of our common stock that were previously granted to Dr. Wan will continue to vest and be exercisable subject to Dr. Wan remaining a service provider under the Consulting Agreement or the Tallac Services</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100" w:right="180"/>
        <w:spacing w:after="0" w:line="246" w:lineRule="auto"/>
        <w:rPr>
          <w:sz w:val="20"/>
          <w:szCs w:val="20"/>
          <w:color w:val="auto"/>
        </w:rPr>
      </w:pPr>
      <w:r>
        <w:rPr>
          <w:rFonts w:ascii="Arial" w:cs="Arial" w:eastAsia="Arial" w:hAnsi="Arial"/>
          <w:sz w:val="18"/>
          <w:szCs w:val="18"/>
          <w:color w:val="auto"/>
        </w:rPr>
        <w:t>Agreement. The Consulting Agreement has an initial term of four years and is renewed automatically for additional one year terms thereafter.</w:t>
      </w:r>
    </w:p>
    <w:p>
      <w:pPr>
        <w:spacing w:after="0" w:line="80" w:lineRule="exact"/>
        <w:rPr>
          <w:sz w:val="20"/>
          <w:szCs w:val="20"/>
          <w:color w:val="auto"/>
        </w:rPr>
      </w:pPr>
    </w:p>
    <w:p>
      <w:pPr>
        <w:ind w:left="1080" w:right="200" w:hanging="424"/>
        <w:spacing w:after="0" w:line="244"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 xml:space="preserve">Transfer of employees to Tallac Therapeutics: </w:t>
      </w:r>
      <w:r>
        <w:rPr>
          <w:rFonts w:ascii="Arial" w:cs="Arial" w:eastAsia="Arial" w:hAnsi="Arial"/>
          <w:sz w:val="18"/>
          <w:szCs w:val="18"/>
          <w:color w:val="auto"/>
        </w:rPr>
        <w:t>In addition to Dr. Wan, eight of our employees, or Transferred Employees,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also terminated their employment with us effective as of June 30, 2020 and became employees of Tallac Therapeutics effective as of July 1, 2020. The options to purchase shares of our common stock that were previously granted to the Transferred Employees will continue to vest and be exercisable subject to the Transferred Employees remaining service providers under the Tallac Services Agreement.</w:t>
      </w:r>
    </w:p>
    <w:p>
      <w:pPr>
        <w:spacing w:after="0" w:line="81" w:lineRule="exact"/>
        <w:rPr>
          <w:rFonts w:ascii="Arial" w:cs="Arial" w:eastAsia="Arial" w:hAnsi="Arial"/>
          <w:sz w:val="18"/>
          <w:szCs w:val="18"/>
          <w:color w:val="auto"/>
        </w:rPr>
      </w:pPr>
    </w:p>
    <w:p>
      <w:pPr>
        <w:ind w:left="1080" w:right="120" w:hanging="424"/>
        <w:spacing w:after="0" w:line="253"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 xml:space="preserve">Entry into Asset Transfer Agreement: </w:t>
      </w:r>
      <w:r>
        <w:rPr>
          <w:rFonts w:ascii="Arial" w:cs="Arial" w:eastAsia="Arial" w:hAnsi="Arial"/>
          <w:sz w:val="18"/>
          <w:szCs w:val="18"/>
          <w:color w:val="auto"/>
        </w:rPr>
        <w:t>ALX Oncology Inc. entered into an Asset Transfer Agreement with Tallac</w:t>
      </w:r>
      <w:r>
        <w:rPr>
          <w:rFonts w:ascii="Arial" w:cs="Arial" w:eastAsia="Arial" w:hAnsi="Arial"/>
          <w:sz w:val="18"/>
          <w:szCs w:val="18"/>
          <w:b w:val="1"/>
          <w:bCs w:val="1"/>
          <w:color w:val="auto"/>
        </w:rPr>
        <w:t xml:space="preserve"> </w:t>
      </w:r>
      <w:r>
        <w:rPr>
          <w:rFonts w:ascii="Arial" w:cs="Arial" w:eastAsia="Arial" w:hAnsi="Arial"/>
          <w:sz w:val="18"/>
          <w:szCs w:val="18"/>
          <w:color w:val="auto"/>
        </w:rPr>
        <w:t>Therapeutics effective in July 2020, pursuant to which Tallac Therapeutics purchased certain lab equipment and other assets from ALX Oncology Inc. for minimal cash consideration representing the aggregate book value of such assets.</w:t>
      </w:r>
    </w:p>
    <w:p>
      <w:pPr>
        <w:spacing w:after="0" w:line="191" w:lineRule="exact"/>
        <w:rPr>
          <w:sz w:val="20"/>
          <w:szCs w:val="20"/>
          <w:color w:val="auto"/>
        </w:rPr>
      </w:pPr>
    </w:p>
    <w:p>
      <w:pPr>
        <w:ind w:left="120" w:right="80"/>
        <w:spacing w:after="0" w:line="246" w:lineRule="auto"/>
        <w:rPr>
          <w:sz w:val="20"/>
          <w:szCs w:val="20"/>
          <w:color w:val="auto"/>
        </w:rPr>
      </w:pPr>
      <w:r>
        <w:rPr>
          <w:rFonts w:ascii="Arial" w:cs="Arial" w:eastAsia="Arial" w:hAnsi="Arial"/>
          <w:sz w:val="18"/>
          <w:szCs w:val="18"/>
          <w:color w:val="auto"/>
        </w:rPr>
        <w:t>In addition to the transactions described above, we also assigned to Tallac Therapeutics our lease with respect to our premises located at 866 Malcolm Road, Burlingame, California, and received a sublease for such premises from Tallac Therapeutics.</w:t>
      </w:r>
    </w:p>
    <w:p>
      <w:pPr>
        <w:spacing w:after="0" w:line="19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On March 4, 2021, we entered into a Collaboration Agreement with Tallac Therapeutics pursuant to which we expect to jointly develop, manufacture, and commercialize a novel class of cancer immunotherapeutics. The collaboration builds on our expertise in developing therapies that block the CD47 checkpoint pathway and expands our immuno-oncology pipeline. Together with Tallac Therapeutics, we will leverage our respective scientific and technical expertise to advance an anti-SIRP</w:t>
      </w:r>
      <w:r>
        <w:rPr>
          <w:rFonts w:ascii="Arial" w:cs="Arial" w:eastAsia="Arial" w:hAnsi="Arial"/>
          <w:sz w:val="18"/>
          <w:szCs w:val="18"/>
          <w:color w:val="auto"/>
        </w:rPr>
        <w:t>α</w:t>
      </w:r>
      <w:r>
        <w:rPr>
          <w:rFonts w:ascii="Arial" w:cs="Arial" w:eastAsia="Arial" w:hAnsi="Arial"/>
          <w:sz w:val="18"/>
          <w:szCs w:val="18"/>
          <w:color w:val="auto"/>
        </w:rPr>
        <w:t xml:space="preserve"> antibody conjugated to a Toll-like receptor 9 agonist for targeted activation of both the innate and adaptive immune systems. We and Tallac Therapeutics will share equally in the cost and expenses of research and development and any profit or loss.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Directed Share Program</w:t>
      </w:r>
    </w:p>
    <w:p>
      <w:pPr>
        <w:spacing w:after="0" w:line="126" w:lineRule="exact"/>
        <w:rPr>
          <w:sz w:val="20"/>
          <w:szCs w:val="20"/>
          <w:color w:val="auto"/>
        </w:rPr>
      </w:pPr>
    </w:p>
    <w:p>
      <w:pPr>
        <w:ind w:left="120" w:right="160"/>
        <w:spacing w:after="0" w:line="238" w:lineRule="auto"/>
        <w:rPr>
          <w:sz w:val="20"/>
          <w:szCs w:val="20"/>
          <w:color w:val="auto"/>
        </w:rPr>
      </w:pPr>
      <w:r>
        <w:rPr>
          <w:rFonts w:ascii="Arial" w:cs="Arial" w:eastAsia="Arial" w:hAnsi="Arial"/>
          <w:sz w:val="18"/>
          <w:szCs w:val="18"/>
          <w:color w:val="auto"/>
        </w:rPr>
        <w:t>In July 2020, we issued and sold 9,775,000 shares of common stock at a public offering price of $19.00 per share for gross proceeds of $185,725,000. At our request, an affiliate of Jefferies LLC, one of the underwriters in our initial public offering, sold 100,000 of the shares of common stock offered in our initial public offering to certain of our officers, directors, employees and other persons who do business with us. The shares purchased by our executive officers and members of their households were subject to the 180-day lock-up entered into in connection with our initial public offering and the 90-day lock-up entered into in connection with our follow-on offering.</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 Agreements</w:t>
      </w:r>
    </w:p>
    <w:p>
      <w:pPr>
        <w:spacing w:after="0" w:line="126"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Our amended and restated certificate of incorporation contains provisions limiting the liability of the members of our board of directors, and our amended and restated bylaws provide that we will indemnify each of our officers and the members of our board of directors to the fullest extent permitted under Delaware law. Our amended and restated certificate of incorporation and amended and restated bylaws also provide our board of directors with discretion to indemnify our employees and other agents when it determines to be appropriate. In addition, we have entered into an indemnification agreement with each of our executive officers and the members of our board of directors requiring us to indemnify them.</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Related-Party Transaction Policy</w:t>
      </w:r>
    </w:p>
    <w:p>
      <w:pPr>
        <w:spacing w:after="0" w:line="126" w:lineRule="exact"/>
        <w:rPr>
          <w:sz w:val="20"/>
          <w:szCs w:val="20"/>
          <w:color w:val="auto"/>
        </w:rPr>
      </w:pPr>
    </w:p>
    <w:p>
      <w:pPr>
        <w:ind w:left="120" w:right="400"/>
        <w:spacing w:after="0" w:line="246" w:lineRule="auto"/>
        <w:rPr>
          <w:sz w:val="20"/>
          <w:szCs w:val="20"/>
          <w:color w:val="auto"/>
        </w:rPr>
      </w:pPr>
      <w:r>
        <w:rPr>
          <w:rFonts w:ascii="Arial" w:cs="Arial" w:eastAsia="Arial" w:hAnsi="Arial"/>
          <w:sz w:val="18"/>
          <w:szCs w:val="18"/>
          <w:color w:val="auto"/>
        </w:rPr>
        <w:t>Our audit committee has the primary responsibility for reviewing and approving or disapproving “related-party transactions,” which are transactions between us and related persons in which the</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240"/>
        <w:spacing w:after="0"/>
        <w:rPr>
          <w:sz w:val="20"/>
          <w:szCs w:val="20"/>
          <w:color w:val="auto"/>
        </w:rPr>
      </w:pPr>
      <w:r>
        <w:rPr>
          <w:rFonts w:ascii="Arial" w:cs="Arial" w:eastAsia="Arial" w:hAnsi="Arial"/>
          <w:sz w:val="18"/>
          <w:szCs w:val="18"/>
          <w:color w:val="auto"/>
        </w:rPr>
        <w:t>aggregate amount involved exceeds or may be expected to exceed $ 120,000 and in which a related person has or will have a direct or indirect material interest. The charter of our audit committee provides that our audit committee shall review and approve in advance any related-party transaction.</w:t>
      </w:r>
    </w:p>
    <w:p>
      <w:pPr>
        <w:spacing w:after="0" w:line="19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board of directors has adopted a formal written policy providing that we are not permitted to enter into any transaction that exceeds</w:t>
      </w:r>
    </w:p>
    <w:p>
      <w:pPr>
        <w:ind w:left="120"/>
        <w:spacing w:after="0" w:line="238" w:lineRule="auto"/>
        <w:rPr>
          <w:sz w:val="20"/>
          <w:szCs w:val="20"/>
          <w:color w:val="auto"/>
        </w:rPr>
      </w:pPr>
      <w:r>
        <w:rPr>
          <w:rFonts w:ascii="Arial" w:cs="Arial" w:eastAsia="Arial" w:hAnsi="Arial"/>
          <w:sz w:val="18"/>
          <w:szCs w:val="18"/>
          <w:color w:val="auto"/>
        </w:rPr>
        <w:t>$120,000 and in which any related person has a direct or indirect material interest without the consent of our audit committee. In approving or rejecting any such transaction, our audit committee is to consider the relevant facts and circumstances available and deemed relevant to our audit committee, including whether the transaction is on terms no less favorable than terms generally available to an unaffiliated third party under the same or similar circumstances and the extent of the related person’s interest in the transaction.</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OTHER MATTERS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Delinquent Section 16(a) Reports</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Section 16(a) of the Exchange Act requires that our executive officers and directors, and persons who own more than 10% of our common stock, file reports of ownership and changes of ownership with the SEC. Such directors, executive officers and 10% stockholders are required by SEC regulation to furnish us with copies of all Section 16(a) forms they file.</w:t>
      </w:r>
    </w:p>
    <w:p>
      <w:pPr>
        <w:spacing w:after="0" w:line="203" w:lineRule="exact"/>
        <w:rPr>
          <w:sz w:val="20"/>
          <w:szCs w:val="20"/>
          <w:color w:val="auto"/>
        </w:rPr>
      </w:pPr>
    </w:p>
    <w:p>
      <w:pPr>
        <w:ind w:left="120" w:right="160"/>
        <w:spacing w:after="0" w:line="238" w:lineRule="auto"/>
        <w:rPr>
          <w:sz w:val="20"/>
          <w:szCs w:val="20"/>
          <w:color w:val="auto"/>
        </w:rPr>
      </w:pPr>
      <w:r>
        <w:rPr>
          <w:rFonts w:ascii="Arial" w:cs="Arial" w:eastAsia="Arial" w:hAnsi="Arial"/>
          <w:sz w:val="18"/>
          <w:szCs w:val="18"/>
          <w:color w:val="auto"/>
        </w:rPr>
        <w:t>SEC regulations require us to identify in this proxy statement anyone who filed a required report late during the most recent fiscal year. Based solely on our review of forms we received, or written representations from reporting persons stating that they were not required to file these forms, we believe that during our fiscal year ended December 31, 2020, all executive officers, directors and greater than 10% stockholders complied with all applicable SEC filing requirements.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Fiscal Year 2020 Annual Report and SEC Filings</w:t>
      </w:r>
    </w:p>
    <w:p>
      <w:pPr>
        <w:spacing w:after="0" w:line="126"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Our financial statements for our fiscal year ended December 31, 2020 are included in our Annual Report on Form 10-K filed with the SEC on March 18, 2021. This proxy statement and our Annual Report on Form 10-K are posted on our investor relations website at https://ir.alxoncology.com/ and are available from the SEC at its website at www.sec.gov. You may also obtain a copy of our Annual Report on Form 10-K without charge by sending a written request to ALX Oncology Holdings Inc., Attention: Investor Relations, 866 Malcolm Road, Suite 100, Burlingame, California 94010.</w:t>
      </w:r>
    </w:p>
    <w:p>
      <w:pPr>
        <w:spacing w:after="0" w:line="20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 *</w:t>
      </w:r>
    </w:p>
    <w:p>
      <w:pPr>
        <w:spacing w:after="0" w:line="212" w:lineRule="exact"/>
        <w:rPr>
          <w:sz w:val="20"/>
          <w:szCs w:val="20"/>
          <w:color w:val="auto"/>
        </w:rPr>
      </w:pPr>
    </w:p>
    <w:p>
      <w:pPr>
        <w:ind w:left="120" w:right="80"/>
        <w:spacing w:after="0"/>
        <w:rPr>
          <w:sz w:val="20"/>
          <w:szCs w:val="20"/>
          <w:color w:val="auto"/>
        </w:rPr>
      </w:pPr>
      <w:r>
        <w:rPr>
          <w:rFonts w:ascii="Arial" w:cs="Arial" w:eastAsia="Arial" w:hAnsi="Arial"/>
          <w:sz w:val="18"/>
          <w:szCs w:val="18"/>
          <w:color w:val="auto"/>
        </w:rPr>
        <w:t>The board of directors does not know of any other matters to be presented at the Annual Meeting. If any additional matters are properly presented at the Annual Meeting, the persons named on the enclosed proxy card will have discretion to vote the shares of common stock they represent in accordance with their own judgment on such matters.</w:t>
      </w:r>
    </w:p>
    <w:p>
      <w:pPr>
        <w:spacing w:after="0" w:line="203" w:lineRule="exact"/>
        <w:rPr>
          <w:sz w:val="20"/>
          <w:szCs w:val="20"/>
          <w:color w:val="auto"/>
        </w:rPr>
      </w:pPr>
    </w:p>
    <w:p>
      <w:pPr>
        <w:jc w:val="both"/>
        <w:ind w:left="120" w:right="60"/>
        <w:spacing w:after="0"/>
        <w:rPr>
          <w:sz w:val="20"/>
          <w:szCs w:val="20"/>
          <w:color w:val="auto"/>
        </w:rPr>
      </w:pPr>
      <w:r>
        <w:rPr>
          <w:rFonts w:ascii="Arial" w:cs="Arial" w:eastAsia="Arial" w:hAnsi="Arial"/>
          <w:sz w:val="18"/>
          <w:szCs w:val="18"/>
          <w:color w:val="auto"/>
        </w:rPr>
        <w:t>It is important that your shares of common stock be represented at the Annual Meeting, regardless of the number of shares that you hold. You are, therefore, urged to vote over the Internet or by telephone as instructed on the enclosed proxy card or execute and return, at your earliest convenience, the enclosed proxy card in the envelope that has also been provided.</w:t>
      </w:r>
    </w:p>
    <w:p>
      <w:pPr>
        <w:spacing w:after="0" w:line="181"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THE BOARD OF DIRECTORS</w:t>
      </w:r>
    </w:p>
    <w:p>
      <w:pPr>
        <w:spacing w:after="0" w:line="22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Burlingame, California</w:t>
      </w:r>
    </w:p>
    <w:p>
      <w:pPr>
        <w:ind w:left="6080"/>
        <w:spacing w:after="0"/>
        <w:rPr>
          <w:sz w:val="20"/>
          <w:szCs w:val="20"/>
          <w:color w:val="auto"/>
        </w:rPr>
      </w:pPr>
      <w:r>
        <w:rPr>
          <w:rFonts w:ascii="Arial" w:cs="Arial" w:eastAsia="Arial" w:hAnsi="Arial"/>
          <w:sz w:val="18"/>
          <w:szCs w:val="18"/>
          <w:color w:val="auto"/>
        </w:rPr>
        <w:t>April 29, 2021</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00"/>
          </w:cols>
          <w:pgMar w:left="320" w:top="459" w:right="479" w:bottom="1440" w:gutter="0" w:footer="0" w:header="0"/>
        </w:sectPr>
      </w:pPr>
    </w:p>
    <w:bookmarkStart w:id="46" w:name="page47"/>
    <w:bookmarkEnd w:id="4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220345</wp:posOffset>
            </wp:positionV>
            <wp:extent cx="6626225" cy="85725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626225" cy="857250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47" w:name="page48"/>
    <w:bookmarkEnd w:id="4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220345</wp:posOffset>
            </wp:positionV>
            <wp:extent cx="6626225" cy="85725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626225" cy="8572500"/>
                    </a:xfrm>
                    <a:prstGeom prst="rect">
                      <a:avLst/>
                    </a:prstGeom>
                    <a:noFill/>
                  </pic:spPr>
                </pic:pic>
              </a:graphicData>
            </a:graphic>
          </wp:anchor>
        </w:drawing>
      </w:r>
    </w:p>
    <w:sectPr>
      <w:pgSz w:w="11900" w:h="16838" w:orient="portrait"/>
      <w:cols w:equalWidth="0" w:num="1">
        <w:col w:w="10139"/>
      </w:cols>
      <w:pgMar w:left="32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lvl w:ilvl="1">
      <w:lvlJc w:val="left"/>
      <w:lvlText w:val="(%2)"/>
      <w:numFmt w:val="decimal"/>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1)"/>
      <w:numFmt w:val="decimal"/>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1)"/>
      <w:numFmt w:val="lowerLetter"/>
      <w:start w:val="2"/>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1)"/>
      <w:numFmt w:val="decimal"/>
      <w:start w:val="1"/>
    </w:lvl>
  </w:abstractNum>
  <w:abstractNum w:abstractNumId="20">
    <w:nsid w:val="22221A70"/>
    <w:multiLevelType w:val="hybridMultilevel"/>
    <w:lvl w:ilvl="0">
      <w:lvlJc w:val="left"/>
      <w:lvlText w:val="(%1)"/>
      <w:numFmt w:val="decimal"/>
      <w:start w:val="2"/>
    </w:lvl>
  </w:abstractNum>
  <w:abstractNum w:abstractNumId="21">
    <w:nsid w:val="4516DDE9"/>
    <w:multiLevelType w:val="hybridMultilevel"/>
    <w:lvl w:ilvl="0">
      <w:lvlJc w:val="left"/>
      <w:lvlText w:val="(%1)"/>
      <w:numFmt w:val="decimal"/>
      <w:start w:val="1"/>
    </w:lvl>
  </w:abstractNum>
  <w:abstractNum w:abstractNumId="22">
    <w:nsid w:val="3006C83E"/>
    <w:multiLevelType w:val="hybridMultilevel"/>
    <w:lvl w:ilvl="0">
      <w:lvlJc w:val="left"/>
      <w:lvlText w:val="(%1)"/>
      <w:numFmt w:val="decimal"/>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1)"/>
      <w:numFmt w:val="decimal"/>
      <w:start w:val="1"/>
    </w:lvl>
  </w:abstractNum>
  <w:abstractNum w:abstractNumId="26">
    <w:nsid w:val="440BADFC"/>
    <w:multiLevelType w:val="hybridMultilevel"/>
    <w:lvl w:ilvl="0">
      <w:lvlJc w:val="left"/>
      <w:lvlText w:val="(%1)"/>
      <w:numFmt w:val="decimal"/>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1)"/>
      <w:numFmt w:val="decimal"/>
      <w:start w:val="1"/>
    </w:lvl>
  </w:abstractNum>
  <w:abstractNum w:abstractNumId="30">
    <w:nsid w:val="7724C67E"/>
    <w:multiLevelType w:val="hybridMultilevel"/>
    <w:lvl w:ilvl="0">
      <w:lvlJc w:val="left"/>
      <w:lvlText w:val="(%1)"/>
      <w:numFmt w:val="decimal"/>
      <w:start w:val="2"/>
    </w:lvl>
  </w:abstractNum>
  <w:abstractNum w:abstractNumId="31">
    <w:nsid w:val="5C482A97"/>
    <w:multiLevelType w:val="hybridMultilevel"/>
    <w:lvl w:ilvl="0">
      <w:lvlJc w:val="left"/>
      <w:lvlText w:val="•"/>
      <w:numFmt w:val="bullet"/>
      <w:start w:val="1"/>
    </w:lvl>
  </w:abstractNum>
  <w:abstractNum w:abstractNumId="32">
    <w:nsid w:val="2463B9EA"/>
    <w:multiLevelType w:val="hybridMultilevel"/>
    <w:lvl w:ilvl="0">
      <w:lvlJc w:val="left"/>
      <w:lvlText w:val="*"/>
      <w:numFmt w:val="bullet"/>
      <w:start w:val="1"/>
    </w:lvl>
  </w:abstractNum>
  <w:abstractNum w:abstractNumId="33">
    <w:nsid w:val="5E884ADC"/>
    <w:multiLevelType w:val="hybridMultilevel"/>
    <w:lvl w:ilvl="0">
      <w:lvlJc w:val="left"/>
      <w:lvlText w:val="(%1)"/>
      <w:numFmt w:val="decimal"/>
      <w:start w:val="1"/>
    </w:lvl>
  </w:abstractNum>
  <w:abstractNum w:abstractNumId="34">
    <w:nsid w:val="51EAD36B"/>
    <w:multiLevelType w:val="hybridMultilevel"/>
    <w:lvl w:ilvl="0">
      <w:lvlJc w:val="left"/>
      <w:lvlText w:val="(%1)"/>
      <w:numFmt w:val="decimal"/>
      <w:start w:val="2"/>
    </w:lvl>
  </w:abstractNum>
  <w:abstractNum w:abstractNumId="35">
    <w:nsid w:val="2D517796"/>
    <w:multiLevelType w:val="hybridMultilevel"/>
    <w:lvl w:ilvl="0">
      <w:lvlJc w:val="left"/>
      <w:lvlText w:val="(%1)"/>
      <w:numFmt w:val="decimal"/>
      <w:start w:val="8"/>
    </w:lvl>
  </w:abstractNum>
  <w:abstractNum w:abstractNumId="36">
    <w:nsid w:val="580BD78F"/>
    <w:multiLevelType w:val="hybridMultilevel"/>
    <w:lvl w:ilvl="0">
      <w:lvlJc w:val="left"/>
      <w:lvlText w:val="(%1)"/>
      <w:numFmt w:val="decimal"/>
      <w:start w:val="1"/>
    </w:lvl>
  </w:abstractNum>
  <w:abstractNum w:abstractNumId="37">
    <w:nsid w:val="153EA438"/>
    <w:multiLevelType w:val="hybridMultilevel"/>
    <w:lvl w:ilvl="0">
      <w:lvlJc w:val="left"/>
      <w:lvlText w:val="(%1)"/>
      <w:numFmt w:val="decimal"/>
      <w:start w:val="1"/>
    </w:lvl>
  </w:abstractNum>
  <w:abstractNum w:abstractNumId="38">
    <w:nsid w:val="3855585C"/>
    <w:multiLevelType w:val="hybridMultilevel"/>
    <w:lvl w:ilvl="0">
      <w:lvlJc w:val="left"/>
      <w:lvlText w:val="(%1)"/>
      <w:numFmt w:val="decimal"/>
      <w:start w:val="1"/>
    </w:lvl>
  </w:abstractNum>
  <w:abstractNum w:abstractNumId="39">
    <w:nsid w:val="70A64E2A"/>
    <w:multiLevelType w:val="hybridMultilevel"/>
    <w:lvl w:ilvl="0">
      <w:lvlJc w:val="left"/>
      <w:lvlText w:val="(%1)"/>
      <w:numFmt w:val="decimal"/>
      <w:start w:val="1"/>
    </w:lvl>
  </w:abstractNum>
  <w:abstractNum w:abstractNumId="40">
    <w:nsid w:val="6A2342EC"/>
    <w:multiLevelType w:val="hybridMultilevel"/>
    <w:lvl w:ilvl="0">
      <w:lvlJc w:val="left"/>
      <w:lvlText w:val="(%1)"/>
      <w:numFmt w:val="decimal"/>
      <w:start w:val="4"/>
    </w:lvl>
  </w:abstractNum>
  <w:abstractNum w:abstractNumId="41">
    <w:nsid w:val="2A487CB0"/>
    <w:multiLevelType w:val="hybridMultilevel"/>
    <w:lvl w:ilvl="0">
      <w:lvlJc w:val="left"/>
      <w:lvlText w:val="(%1)"/>
      <w:numFmt w:val="decimal"/>
      <w:start w:val="1"/>
    </w:lvl>
  </w:abstractNum>
  <w:abstractNum w:abstractNumId="42">
    <w:nsid w:val="1D4ED43B"/>
    <w:multiLevelType w:val="hybridMultilevel"/>
    <w:lvl w:ilvl="0">
      <w:lvlJc w:val="left"/>
      <w:lvlText w:val="•"/>
      <w:numFmt w:val="bullet"/>
      <w:start w:val="1"/>
    </w:lvl>
  </w:abstractNum>
  <w:abstractNum w:abstractNumId="43">
    <w:nsid w:val="725A06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2021-04-29T15:55:37Z</dcterms:created>
  <dcterms:modified xsi:type="dcterms:W3CDTF">2021-04-29T15:55:37Z</dcterms:modified>
</cp:coreProperties>
</file>