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March 18, 2021</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64" w:orient="portrait"/>
          <w:cols w:equalWidth="0" w:num="1">
            <w:col w:w="11020"/>
          </w:cols>
          <w:pgMar w:left="440" w:top="229" w:right="4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85-0642577</w:t>
      </w:r>
    </w:p>
    <w:p>
      <w:pPr>
        <w:spacing w:after="0" w:line="31" w:lineRule="exact"/>
        <w:rPr>
          <w:sz w:val="24"/>
          <w:szCs w:val="24"/>
          <w:color w:val="auto"/>
        </w:rPr>
      </w:pPr>
    </w:p>
    <w:p>
      <w:pPr>
        <w:sectPr>
          <w:pgSz w:w="11900" w:h="16864" w:orient="portrait"/>
          <w:cols w:equalWidth="0" w:num="2">
            <w:col w:w="7180" w:space="720"/>
            <w:col w:w="3120"/>
          </w:cols>
          <w:pgMar w:left="440" w:top="229" w:right="439" w:bottom="0" w:gutter="0" w:footer="0" w:header="0"/>
          <w:type w:val="continuous"/>
        </w:sectPr>
      </w:pPr>
    </w:p>
    <w:p>
      <w:pPr>
        <w:spacing w:after="0" w:line="12"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(State or other jurisdiction of</w:t>
      </w:r>
    </w:p>
    <w:p>
      <w:pPr>
        <w:ind w:left="18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960"/>
        <w:spacing w:after="0"/>
        <w:rPr>
          <w:sz w:val="20"/>
          <w:szCs w:val="20"/>
          <w:color w:val="auto"/>
        </w:rPr>
      </w:pPr>
      <w:r>
        <w:rPr>
          <w:rFonts w:ascii="Arial" w:cs="Arial" w:eastAsia="Arial" w:hAnsi="Arial"/>
          <w:sz w:val="14"/>
          <w:szCs w:val="14"/>
          <w:b w:val="1"/>
          <w:bCs w:val="1"/>
          <w:color w:val="auto"/>
        </w:rPr>
        <w:t>(I.R.S. Employer</w:t>
      </w:r>
    </w:p>
    <w:p>
      <w:pPr>
        <w:jc w:val="center"/>
        <w:ind w:right="196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64" w:orient="portrait"/>
          <w:cols w:equalWidth="0" w:num="2">
            <w:col w:w="6900" w:space="720"/>
            <w:col w:w="3400"/>
          </w:cols>
          <w:pgMar w:left="440" w:top="229" w:right="439" w:bottom="0" w:gutter="0" w:footer="0" w:header="0"/>
          <w:type w:val="continuous"/>
        </w:sectPr>
      </w:pPr>
    </w:p>
    <w:p>
      <w:pPr>
        <w:spacing w:after="0" w:line="3"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866 Malcolm Road, Suite 100</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Burlingame, California 94010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 2020 Equity Incentive Plan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2020 Employee Stock Purchase Plan</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(Full title of the plan)</w:t>
      </w:r>
    </w:p>
    <w:p>
      <w:pPr>
        <w:sectPr>
          <w:pgSz w:w="11900" w:h="16864" w:orient="portrait"/>
          <w:cols w:equalWidth="0" w:num="1">
            <w:col w:w="11020"/>
          </w:cols>
          <w:pgMar w:left="440" w:top="229" w:right="439" w:bottom="0" w:gutter="0" w:footer="0" w:header="0"/>
          <w:type w:val="continuous"/>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Jaume Pons, Ph.D.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ALX Oncology Holdings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866 Malcolm Road, Suite 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Burlingame, California 94010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650-466-7125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Copies to:</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Kenneth A. Clark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Tony Jeffries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Michael E. Coke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Christina L. Poulsen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Wilson Sonsini Goodrich &amp; Rosati, P.C.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Palo Alto, California 94304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228600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ind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4"/>
        </w:trPr>
        <w:tc>
          <w:tcPr>
            <w:tcW w:w="488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 per share</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Amended and Restated 2020 Equity Incentive Plan</w:t>
            </w:r>
          </w:p>
        </w:tc>
        <w:tc>
          <w:tcPr>
            <w:tcW w:w="1540" w:type="dxa"/>
            <w:vAlign w:val="bottom"/>
            <w:tcBorders>
              <w:bottom w:val="single" w:sz="8" w:color="auto"/>
              <w:right w:val="single" w:sz="8" w:color="auto"/>
            </w:tcBorders>
          </w:tcPr>
          <w:p>
            <w:pPr>
              <w:jc w:val="right"/>
              <w:ind w:right="204"/>
              <w:spacing w:after="0"/>
              <w:rPr>
                <w:sz w:val="20"/>
                <w:szCs w:val="20"/>
                <w:color w:val="auto"/>
              </w:rPr>
            </w:pPr>
            <w:r>
              <w:rPr>
                <w:rFonts w:ascii="Arial" w:cs="Arial" w:eastAsia="Arial" w:hAnsi="Arial"/>
                <w:sz w:val="18"/>
                <w:szCs w:val="18"/>
                <w:color w:val="auto"/>
              </w:rPr>
              <w:t>1,593,781(2)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$77.87(3)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$124,107,727</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$13,541</w:t>
            </w:r>
          </w:p>
        </w:tc>
        <w:tc>
          <w:tcPr>
            <w:tcW w:w="0" w:type="dxa"/>
            <w:vAlign w:val="bottom"/>
          </w:tcPr>
          <w:p>
            <w:pPr>
              <w:spacing w:after="0"/>
              <w:rPr>
                <w:sz w:val="1"/>
                <w:szCs w:val="1"/>
                <w:color w:val="auto"/>
              </w:rPr>
            </w:pPr>
          </w:p>
        </w:tc>
      </w:tr>
    </w:tbl>
    <w:p>
      <w:pPr>
        <w:sectPr>
          <w:pgSz w:w="11900" w:h="16864" w:orient="portrait"/>
          <w:cols w:equalWidth="0" w:num="1">
            <w:col w:w="11020"/>
          </w:cols>
          <w:pgMar w:left="440" w:top="229" w:right="439" w:bottom="0" w:gutter="0" w:footer="0" w:header="0"/>
          <w:type w:val="continuous"/>
        </w:sectPr>
      </w:pPr>
    </w:p>
    <w:bookmarkStart w:id="1" w:name="page2"/>
    <w:bookmarkEnd w:id="1"/>
    <w:p>
      <w:pPr>
        <w:spacing w:after="0" w:line="1" w:lineRule="exact"/>
        <w:rPr>
          <w:sz w:val="20"/>
          <w:szCs w:val="20"/>
          <w:color w:val="auto"/>
        </w:rPr>
      </w:pPr>
    </w:p>
    <w:tbl>
      <w:tblPr>
        <w:tblLayout w:type="fixed"/>
        <w:tblInd w:w="4" w:type="dxa"/>
        <w:tblCellMar>
          <w:top w:w="0" w:type="dxa"/>
          <w:left w:w="0" w:type="dxa"/>
          <w:bottom w:w="0" w:type="dxa"/>
          <w:right w:w="0" w:type="dxa"/>
        </w:tblCellMar>
      </w:tblPr>
      <w:tr>
        <w:trPr>
          <w:trHeight w:val="229"/>
        </w:trPr>
        <w:tc>
          <w:tcPr>
            <w:tcW w:w="4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2020 Employee Stock Purchase Plan</w:t>
            </w:r>
          </w:p>
        </w:tc>
        <w:tc>
          <w:tcPr>
            <w:tcW w:w="1540" w:type="dxa"/>
            <w:vAlign w:val="bottom"/>
            <w:tcBorders>
              <w:top w:val="single" w:sz="8" w:color="auto"/>
              <w:bottom w:val="single" w:sz="8" w:color="auto"/>
              <w:right w:val="single" w:sz="8" w:color="auto"/>
            </w:tcBorders>
          </w:tcPr>
          <w:p>
            <w:pPr>
              <w:jc w:val="right"/>
              <w:ind w:right="250"/>
              <w:spacing w:after="0"/>
              <w:rPr>
                <w:sz w:val="20"/>
                <w:szCs w:val="20"/>
                <w:color w:val="auto"/>
              </w:rPr>
            </w:pPr>
            <w:r>
              <w:rPr>
                <w:rFonts w:ascii="Arial" w:cs="Arial" w:eastAsia="Arial" w:hAnsi="Arial"/>
                <w:sz w:val="18"/>
                <w:szCs w:val="18"/>
                <w:color w:val="auto"/>
              </w:rPr>
              <w:t>398,445(4)</w:t>
            </w:r>
          </w:p>
        </w:tc>
        <w:tc>
          <w:tcPr>
            <w:tcW w:w="1540" w:type="dxa"/>
            <w:vAlign w:val="bottom"/>
            <w:tcBorders>
              <w:top w:val="single" w:sz="8" w:color="auto"/>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$66.19(5)</w:t>
            </w:r>
          </w:p>
        </w:tc>
        <w:tc>
          <w:tcPr>
            <w:tcW w:w="1540" w:type="dxa"/>
            <w:vAlign w:val="bottom"/>
            <w:tcBorders>
              <w:top w:val="single" w:sz="8" w:color="auto"/>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$26,373,075</w:t>
            </w:r>
          </w:p>
        </w:tc>
        <w:tc>
          <w:tcPr>
            <w:tcW w:w="15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$2,878</w:t>
            </w: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right w:val="single" w:sz="8" w:color="auto"/>
            </w:tcBorders>
          </w:tcPr>
          <w:p>
            <w:pPr>
              <w:jc w:val="right"/>
              <w:ind w:right="290"/>
              <w:spacing w:after="0"/>
              <w:rPr>
                <w:sz w:val="20"/>
                <w:szCs w:val="20"/>
                <w:color w:val="auto"/>
              </w:rPr>
            </w:pPr>
            <w:r>
              <w:rPr>
                <w:rFonts w:ascii="Arial" w:cs="Arial" w:eastAsia="Arial" w:hAnsi="Arial"/>
                <w:sz w:val="18"/>
                <w:szCs w:val="18"/>
                <w:color w:val="auto"/>
              </w:rPr>
              <w:t>1,992,226</w:t>
            </w:r>
          </w:p>
        </w:tc>
        <w:tc>
          <w:tcPr>
            <w:tcW w:w="154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$150,480,802</w:t>
            </w:r>
          </w:p>
        </w:tc>
        <w:tc>
          <w:tcPr>
            <w:tcW w:w="15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$16,419</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424" w:right="100" w:hanging="424"/>
        <w:spacing w:after="0" w:line="25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of the Securities Act of 1933, as amended (the “Securities Act”), this Registration Statement covers any additional shares of the Registrant’s common stock that become issuable under the Registrant’s Amended and Restated 2020 Equity Incentive Plan (the “2020 Plan”) and the 2020 Employee Stock Purchase Plan (the “2020 ESPP”) by reason of any stock dividend, stock split, recapitalization or other similar transaction effected without the Registrant’s receipt of consideration that results in an increase in the number of the outstanding shares of common stock.</w:t>
      </w:r>
    </w:p>
    <w:p>
      <w:pPr>
        <w:spacing w:after="0" w:line="2" w:lineRule="exact"/>
        <w:rPr>
          <w:rFonts w:ascii="Arial" w:cs="Arial" w:eastAsia="Arial" w:hAnsi="Arial"/>
          <w:sz w:val="18"/>
          <w:szCs w:val="18"/>
          <w:color w:val="auto"/>
        </w:rPr>
      </w:pPr>
    </w:p>
    <w:p>
      <w:pPr>
        <w:ind w:left="424" w:right="3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Reflects an automatic increase to the number of shares of Common Stock reserved for issuance pursuant to future awards under the 2020 Plan, which annual increase is provided for in the 2020 Plan.</w:t>
      </w:r>
    </w:p>
    <w:p>
      <w:pPr>
        <w:ind w:left="424" w:right="100" w:hanging="424"/>
        <w:spacing w:after="0" w:line="281" w:lineRule="auto"/>
        <w:tabs>
          <w:tab w:leader="none" w:pos="424"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in accordance with Rule 457(h) of the Securities Act solely for the purpose of calculating the registration fee on the basis of $77.87 per share, which is the average of the high and low prices of Common Stock, as reported on the Nasdaq Global Select Market, on March 16, 2021.</w:t>
      </w:r>
    </w:p>
    <w:p>
      <w:pPr>
        <w:spacing w:after="0" w:line="1" w:lineRule="exact"/>
        <w:rPr>
          <w:rFonts w:ascii="Arial" w:cs="Arial" w:eastAsia="Arial" w:hAnsi="Arial"/>
          <w:sz w:val="16"/>
          <w:szCs w:val="16"/>
          <w:color w:val="auto"/>
        </w:rPr>
      </w:pPr>
    </w:p>
    <w:p>
      <w:pPr>
        <w:ind w:left="424" w:right="320" w:hanging="424"/>
        <w:spacing w:after="0" w:line="250"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Reflects an automatic increase to the number of shares of Common Stock reserved for issuance under the 2020 ESPP, which annual increase is provided for in the 2020 ESPP.</w:t>
      </w:r>
    </w:p>
    <w:p>
      <w:pPr>
        <w:ind w:left="424" w:right="20" w:hanging="424"/>
        <w:spacing w:after="0" w:line="273"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in accordance with Rules 457(h) solely for the purpose of calculating the registration fee on the basis of 85% of $77.87 per share, which is the average of the high and low prices of Common Stock, as reported on the Nasdaq Global Select Market, on March 16, 2021. Pursuant to the 2020 ESPP, the purchase price of the shares of Common Stock reserved for issuance thereunder will be 85% of the lower of the fair market value of Common Stock on the Enrollment Date or the Exercise Date (as such terms are defined in the 2020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129540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172720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33"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PROSPECTUS</w:t>
      </w:r>
    </w:p>
    <w:p>
      <w:pPr>
        <w:spacing w:after="0" w:line="22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121"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ALX Oncology Holdings Inc. (the “Registrant”) hereby incorporates by reference into this Registration Statement the following documents previously filed with the Securities and Exchange Commission (the “Commission”):</w:t>
      </w:r>
    </w:p>
    <w:p>
      <w:pPr>
        <w:spacing w:after="0" w:line="170" w:lineRule="exact"/>
        <w:rPr>
          <w:sz w:val="20"/>
          <w:szCs w:val="20"/>
          <w:color w:val="auto"/>
        </w:rPr>
      </w:pPr>
    </w:p>
    <w:p>
      <w:pPr>
        <w:ind w:left="700" w:hanging="264"/>
        <w:spacing w:after="0"/>
        <w:tabs>
          <w:tab w:leader="none" w:pos="70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Annual Report on </w:t>
      </w:r>
      <w:hyperlink r:id="rId18">
        <w:r>
          <w:rPr>
            <w:rFonts w:ascii="Arial" w:cs="Arial" w:eastAsia="Arial" w:hAnsi="Arial"/>
            <w:sz w:val="16"/>
            <w:szCs w:val="16"/>
            <w:u w:val="single" w:color="auto"/>
            <w:color w:val="0000EE"/>
          </w:rPr>
          <w:t>Form 10-K</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the fiscal year ended December 31, 2020, filed with the Commission on March 18, 2021;</w:t>
      </w:r>
    </w:p>
    <w:p>
      <w:pPr>
        <w:spacing w:after="0" w:line="248" w:lineRule="exact"/>
        <w:rPr>
          <w:rFonts w:ascii="Arial" w:cs="Arial" w:eastAsia="Arial" w:hAnsi="Arial"/>
          <w:sz w:val="16"/>
          <w:szCs w:val="16"/>
          <w:color w:val="auto"/>
        </w:rPr>
      </w:pPr>
    </w:p>
    <w:p>
      <w:pPr>
        <w:ind w:right="180" w:firstLine="436"/>
        <w:spacing w:after="0" w:line="263"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Securities Exchange Act of 1934, as amended (the “Exchange Act”) since the end of the fiscal year covered by the Registrant’s Annual Report referred to in (a) above (other than the portions of these documents not deemed to be filed); and</w:t>
      </w:r>
    </w:p>
    <w:p>
      <w:pPr>
        <w:spacing w:after="0" w:line="183" w:lineRule="exact"/>
        <w:rPr>
          <w:rFonts w:ascii="Arial" w:cs="Arial" w:eastAsia="Arial" w:hAnsi="Arial"/>
          <w:sz w:val="18"/>
          <w:szCs w:val="18"/>
          <w:color w:val="auto"/>
        </w:rPr>
      </w:pPr>
    </w:p>
    <w:p>
      <w:pPr>
        <w:ind w:firstLine="436"/>
        <w:spacing w:after="0" w:line="263" w:lineRule="auto"/>
        <w:tabs>
          <w:tab w:leader="none" w:pos="695"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description of the Registrant’s common stock contained in the Company’s Registration Statement on </w:t>
      </w:r>
      <w:hyperlink r:id="rId19">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 No. 001-39386) filed with the Commission on July 13, 2020, pursuant to Section 12(b) of the Exchange Act, including any amendment or report filed for the purpose of updating such description.</w:t>
      </w:r>
    </w:p>
    <w:p>
      <w:pPr>
        <w:spacing w:after="0" w:line="184" w:lineRule="exact"/>
        <w:rPr>
          <w:rFonts w:ascii="Arial" w:cs="Arial" w:eastAsia="Arial" w:hAnsi="Arial"/>
          <w:sz w:val="16"/>
          <w:szCs w:val="16"/>
          <w:color w:val="auto"/>
        </w:rPr>
      </w:pPr>
    </w:p>
    <w:p>
      <w:pPr>
        <w:jc w:val="both"/>
        <w:ind w:right="80" w:firstLine="440"/>
        <w:spacing w:after="0" w:line="296" w:lineRule="auto"/>
        <w:rPr>
          <w:sz w:val="20"/>
          <w:szCs w:val="20"/>
          <w:color w:val="auto"/>
        </w:rPr>
      </w:pPr>
      <w:r>
        <w:rPr>
          <w:rFonts w:ascii="Arial" w:cs="Arial" w:eastAsia="Arial" w:hAnsi="Arial"/>
          <w:sz w:val="16"/>
          <w:szCs w:val="16"/>
          <w:color w:val="auto"/>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documents or information deemed to have been furnished and not filed in accordance with the rules of the Commission shall not be deemed incorporated by reference into this Registration Statement.</w:t>
      </w:r>
    </w:p>
    <w:p>
      <w:pPr>
        <w:spacing w:after="0" w:line="161" w:lineRule="exact"/>
        <w:rPr>
          <w:rFonts w:ascii="Arial" w:cs="Arial" w:eastAsia="Arial" w:hAnsi="Arial"/>
          <w:sz w:val="16"/>
          <w:szCs w:val="16"/>
          <w:color w:val="auto"/>
        </w:rPr>
      </w:pPr>
    </w:p>
    <w:p>
      <w:pPr>
        <w:ind w:right="140" w:firstLine="440"/>
        <w:spacing w:after="0" w:line="279" w:lineRule="auto"/>
        <w:rPr>
          <w:sz w:val="20"/>
          <w:szCs w:val="20"/>
          <w:color w:val="auto"/>
        </w:rPr>
      </w:pPr>
      <w:r>
        <w:rPr>
          <w:rFonts w:ascii="Arial" w:cs="Arial" w:eastAsia="Arial" w:hAnsi="Arial"/>
          <w:sz w:val="17"/>
          <w:szCs w:val="17"/>
          <w:color w:val="auto"/>
        </w:rPr>
        <w:t>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020"/>
          </w:cols>
          <w:pgMar w:left="440" w:top="270"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4. 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Section 145 of the Delaware General Corporation Law authorizes a corporation’s board of directors to grant, and authorizes a court to award, indemnity to officers, directors, and other corporate agents, provided that the person acted in good faith and in a manner the person reasonably believed to be in the corporation’s best interests, and, with respect to any criminal action, had no reasonable cause to believe the person’s actions were unlawful. The Delaware General Corporation Law further provides that the indemnification permitted thereunder shall not be deemed exclusive of any other rights to which the directors and officers may be entitled under the corporation’s bylaws, any agreement, a vote of stockholders or otherwise.</w:t>
      </w:r>
    </w:p>
    <w:p>
      <w:pPr>
        <w:spacing w:after="0" w:line="161" w:lineRule="exact"/>
        <w:rPr>
          <w:sz w:val="20"/>
          <w:szCs w:val="20"/>
          <w:color w:val="auto"/>
        </w:rPr>
      </w:pPr>
    </w:p>
    <w:p>
      <w:pPr>
        <w:ind w:right="360" w:firstLine="440"/>
        <w:spacing w:after="0" w:line="259" w:lineRule="auto"/>
        <w:rPr>
          <w:sz w:val="20"/>
          <w:szCs w:val="20"/>
          <w:color w:val="auto"/>
        </w:rPr>
      </w:pPr>
      <w:r>
        <w:rPr>
          <w:rFonts w:ascii="Arial" w:cs="Arial" w:eastAsia="Arial" w:hAnsi="Arial"/>
          <w:sz w:val="18"/>
          <w:szCs w:val="18"/>
          <w:color w:val="auto"/>
        </w:rPr>
        <w:t>The Registrant’s amended and restated certificate of incorporation to be in effect upon the completion of this offering contains provisions that limit the liability of its directors for monetary damages to the fullest extent permitted by the Delaware General Corporation Law. Consequently, the Registrant’s directors will not be personally liable to the Registrant or its stockholders for monetary damages for any breach of fiduciary duties as directors, except liability for the following:</w:t>
      </w:r>
    </w:p>
    <w:p>
      <w:pPr>
        <w:spacing w:after="0" w:line="92"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breach of their duty of loyalty to the Registrant or its stockholders;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transaction from which they derived an improper personal benefit.</w:t>
      </w:r>
    </w:p>
    <w:p>
      <w:pPr>
        <w:spacing w:after="0" w:line="225" w:lineRule="exact"/>
        <w:rPr>
          <w:sz w:val="20"/>
          <w:szCs w:val="20"/>
          <w:color w:val="auto"/>
        </w:rPr>
      </w:pPr>
    </w:p>
    <w:p>
      <w:pPr>
        <w:ind w:right="160" w:firstLine="440"/>
        <w:spacing w:after="0" w:line="259" w:lineRule="auto"/>
        <w:rPr>
          <w:sz w:val="20"/>
          <w:szCs w:val="20"/>
          <w:color w:val="auto"/>
        </w:rPr>
      </w:pPr>
      <w:r>
        <w:rPr>
          <w:rFonts w:ascii="Arial" w:cs="Arial" w:eastAsia="Arial" w:hAnsi="Arial"/>
          <w:sz w:val="18"/>
          <w:szCs w:val="18"/>
          <w:color w:val="auto"/>
        </w:rPr>
        <w:t>Any amendment to, or repeal of, these provisions will not eliminate or reduce the effect of these provisions in respect of any act, omission, or claim that occurred or arose prior to that amendment or repeal. If the Delaware General Corporation Law is amended to provide for further limitations on the personal liability of directors of corporations, then the personal liability of the Registrant’s directors will be further limited to the greatest extent permitted by the Delaware General Corporation Law.</w:t>
      </w:r>
    </w:p>
    <w:p>
      <w:pPr>
        <w:spacing w:after="0" w:line="187"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In addition, the Registrant’s amended and restated bylaws provide that the Registrant will indemnify, to the fullest extent permitted by law, any person who is or was a party or is threatened to be made a party to any action, suit, or proceeding by reason of the fact that they are or were one of the Registrant’s directors or officers or is or was serving at the Registrant’s request as a director or officer of another corporation, partnership, joint venture, trust or other enterprise. The Registrant’s amended and restated bylaws provide that the Registrant may indemnify to the fullest extent permitted by law any person who is or was a party or is threatened to be made a party to any action, suit, or proceeding by reason of the fact that he or she is or was one of the Registrant’s employees or agents or is or was serving at the Registrant’s request as an employee or agent of another corporation, partnership, joint venture, trust, or other enterprise. The Registrant’s amended and restated bylaws also provide that the Registrant must advance expenses incurred by or on behalf of a director or officer in advance of the final disposition of any action or proceeding, subject to limited exceptions.</w:t>
      </w:r>
    </w:p>
    <w:p>
      <w:pPr>
        <w:sectPr>
          <w:pgSz w:w="11900" w:h="16838" w:orient="portrait"/>
          <w:cols w:equalWidth="0" w:num="1">
            <w:col w:w="11000"/>
          </w:cols>
          <w:pgMar w:left="440" w:top="270" w:right="459" w:bottom="1440" w:gutter="0" w:footer="0" w:header="0"/>
        </w:sectPr>
      </w:pPr>
    </w:p>
    <w:bookmarkStart w:id="4" w:name="page5"/>
    <w:bookmarkEnd w:id="4"/>
    <w:p>
      <w:pPr>
        <w:ind w:left="4" w:right="180"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102(b)(7) of the Delaware General Corporation Law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w:t>
      </w:r>
    </w:p>
    <w:p>
      <w:pPr>
        <w:spacing w:after="0" w:line="1" w:lineRule="exact"/>
        <w:rPr>
          <w:sz w:val="20"/>
          <w:szCs w:val="20"/>
          <w:color w:val="auto"/>
        </w:rPr>
      </w:pPr>
    </w:p>
    <w:p>
      <w:pPr>
        <w:ind w:left="4" w:right="40" w:hanging="4"/>
        <w:spacing w:after="0" w:line="253"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The Registrant’s amended and restated certificate of incorporation to be in effect upon the completion of this offering provides that the Registrant’s directors shall not be personally liable to it or its stockholders for monetary damages for breach of fiduciary duty as a director and that if the Delaware General Corporation Law is amended to authorize corporate action further eliminating or limiting the personal liability of directors, then the liability of the Registrant’s directors shall be eliminated or limited to the fullest extent permitted by the Delaware General Corporation Law, as so amended.</w:t>
      </w:r>
    </w:p>
    <w:p>
      <w:pPr>
        <w:spacing w:after="0" w:line="191" w:lineRule="exact"/>
        <w:rPr>
          <w:sz w:val="20"/>
          <w:szCs w:val="20"/>
          <w:color w:val="auto"/>
        </w:rPr>
      </w:pPr>
    </w:p>
    <w:p>
      <w:pPr>
        <w:ind w:left="4" w:right="40" w:firstLine="440"/>
        <w:spacing w:after="0" w:line="257" w:lineRule="auto"/>
        <w:rPr>
          <w:sz w:val="20"/>
          <w:szCs w:val="20"/>
          <w:color w:val="auto"/>
        </w:rPr>
      </w:pPr>
      <w:r>
        <w:rPr>
          <w:rFonts w:ascii="Arial" w:cs="Arial" w:eastAsia="Arial" w:hAnsi="Arial"/>
          <w:sz w:val="18"/>
          <w:szCs w:val="18"/>
          <w:color w:val="auto"/>
        </w:rPr>
        <w:t>Section 174 of the Delaware General Corporation Law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Further, as permitted by the Delaware General Corporation Law, the Registrant has entered into separate indemnification agreements with each of its directors and certain executive officers that may be broader than the specific indemnification provisions contained in the Delaware General Corporation Law. These indemnification agreements require the Registrant, among other things, to indemnify its directors and executive officers against certain liabilities that may arise by reason of their status or service.</w:t>
      </w:r>
    </w:p>
    <w:p>
      <w:pPr>
        <w:spacing w:after="0" w:line="187"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The Registrant has obtained insurance policies under which, within the limits and subject to the limitations of the policies, coverage is provided to the Registrant’s directors and executive officers against certain expenses in connection with the defense of, and certain liabilities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The coverage provided by these policies may apply whether or not the Registrant would have the power to indemnify such person against such liability under the provisions of the Delaware General Corporation Law.</w:t>
      </w:r>
    </w:p>
    <w:p>
      <w:pPr>
        <w:spacing w:after="0" w:line="164" w:lineRule="exact"/>
        <w:rPr>
          <w:sz w:val="20"/>
          <w:szCs w:val="20"/>
          <w:color w:val="auto"/>
        </w:rPr>
      </w:pPr>
    </w:p>
    <w:p>
      <w:pPr>
        <w:jc w:val="both"/>
        <w:ind w:left="4" w:right="500" w:firstLine="440"/>
        <w:spacing w:after="0" w:line="263" w:lineRule="auto"/>
        <w:rPr>
          <w:sz w:val="20"/>
          <w:szCs w:val="20"/>
          <w:color w:val="auto"/>
        </w:rPr>
      </w:pPr>
      <w:r>
        <w:rPr>
          <w:rFonts w:ascii="Arial" w:cs="Arial" w:eastAsia="Arial" w:hAnsi="Arial"/>
          <w:sz w:val="18"/>
          <w:szCs w:val="18"/>
          <w:color w:val="auto"/>
        </w:rPr>
        <w:t>These indemnification provisions and the indemnification agreements entered into between the Registrant and the Registrant’s directors and executive officers may be sufficiently broad to permit indemnification of the Registrant’s directors and executive officers for liabilities (including reimbursement of expenses incurred) arising under the Securities Act.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04"/>
          </w:cols>
          <w:pgMar w:left="436"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8. Exhibits.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1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r>
              <w:rPr>
                <w:rFonts w:ascii="Arial" w:cs="Arial" w:eastAsia="Arial" w:hAnsi="Arial"/>
                <w:sz w:val="15"/>
                <w:szCs w:val="15"/>
                <w:color w:val="auto"/>
              </w:rPr>
              <w:t>(1)</w:t>
            </w:r>
          </w:p>
        </w:tc>
        <w:tc>
          <w:tcPr>
            <w:tcW w:w="7160" w:type="dxa"/>
            <w:vAlign w:val="bottom"/>
            <w:gridSpan w:val="3"/>
          </w:tcPr>
          <w:p>
            <w:pPr>
              <w:ind w:left="80"/>
              <w:spacing w:after="0"/>
              <w:rPr>
                <w:rFonts w:ascii="Arial" w:cs="Arial" w:eastAsia="Arial" w:hAnsi="Arial"/>
                <w:sz w:val="18"/>
                <w:szCs w:val="18"/>
                <w:u w:val="single" w:color="auto"/>
                <w:color w:val="0000EE"/>
              </w:rPr>
            </w:pPr>
            <w:hyperlink r:id="rId23">
              <w:r>
                <w:rPr>
                  <w:rFonts w:ascii="Arial" w:cs="Arial" w:eastAsia="Arial" w:hAnsi="Arial"/>
                  <w:sz w:val="18"/>
                  <w:szCs w:val="18"/>
                  <w:u w:val="single" w:color="auto"/>
                  <w:color w:val="0000EE"/>
                </w:rPr>
                <w:t>Specimen common stock certificate of the Registrant.</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r>
              <w:rPr>
                <w:rFonts w:ascii="Arial" w:cs="Arial" w:eastAsia="Arial" w:hAnsi="Arial"/>
                <w:sz w:val="15"/>
                <w:szCs w:val="15"/>
                <w:color w:val="auto"/>
              </w:rPr>
              <w:t>(2)</w:t>
            </w:r>
          </w:p>
        </w:tc>
        <w:tc>
          <w:tcPr>
            <w:tcW w:w="7160" w:type="dxa"/>
            <w:vAlign w:val="bottom"/>
            <w:gridSpan w:val="3"/>
          </w:tcPr>
          <w:p>
            <w:pPr>
              <w:ind w:left="80"/>
              <w:spacing w:after="0"/>
              <w:rPr>
                <w:rFonts w:ascii="Arial" w:cs="Arial" w:eastAsia="Arial" w:hAnsi="Arial"/>
                <w:sz w:val="18"/>
                <w:szCs w:val="18"/>
                <w:u w:val="single" w:color="auto"/>
                <w:color w:val="0000EE"/>
                <w:w w:val="99"/>
              </w:rPr>
            </w:pPr>
            <w:hyperlink r:id="rId24">
              <w:r>
                <w:rPr>
                  <w:rFonts w:ascii="Arial" w:cs="Arial" w:eastAsia="Arial" w:hAnsi="Arial"/>
                  <w:sz w:val="18"/>
                  <w:szCs w:val="18"/>
                  <w:u w:val="single" w:color="auto"/>
                  <w:color w:val="0000EE"/>
                  <w:w w:val="99"/>
                </w:rPr>
                <w:t>Amended and Restated 2020 Equity Incentive Plan and forms of agreements thereunder.</w:t>
              </w:r>
            </w:hyperlink>
          </w:p>
        </w:tc>
        <w:tc>
          <w:tcPr>
            <w:tcW w:w="0" w:type="dxa"/>
            <w:vAlign w:val="bottom"/>
          </w:tcPr>
          <w:p>
            <w:pPr>
              <w:spacing w:after="0"/>
              <w:rPr>
                <w:sz w:val="1"/>
                <w:szCs w:val="1"/>
                <w:color w:val="auto"/>
              </w:rPr>
            </w:pPr>
          </w:p>
        </w:tc>
      </w:tr>
      <w:tr>
        <w:trPr>
          <w:trHeight w:val="324"/>
        </w:trPr>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r>
              <w:rPr>
                <w:rFonts w:ascii="Arial" w:cs="Arial" w:eastAsia="Arial" w:hAnsi="Arial"/>
                <w:sz w:val="15"/>
                <w:szCs w:val="15"/>
                <w:color w:val="auto"/>
              </w:rPr>
              <w:t>(3)</w:t>
            </w:r>
          </w:p>
        </w:tc>
        <w:tc>
          <w:tcPr>
            <w:tcW w:w="7160" w:type="dxa"/>
            <w:vAlign w:val="bottom"/>
            <w:gridSpan w:val="3"/>
          </w:tcPr>
          <w:p>
            <w:pPr>
              <w:ind w:left="80"/>
              <w:spacing w:after="0"/>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2020 Employee Stock Purchase Plan.</w:t>
              </w:r>
            </w:hyperlink>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4"/>
                <w:szCs w:val="24"/>
                <w:color w:val="auto"/>
              </w:rPr>
            </w:pPr>
          </w:p>
        </w:tc>
        <w:tc>
          <w:tcPr>
            <w:tcW w:w="7160" w:type="dxa"/>
            <w:vAlign w:val="bottom"/>
            <w:gridSpan w:val="3"/>
          </w:tcPr>
          <w:p>
            <w:pPr>
              <w:ind w:left="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Opinion of Wilson Sonsini Goodrich &amp; Rosati, P.C.</w:t>
              </w:r>
            </w:hyperlink>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7160" w:type="dxa"/>
            <w:vAlign w:val="bottom"/>
            <w:gridSpan w:val="3"/>
          </w:tcPr>
          <w:p>
            <w:pPr>
              <w:ind w:left="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Consent of KPMG LLP, Independent Registered Public Accounting Firm.</w:t>
              </w:r>
            </w:hyperlink>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24"/>
                <w:szCs w:val="24"/>
                <w:color w:val="auto"/>
              </w:rPr>
            </w:pPr>
          </w:p>
        </w:tc>
        <w:tc>
          <w:tcPr>
            <w:tcW w:w="7160" w:type="dxa"/>
            <w:vAlign w:val="bottom"/>
            <w:gridSpan w:val="3"/>
          </w:tcPr>
          <w:p>
            <w:pPr>
              <w:ind w:left="80"/>
              <w:spacing w:after="0"/>
              <w:rPr>
                <w:rFonts w:ascii="Arial" w:cs="Arial" w:eastAsia="Arial" w:hAnsi="Arial"/>
                <w:sz w:val="18"/>
                <w:szCs w:val="18"/>
                <w:u w:val="single" w:color="auto"/>
                <w:color w:val="0000EE"/>
                <w:w w:val="92"/>
              </w:rPr>
            </w:pPr>
            <w:hyperlink w:anchor="page10">
              <w:r>
                <w:rPr>
                  <w:rFonts w:ascii="Arial" w:cs="Arial" w:eastAsia="Arial" w:hAnsi="Arial"/>
                  <w:sz w:val="18"/>
                  <w:szCs w:val="18"/>
                  <w:u w:val="single" w:color="auto"/>
                  <w:color w:val="0000EE"/>
                  <w:w w:val="92"/>
                </w:rPr>
                <w:t>Consent of Wilson Sonsini Goodrich &amp; Rosati, Professional Corporation (included in Exhibit 5.1).</w:t>
              </w:r>
            </w:hyperlink>
          </w:p>
        </w:tc>
        <w:tc>
          <w:tcPr>
            <w:tcW w:w="0" w:type="dxa"/>
            <w:vAlign w:val="bottom"/>
          </w:tcPr>
          <w:p>
            <w:pPr>
              <w:spacing w:after="0"/>
              <w:rPr>
                <w:sz w:val="1"/>
                <w:szCs w:val="1"/>
                <w:color w:val="auto"/>
              </w:rPr>
            </w:pPr>
          </w:p>
        </w:tc>
      </w:tr>
      <w:tr>
        <w:trPr>
          <w:trHeight w:val="324"/>
        </w:trPr>
        <w:tc>
          <w:tcPr>
            <w:tcW w:w="50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7160" w:type="dxa"/>
            <w:vAlign w:val="bottom"/>
            <w:gridSpan w:val="3"/>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Power of Attorney (contained on signature page hereto).</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right="20" w:hanging="424"/>
        <w:spacing w:after="0" w:line="25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4.2 filed with the Registrant’s Registration Statement on Form S-1 (Registration No. 333-239490), filed with the Commission on June 26, 2020.</w:t>
      </w:r>
    </w:p>
    <w:p>
      <w:pPr>
        <w:spacing w:after="0" w:line="1" w:lineRule="exact"/>
        <w:rPr>
          <w:rFonts w:ascii="Arial" w:cs="Arial" w:eastAsia="Arial" w:hAnsi="Arial"/>
          <w:sz w:val="18"/>
          <w:szCs w:val="18"/>
          <w:color w:val="auto"/>
        </w:rPr>
      </w:pPr>
    </w:p>
    <w:p>
      <w:pPr>
        <w:ind w:left="424" w:right="120" w:hanging="424"/>
        <w:spacing w:after="0" w:line="25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10.2 filed with the Registrant’s Registration Statement on Form S-1/A (Registration No. 333-239490), filed with the Commission on July 13, 2020.</w:t>
      </w:r>
    </w:p>
    <w:p>
      <w:pPr>
        <w:ind w:left="424" w:right="120" w:hanging="424"/>
        <w:spacing w:after="0" w:line="260"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Incorporated by reference to Exhibit 10.3 filed with the Registrant’s Registration Statement on Form S-1/A (Registration No. 333-239490), filed with the Commission on July 13, 2020.</w:t>
      </w:r>
    </w:p>
    <w:p>
      <w:pPr>
        <w:spacing w:after="0" w:line="28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24" w:hanging="439"/>
        <w:spacing w:after="0" w:line="291" w:lineRule="auto"/>
        <w:tabs>
          <w:tab w:leader="none" w:pos="1424" w:val="left"/>
        </w:tabs>
        <w:numPr>
          <w:ilvl w:val="2"/>
          <w:numId w:val="6"/>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1" w:lineRule="exact"/>
        <w:rPr>
          <w:rFonts w:ascii="Arial" w:cs="Arial" w:eastAsia="Arial" w:hAnsi="Arial"/>
          <w:sz w:val="16"/>
          <w:szCs w:val="16"/>
          <w:color w:val="auto"/>
        </w:rPr>
      </w:pPr>
    </w:p>
    <w:p>
      <w:pPr>
        <w:ind w:left="1424" w:hanging="439"/>
        <w:spacing w:after="0" w:line="277" w:lineRule="auto"/>
        <w:tabs>
          <w:tab w:leader="none" w:pos="1424" w:val="left"/>
        </w:tabs>
        <w:numPr>
          <w:ilvl w:val="2"/>
          <w:numId w:val="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and (A)(1)(ii) do not apply if the information required to be included in a post-effective amendment by</w:t>
      </w:r>
      <w:r>
        <w:rPr>
          <w:rFonts w:ascii="Arial" w:cs="Arial" w:eastAsia="Arial" w:hAnsi="Arial"/>
          <w:sz w:val="18"/>
          <w:szCs w:val="18"/>
          <w:i w:val="1"/>
          <w:iCs w:val="1"/>
          <w:color w:val="auto"/>
        </w:rPr>
        <w:t xml:space="preserve"> </w:t>
      </w:r>
      <w:r>
        <w:rPr>
          <w:rFonts w:ascii="Arial" w:cs="Arial" w:eastAsia="Arial" w:hAnsi="Arial"/>
          <w:sz w:val="18"/>
          <w:szCs w:val="18"/>
          <w:color w:val="auto"/>
        </w:rPr>
        <w:t>those paragraphs is contained in reports filed with or furnished to the Commission by the Registrant pursuant to Section 13 or Section 15(d) of the Exchange Act that are incorporated by reference in this Registration Statement.</w:t>
      </w:r>
    </w:p>
    <w:p>
      <w:pPr>
        <w:sectPr>
          <w:pgSz w:w="11900" w:h="16838" w:orient="portrait"/>
          <w:cols w:equalWidth="0" w:num="1">
            <w:col w:w="10944"/>
          </w:cols>
          <w:pgMar w:left="436" w:top="270" w:right="519" w:bottom="1440" w:gutter="0" w:footer="0" w:header="0"/>
        </w:sectPr>
      </w:pPr>
    </w:p>
    <w:bookmarkStart w:id="6" w:name="page7"/>
    <w:bookmarkEnd w:id="6"/>
    <w:p>
      <w:pPr>
        <w:jc w:val="both"/>
        <w:ind w:left="964" w:right="280" w:hanging="532"/>
        <w:spacing w:after="0" w:line="263"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7"/>
        </w:numPr>
        <w:rPr>
          <w:rFonts w:ascii="Arial" w:cs="Arial" w:eastAsia="Arial" w:hAnsi="Arial"/>
          <w:sz w:val="18"/>
          <w:szCs w:val="18"/>
          <w:color w:val="auto"/>
        </w:rPr>
      </w:pPr>
      <w:r>
        <w:rPr>
          <w:rFonts w:ascii="Arial" w:cs="Arial" w:eastAsia="Arial" w:hAnsi="Arial"/>
          <w:sz w:val="18"/>
          <w:szCs w:val="18"/>
          <w:color w:val="auto"/>
        </w:rPr>
        <w:t>It will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424" w:hanging="424"/>
        <w:spacing w:after="0" w:line="257"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3" w:lineRule="exact"/>
        <w:rPr>
          <w:rFonts w:ascii="Arial" w:cs="Arial" w:eastAsia="Arial" w:hAnsi="Arial"/>
          <w:sz w:val="18"/>
          <w:szCs w:val="18"/>
          <w:color w:val="auto"/>
        </w:rPr>
      </w:pPr>
    </w:p>
    <w:p>
      <w:pPr>
        <w:ind w:left="424" w:right="20" w:hanging="424"/>
        <w:spacing w:after="0" w:line="271"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964"/>
          </w:cols>
          <w:pgMar w:left="436" w:top="274" w:right="4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jc w:val="both"/>
        <w:ind w:right="42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Burlingame, California, on the 18th day of March 2021.</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ALX ONCOLOGY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Jaume Pons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Jaume Pons, Ph.D.</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Jaume Pons, Ph.D. and Peter Garcia, and each of them, as such individual’s true and lawful attorney in fact and agent with full power of substitution, for such individual in any and all capacities, to sign any and all amendments to this Registration Statement on Form S-8 (including post-effective amendments), and to file the same, with all exhibits thereto and other documents in connection therewith, with the Securities and Exchange Commission, granting unto said attorney in 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 in fact, proxy and agent, or the individual’s substitute, may lawfully do or cause to be done by virtue hereof.</w:t>
      </w:r>
    </w:p>
    <w:p>
      <w:pPr>
        <w:spacing w:after="0" w:line="166"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6"/>
                <w:szCs w:val="16"/>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12"/>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Jaume Pons</w:t>
            </w:r>
          </w:p>
        </w:tc>
        <w:tc>
          <w:tcPr>
            <w:tcW w:w="120" w:type="dxa"/>
            <w:vAlign w:val="bottom"/>
          </w:tcPr>
          <w:p>
            <w:pPr>
              <w:spacing w:after="0"/>
              <w:rPr>
                <w:sz w:val="24"/>
                <w:szCs w:val="24"/>
                <w:color w:val="auto"/>
              </w:rPr>
            </w:pPr>
          </w:p>
        </w:tc>
        <w:tc>
          <w:tcPr>
            <w:tcW w:w="4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President, Chief Executive Officer and Director</w:t>
            </w:r>
          </w:p>
        </w:tc>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2"/>
              </w:rPr>
              <w:t>March 18, 2021</w:t>
            </w:r>
          </w:p>
        </w:tc>
        <w:tc>
          <w:tcPr>
            <w:tcW w:w="0" w:type="dxa"/>
            <w:vAlign w:val="bottom"/>
          </w:tcPr>
          <w:p>
            <w:pPr>
              <w:spacing w:after="0"/>
              <w:rPr>
                <w:sz w:val="1"/>
                <w:szCs w:val="1"/>
                <w:color w:val="auto"/>
              </w:rPr>
            </w:pPr>
          </w:p>
        </w:tc>
      </w:tr>
      <w:tr>
        <w:trPr>
          <w:trHeight w:val="102"/>
        </w:trPr>
        <w:tc>
          <w:tcPr>
            <w:tcW w:w="3620" w:type="dxa"/>
            <w:vAlign w:val="bottom"/>
            <w:vMerge w:val="restart"/>
          </w:tcPr>
          <w:p>
            <w:pPr>
              <w:spacing w:after="0"/>
              <w:rPr>
                <w:sz w:val="20"/>
                <w:szCs w:val="20"/>
                <w:color w:val="auto"/>
              </w:rPr>
            </w:pPr>
            <w:r>
              <w:rPr>
                <w:rFonts w:ascii="Arial" w:cs="Arial" w:eastAsia="Arial" w:hAnsi="Arial"/>
                <w:sz w:val="18"/>
                <w:szCs w:val="18"/>
                <w:color w:val="auto"/>
              </w:rPr>
              <w:t>Jaume Pons, Ph.D.</w:t>
            </w:r>
          </w:p>
        </w:tc>
        <w:tc>
          <w:tcPr>
            <w:tcW w:w="120" w:type="dxa"/>
            <w:vAlign w:val="bottom"/>
          </w:tcPr>
          <w:p>
            <w:pPr>
              <w:spacing w:after="0"/>
              <w:rPr>
                <w:sz w:val="8"/>
                <w:szCs w:val="8"/>
                <w:color w:val="auto"/>
              </w:rPr>
            </w:pPr>
          </w:p>
        </w:tc>
        <w:tc>
          <w:tcPr>
            <w:tcW w:w="400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4"/>
              </w:rPr>
              <w:t>(Principal Executive Officer)</w:t>
            </w: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0" w:type="dxa"/>
            <w:vAlign w:val="bottom"/>
            <w:gridSpan w:val="2"/>
            <w:vMerge w:val="continue"/>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Peter Garcia</w:t>
            </w:r>
          </w:p>
        </w:tc>
        <w:tc>
          <w:tcPr>
            <w:tcW w:w="120" w:type="dxa"/>
            <w:vAlign w:val="bottom"/>
          </w:tcPr>
          <w:p>
            <w:pPr>
              <w:spacing w:after="0"/>
              <w:rPr>
                <w:sz w:val="24"/>
                <w:szCs w:val="24"/>
                <w:color w:val="auto"/>
              </w:rPr>
            </w:pPr>
          </w:p>
        </w:tc>
        <w:tc>
          <w:tcPr>
            <w:tcW w:w="40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Chief Financial Officer</w:t>
            </w:r>
          </w:p>
        </w:tc>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2"/>
              </w:rPr>
              <w:t>March 18, 2021</w:t>
            </w:r>
          </w:p>
        </w:tc>
        <w:tc>
          <w:tcPr>
            <w:tcW w:w="0" w:type="dxa"/>
            <w:vAlign w:val="bottom"/>
          </w:tcPr>
          <w:p>
            <w:pPr>
              <w:spacing w:after="0"/>
              <w:rPr>
                <w:sz w:val="1"/>
                <w:szCs w:val="1"/>
                <w:color w:val="auto"/>
              </w:rPr>
            </w:pPr>
          </w:p>
        </w:tc>
      </w:tr>
      <w:tr>
        <w:trPr>
          <w:trHeight w:val="102"/>
        </w:trPr>
        <w:tc>
          <w:tcPr>
            <w:tcW w:w="3620" w:type="dxa"/>
            <w:vAlign w:val="bottom"/>
            <w:vMerge w:val="restart"/>
          </w:tcPr>
          <w:p>
            <w:pPr>
              <w:spacing w:after="0"/>
              <w:rPr>
                <w:sz w:val="20"/>
                <w:szCs w:val="20"/>
                <w:color w:val="auto"/>
              </w:rPr>
            </w:pPr>
            <w:r>
              <w:rPr>
                <w:rFonts w:ascii="Arial" w:cs="Arial" w:eastAsia="Arial" w:hAnsi="Arial"/>
                <w:sz w:val="18"/>
                <w:szCs w:val="18"/>
                <w:color w:val="auto"/>
              </w:rPr>
              <w:t>Peter Garcia</w:t>
            </w:r>
          </w:p>
        </w:tc>
        <w:tc>
          <w:tcPr>
            <w:tcW w:w="120" w:type="dxa"/>
            <w:vAlign w:val="bottom"/>
          </w:tcPr>
          <w:p>
            <w:pPr>
              <w:spacing w:after="0"/>
              <w:rPr>
                <w:sz w:val="8"/>
                <w:szCs w:val="8"/>
                <w:color w:val="auto"/>
              </w:rPr>
            </w:pPr>
          </w:p>
        </w:tc>
        <w:tc>
          <w:tcPr>
            <w:tcW w:w="400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7"/>
              </w:rPr>
              <w:t>(Principal Financial Officer)</w:t>
            </w: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0" w:type="dxa"/>
            <w:vAlign w:val="bottom"/>
            <w:gridSpan w:val="2"/>
            <w:vMerge w:val="continue"/>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Steffen Pietzke</w:t>
            </w:r>
          </w:p>
        </w:tc>
        <w:tc>
          <w:tcPr>
            <w:tcW w:w="120" w:type="dxa"/>
            <w:vAlign w:val="bottom"/>
          </w:tcPr>
          <w:p>
            <w:pPr>
              <w:spacing w:after="0"/>
              <w:rPr>
                <w:sz w:val="24"/>
                <w:szCs w:val="24"/>
                <w:color w:val="auto"/>
              </w:rPr>
            </w:pPr>
          </w:p>
        </w:tc>
        <w:tc>
          <w:tcPr>
            <w:tcW w:w="40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President, Finance and Chief Accounting Officer</w:t>
            </w:r>
          </w:p>
        </w:tc>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2"/>
              </w:rPr>
              <w:t>March 18, 2021</w:t>
            </w:r>
          </w:p>
        </w:tc>
        <w:tc>
          <w:tcPr>
            <w:tcW w:w="0" w:type="dxa"/>
            <w:vAlign w:val="bottom"/>
          </w:tcPr>
          <w:p>
            <w:pPr>
              <w:spacing w:after="0"/>
              <w:rPr>
                <w:sz w:val="1"/>
                <w:szCs w:val="1"/>
                <w:color w:val="auto"/>
              </w:rPr>
            </w:pPr>
          </w:p>
        </w:tc>
      </w:tr>
      <w:tr>
        <w:trPr>
          <w:trHeight w:val="102"/>
        </w:trPr>
        <w:tc>
          <w:tcPr>
            <w:tcW w:w="3620" w:type="dxa"/>
            <w:vAlign w:val="bottom"/>
            <w:vMerge w:val="restart"/>
          </w:tcPr>
          <w:p>
            <w:pPr>
              <w:spacing w:after="0"/>
              <w:rPr>
                <w:sz w:val="20"/>
                <w:szCs w:val="20"/>
                <w:color w:val="auto"/>
              </w:rPr>
            </w:pPr>
            <w:r>
              <w:rPr>
                <w:rFonts w:ascii="Arial" w:cs="Arial" w:eastAsia="Arial" w:hAnsi="Arial"/>
                <w:sz w:val="18"/>
                <w:szCs w:val="18"/>
                <w:color w:val="auto"/>
              </w:rPr>
              <w:t>Steffen Pietzke</w:t>
            </w:r>
          </w:p>
        </w:tc>
        <w:tc>
          <w:tcPr>
            <w:tcW w:w="120" w:type="dxa"/>
            <w:vAlign w:val="bottom"/>
          </w:tcPr>
          <w:p>
            <w:pPr>
              <w:spacing w:after="0"/>
              <w:rPr>
                <w:sz w:val="8"/>
                <w:szCs w:val="8"/>
                <w:color w:val="auto"/>
              </w:rPr>
            </w:pPr>
          </w:p>
        </w:tc>
        <w:tc>
          <w:tcPr>
            <w:tcW w:w="4000" w:type="dxa"/>
            <w:vAlign w:val="bottom"/>
            <w:gridSpan w:val="2"/>
            <w:vMerge w:val="restart"/>
          </w:tcPr>
          <w:p>
            <w:pPr>
              <w:jc w:val="center"/>
              <w:ind w:right="100"/>
              <w:spacing w:after="0"/>
              <w:rPr>
                <w:sz w:val="20"/>
                <w:szCs w:val="20"/>
                <w:color w:val="auto"/>
              </w:rPr>
            </w:pPr>
            <w:r>
              <w:rPr>
                <w:rFonts w:ascii="Arial" w:cs="Arial" w:eastAsia="Arial" w:hAnsi="Arial"/>
                <w:sz w:val="18"/>
                <w:szCs w:val="18"/>
                <w:i w:val="1"/>
                <w:iCs w:val="1"/>
                <w:color w:val="auto"/>
                <w:w w:val="95"/>
              </w:rPr>
              <w:t>(Principal Accounting Officer)</w:t>
            </w: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4000" w:type="dxa"/>
            <w:vAlign w:val="bottom"/>
            <w:gridSpan w:val="2"/>
            <w:vMerge w:val="continue"/>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Corey Goodman</w:t>
            </w:r>
          </w:p>
        </w:tc>
        <w:tc>
          <w:tcPr>
            <w:tcW w:w="120" w:type="dxa"/>
            <w:vAlign w:val="bottom"/>
          </w:tcPr>
          <w:p>
            <w:pPr>
              <w:spacing w:after="0"/>
              <w:rPr>
                <w:sz w:val="24"/>
                <w:szCs w:val="24"/>
                <w:color w:val="auto"/>
              </w:rPr>
            </w:pPr>
          </w:p>
        </w:tc>
        <w:tc>
          <w:tcPr>
            <w:tcW w:w="40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2"/>
              </w:rPr>
              <w:t>Executive Chairman of the Board of Directors</w:t>
            </w:r>
          </w:p>
        </w:tc>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2"/>
              </w:rPr>
              <w:t>March 18, 2021</w:t>
            </w:r>
          </w:p>
        </w:tc>
        <w:tc>
          <w:tcPr>
            <w:tcW w:w="0" w:type="dxa"/>
            <w:vAlign w:val="bottom"/>
          </w:tcPr>
          <w:p>
            <w:pPr>
              <w:spacing w:after="0"/>
              <w:rPr>
                <w:sz w:val="1"/>
                <w:szCs w:val="1"/>
                <w:color w:val="auto"/>
              </w:rPr>
            </w:pPr>
          </w:p>
        </w:tc>
      </w:tr>
      <w:tr>
        <w:trPr>
          <w:trHeight w:val="102"/>
        </w:trPr>
        <w:tc>
          <w:tcPr>
            <w:tcW w:w="3620" w:type="dxa"/>
            <w:vAlign w:val="bottom"/>
            <w:vMerge w:val="restart"/>
          </w:tcPr>
          <w:p>
            <w:pPr>
              <w:spacing w:after="0"/>
              <w:rPr>
                <w:sz w:val="20"/>
                <w:szCs w:val="20"/>
                <w:color w:val="auto"/>
              </w:rPr>
            </w:pPr>
            <w:r>
              <w:rPr>
                <w:rFonts w:ascii="Arial" w:cs="Arial" w:eastAsia="Arial" w:hAnsi="Arial"/>
                <w:sz w:val="18"/>
                <w:szCs w:val="18"/>
                <w:color w:val="auto"/>
              </w:rPr>
              <w:t>Corey Goodman, Ph.D.</w:t>
            </w:r>
          </w:p>
        </w:tc>
        <w:tc>
          <w:tcPr>
            <w:tcW w:w="120" w:type="dxa"/>
            <w:vAlign w:val="bottom"/>
          </w:tcPr>
          <w:p>
            <w:pPr>
              <w:spacing w:after="0"/>
              <w:rPr>
                <w:sz w:val="8"/>
                <w:szCs w:val="8"/>
                <w:color w:val="auto"/>
              </w:rPr>
            </w:pPr>
          </w:p>
        </w:tc>
        <w:tc>
          <w:tcPr>
            <w:tcW w:w="4000" w:type="dxa"/>
            <w:vAlign w:val="bottom"/>
            <w:gridSpan w:val="2"/>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1"/>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Rekha Hemrajani</w:t>
            </w:r>
          </w:p>
        </w:tc>
        <w:tc>
          <w:tcPr>
            <w:tcW w:w="120" w:type="dxa"/>
            <w:vAlign w:val="bottom"/>
          </w:tcPr>
          <w:p>
            <w:pPr>
              <w:spacing w:after="0"/>
              <w:rPr>
                <w:sz w:val="24"/>
                <w:szCs w:val="24"/>
                <w:color w:val="auto"/>
              </w:rPr>
            </w:pPr>
          </w:p>
        </w:tc>
        <w:tc>
          <w:tcPr>
            <w:tcW w:w="400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5"/>
              </w:rPr>
              <w:t>Director</w:t>
            </w:r>
          </w:p>
        </w:tc>
        <w:tc>
          <w:tcPr>
            <w:tcW w:w="3280" w:type="dxa"/>
            <w:vAlign w:val="bottom"/>
            <w:vMerge w:val="restart"/>
          </w:tcPr>
          <w:p>
            <w:pPr>
              <w:jc w:val="center"/>
              <w:spacing w:after="0"/>
              <w:rPr>
                <w:sz w:val="20"/>
                <w:szCs w:val="20"/>
                <w:color w:val="auto"/>
              </w:rPr>
            </w:pPr>
            <w:r>
              <w:rPr>
                <w:rFonts w:ascii="Arial" w:cs="Arial" w:eastAsia="Arial" w:hAnsi="Arial"/>
                <w:sz w:val="18"/>
                <w:szCs w:val="18"/>
                <w:color w:val="auto"/>
                <w:w w:val="92"/>
              </w:rPr>
              <w:t>March 18, 2021</w:t>
            </w:r>
          </w:p>
        </w:tc>
        <w:tc>
          <w:tcPr>
            <w:tcW w:w="0" w:type="dxa"/>
            <w:vAlign w:val="bottom"/>
          </w:tcPr>
          <w:p>
            <w:pPr>
              <w:spacing w:after="0"/>
              <w:rPr>
                <w:sz w:val="1"/>
                <w:szCs w:val="1"/>
                <w:color w:val="auto"/>
              </w:rPr>
            </w:pPr>
          </w:p>
        </w:tc>
      </w:tr>
      <w:tr>
        <w:trPr>
          <w:trHeight w:val="102"/>
        </w:trPr>
        <w:tc>
          <w:tcPr>
            <w:tcW w:w="3620" w:type="dxa"/>
            <w:vAlign w:val="bottom"/>
            <w:vMerge w:val="restart"/>
          </w:tcPr>
          <w:p>
            <w:pPr>
              <w:spacing w:after="0"/>
              <w:rPr>
                <w:sz w:val="20"/>
                <w:szCs w:val="20"/>
                <w:color w:val="auto"/>
              </w:rPr>
            </w:pPr>
            <w:r>
              <w:rPr>
                <w:rFonts w:ascii="Arial" w:cs="Arial" w:eastAsia="Arial" w:hAnsi="Arial"/>
                <w:sz w:val="18"/>
                <w:szCs w:val="18"/>
                <w:color w:val="auto"/>
              </w:rPr>
              <w:t>Rekha Hemrajani</w:t>
            </w:r>
          </w:p>
        </w:tc>
        <w:tc>
          <w:tcPr>
            <w:tcW w:w="120" w:type="dxa"/>
            <w:vAlign w:val="bottom"/>
          </w:tcPr>
          <w:p>
            <w:pPr>
              <w:spacing w:after="0"/>
              <w:rPr>
                <w:sz w:val="8"/>
                <w:szCs w:val="8"/>
                <w:color w:val="auto"/>
              </w:rPr>
            </w:pPr>
          </w:p>
        </w:tc>
        <w:tc>
          <w:tcPr>
            <w:tcW w:w="4000" w:type="dxa"/>
            <w:vAlign w:val="bottom"/>
            <w:gridSpan w:val="2"/>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 Jason Lettmann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Jason Lettmann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Jack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Jack Nielsen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Sophia Randolph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Sophia Randolph, M.D., Ph.D.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Graham Walmsley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4517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Graham Walmsley, M.D., Ph.D.</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3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-278765</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tabs>
          <w:tab w:leader="none" w:pos="3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18, 2021</w:t>
      </w:r>
    </w:p>
    <w:p>
      <w:pPr>
        <w:spacing w:after="0" w:line="200" w:lineRule="exact"/>
        <w:rPr>
          <w:sz w:val="20"/>
          <w:szCs w:val="20"/>
          <w:color w:val="auto"/>
        </w:rPr>
      </w:pPr>
    </w:p>
    <w:p>
      <w:pPr>
        <w:spacing w:after="0" w:line="291" w:lineRule="exact"/>
        <w:rPr>
          <w:sz w:val="20"/>
          <w:szCs w:val="20"/>
          <w:color w:val="auto"/>
        </w:rPr>
      </w:pPr>
    </w:p>
    <w:p>
      <w:pPr>
        <w:spacing w:after="0"/>
        <w:tabs>
          <w:tab w:leader="none" w:pos="3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18, 2021</w:t>
      </w:r>
    </w:p>
    <w:p>
      <w:pPr>
        <w:spacing w:after="0" w:line="200" w:lineRule="exact"/>
        <w:rPr>
          <w:sz w:val="20"/>
          <w:szCs w:val="20"/>
          <w:color w:val="auto"/>
        </w:rPr>
      </w:pPr>
    </w:p>
    <w:p>
      <w:pPr>
        <w:spacing w:after="0" w:line="291" w:lineRule="exact"/>
        <w:rPr>
          <w:sz w:val="20"/>
          <w:szCs w:val="20"/>
          <w:color w:val="auto"/>
        </w:rPr>
      </w:pPr>
    </w:p>
    <w:p>
      <w:pPr>
        <w:spacing w:after="0"/>
        <w:tabs>
          <w:tab w:leader="none" w:pos="3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18, 2021</w:t>
      </w:r>
    </w:p>
    <w:p>
      <w:pPr>
        <w:sectPr>
          <w:pgSz w:w="11900" w:h="16838" w:orient="portrait"/>
          <w:cols w:equalWidth="0" w:num="2">
            <w:col w:w="4720" w:space="720"/>
            <w:col w:w="4579"/>
          </w:cols>
          <w:pgMar w:left="440" w:top="274" w:right="1440" w:bottom="1440" w:gutter="0" w:footer="0" w:header="0"/>
        </w:sectPr>
      </w:pPr>
    </w:p>
    <w:bookmarkStart w:id="9" w:name="page10"/>
    <w:bookmarkEnd w:id="9"/>
    <w:p>
      <w:pPr>
        <w:ind w:left="7280"/>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111760</wp:posOffset>
            </wp:positionV>
            <wp:extent cx="1423035" cy="531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423035" cy="531495"/>
                    </a:xfrm>
                    <a:prstGeom prst="rect">
                      <a:avLst/>
                    </a:prstGeom>
                    <a:noFill/>
                  </pic:spPr>
                </pic:pic>
              </a:graphicData>
            </a:graphic>
          </wp:anchor>
        </w:drawing>
      </w:r>
    </w:p>
    <w:p>
      <w:pPr>
        <w:spacing w:after="0" w:line="23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Professional Corporation</w:t>
      </w:r>
    </w:p>
    <w:p>
      <w:pPr>
        <w:spacing w:after="0" w:line="1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Palo Alto, California 94304-1050</w:t>
      </w:r>
    </w:p>
    <w:p>
      <w:pPr>
        <w:spacing w:after="0" w:line="238" w:lineRule="exact"/>
        <w:rPr>
          <w:sz w:val="20"/>
          <w:szCs w:val="20"/>
          <w:color w:val="auto"/>
        </w:rPr>
      </w:pPr>
    </w:p>
    <w:p>
      <w:pPr>
        <w:ind w:left="7280"/>
        <w:spacing w:after="0"/>
        <w:rPr>
          <w:sz w:val="20"/>
          <w:szCs w:val="20"/>
          <w:color w:val="auto"/>
        </w:rPr>
      </w:pPr>
      <w:r>
        <w:rPr>
          <w:rFonts w:ascii="Arial" w:cs="Arial" w:eastAsia="Arial" w:hAnsi="Arial"/>
          <w:sz w:val="15"/>
          <w:szCs w:val="15"/>
          <w:color w:val="auto"/>
        </w:rPr>
        <w:t>O</w:t>
      </w:r>
      <w:r>
        <w:rPr>
          <w:rFonts w:ascii="Arial" w:cs="Arial" w:eastAsia="Arial" w:hAnsi="Arial"/>
          <w:sz w:val="17"/>
          <w:szCs w:val="17"/>
          <w:color w:val="auto"/>
        </w:rPr>
        <w:t>: 650.493.9300</w:t>
      </w:r>
    </w:p>
    <w:p>
      <w:pPr>
        <w:spacing w:after="0" w:line="35" w:lineRule="exact"/>
        <w:rPr>
          <w:sz w:val="20"/>
          <w:szCs w:val="20"/>
          <w:color w:val="auto"/>
        </w:rPr>
      </w:pPr>
    </w:p>
    <w:p>
      <w:pPr>
        <w:ind w:left="7280"/>
        <w:spacing w:after="0"/>
        <w:rPr>
          <w:sz w:val="20"/>
          <w:szCs w:val="20"/>
          <w:color w:val="auto"/>
        </w:rPr>
      </w:pPr>
      <w:r>
        <w:rPr>
          <w:rFonts w:ascii="Arial" w:cs="Arial" w:eastAsia="Arial" w:hAnsi="Arial"/>
          <w:sz w:val="15"/>
          <w:szCs w:val="15"/>
          <w:color w:val="auto"/>
        </w:rPr>
        <w:t>F</w:t>
      </w:r>
      <w:r>
        <w:rPr>
          <w:rFonts w:ascii="Arial" w:cs="Arial" w:eastAsia="Arial" w:hAnsi="Arial"/>
          <w:sz w:val="17"/>
          <w:szCs w:val="17"/>
          <w:color w:val="auto"/>
        </w:rPr>
        <w:t>: 650.493.6811</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March 18,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866 Malcolm Road, 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Burlingame, California 94010</w:t>
      </w:r>
    </w:p>
    <w:p>
      <w:pPr>
        <w:spacing w:after="0" w:line="112"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b w:val="1"/>
          <w:bCs w:val="1"/>
          <w:color w:val="auto"/>
        </w:rPr>
        <w:t>Re:</w:t>
        <w:tab/>
        <w:t>Registration Statement on Form S-8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We have examined the Registration Statement on Form S-8 (the “Registration Statement”) to be filed by ALX Oncology Holdings Inc., a Delaware corporation (the “Company”), with the Securities and Exchange Commission on or about the date hereof, relating to the registration under the Securities Act of 1933, as amended, of (i) 1,593,781 shares of common stock, par value $0.001 per share (“Common Stock”), reserved for issuance pursuant to the Company’s 2020 Equity Incentive Plan and (ii) 398,445 shares of Common Stock reserved for issuance pursuant to the Company’s 2020 Employee Stock Purchase Plan, as amended (which plans are referred to herein as the “Plans” and which shares of Common Stock are referred to herein as the “Shares”).</w:t>
      </w:r>
    </w:p>
    <w:p>
      <w:pPr>
        <w:spacing w:after="0" w:line="192"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On the basis of the foregoing, and in reliance thereon, we are of the opinion that the Shares, when issued and sold in the manner referred to in the Plans and pursuant to the agreements that accompany the Plans, will be legally and validly issued, fully paid, and nonassessable.</w:t>
      </w:r>
    </w:p>
    <w:p>
      <w:pPr>
        <w:spacing w:after="0" w:line="14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further consent to the use of our name wherever appearing in the Registration Statement and any amendments thereto.</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Professional Corporation</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Wilson Sonsini Goodrich &amp; Rosati, P.C.</w:t>
      </w:r>
    </w:p>
    <w:p>
      <w:pPr>
        <w:sectPr>
          <w:pgSz w:w="11900" w:h="16838" w:orient="portrait"/>
          <w:cols w:equalWidth="0" w:num="1">
            <w:col w:w="10960"/>
          </w:cols>
          <w:pgMar w:left="440" w:top="121" w:right="4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ALX Oncology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incorporated by reference herein.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18,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4"/>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6">
    <w:nsid w:val="79E2A9E3"/>
    <w:multiLevelType w:val="hybridMultilevel"/>
    <w:lvl w:ilvl="0">
      <w:lvlJc w:val="left"/>
      <w:lvlText w:val="%1"/>
      <w:numFmt w:val="upperLetter"/>
      <w:start w:val="1"/>
    </w:lvl>
    <w:lvl w:ilvl="1">
      <w:lvlJc w:val="left"/>
      <w:lvlText w:val="(%2)"/>
      <w:numFmt w:val="decimal"/>
      <w:start w:val="2"/>
    </w:lvl>
  </w:abstractNum>
  <w:abstractNum w:abstractNumId="7">
    <w:nsid w:val="7545E146"/>
    <w:multiLevelType w:val="hybridMultilevel"/>
    <w:lvl w:ilvl="0">
      <w:lvlJc w:val="left"/>
      <w:lvlText w:val="%1."/>
      <w:numFmt w:val="upp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jpeg"/><Relationship Id="rId18" Type="http://schemas.openxmlformats.org/officeDocument/2006/relationships/hyperlink" Target="http://www.sec.gov/Archives/edgar/data/1810182/000156459021014169/alxo-10k_20201231.htm" TargetMode="External"/><Relationship Id="rId19" Type="http://schemas.openxmlformats.org/officeDocument/2006/relationships/hyperlink" Target="http://www.sec.gov/Archives/edgar/data/1810182/000119312520191878/d936945d8a12b.htm" TargetMode="External"/><Relationship Id="rId23" Type="http://schemas.openxmlformats.org/officeDocument/2006/relationships/hyperlink" Target="http://www.sec.gov/Archives/edgar/data/1810182/000119312520181021/d913838dex42.htm" TargetMode="External"/><Relationship Id="rId24" Type="http://schemas.openxmlformats.org/officeDocument/2006/relationships/hyperlink" Target="http://www.sec.gov/Archives/edgar/data/1810182/000119312520191500/d913838dex102.htm" TargetMode="External"/><Relationship Id="rId25" Type="http://schemas.openxmlformats.org/officeDocument/2006/relationships/hyperlink" Target="http://www.sec.gov/Archives/edgar/data/1810182/000119312520191500/d913838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2021-03-18T16:06:47Z</dcterms:created>
  <dcterms:modified xsi:type="dcterms:W3CDTF">2021-03-18T16:06:47Z</dcterms:modified>
</cp:coreProperties>
</file>