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ALX ONCOLOGY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00166B105</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4" w:type="dxa"/>
        <w:jc w:val="left"/>
        <w:tblInd w:w="0" w:type="dxa"/>
        <w:tblLayout w:type="fixed"/>
        <w:tblCellMar>
          <w:top w:w="28" w:type="dxa"/>
          <w:left w:w="28" w:type="dxa"/>
          <w:bottom w:w="28" w:type="dxa"/>
          <w:right w:w="28" w:type="dxa"/>
        </w:tblCellMar>
      </w:tblPr>
      <w:tblGrid>
        <w:gridCol w:w="1276"/>
        <w:gridCol w:w="3828"/>
      </w:tblGrid>
      <w:tr>
        <w:trPr/>
        <w:tc>
          <w:tcPr>
            <w:tcW w:w="1276" w:type="dxa"/>
            <w:tcBorders/>
            <w:vAlign w:val="center"/>
          </w:tcPr>
          <w:p>
            <w:pPr>
              <w:pStyle w:val="TableContents"/>
              <w:bidi w:val="0"/>
              <w:spacing w:before="0" w:after="283"/>
              <w:jc w:val="left"/>
              <w:rPr>
                <w:b/>
              </w:rPr>
            </w:pPr>
            <w:r>
              <w:rPr>
                <w:b/>
              </w:rPr>
              <w:t>CUSIP No.</w:t>
            </w:r>
          </w:p>
        </w:tc>
        <w:tc>
          <w:tcPr>
            <w:tcW w:w="3828" w:type="dxa"/>
            <w:tcBorders/>
            <w:vAlign w:val="center"/>
          </w:tcPr>
          <w:p>
            <w:pPr>
              <w:pStyle w:val="TableContents"/>
              <w:bidi w:val="0"/>
              <w:spacing w:before="0" w:after="0"/>
              <w:jc w:val="left"/>
              <w:rPr/>
            </w:pPr>
            <w:r>
              <w:rPr/>
              <w:t>00166B105</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HBM Healthcare Investments (Cayman)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4,500,000.00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4,500,000.00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Voting and investment power over the shares held by HBM Healthcare Investments (Cayman) Ltd. is exercised by the board of directors of HBM Healthcare Investments (Cayman) Ltd. (the "Board"). The Board consists of Jean-Marc LeSieur, Richard H. Coles, Sophia Harris, Dr. Andreas Wicki, Mark Kronenfeld, M.D., and Richard Paul Woodhouse, none of whom has individual voting or investment power with respect to the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3"/>
        <w:gridCol w:w="8937"/>
        <w:gridCol w:w="155"/>
      </w:tblGrid>
      <w:tr>
        <w:trPr/>
        <w:tc>
          <w:tcPr>
            <w:tcW w:w="1113" w:type="dxa"/>
            <w:tcBorders/>
            <w:vAlign w:val="center"/>
          </w:tcPr>
          <w:p>
            <w:pPr>
              <w:pStyle w:val="TableContents"/>
              <w:bidi w:val="0"/>
              <w:spacing w:before="0" w:after="283"/>
              <w:jc w:val="left"/>
              <w:rPr/>
            </w:pPr>
            <w:r>
              <w:rPr/>
              <w:t>Item 1.</w:t>
            </w:r>
          </w:p>
        </w:tc>
        <w:tc>
          <w:tcPr>
            <w:tcW w:w="893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jc w:val="left"/>
              <w:rPr/>
            </w:pPr>
            <w:r>
              <w:rPr/>
              <w:t xml:space="preserve">Name of issuer: </w:t>
            </w:r>
          </w:p>
          <w:p>
            <w:pPr>
              <w:pStyle w:val="TableContents"/>
              <w:bidi w:val="0"/>
              <w:spacing w:before="0" w:after="0"/>
              <w:jc w:val="left"/>
              <w:rPr/>
            </w:pPr>
            <w:r>
              <w:rPr/>
              <w:t>ALX ONCOLOGY HOLDINGS INC</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323 Allerton Avenue,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2.</w:t>
            </w:r>
          </w:p>
        </w:tc>
        <w:tc>
          <w:tcPr>
            <w:tcW w:w="893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jc w:val="left"/>
              <w:rPr/>
            </w:pPr>
            <w:r>
              <w:rPr/>
              <w:t xml:space="preserve">Name of person filing: </w:t>
            </w:r>
          </w:p>
          <w:p>
            <w:pPr>
              <w:pStyle w:val="TableContents"/>
              <w:bidi w:val="0"/>
              <w:spacing w:before="0" w:after="0"/>
              <w:jc w:val="left"/>
              <w:rPr/>
            </w:pPr>
            <w:r>
              <w:rPr/>
              <w:t>HBM Healthcare Investments (Cayman) Ltd.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Governors Square, 23 Lime Tree Bay Avenue, PO Box 30852, Grand Cayman, KY1-1204, Cayman Islands</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(c)</w:t>
            </w:r>
          </w:p>
        </w:tc>
        <w:tc>
          <w:tcPr>
            <w:tcW w:w="8937" w:type="dxa"/>
            <w:tcBorders/>
            <w:vAlign w:val="center"/>
          </w:tcPr>
          <w:p>
            <w:pPr>
              <w:pStyle w:val="TableContents"/>
              <w:bidi w:val="0"/>
              <w:jc w:val="left"/>
              <w:rPr/>
            </w:pPr>
            <w:r>
              <w:rPr/>
              <w:t xml:space="preserve">Citizenship: </w:t>
            </w:r>
          </w:p>
          <w:p>
            <w:pPr>
              <w:pStyle w:val="TableContents"/>
              <w:bidi w:val="0"/>
              <w:spacing w:before="0" w:after="0"/>
              <w:jc w:val="left"/>
              <w:rPr/>
            </w:pPr>
            <w:r>
              <w:rPr/>
              <w:t>Cayman Islands, British West Indies</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(d)</w:t>
            </w:r>
          </w:p>
        </w:tc>
        <w:tc>
          <w:tcPr>
            <w:tcW w:w="893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(e)</w:t>
            </w:r>
          </w:p>
        </w:tc>
        <w:tc>
          <w:tcPr>
            <w:tcW w:w="8937" w:type="dxa"/>
            <w:tcBorders/>
            <w:vAlign w:val="center"/>
          </w:tcPr>
          <w:p>
            <w:pPr>
              <w:pStyle w:val="TableContents"/>
              <w:bidi w:val="0"/>
              <w:jc w:val="left"/>
              <w:rPr/>
            </w:pPr>
            <w:r>
              <w:rPr/>
              <w:t xml:space="preserve">CUSIP No.: </w:t>
            </w:r>
          </w:p>
          <w:p>
            <w:pPr>
              <w:pStyle w:val="TableContents"/>
              <w:bidi w:val="0"/>
              <w:spacing w:before="0" w:after="0"/>
              <w:jc w:val="left"/>
              <w:rPr/>
            </w:pPr>
            <w:r>
              <w:rPr/>
              <w:t>00166B105</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3.</w:t>
            </w:r>
          </w:p>
        </w:tc>
        <w:tc>
          <w:tcPr>
            <w:tcW w:w="893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(c)</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(d)</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(e)</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(f)</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(g)</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(h)</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(j)</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(k)</w:t>
            </w:r>
          </w:p>
        </w:tc>
        <w:tc>
          <w:tcPr>
            <w:tcW w:w="893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9092" w:type="dxa"/>
            <w:gridSpan w:val="2"/>
            <w:tcBorders/>
            <w:vAlign w:val="center"/>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4.</w:t>
            </w:r>
          </w:p>
        </w:tc>
        <w:tc>
          <w:tcPr>
            <w:tcW w:w="893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3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March 31, 2025, the Reporting Person may be deemed the beneficial owner of 4,500,000 shares of Common Stock, which represent approximately 8.4% of the shares of Common Stock outstanding. The percentage set forth herein is calculated based on 53,384,145 shares of Common Stock outstanding as of February 27, 2025, as reported in the Issuer's Annual Report on Form 10-K filed with the Securities and Exchange Commission on March 6, 2025.</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3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8.4%  %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(c)</w:t>
            </w:r>
          </w:p>
        </w:tc>
        <w:tc>
          <w:tcPr>
            <w:tcW w:w="893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4,500,000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4,500,000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5.</w:t>
            </w:r>
          </w:p>
        </w:tc>
        <w:tc>
          <w:tcPr>
            <w:tcW w:w="893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6.</w:t>
            </w:r>
          </w:p>
        </w:tc>
        <w:tc>
          <w:tcPr>
            <w:tcW w:w="893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7.</w:t>
            </w:r>
          </w:p>
        </w:tc>
        <w:tc>
          <w:tcPr>
            <w:tcW w:w="893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8.</w:t>
            </w:r>
          </w:p>
        </w:tc>
        <w:tc>
          <w:tcPr>
            <w:tcW w:w="893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9.</w:t>
            </w:r>
          </w:p>
        </w:tc>
        <w:tc>
          <w:tcPr>
            <w:tcW w:w="893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3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206" w:type="dxa"/>
        <w:jc w:val="left"/>
        <w:tblInd w:w="0" w:type="dxa"/>
        <w:tblLayout w:type="fixed"/>
        <w:tblCellMar>
          <w:top w:w="28" w:type="dxa"/>
          <w:left w:w="28" w:type="dxa"/>
          <w:bottom w:w="28" w:type="dxa"/>
          <w:right w:w="28" w:type="dxa"/>
        </w:tblCellMar>
      </w:tblPr>
      <w:tblGrid>
        <w:gridCol w:w="4603"/>
        <w:gridCol w:w="4603"/>
      </w:tblGrid>
      <w:tr>
        <w:trPr/>
        <w:tc>
          <w:tcPr>
            <w:tcW w:w="4603" w:type="dxa"/>
            <w:tcBorders/>
            <w:vAlign w:val="center"/>
          </w:tcPr>
          <w:p>
            <w:pPr>
              <w:pStyle w:val="TableContents"/>
              <w:bidi w:val="0"/>
              <w:spacing w:before="0" w:after="0"/>
              <w:jc w:val="left"/>
              <w:rPr/>
            </w:pPr>
            <w:r>
              <w:rPr/>
              <w:t> </w:t>
            </w:r>
          </w:p>
          <w:tbl>
            <w:tblPr>
              <w:tblW w:w="4441" w:type="dxa"/>
              <w:jc w:val="left"/>
              <w:tblInd w:w="0" w:type="dxa"/>
              <w:tblLayout w:type="fixed"/>
              <w:tblCellMar>
                <w:top w:w="28" w:type="dxa"/>
                <w:left w:w="28" w:type="dxa"/>
                <w:bottom w:w="28" w:type="dxa"/>
                <w:right w:w="28" w:type="dxa"/>
              </w:tblCellMar>
            </w:tblPr>
            <w:tblGrid>
              <w:gridCol w:w="4441"/>
            </w:tblGrid>
            <w:tr>
              <w:trPr/>
              <w:tc>
                <w:tcPr>
                  <w:tcW w:w="4441" w:type="dxa"/>
                  <w:tcBorders/>
                  <w:vAlign w:val="center"/>
                </w:tcPr>
                <w:p>
                  <w:pPr>
                    <w:pStyle w:val="TableContents"/>
                    <w:bidi w:val="0"/>
                    <w:spacing w:before="0" w:after="0"/>
                    <w:jc w:val="left"/>
                    <w:rPr/>
                  </w:pPr>
                  <w:r>
                    <w:rPr/>
                    <w:t>HBM Healthcare Investments (Cayman) Ltd.</w:t>
                  </w:r>
                </w:p>
              </w:tc>
            </w:tr>
          </w:tbl>
          <w:p>
            <w:pPr>
              <w:pStyle w:val="TableContents"/>
              <w:bidi w:val="0"/>
              <w:spacing w:before="0" w:after="283"/>
              <w:jc w:val="left"/>
              <w:rPr/>
            </w:pPr>
            <w:r>
              <w:rPr/>
            </w:r>
          </w:p>
        </w:tc>
        <w:tc>
          <w:tcPr>
            <w:tcW w:w="46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Jean-Marc LeSieur</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Jean-Marc LeSieur, Managing 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884</Words>
  <Characters>4634</Characters>
  <CharactersWithSpaces>5506</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