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20"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001-39386</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line="212" w:lineRule="auto"/>
        <w:rPr>
          <w:sz w:val="20"/>
          <w:szCs w:val="20"/>
          <w:color w:val="auto"/>
        </w:rPr>
      </w:pPr>
      <w:r>
        <w:rPr>
          <w:rFonts w:ascii="Arial" w:cs="Arial" w:eastAsia="Arial" w:hAnsi="Arial"/>
          <w:sz w:val="13"/>
          <w:szCs w:val="13"/>
          <w:b w:val="1"/>
          <w:bCs w:val="1"/>
          <w:color w:val="auto"/>
        </w:rPr>
        <w:t>incorporation or organization)</w:t>
      </w:r>
    </w:p>
    <w:p>
      <w:pPr>
        <w:jc w:val="center"/>
        <w:ind w:right="2140"/>
        <w:spacing w:after="0" w:line="222" w:lineRule="auto"/>
        <w:rPr>
          <w:sz w:val="20"/>
          <w:szCs w:val="20"/>
          <w:color w:val="auto"/>
        </w:rPr>
      </w:pPr>
      <w:r>
        <w:rPr>
          <w:rFonts w:ascii="Arial" w:cs="Arial" w:eastAsia="Arial" w:hAnsi="Arial"/>
          <w:sz w:val="14"/>
          <w:szCs w:val="14"/>
          <w:b w:val="1"/>
          <w:bCs w:val="1"/>
          <w:color w:val="auto"/>
        </w:rPr>
        <w:t>866 Malcolm Road, Suite 100</w:t>
      </w:r>
    </w:p>
    <w:p>
      <w:pPr>
        <w:jc w:val="center"/>
        <w:ind w:right="2120"/>
        <w:spacing w:after="0" w:line="225" w:lineRule="auto"/>
        <w:rPr>
          <w:sz w:val="20"/>
          <w:szCs w:val="20"/>
          <w:color w:val="auto"/>
        </w:rPr>
      </w:pPr>
      <w:r>
        <w:rPr>
          <w:rFonts w:ascii="Arial" w:cs="Arial" w:eastAsia="Arial" w:hAnsi="Arial"/>
          <w:sz w:val="14"/>
          <w:szCs w:val="14"/>
          <w:b w:val="1"/>
          <w:bCs w:val="1"/>
          <w:color w:val="auto"/>
        </w:rPr>
        <w:t>Burlingame, California</w:t>
      </w:r>
    </w:p>
    <w:p>
      <w:pPr>
        <w:ind w:left="17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20"/>
        <w:spacing w:after="0"/>
        <w:rPr>
          <w:sz w:val="20"/>
          <w:szCs w:val="20"/>
          <w:color w:val="auto"/>
        </w:rPr>
      </w:pPr>
      <w:r>
        <w:rPr>
          <w:rFonts w:ascii="Arial" w:cs="Arial" w:eastAsia="Arial" w:hAnsi="Arial"/>
          <w:sz w:val="14"/>
          <w:szCs w:val="14"/>
          <w:b w:val="1"/>
          <w:bCs w:val="1"/>
          <w:color w:val="auto"/>
        </w:rPr>
        <w:t>85-0642577</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87"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94010</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(Zip Code)</w:t>
      </w:r>
    </w:p>
    <w:p>
      <w:pPr>
        <w:spacing w:after="0" w:line="52" w:lineRule="exact"/>
        <w:rPr>
          <w:sz w:val="24"/>
          <w:szCs w:val="24"/>
          <w:color w:val="auto"/>
        </w:rPr>
      </w:pPr>
    </w:p>
    <w:p>
      <w:pPr>
        <w:sectPr>
          <w:pgSz w:w="11900" w:h="16838" w:orient="portrait"/>
          <w:cols w:equalWidth="0" w:num="2">
            <w:col w:w="7700" w:space="320"/>
            <w:col w:w="3220"/>
          </w:cols>
          <w:pgMar w:left="320" w:top="503" w:right="3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4"/>
          <w:szCs w:val="14"/>
          <w:b w:val="1"/>
          <w:bCs w:val="1"/>
          <w:color w:val="auto"/>
        </w:rPr>
        <w:t>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4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$0.001 per share</w:t>
            </w:r>
          </w:p>
        </w:tc>
        <w:tc>
          <w:tcPr>
            <w:tcW w:w="120" w:type="dxa"/>
            <w:vAlign w:val="bottom"/>
          </w:tcPr>
          <w:p>
            <w:pPr>
              <w:spacing w:after="0"/>
              <w:rPr>
                <w:sz w:val="17"/>
                <w:szCs w:val="17"/>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ALXO</w:t>
            </w:r>
          </w:p>
        </w:tc>
        <w:tc>
          <w:tcPr>
            <w:tcW w:w="10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67"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11, 2021, the registrant had 40,229,869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608965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r>
      <w:tr>
        <w:trPr>
          <w:trHeight w:val="189"/>
        </w:trPr>
        <w:tc>
          <w:tcPr>
            <w:tcW w:w="1140" w:type="dxa"/>
            <w:vAlign w:val="bottom"/>
          </w:tcPr>
          <w:p>
            <w:pPr>
              <w:ind w:left="380"/>
              <w:spacing w:after="0" w:line="189" w:lineRule="exact"/>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20" w:type="dxa"/>
            <w:vAlign w:val="bottom"/>
            <w:gridSpan w:val="12"/>
          </w:tcPr>
          <w:p>
            <w:pPr>
              <w:jc w:val="center"/>
              <w:ind w:right="3360"/>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2260" w:type="dxa"/>
            <w:vAlign w:val="bottom"/>
            <w:tcBorders>
              <w:top w:val="single" w:sz="8" w:color="0000EE"/>
            </w:tcBorders>
            <w:gridSpan w:val="6"/>
          </w:tcPr>
          <w:p>
            <w:pPr>
              <w:spacing w:after="0"/>
              <w:rPr>
                <w:sz w:val="18"/>
                <w:szCs w:val="18"/>
                <w:color w:val="auto"/>
              </w:rPr>
            </w:pPr>
          </w:p>
        </w:tc>
        <w:tc>
          <w:tcPr>
            <w:tcW w:w="336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62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2021 and December 31, 2020</w:t>
              </w:r>
            </w:hyperlink>
          </w:p>
        </w:tc>
        <w:tc>
          <w:tcPr>
            <w:tcW w:w="292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9200" w:type="dxa"/>
            <w:vAlign w:val="bottom"/>
            <w:gridSpan w:val="2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and Comprehensive Loss for the three months ended March 31, 2021 and</w:t>
              </w:r>
            </w:hyperlink>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9200" w:type="dxa"/>
            <w:vAlign w:val="bottom"/>
            <w:gridSpan w:val="23"/>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Convertible Preferred Stock and Stockholders’ Equity (Deficit) for the three months</w:t>
              </w:r>
            </w:hyperlink>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ended March 31, 2021 and 2020</w:t>
              </w:r>
            </w:hyperlink>
          </w:p>
        </w:tc>
        <w:tc>
          <w:tcPr>
            <w:tcW w:w="6580" w:type="dxa"/>
            <w:vAlign w:val="bottom"/>
            <w:tcBorders>
              <w:top w:val="single" w:sz="8" w:color="0000EE"/>
            </w:tcBorders>
            <w:gridSpan w:val="12"/>
          </w:tcPr>
          <w:p>
            <w:pPr>
              <w:spacing w:after="0"/>
              <w:rPr>
                <w:sz w:val="17"/>
                <w:szCs w:val="17"/>
                <w:color w:val="auto"/>
              </w:rPr>
            </w:pPr>
          </w:p>
        </w:tc>
        <w:tc>
          <w:tcPr>
            <w:tcW w:w="2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920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7"/>
          </w:tcPr>
          <w:p>
            <w:pPr>
              <w:spacing w:after="0"/>
              <w:rPr>
                <w:sz w:val="18"/>
                <w:szCs w:val="18"/>
                <w:color w:val="auto"/>
              </w:rPr>
            </w:pPr>
          </w:p>
        </w:tc>
        <w:tc>
          <w:tcPr>
            <w:tcW w:w="162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484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439"/>
        </w:trPr>
        <w:tc>
          <w:tcPr>
            <w:tcW w:w="1140" w:type="dxa"/>
            <w:vAlign w:val="bottom"/>
          </w:tcPr>
          <w:p>
            <w:pPr>
              <w:ind w:left="340"/>
              <w:spacing w:after="0"/>
              <w:rPr>
                <w:sz w:val="20"/>
                <w:szCs w:val="20"/>
                <w:color w:val="auto"/>
              </w:rPr>
            </w:pPr>
            <w:r>
              <w:rPr>
                <w:rFonts w:ascii="Arial" w:cs="Arial" w:eastAsia="Arial" w:hAnsi="Arial"/>
                <w:sz w:val="18"/>
                <w:szCs w:val="18"/>
                <w:b w:val="1"/>
                <w:bCs w:val="1"/>
                <w:color w:val="auto"/>
              </w:rPr>
              <w:t>PART II.</w:t>
            </w: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1"/>
          </w:tcPr>
          <w:p>
            <w:pPr>
              <w:jc w:val="center"/>
              <w:ind w:right="348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2360" w:type="dxa"/>
            <w:vAlign w:val="bottom"/>
            <w:gridSpan w:val="6"/>
          </w:tcPr>
          <w:p>
            <w:pPr>
              <w:spacing w:after="0"/>
              <w:rPr>
                <w:sz w:val="18"/>
                <w:szCs w:val="18"/>
                <w:color w:val="auto"/>
              </w:rPr>
            </w:pPr>
          </w:p>
        </w:tc>
        <w:tc>
          <w:tcPr>
            <w:tcW w:w="2020" w:type="dxa"/>
            <w:vAlign w:val="bottom"/>
            <w:tcBorders>
              <w:top w:val="single" w:sz="8" w:color="0000EE"/>
            </w:tcBorders>
            <w:gridSpan w:val="4"/>
          </w:tcPr>
          <w:p>
            <w:pPr>
              <w:spacing w:after="0"/>
              <w:rPr>
                <w:sz w:val="18"/>
                <w:szCs w:val="18"/>
                <w:color w:val="auto"/>
              </w:rPr>
            </w:pPr>
          </w:p>
        </w:tc>
        <w:tc>
          <w:tcPr>
            <w:tcW w:w="348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Defaults Upon Senior Securities</w:t>
              </w:r>
            </w:hyperlink>
          </w:p>
        </w:tc>
        <w:tc>
          <w:tcPr>
            <w:tcW w:w="486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8"/>
                <w:szCs w:val="18"/>
                <w:color w:val="auto"/>
              </w:rPr>
            </w:pPr>
          </w:p>
        </w:tc>
        <w:tc>
          <w:tcPr>
            <w:tcW w:w="6880" w:type="dxa"/>
            <w:vAlign w:val="bottom"/>
            <w:gridSpan w:val="1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Other Information</w:t>
              </w:r>
            </w:hyperlink>
          </w:p>
        </w:tc>
        <w:tc>
          <w:tcPr>
            <w:tcW w:w="7880" w:type="dxa"/>
            <w:vAlign w:val="bottom"/>
            <w:gridSpan w:val="1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23"/>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r>
      <w:tr>
        <w:trPr>
          <w:trHeight w:val="824"/>
        </w:trPr>
        <w:tc>
          <w:tcPr>
            <w:tcW w:w="114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9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3"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880" w:right="34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9" w:lineRule="exact"/>
        <w:rPr>
          <w:rFonts w:ascii="Arial" w:cs="Arial" w:eastAsia="Arial" w:hAnsi="Arial"/>
          <w:sz w:val="18"/>
          <w:szCs w:val="18"/>
          <w:color w:val="auto"/>
        </w:rPr>
      </w:pPr>
    </w:p>
    <w:p>
      <w:pPr>
        <w:ind w:left="880" w:right="48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1"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conduct preclinical research activities, clinical trials, and for the manufacture of our product candidates;</w:t>
      </w:r>
    </w:p>
    <w:p>
      <w:pPr>
        <w:spacing w:after="0" w:line="20"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the further development and manufacturing of our product candidates, including additional indications that we may pursue;</w:t>
      </w:r>
    </w:p>
    <w:p>
      <w:pPr>
        <w:spacing w:after="0" w:line="32"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potential and ability to successfully manufacture and supply our product candidates for clinical trials and for commercial use, if approved;</w:t>
      </w:r>
    </w:p>
    <w:p>
      <w:pPr>
        <w:spacing w:after="0" w:line="32" w:lineRule="exact"/>
        <w:rPr>
          <w:rFonts w:ascii="Arial" w:cs="Arial" w:eastAsia="Arial" w:hAnsi="Arial"/>
          <w:sz w:val="16"/>
          <w:szCs w:val="16"/>
          <w:color w:val="auto"/>
        </w:rPr>
      </w:pPr>
    </w:p>
    <w:p>
      <w:pPr>
        <w:ind w:left="880" w:right="32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9" w:lineRule="exact"/>
        <w:rPr>
          <w:rFonts w:ascii="Arial" w:cs="Arial" w:eastAsia="Arial" w:hAnsi="Arial"/>
          <w:sz w:val="18"/>
          <w:szCs w:val="18"/>
          <w:color w:val="auto"/>
        </w:rPr>
      </w:pPr>
    </w:p>
    <w:p>
      <w:pPr>
        <w:ind w:left="880" w:right="34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our anticipated use of our existing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ind w:firstLine="51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w w:val="90"/>
              </w:rPr>
              <w:t>Item 1 – Financial Statements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w w:val="92"/>
              </w:rPr>
              <w:t>ALX Oncology Holdings Inc.</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600" w:type="dxa"/>
            <w:vAlign w:val="bottom"/>
          </w:tcPr>
          <w:p>
            <w:pPr>
              <w:jc w:val="center"/>
              <w:ind w:left="3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600" w:type="dxa"/>
            <w:vAlign w:val="bottom"/>
          </w:tcPr>
          <w:p>
            <w:pPr>
              <w:jc w:val="center"/>
              <w:ind w:left="3550"/>
              <w:spacing w:after="0"/>
              <w:rPr>
                <w:sz w:val="20"/>
                <w:szCs w:val="20"/>
                <w:color w:val="auto"/>
              </w:rPr>
            </w:pPr>
            <w:r>
              <w:rPr>
                <w:rFonts w:ascii="Arial" w:cs="Arial" w:eastAsia="Arial" w:hAnsi="Arial"/>
                <w:sz w:val="18"/>
                <w:szCs w:val="18"/>
                <w:color w:val="auto"/>
                <w:w w:val="92"/>
              </w:rPr>
              <w:t>(unaudited)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jc w:val="center"/>
              <w:ind w:left="3550"/>
              <w:spacing w:after="0"/>
              <w:rPr>
                <w:sz w:val="20"/>
                <w:szCs w:val="20"/>
                <w:color w:val="auto"/>
              </w:rPr>
            </w:pPr>
            <w:r>
              <w:rPr>
                <w:rFonts w:ascii="Arial" w:cs="Arial" w:eastAsia="Arial" w:hAnsi="Arial"/>
                <w:sz w:val="18"/>
                <w:szCs w:val="18"/>
                <w:color w:val="auto"/>
                <w:w w:val="87"/>
              </w:rPr>
              <w:t>(in thousands, except share and per share data)</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4"/>
        </w:trPr>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6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429,855</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435,992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432,910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436,054</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7,350</w:t>
            </w:r>
          </w:p>
        </w:tc>
        <w:tc>
          <w:tcPr>
            <w:tcW w:w="28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100,000,000 shares authorized, no shares issued or</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spacing w:after="0"/>
              <w:rPr>
                <w:sz w:val="20"/>
                <w:szCs w:val="20"/>
                <w:color w:val="auto"/>
              </w:rPr>
            </w:pPr>
            <w:r>
              <w:rPr>
                <w:rFonts w:ascii="Arial" w:cs="Arial" w:eastAsia="Arial" w:hAnsi="Arial"/>
                <w:sz w:val="18"/>
                <w:szCs w:val="18"/>
                <w:color w:val="auto"/>
              </w:rPr>
              <w:t>Common stock, $0.001 par value; 1,000,000,000 shares authorized as of March 31,</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Arial" w:cs="Arial" w:eastAsia="Arial" w:hAnsi="Arial"/>
                <w:sz w:val="18"/>
                <w:szCs w:val="18"/>
                <w:color w:val="auto"/>
              </w:rPr>
              <w:t>2021 and December 31, 2020; 40,208,569 and 39,844,522 shares issued and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outstanding as of March 31, 2021 and December 31, 2020, 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548,327</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(132,707)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(118,522)</w:t>
            </w: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418,484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436,054</w:t>
            </w:r>
          </w:p>
        </w:tc>
        <w:tc>
          <w:tcPr>
            <w:tcW w:w="12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0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used to compute net loss per share</w:t>
            </w: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1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40,055,435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380" w:type="dxa"/>
            <w:vAlign w:val="bottom"/>
            <w:gridSpan w:val="6"/>
          </w:tcPr>
          <w:p>
            <w:pPr>
              <w:ind w:left="140"/>
              <w:spacing w:after="0"/>
              <w:rPr>
                <w:sz w:val="20"/>
                <w:szCs w:val="20"/>
                <w:color w:val="auto"/>
              </w:rPr>
            </w:pPr>
            <w:r>
              <w:rPr>
                <w:rFonts w:ascii="Arial" w:cs="Arial" w:eastAsia="Arial" w:hAnsi="Arial"/>
                <w:sz w:val="14"/>
                <w:szCs w:val="14"/>
                <w:b w:val="1"/>
                <w:bCs w:val="1"/>
                <w:color w:val="auto"/>
              </w:rPr>
              <w:t>Convertible Preferred Stock</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8"/>
          </w:tcPr>
          <w:p>
            <w:pPr>
              <w:jc w:val="right"/>
              <w:ind w:right="641"/>
              <w:spacing w:after="0"/>
              <w:rPr>
                <w:sz w:val="20"/>
                <w:szCs w:val="20"/>
                <w:color w:val="auto"/>
              </w:rPr>
            </w:pPr>
            <w:r>
              <w:rPr>
                <w:rFonts w:ascii="Arial" w:cs="Arial" w:eastAsia="Arial" w:hAnsi="Arial"/>
                <w:sz w:val="14"/>
                <w:szCs w:val="14"/>
                <w:b w:val="1"/>
                <w:bCs w:val="1"/>
                <w:color w:val="auto"/>
              </w:rPr>
              <w:t>Stockholders' Equity (Deficit)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tcBorders>
              <w:top w:val="single" w:sz="8" w:color="auto"/>
            </w:tcBorders>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36"/>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9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right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6"/>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39,844,522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548,327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(118,522)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Issuance of common stock under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equity incentive plan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364,047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(14,185)</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40,208,569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551,151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(132,707</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418,484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120" w:type="dxa"/>
            <w:vAlign w:val="bottom"/>
          </w:tcPr>
          <w:p>
            <w:pPr>
              <w:spacing w:after="0"/>
              <w:rPr>
                <w:sz w:val="24"/>
                <w:szCs w:val="24"/>
                <w:color w:val="auto"/>
              </w:rPr>
            </w:pPr>
          </w:p>
        </w:tc>
        <w:tc>
          <w:tcPr>
            <w:tcW w:w="2380" w:type="dxa"/>
            <w:vAlign w:val="bottom"/>
            <w:gridSpan w:val="6"/>
          </w:tcPr>
          <w:p>
            <w:pPr>
              <w:ind w:left="140"/>
              <w:spacing w:after="0"/>
              <w:rPr>
                <w:sz w:val="20"/>
                <w:szCs w:val="20"/>
                <w:color w:val="auto"/>
              </w:rPr>
            </w:pPr>
            <w:r>
              <w:rPr>
                <w:rFonts w:ascii="Arial" w:cs="Arial" w:eastAsia="Arial" w:hAnsi="Arial"/>
                <w:sz w:val="14"/>
                <w:szCs w:val="14"/>
                <w:b w:val="1"/>
                <w:bCs w:val="1"/>
                <w:color w:val="auto"/>
              </w:rPr>
              <w:t>Convertible Preferred Stock</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8"/>
          </w:tcPr>
          <w:p>
            <w:pPr>
              <w:jc w:val="right"/>
              <w:ind w:right="641"/>
              <w:spacing w:after="0"/>
              <w:rPr>
                <w:sz w:val="20"/>
                <w:szCs w:val="20"/>
                <w:color w:val="auto"/>
              </w:rPr>
            </w:pPr>
            <w:r>
              <w:rPr>
                <w:rFonts w:ascii="Arial" w:cs="Arial" w:eastAsia="Arial" w:hAnsi="Arial"/>
                <w:sz w:val="14"/>
                <w:szCs w:val="14"/>
                <w:b w:val="1"/>
                <w:bCs w:val="1"/>
                <w:color w:val="auto"/>
              </w:rPr>
              <w:t>Stockholders' Equity (Deficit)</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tcBorders>
              <w:top w:val="single" w:sz="8" w:color="auto"/>
            </w:tcBorders>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36"/>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9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right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6"/>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10,313,808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70,363</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3,166,946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(72,782)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5"/>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convertible preferred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net of issuance costs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11,055,966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104,680</w:t>
            </w:r>
          </w:p>
        </w:tc>
        <w:tc>
          <w:tcPr>
            <w:tcW w:w="2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21,369,774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175,043</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(78,236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8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(14,185)</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costs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 loan discount and issuance costs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Changes in fair value of compound derivative liability and warrants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Receivables due from related-party</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(453)</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under equity incentive plans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104,991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434,219</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429,855</w:t>
            </w:r>
          </w:p>
        </w:tc>
        <w:tc>
          <w:tcPr>
            <w:tcW w:w="2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105,035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Unpaid convertible preferred stock issuance costs</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Unpaid deferred offering costs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Receivables for cash in-transit on exercise of common stock under equity incentive plans</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20" w:right="9520" w:hanging="512"/>
        <w:spacing w:after="0" w:line="377" w:lineRule="auto"/>
        <w:tabs>
          <w:tab w:leader="none" w:pos="26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ALX Oncology Holdings Inc., or the Company, is a clinical-stage immuno-oncology company focused on helping patients fight cancer by developing therapies that block the CD47 checkpoint pathway and bridge the innate and adaptive immune system. The Company was formed as a Delaware corporation on April 1, 2020, or Inception,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w:t>
      </w:r>
    </w:p>
    <w:p>
      <w:pPr>
        <w:spacing w:after="0" w:line="196"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8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As of March 31, 2021,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84"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270" w:lineRule="exact"/>
        <w:rPr>
          <w:sz w:val="20"/>
          <w:szCs w:val="20"/>
          <w:color w:val="auto"/>
        </w:rPr>
      </w:pPr>
    </w:p>
    <w:p>
      <w:pPr>
        <w:ind w:left="520" w:right="7540" w:hanging="489"/>
        <w:spacing w:after="0" w:line="385" w:lineRule="auto"/>
        <w:tabs>
          <w:tab w:leader="none" w:pos="28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spacing w:after="0" w:line="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2020.</w:t>
      </w:r>
    </w:p>
    <w:p>
      <w:pPr>
        <w:spacing w:after="0" w:line="19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but does not include all disclosures including notes required by GAAP.</w:t>
      </w:r>
    </w:p>
    <w:p>
      <w:pPr>
        <w:spacing w:after="0" w:line="170"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2021.</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condensed consolidated financial statements have been retroactively adjusted to reflect this reverse stock split for all periods presented. The reverse stock split was effected on July 9,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31"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With the exception of the change for the accounting of leases as a result of the adoption of Accounting Standards Update (ASU) No. 2016-02, Leases (Topic 842), or Topic 842, there have been no new or material changes to the significant accounting policies discussed in the Company’s Annual Report on Form 10-K for the year ended December 31, 2020, that are of significance, or potential significance, to the Company.</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spacing w:after="0" w:line="17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Topic 842 to determine the incremental borrowing rate for leases in existence as of this date.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expense, which is recorded in interest expense.</w:t>
      </w:r>
    </w:p>
    <w:p>
      <w:pPr>
        <w:spacing w:after="0" w:line="23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3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February 2016, the Financial Accounting Standards Board, or FASB, issued ASU No. 2016-02 (Topic 842), Leases (ASU 2016-02). ASU 2016-02 requires an entity to recognize assets and liabilities arising from a lease for both operating and finance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extended the effective date of ASU No. 2016-02 for non-public business entities, including smaller reporting companies, to fiscal years beginning after December 15, 2021. The Company adopted Topic 842 on January 1, 2021, with early adoption permitted using the alternative modified transition method, which applies the standard as of the effective date and therefore, the Company has not applied the standard to the comparative periods presented on the Company's financial statements. The Company elected the following practical expedients:</w:t>
      </w:r>
    </w:p>
    <w:p>
      <w:pPr>
        <w:spacing w:after="0" w:line="97" w:lineRule="exact"/>
        <w:rPr>
          <w:sz w:val="20"/>
          <w:szCs w:val="20"/>
          <w:color w:val="auto"/>
        </w:rPr>
      </w:pPr>
    </w:p>
    <w:p>
      <w:pPr>
        <w:ind w:left="1000" w:right="38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to reassess prior conclusions on whether any expired or existing contracts are or contain a lease, lease classification, and initial direct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 lease and non-lease components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to recognize ROU assets or lease liabilities for short term leases</w:t>
      </w:r>
    </w:p>
    <w:p>
      <w:pPr>
        <w:spacing w:after="0" w:line="225"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As a lessee, the primary impact of the adoption of Topic 842 was the recognition of operating and finance lease ROU assets of $0.3 million and $0.2 million, respectively, and operating and finance lease liabilities of $0.3 million and $0.2 million, respectively, as of January 1, 2021. ROU assets are presented within other assets, current lease liabilities are presented within accrued expenses and other current liabilities, and non-current lease liabilities are presented within other non-current liabilities on the condensed consolidated balance sheet. See Note 5 "Leases" for additional details.</w:t>
      </w:r>
    </w:p>
    <w:p>
      <w:pPr>
        <w:spacing w:after="0" w:line="21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adopted this standard as of January 1, 2021 on a prospective basis and there was no material impact on its condensed consolidated financial statements and disclosures as a result of the adoption.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Accounting Standards Codification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17" w:lineRule="exact"/>
        <w:rPr>
          <w:sz w:val="20"/>
          <w:szCs w:val="20"/>
          <w:color w:val="auto"/>
        </w:rPr>
      </w:pPr>
    </w:p>
    <w:p>
      <w:pPr>
        <w:ind w:left="520" w:right="6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If quoted market prices are not available for the specific security, then the Company would estimate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ind w:right="540" w:firstLine="510"/>
        <w:spacing w:after="0" w:line="277" w:lineRule="auto"/>
        <w:rPr>
          <w:sz w:val="20"/>
          <w:szCs w:val="20"/>
          <w:color w:val="auto"/>
        </w:rPr>
      </w:pPr>
      <w:r>
        <w:rPr>
          <w:rFonts w:ascii="Arial" w:cs="Arial" w:eastAsia="Arial" w:hAnsi="Arial"/>
          <w:sz w:val="18"/>
          <w:szCs w:val="18"/>
          <w:color w:val="auto"/>
        </w:rPr>
        <w:t>The following table sets forth the Company’s financial assets that are measured at fair value on a recurring basis by level within the fair value hierarchy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55"/>
        </w:trPr>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500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415,129</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415,129</w:t>
            </w:r>
          </w:p>
        </w:tc>
        <w:tc>
          <w:tcPr>
            <w:tcW w:w="120" w:type="dxa"/>
            <w:vAlign w:val="bottom"/>
            <w:shd w:val="clear" w:color="auto" w:fill="CFF0FC"/>
          </w:tcPr>
          <w:p>
            <w:pPr>
              <w:spacing w:after="0"/>
              <w:rPr>
                <w:sz w:val="19"/>
                <w:szCs w:val="19"/>
                <w:color w:val="auto"/>
              </w:rPr>
            </w:pPr>
          </w:p>
        </w:tc>
      </w:tr>
      <w:tr>
        <w:trPr>
          <w:trHeight w:val="433"/>
        </w:trPr>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56"/>
        </w:trPr>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500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did not have any outstanding financial liabilities to be re-measured on a recurring basis as of March 31, 2021 and December 31, 2020.</w:t>
      </w:r>
    </w:p>
    <w:p>
      <w:pPr>
        <w:spacing w:after="0" w:line="30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months ended March 31, 2021 and 2020, respectively.</w:t>
      </w:r>
    </w:p>
    <w:p>
      <w:pPr>
        <w:spacing w:after="0" w:line="224"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The carrying values of the Company’s financial instruments, such as accounts payable and accrued expenses and other current liabilities, approximated fair value due to the short-term nature of these items.</w:t>
      </w:r>
    </w:p>
    <w:p>
      <w:pPr>
        <w:spacing w:after="0" w:line="274" w:lineRule="exact"/>
        <w:rPr>
          <w:sz w:val="20"/>
          <w:szCs w:val="20"/>
          <w:color w:val="auto"/>
        </w:rPr>
      </w:pPr>
    </w:p>
    <w:p>
      <w:pPr>
        <w:ind w:left="520" w:right="8140" w:hanging="512"/>
        <w:spacing w:after="0" w:line="400" w:lineRule="auto"/>
        <w:tabs>
          <w:tab w:leader="none" w:pos="26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March 31, 2021 and December 31, 2020 (in thousands):</w:t>
      </w:r>
    </w:p>
    <w:p>
      <w:pPr>
        <w:spacing w:after="0" w:line="152"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80" w:type="dxa"/>
            <w:vAlign w:val="bottom"/>
          </w:tcPr>
          <w:p>
            <w:pPr>
              <w:spacing w:after="0"/>
              <w:rPr>
                <w:sz w:val="20"/>
                <w:szCs w:val="20"/>
                <w:color w:val="auto"/>
              </w:rPr>
            </w:pPr>
          </w:p>
        </w:tc>
        <w:tc>
          <w:tcPr>
            <w:tcW w:w="170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4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6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Property and equipment, gross</w:t>
            </w:r>
          </w:p>
        </w:tc>
        <w:tc>
          <w:tcPr>
            <w:tcW w:w="4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Pr>
          <w:p>
            <w:pPr>
              <w:spacing w:after="0"/>
              <w:rPr>
                <w:sz w:val="19"/>
                <w:szCs w:val="19"/>
                <w:color w:val="auto"/>
              </w:rPr>
            </w:pPr>
          </w:p>
        </w:tc>
        <w:tc>
          <w:tcPr>
            <w:tcW w:w="1220" w:type="dxa"/>
            <w:vAlign w:val="bottom"/>
            <w:tcBorders>
              <w:bottom w:val="single" w:sz="8" w:color="auto"/>
            </w:tcBorders>
          </w:tcPr>
          <w:p>
            <w:pPr>
              <w:jc w:val="right"/>
              <w:ind w:right="1061"/>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Depreciation and amortization expense for the three months ended March 31, 2021 was nominal. Depreciation and amortization expense was $0.1 million for the three months ended March 31, 2020.</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following table presents the components of accrued expenses and other current liabilities as of March 31, 2021 and December 31, 2020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76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nonclinical study costs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compensation and related expenses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Accrued contract manufacturing</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Accrued federal income tax</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Finance lease liabilities, current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Total accrued expenses and other current liabilities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20" w:type="dxa"/>
            <w:vAlign w:val="bottom"/>
            <w:vMerge w:val="restart"/>
          </w:tcPr>
          <w:p>
            <w:pPr>
              <w:jc w:val="right"/>
              <w:ind w:right="43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2017, the Company entered into a lease agreement for office space for a period of five years and four months, commencing February 1, 2018 and ending May 31, 2023. In July 2020, the Company (i) assigned to Tallac Therapeutics, Inc., or Tallac Therapeutics, (Note 10) the Company’s lease with respect to the premises located at 866 Malcolm Road, Burlingame, California, and (ii) entered a sub-lease agreement for the same premise from Tallac Therapeutics.</w:t>
      </w:r>
    </w:p>
    <w:p>
      <w:pPr>
        <w:spacing w:after="0" w:line="14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Lease costs included in operating expense in the condensed consolidated statement of operations and comprehensive loss in relation to the operating lease were approximately $58,000 for the three months ended March 31, 2021. Included in these lease costs were variable lease costs, which were not included within the measurement of the Company’s operating lease ROU assets and operating lease liabilities in the amount of approximately $22,000 for the three months ended March 31, 2021. The variable lease cost is comprised primarily of common area maintenance charges for the operating lease, which is dependent on usage. These costs are classified as operating lease expense due to our election to not separate lease and non-lease components. Cash paid for amounts included in the measurement of operating lease liabilities was approximately $23,000 for the three months ended March 31, 2021.</w:t>
      </w:r>
    </w:p>
    <w:p>
      <w:pPr>
        <w:spacing w:after="0" w:line="12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 Amortization on the finance ROU and interest expense was approximately $23,000 and nominal, respectively, for the three months ended March 31, 2021. Cash paid within financing cash flows for the finance lease was nil for the three months ended March 31, 2021. Cash paid within operating cash flows for interest on the finance lease liability was nil for the three months ended March 31, 2021.</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Short-term lease expense for the three months ended March 31, 2021 was nominal.</w:t>
      </w:r>
    </w:p>
    <w:p>
      <w:pPr>
        <w:spacing w:after="0" w:line="23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ROU assets recorded under the operating lease and finance lease were $0.3 million and $0.2 million, respectively, at March 31, 2021. The amounts were included in the other assets on the condensed consolidated balance sheet.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maturities and balance sheet information of the Company's operating and finance lease liabilities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4"/>
              </w:rPr>
              <w:t>Operating</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Finance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lease term and discount rate)</w:t>
            </w:r>
          </w:p>
        </w:tc>
        <w:tc>
          <w:tcPr>
            <w:tcW w:w="1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(remaining nine months)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Total lease payments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Lease liabilities: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Lease liabilities: non-current</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Current lease liabilities are presented within accrued expenses and other current liabilities, and non-current lease liabilities are presented within other non-current liabilities on the condensed consolidated balance sheet.</w:t>
      </w:r>
    </w:p>
    <w:p>
      <w:pPr>
        <w:spacing w:after="0" w:line="184"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As of March 31, 2021, the Company has additional finance leases that have not yet commenced with lease obligations of approximately $0.8 million, which are not included in the table above. These leases will commence between April and May 2021 and expire in 2023.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ASC 840 Disclosures</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Company elected the alternative modified transition method, which applies ASC 842 as of the effective date on January 1, 2021. Prior to the adoption of ASC 842, the Company applied ASC 840 to its lease transactions.</w:t>
      </w:r>
    </w:p>
    <w:p>
      <w:pPr>
        <w:spacing w:after="0" w:line="6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presents the future minimum lease commitments under the Company’s operating leases as of December 31, 2020, as previously disclosed:</w:t>
      </w:r>
    </w:p>
    <w:p>
      <w:pPr>
        <w:spacing w:after="0" w:line="193"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2022-2023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6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$0.2 million for the three months ended March 31, 2020.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 AND RELATED DERIVATIVES</w:t>
      </w:r>
    </w:p>
    <w:p>
      <w:pPr>
        <w:spacing w:after="0" w:line="121"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Loan Agreement, dated as of December 20, 2019, with Silicon Valley Bank, or SVB, and WestRiver, collectively as lenders, and SVB, as administrative agent and collateral agent. On the closing date of the Loan Agreement in December 2019, $6.0 million was funded to the Company. In December 2020, the Company repaid the loan balance.</w:t>
      </w:r>
    </w:p>
    <w:p>
      <w:pPr>
        <w:spacing w:after="0" w:line="79"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In conjunction with the Loan Agreement, the Company issued warrants to purchase Series B convertible preferred stock to SVB and WestRiver, and recorded a warrant liability of approximately $0.4 million at the date of issuance. The Company also determined that certain loan features were embedded derivatives requiring bifurcation and separate accounting, and recorded a term loan compound derivative liability of approximately $51,000. The Company measured its Series B convertible preferred stock warrant liability and term loan compound derivative liability at fair value on a recurring basis, which were classified as Level 3 liabilities. During the three months ended March 31, 2020, the increases in fair value in warrant liability and compound derivative liability were approximately $86,000 and $14,000, respectively, which were recognized as a component of other income, net in the condensed consolidated statement of operations and comprehensive loss. The Company reclassified the preferred stock warrant liability balance into additional paid-in capital in July 2020 with no further re-measurement required, as the common stock warrants are considered permanent equity effective with the completion of the initial public offering. The compound derivative liability was extinguished upon the extinguishment of the host instrument in December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July 21, 2020, the Company’s amended and restated certificate of incorporation became effective, authorizing 1,000,000,000 shares of common stock and 100,000,000 shares of undesignated preferred stock. As of March 31, 2021 and December 31, 2020, the Company had 40,208,569 and 39,844,522 shares of common stock outstanding,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as of March 31, 2021 and December 31, 2020, consists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10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4,350,467</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4,857,308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Stock options authorized for future issuance</w:t>
            </w:r>
          </w:p>
        </w:tc>
        <w:tc>
          <w:tcPr>
            <w:tcW w:w="1240" w:type="dxa"/>
            <w:vAlign w:val="bottom"/>
          </w:tcPr>
          <w:p>
            <w:pPr>
              <w:jc w:val="right"/>
              <w:spacing w:after="0"/>
              <w:rPr>
                <w:sz w:val="20"/>
                <w:szCs w:val="20"/>
                <w:color w:val="auto"/>
              </w:rPr>
            </w:pPr>
            <w:r>
              <w:rPr>
                <w:rFonts w:ascii="Arial" w:cs="Arial" w:eastAsia="Arial" w:hAnsi="Arial"/>
                <w:sz w:val="18"/>
                <w:szCs w:val="18"/>
                <w:color w:val="auto"/>
              </w:rPr>
              <w:t>4,572,020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2,835,443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1"/>
              </w:rPr>
              <w:t>Employee Stock Purchase Plan shares authorized for future issuance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798,445</w:t>
            </w:r>
          </w:p>
        </w:tc>
        <w:tc>
          <w:tcPr>
            <w:tcW w:w="18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9,720,932</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8,092,751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90"/>
              <w:spacing w:after="0"/>
              <w:rPr>
                <w:sz w:val="20"/>
                <w:szCs w:val="20"/>
                <w:color w:val="auto"/>
              </w:rPr>
            </w:pPr>
            <w:r>
              <w:rPr>
                <w:rFonts w:ascii="Arial" w:cs="Arial" w:eastAsia="Arial" w:hAnsi="Arial"/>
                <w:sz w:val="18"/>
                <w:szCs w:val="18"/>
                <w:color w:val="auto"/>
              </w:rPr>
              <w:t>10</w:t>
            </w: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8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87"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Amended and Restated Equity Incentive Plan</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 April 1, 2020, the board of directors approved a new equity incentive plan, or the 2020 Equity Incentive Plan, that replaced the 2015 Share Award Scheme. In July 2020, the Company adopted the Amended and Restated 2020 Equity Incentive Plan, or the 2020 Plan. The 2020 Plan replaced the Company’s 2020 Equity Incentive Plan and a total of 7,874,862 shares were reserved under the 2020 Plan.</w:t>
      </w:r>
    </w:p>
    <w:p>
      <w:pPr>
        <w:spacing w:after="0" w:line="76"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Unless the board of directors provides otherwise, beginning on January 1, 2021, and ending on (and inclusive of) January 1, 2030, the maximum number of shares available for issuance under the 2020 Plan automatically increases on the first day of each fiscal year by an amount equal to the least of:</w:t>
      </w:r>
    </w:p>
    <w:p>
      <w:pPr>
        <w:spacing w:after="0" w:line="1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4,000,000 shares;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four percent of the outstanding shares of the Company’s common stock on the last day of the immediately preceding fiscal year; or</w:t>
      </w:r>
    </w:p>
    <w:p>
      <w:pPr>
        <w:spacing w:after="0" w:line="128" w:lineRule="exact"/>
        <w:rPr>
          <w:rFonts w:ascii="Arial" w:cs="Arial" w:eastAsia="Arial" w:hAnsi="Arial"/>
          <w:sz w:val="17"/>
          <w:szCs w:val="17"/>
          <w:color w:val="auto"/>
        </w:rPr>
      </w:pPr>
    </w:p>
    <w:p>
      <w:pPr>
        <w:ind w:left="520" w:right="1060" w:hanging="13"/>
        <w:spacing w:after="0" w:line="422" w:lineRule="auto"/>
        <w:tabs>
          <w:tab w:leader="none" w:pos="874"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number of shares as the board of directors may determine no later than the last day of the immediately preceding fiscal year. Accordingly, on January 1, 2021, the number of shares available under the 2020 Plan was increased by 1,593,781 shares.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July 2020, the Company's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 purchase period, whichever is less. The ESPP allows for offering periods of up to 27 months consisting of one or more purchase periods. In January 2021, the board of directors approved the first offering period with a simultaneous purchase period beginning February 1, 2021 and ending June 30, 2021. Eligible employees can purchase the Company’s common stock at the end of the purchase period at 85% of the lower of the closing price of the Company’s common stock on The Nasdaq Global Select Market on the first day of the offering period and the last day of the purchase period</w:t>
      </w:r>
      <w:r>
        <w:rPr>
          <w:rFonts w:ascii="Arial" w:cs="Arial" w:eastAsia="Arial" w:hAnsi="Arial"/>
          <w:sz w:val="17"/>
          <w:szCs w:val="17"/>
          <w:b w:val="1"/>
          <w:bCs w:val="1"/>
          <w:color w:val="auto"/>
        </w:rPr>
        <w:t>.</w:t>
      </w:r>
    </w:p>
    <w:p>
      <w:pPr>
        <w:spacing w:after="0" w:line="69"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initial number of shares of common stock available for issuance under the ESPP was 400,000. Unless the board of directors provides otherwise, beginning on January 1, 2021, the maximum number of shares available for sale under the ESPP automatically increases on the first trading day in January of each calendar year during the term of the ESPP by an amount equal to the least of:</w:t>
      </w:r>
    </w:p>
    <w:p>
      <w:pPr>
        <w:spacing w:after="0" w:line="76"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800,000 shares;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 percent of the outstanding shares of the Company’s common stock on the last day of the immediately preceding fiscal year;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number of shares as the board of directors may determine no later than the last day of the immediately preceding fiscal year.</w:t>
      </w:r>
    </w:p>
    <w:p>
      <w:pPr>
        <w:spacing w:after="0" w:line="117"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Accordingly, on January 1, 2021, the number of shares available under the ESPP was increased by 398,445 shares. As of March 31, 2021, there were no purchases under the ESPP, and the number of shares of common stock available for issuance under the ESPP was 798,445.</w:t>
      </w:r>
    </w:p>
    <w:p>
      <w:pPr>
        <w:spacing w:after="0" w:line="35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and comprehensive loss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43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16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FF0FC"/>
          </w:tcPr>
          <w:p>
            <w:pPr>
              <w:jc w:val="right"/>
              <w:ind w:right="14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3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14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3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(Equity) Agreement with The Board of Trustees of the Leland Stanford Junior University</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March 2015, the Company entered into a license agreement, or the Stanford Agreement, with the Board of Trustees of the Leland Stanford Junior University, or Stanford, under which the Company obtained a worldwide, royalty-bearing, sublicensable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t>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78"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March 31, 2021.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8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License Agreement with Selexis SA</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9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Antibody Agreement with Crystal Bioscience Inc. (Now a Subsidiary of Ligand Pharmaceuticals Incorporated)</w:t>
      </w:r>
    </w:p>
    <w:p>
      <w:pPr>
        <w:spacing w:after="0" w:line="11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ind w:right="160" w:firstLine="510"/>
        <w:spacing w:after="0" w:line="273"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78"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including meeting defined development milestones by certain specified dates.</w:t>
      </w:r>
    </w:p>
    <w:p>
      <w:pPr>
        <w:spacing w:after="0" w:line="170"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Therapeutics, Inc., or Tollnine, a related-party of the Company, to provide research and development services to Tollnine. The Company’s Chief Executive Officer was also the Chief Executive Officer of Tollnine until April 2020 and two of the Company’s investors were also investors in Tollnine. As such, Tollnine was deemed to be a related-party. The Tollnine Agreement had an initial term of 3 years. The services were provided at a price based on the costs incurred by the Company plus a mark-up equal to 10% of such costs. The Company recognized revenue when Tollnine, as the Company’s customer, obtained control of promised goods or services, in an amount that reflects the consideration which the Company received in exchange for those goods or services. The Company recognized related-party revenues of zero and $0.7 million for the three months ended March 31, 2021 and 2020, respectively, under the Tollnine Agreement. Effective as of July 1, 2020, the Company terminated the Tollnine Agreement and entered into the Tallac Services Agreement with Tallac Therapeutics (formerly known as Tollnine).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Service Agreement</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has recorded $0.4 million as research and development costs for the three months ended March 31,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On March 4, 2021, the Company entered into a Collaboration Agreement with Tallac Therapeutics to jointly develop, manufacture, and commercialize a novel class of cancer immunotherapeutics.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 During the three months ended March 31, 2021, the expense incurred related to the collaboration was nominal.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50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(14,185)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(5,454)</w:t>
            </w: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Less: cumulative preferred dividends allocated to</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(1,983)</w:t>
            </w:r>
          </w:p>
        </w:tc>
      </w:tr>
      <w:tr>
        <w:trPr>
          <w:trHeight w:val="263"/>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80" w:type="dxa"/>
            <w:vAlign w:val="bottom"/>
            <w:tcBorders>
              <w:bottom w:val="single" w:sz="8" w:color="CFF0FC"/>
            </w:tcBorders>
          </w:tcPr>
          <w:p>
            <w:pPr>
              <w:spacing w:after="0"/>
              <w:rPr>
                <w:sz w:val="22"/>
                <w:szCs w:val="22"/>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40,055,435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3,143,159</w:t>
            </w:r>
          </w:p>
        </w:tc>
        <w:tc>
          <w:tcPr>
            <w:tcW w:w="80" w:type="dxa"/>
            <w:vAlign w:val="bottom"/>
          </w:tcPr>
          <w:p>
            <w:pPr>
              <w:spacing w:after="0"/>
              <w:rPr>
                <w:sz w:val="19"/>
                <w:szCs w:val="19"/>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21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following outstanding potentially dilutive securities were excluded from the computation of diluted net loss per share for the three months ended March 31, 2021 and 2020, because including them would have been anti-dilutive:</w:t>
      </w:r>
    </w:p>
    <w:p>
      <w:pPr>
        <w:spacing w:after="0" w:line="8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7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21,369,774</w:t>
            </w:r>
          </w:p>
        </w:tc>
        <w:tc>
          <w:tcPr>
            <w:tcW w:w="8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repurchase</w:t>
            </w:r>
          </w:p>
        </w:tc>
        <w:tc>
          <w:tcPr>
            <w:tcW w:w="176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Options issued and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4,350,467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3,200,872</w:t>
            </w:r>
          </w:p>
        </w:tc>
        <w:tc>
          <w:tcPr>
            <w:tcW w:w="80" w:type="dxa"/>
            <w:vAlign w:val="bottom"/>
          </w:tcPr>
          <w:p>
            <w:pPr>
              <w:spacing w:after="0"/>
              <w:rPr>
                <w:sz w:val="19"/>
                <w:szCs w:val="19"/>
                <w:color w:val="auto"/>
              </w:rPr>
            </w:pP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Estimated common stock issuable under the</w:t>
            </w: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employee stock purchase plan</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4,352,067</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24,649,235</w:t>
            </w:r>
          </w:p>
        </w:tc>
        <w:tc>
          <w:tcPr>
            <w:tcW w:w="8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Guarantees and Indemnifications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March 31, 2021.</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three months ended March 31, 2021 the Company had no pending or threatened litigation.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has an operating lease related to its office space in Burlingame, California and embedded finance leases related to a pharmaceutical support services agreement. See Note 5 "Leases" for details of related commitments.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Contractual Obligations and Other Commitments</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future purchase obligations of approximately $7.5 million. In addition, the Company has commitments with two other drug product manufacturers that commit the Company to certain future purchase obligations of approximately $1.8 million. The Company expects to make payments for these commitments through 2025 based on non-cancellable commitments and forecasts that include estimates of future market demand, quantity discounts and manufacturing efficiencies that may impact timing of purchases.</w:t>
      </w:r>
    </w:p>
    <w:p>
      <w:pPr>
        <w:spacing w:after="0" w:line="1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March 31, 2021, we had dosed over 170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myelodysplastic syndromes, or MDS, and intend to advance ALX148 into clinical development for the treatment of acute myeloid leukemia, or AML, in the second half of 2021. In solid tumors, we have initiated the first of two randomized Phase 2 trials of ALX148 for the treatment of first-line head and neck squamous cell carcinoma, or HNSCC, and dosed the first subject in May 2021. We intend to initiate the second randomized Phase 2 trial of ALX148 for the treatment of first-line HNSCC, second line gastric/gastroesophageal junction, or GEJ, cancer and a Phase 1 trial in collaboration with Zymeworks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63"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6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18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July 2020, we consummated our initial public offering, raising net proceeds of $169.5 million, after deducting underwriting discounts and commissions of $13.0 million and offering-related expenses of $3.2 million. In December 2020, we consummated a follow-on public offering, raising net proceeds of $194.9 million, after deducting underwriting discounts and commissions of $12.5 million and offering-related expenses of $0.7 million. From inception through March 31, 2021,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public offering.</w:t>
      </w:r>
    </w:p>
    <w:p>
      <w:pPr>
        <w:spacing w:after="0" w:line="17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have incurred net losses in each year since inception. Our net losses were $14.2 million and $5.5 million for the three months ended March 31, 2021 and 2020, respectively. As of March 31, 2021 and December 31, 2020, we had an accumulated deficit of $132.7 million and $118.5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0" w:name="page21"/>
    <w:bookmarkEnd w:id="20"/>
    <w:p>
      <w:pPr>
        <w:ind w:right="8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2"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ALX148 through multiple clinical trials in multiple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 of ALX148 in hematological malignancies and solid tumors;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 including our collaboration with Tallac Therapeutics;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add operational, financial and management information systems to support ongoing operations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Revenue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consist primarily of costs incurred for the development of our lead product candidate, ALX148, which include:</w:t>
      </w:r>
    </w:p>
    <w:p>
      <w:pPr>
        <w:spacing w:after="0" w:line="140" w:lineRule="exact"/>
        <w:rPr>
          <w:sz w:val="20"/>
          <w:szCs w:val="20"/>
          <w:color w:val="auto"/>
        </w:rPr>
      </w:pPr>
    </w:p>
    <w:p>
      <w:pPr>
        <w:ind w:left="1000" w:right="2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studies and clinical trials;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w:t>
      </w:r>
    </w:p>
    <w:p>
      <w:pPr>
        <w:spacing w:after="0" w:line="170" w:lineRule="exact"/>
        <w:rPr>
          <w:sz w:val="20"/>
          <w:szCs w:val="20"/>
          <w:color w:val="auto"/>
        </w:rPr>
      </w:pPr>
    </w:p>
    <w:p>
      <w:pPr>
        <w:jc w:val="both"/>
        <w:ind w:right="60" w:firstLine="510"/>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firstLine="510"/>
        <w:spacing w:after="0" w:line="290" w:lineRule="auto"/>
        <w:rPr>
          <w:sz w:val="20"/>
          <w:szCs w:val="20"/>
          <w:color w:val="auto"/>
        </w:rPr>
      </w:pPr>
      <w:r>
        <w:rPr>
          <w:rFonts w:ascii="Arial" w:cs="Arial" w:eastAsia="Arial" w:hAnsi="Arial"/>
          <w:sz w:val="16"/>
          <w:szCs w:val="16"/>
          <w:color w:val="auto"/>
        </w:rPr>
        <w:t>Almost all of our research and development expenses to date related to the clinical development of our lead product candidate, ALX148. 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services that we contract from Tallac Therapeutics, as further described in Note 10 to our condensed consolidated financial statements appearing elsewhere in this Quarterly Report on Form 10-Q.</w:t>
      </w:r>
    </w:p>
    <w:p>
      <w:pPr>
        <w:spacing w:after="0" w:line="16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 Facilities costs consist of rent and maintenance of facilities.</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jc w:val="both"/>
        <w:ind w:right="520" w:firstLine="510"/>
        <w:spacing w:after="0" w:line="286" w:lineRule="auto"/>
        <w:rPr>
          <w:sz w:val="20"/>
          <w:szCs w:val="20"/>
          <w:color w:val="auto"/>
        </w:rPr>
      </w:pPr>
      <w:r>
        <w:rPr>
          <w:rFonts w:ascii="Arial" w:cs="Arial" w:eastAsia="Arial" w:hAnsi="Arial"/>
          <w:sz w:val="17"/>
          <w:szCs w:val="17"/>
          <w:color w:val="auto"/>
        </w:rPr>
        <w:t>We previously incurred costs associated with related-party contract research services including direct labor and associated employee benefits, laboratory supplies and other expenses. These costs were recorded in cost of services for related-party transactions as a component of total operating expenses in the accompanying condensed consolidated statements of operations and comprehensive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Historically, our interest expense consisted primarily of interest expense on the term loan and amortization of deferred debt issuance costs.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other expense, net, consists of interest income on cash balances, changes in the fair value of our convertible preferred stock warrant liability and compound derivative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 The compound derivative liability was extinguished upon the extinguishment of the host instrument in December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4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4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party revenue</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2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8,311</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(8,731)</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(14,185)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(6,748)</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Related-party revenue for the three months ended March 31, 2021 and 2020, was zero and $0.7 million, respectively, which was generated solely from payments received for reimbursement of research and development expenses pursuant to the Tollnine Agreement, as further described in Note 10 to our condensed consolidated financial statements appearing elsewhere in this Quarterly Report on Form 10-Q. The decrease of $0.7 million was due to the termination of the Tollnine Agreement on July 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for the three months ended March 31, 2021 and 2020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3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6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Clinical and development costs</w:t>
            </w:r>
          </w:p>
        </w:tc>
        <w:tc>
          <w:tcPr>
            <w:tcW w:w="6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7,920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2,858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1,289</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costs</w:t>
            </w:r>
          </w:p>
        </w:tc>
        <w:tc>
          <w:tcPr>
            <w:tcW w:w="6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6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9,849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3,828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Research and development expenses for the three months ended March 31, 2021 was $9.8 million, compared to $3.8 million for the three months ended March 31, 2020. The increase of $6.0 million was primarily attributable to an increase of $5.1 million in clinical and development costs due to higher expenses associated with increased pre-clinical, clinical and other research costs in advancement of our current lead product candidate, ALX148, as well as an increase of $0.5 million in stock-based compensation expense primarily resulting from additional stock option award grants at higher fair values. In addition, we incurred increased personnel-related costs of $0.4 million due to headcount growth.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summarizes our general and administrative expenses incurred for the three months ended March 31, 2021 and 2020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3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6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6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1,187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1,221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6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1,951</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640" w:type="dxa"/>
            <w:vAlign w:val="bottom"/>
          </w:tcPr>
          <w:p>
            <w:pPr>
              <w:spacing w:after="0"/>
              <w:rPr>
                <w:sz w:val="19"/>
                <w:szCs w:val="19"/>
                <w:color w:val="auto"/>
              </w:rPr>
            </w:pPr>
          </w:p>
        </w:tc>
        <w:tc>
          <w:tcPr>
            <w:tcW w:w="800" w:type="dxa"/>
            <w:vAlign w:val="bottom"/>
            <w:tcBorders>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4,359</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7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General and administrative expenses for the three months ended March 31, 2021 was $4.4 million, compared to $1.5 million during the three months ended March 31, 2020. This increase of $2.9 million was primarily attributable to an increase in personnel-related costs of $0.7 million due to headcount growth, an increase in stock-based compensation expense of $1.2 million primarily resulting from additional stock option award grants at higher fair values and an increase in other general and administrative costs of $1.0 million, which includes $0.5 million of directors and officers liability insurance premium, as well as higher professional services fees of $0.3 million associated with increased accounting and compliance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Cost of services for related-party revenue for the three months ended March 31, 2021 was zero, compared to $0.6 million during the three months ended March 31, 2020. This decrease of $0.6 million was due to the termination of the Tollnine Agreement effective July 1,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proceeds from the sales of shares of our common stock and convertible preferred stock and borrowings under our term loan. Through March 31, 2021, we have received net proceeds from sales of our convertible preferred stock, borrowings under our term loan, our initial public offering and our follow-on public offering of $175.1 million, $5.8 million, $169.5 million and $194.9 million, respectively. As of March 31, 2021, we had cash and cash equivalents of $429.9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December 2020, we used approximately $6.5 million of the net proceeds from our follow-on public offering to repay the outstanding principal amount of $6.0 million and early extinguish the outstanding Term Loan with SVB and WestRiver. As a result, we recognized a $0.6 million loss on early debt extinguishment, representing the difference between the reacquisition price of debt and the net carrying amount of the loan as of the date of the payoff.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have incurred losses and negative cash flows from operations since inception and anticipate that we will continue to incur net losses for the foreseeable future. As of March 31, 2021, we had an accumulated deficit of $132.7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53"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28" w:lineRule="exact"/>
        <w:rPr>
          <w:rFonts w:ascii="Arial" w:cs="Arial" w:eastAsia="Arial" w:hAnsi="Arial"/>
          <w:sz w:val="17"/>
          <w:szCs w:val="17"/>
          <w:color w:val="auto"/>
        </w:rPr>
      </w:pPr>
    </w:p>
    <w:p>
      <w:pPr>
        <w:ind w:left="1000" w:right="7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2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1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believe our existing cash and cash equivalents will enable us to fund our operating expenses and capital expenditure requirements through 2024. We have based these estimates on assumptions in which actuals may materially differ, and we could utilize our available capital resources sooner than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the net cash flow activity for the three months ended March 31, 2021 and 2020:</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(5,135)</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(8,963)</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the three months ended March 31, 2021, cash used in operating activities of $5.1 million was attributable to a net loss of $14.2 million partially offset by a change of $7.2 million in our net operating assets and liabilities and $1.9 million in non-cash charges. The change in operating assets and liabilities was primarily due to a $7.3 million increase in accounts payable, $0.6 million increase in accrued expenses and other current liabilities and $0.3 million increase in other non-current liabilities, partially offset by a $0.6 million increase in other assets and $0.5 million increase in prepaids and other current assets. This was primarily due to the timing of cash payments for clinical trial-related activities and changes in assets and liabilities due to the adoption of ASC 842. The non-cash charges consisted primarily of stock-based compensation of $1.8 million.</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the three months ended March 31, 2020, cash used in operating activities of $9.0 million was attributable to a net loss of $5.5 million partially offset by $0.5 million in non-cash charges and a change of $4.0 million in our net operating assets and liabilities. The non-cash charges consisted of stock-based compensation of $0.2 million, depreciation and amortization of $0.1 million, amortization of term loan discount and issuance costs of $0.1 million and change in fair value of Series B convertible preferred shares warrant liability and term loan compound derivative of $0.1 million. The change in operating assets and liabilities was primarily due to a $1.8 million decrease in accounts payable, $0.6 million decrease in accrued expenses, $0.9 million increase in prepaid expense and $0.7 million increase in receivables due from a related-party. This was primarily due to timing of cash payments for CMC-related activities.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2021 and 2020, cash used in investing activities was nominal.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In the three months ended March 31, 2021, cash provided by financing activities was $0.8 million and was attributable to proceeds from exercise of stock options under equity incentive plans.</w:t>
      </w:r>
    </w:p>
    <w:p>
      <w:pPr>
        <w:spacing w:after="0" w:line="170"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In the three months ended March 31, 2020, cash provided by financing activities was $105.0 million from the sale and issuance of Series C convertible preferred shares.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have contractual obligations from our operating lease, finance leases, manufacturing and service contracts, and other research and development activities. The following table aggregates our material expected contractual obligations and commitments as of March 31, 2021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2022 - 2023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2024 - 2025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right="40" w:hanging="493"/>
        <w:spacing w:after="0" w:line="255" w:lineRule="auto"/>
        <w:tabs>
          <w:tab w:leader="none" w:pos="10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due for the office space in Burlingame, California under a single operating sub-lease agreement that expires in 2023. See Note 5 to our condensed consolidated financial statements appearing elsewhere in this Quarterly Report on Form 10-Q for details of related commitments.</w:t>
      </w:r>
    </w:p>
    <w:p>
      <w:pPr>
        <w:spacing w:after="0" w:line="2" w:lineRule="exact"/>
        <w:rPr>
          <w:rFonts w:ascii="Arial" w:cs="Arial" w:eastAsia="Arial" w:hAnsi="Arial"/>
          <w:sz w:val="18"/>
          <w:szCs w:val="18"/>
          <w:i w:val="1"/>
          <w:iCs w:val="1"/>
          <w:color w:val="auto"/>
        </w:rPr>
      </w:pPr>
    </w:p>
    <w:p>
      <w:pPr>
        <w:ind w:left="1000" w:hanging="493"/>
        <w:spacing w:after="0" w:line="250" w:lineRule="auto"/>
        <w:tabs>
          <w:tab w:leader="none" w:pos="10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due for embedded finance leases related to a pharmaceutical support service contract, including payments for lease agreements that have not yet commenced. See Note 5 to our condensed consolidated financial statements appearing elsewhere in this Quarterly Report on Form 10-Q for details of related commitments.</w:t>
      </w:r>
    </w:p>
    <w:p>
      <w:pPr>
        <w:spacing w:after="0" w:line="1" w:lineRule="exact"/>
        <w:rPr>
          <w:rFonts w:ascii="Arial" w:cs="Arial" w:eastAsia="Arial" w:hAnsi="Arial"/>
          <w:sz w:val="18"/>
          <w:szCs w:val="18"/>
          <w:i w:val="1"/>
          <w:iCs w:val="1"/>
          <w:color w:val="auto"/>
        </w:rPr>
      </w:pPr>
    </w:p>
    <w:p>
      <w:pPr>
        <w:ind w:left="1000" w:right="60" w:hanging="493"/>
        <w:spacing w:after="0" w:line="250" w:lineRule="auto"/>
        <w:tabs>
          <w:tab w:leader="none" w:pos="10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future purchase obligations of approximately $7.5 million. In addition, we have commitments with two other drug product manufacturers that commit us to certain future purchase obligations of approximately $1.8 million. These amounts are based on non-cancellable commitments and forecasts that include estimates of future market demand, quantity discounts and manufacturing efficiencies that may impact timing of purchases.</w:t>
      </w:r>
    </w:p>
    <w:p>
      <w:pPr>
        <w:spacing w:after="0" w:line="2" w:lineRule="exact"/>
        <w:rPr>
          <w:rFonts w:ascii="Arial" w:cs="Arial" w:eastAsia="Arial" w:hAnsi="Arial"/>
          <w:sz w:val="18"/>
          <w:szCs w:val="18"/>
          <w:i w:val="1"/>
          <w:iCs w:val="1"/>
          <w:color w:val="auto"/>
        </w:rPr>
      </w:pPr>
    </w:p>
    <w:p>
      <w:pPr>
        <w:ind w:left="1000" w:hanging="493"/>
        <w:spacing w:after="0"/>
        <w:tabs>
          <w:tab w:leader="none" w:pos="10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nine months.</w:t>
      </w:r>
    </w:p>
    <w:p>
      <w:pPr>
        <w:spacing w:after="0" w:line="21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66" w:lineRule="exact"/>
        <w:rPr>
          <w:sz w:val="20"/>
          <w:szCs w:val="20"/>
          <w:color w:val="auto"/>
        </w:rPr>
      </w:pPr>
    </w:p>
    <w:p>
      <w:pPr>
        <w:jc w:val="both"/>
        <w:ind w:right="260" w:firstLine="510"/>
        <w:spacing w:after="0" w:line="279" w:lineRule="auto"/>
        <w:rPr>
          <w:sz w:val="20"/>
          <w:szCs w:val="20"/>
          <w:color w:val="auto"/>
        </w:rPr>
      </w:pPr>
      <w:r>
        <w:rPr>
          <w:rFonts w:ascii="Arial" w:cs="Arial" w:eastAsia="Arial" w:hAnsi="Arial"/>
          <w:sz w:val="17"/>
          <w:szCs w:val="17"/>
          <w:color w:val="auto"/>
        </w:rPr>
        <w:t>Our critical accounting policies are more fully described in the section titled “Management’s Discussion and Analysis of Financial Condition and Results of Operations—Critical Accounting Policies and Significant Judgments and Estimates” in the Company’s Annual Report on Form 10-K for the year ended December 31, 2020. During the three months ended March 31, 2021, there were no material changes to our critical accounting policies from those discussed in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As of March 31, 2021, we had cash and cash equivalents of $429.9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 Risk</w:t>
      </w:r>
    </w:p>
    <w:p>
      <w:pPr>
        <w:spacing w:after="0" w:line="117"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March 31, 2021, we had $429.6 million in excess of this insured limit.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the principal financial officer, to allow timely decisions regarding required disclosure.</w:t>
      </w:r>
    </w:p>
    <w:p>
      <w:pPr>
        <w:spacing w:after="0" w:line="15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As of March 31, 2021,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March 31,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During the first quarter of 2021, the Company implemented a new enterprise resource planning, or ERP, system. The new ERP system replaced our previous accounting systems and the general ledger. We have made changes to our internal controls over financial reporting during the implementation of the new system and will continue to evaluate the operating effectiveness of related controls during the subsequent periods.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62"/>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growth prospects or stock price.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2" w:lineRule="exact"/>
        <w:rPr>
          <w:sz w:val="20"/>
          <w:szCs w:val="20"/>
          <w:color w:val="auto"/>
        </w:rPr>
      </w:pPr>
    </w:p>
    <w:p>
      <w:pPr>
        <w:ind w:left="1000" w:right="5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ALX148, which is in clinical development and which has not completed a pivotal trial;</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and timely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COVID-19 pandemic could adversely impact our business including our ongoing and planned clinical trials and preclinical research; and</w:t>
      </w:r>
    </w:p>
    <w:p>
      <w:pPr>
        <w:spacing w:after="0" w:line="167" w:lineRule="exact"/>
        <w:rPr>
          <w:rFonts w:ascii="Arial" w:cs="Arial" w:eastAsia="Arial" w:hAnsi="Arial"/>
          <w:sz w:val="16"/>
          <w:szCs w:val="16"/>
          <w:color w:val="auto"/>
        </w:rPr>
      </w:pPr>
    </w:p>
    <w:p>
      <w:pPr>
        <w:ind w:left="1000" w:right="2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remediation measures are not effective, investors may lose confidence in our financial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 was $14.2 million and $5.5 million for the three months ended March 31, 2021 and 2020, respectively. As of March 31, 2021, we had an accumulated deficit of $132.7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7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8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6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As of March 31, 2021, we had cash and cash equivalents of $429.9 million. Based on our current operating plan, we believe that our existing cash and cash equivalents, will be sufficient to fund our operations through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plan to use our cash and cash equivalents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Our current cash and cash equivalents on hand, may not be sufficient to fund all of the actions that are necessary to complete the development of ALX148 or our other programs.</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ind w:right="200"/>
        <w:spacing w:after="0" w:line="255" w:lineRule="auto"/>
        <w:rPr>
          <w:sz w:val="20"/>
          <w:szCs w:val="20"/>
          <w:color w:val="auto"/>
        </w:rPr>
      </w:pPr>
      <w:r>
        <w:rPr>
          <w:rFonts w:ascii="Arial" w:cs="Arial" w:eastAsia="Arial" w:hAnsi="Arial"/>
          <w:sz w:val="18"/>
          <w:szCs w:val="18"/>
          <w:color w:val="auto"/>
        </w:rPr>
        <w:t>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92"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7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ALX148, and our other future product candidates;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ALX148 and our other future product candidates;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44"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acceptance of ALX148 and any future product candidates as viable treatment options by patients, the medical community and third-party payors;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44"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76"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MDS, AML, HNSCC, or gastric/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29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6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right="280"/>
        <w:spacing w:after="0" w:line="277" w:lineRule="auto"/>
        <w:rPr>
          <w:sz w:val="20"/>
          <w:szCs w:val="20"/>
          <w:color w:val="auto"/>
        </w:rPr>
      </w:pPr>
      <w:r>
        <w:rPr>
          <w:rFonts w:ascii="Arial" w:cs="Arial" w:eastAsia="Arial" w:hAnsi="Arial"/>
          <w:sz w:val="18"/>
          <w:szCs w:val="18"/>
          <w:color w:val="auto"/>
        </w:rPr>
        <w:t>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9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 failing in having clinical trial sites or subjects comply with trial protocols;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suffering clinical trial sites or subjects dropping out of trials;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5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COVID-19 pandemic, that impact both trial site operations and subject selection;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67" w:lineRule="exact"/>
        <w:rPr>
          <w:rFonts w:ascii="Arial" w:cs="Arial" w:eastAsia="Arial" w:hAnsi="Arial"/>
          <w:sz w:val="16"/>
          <w:szCs w:val="16"/>
          <w:color w:val="auto"/>
        </w:rPr>
      </w:pPr>
    </w:p>
    <w:p>
      <w:pPr>
        <w:ind w:left="1000" w:right="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5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firstLine="510"/>
        <w:spacing w:after="0" w:line="271" w:lineRule="auto"/>
        <w:rPr>
          <w:sz w:val="20"/>
          <w:szCs w:val="20"/>
          <w:color w:val="auto"/>
        </w:rPr>
      </w:pPr>
      <w:r>
        <w:rPr>
          <w:rFonts w:ascii="Arial" w:cs="Arial" w:eastAsia="Arial" w:hAnsi="Arial"/>
          <w:sz w:val="17"/>
          <w:szCs w:val="17"/>
          <w:color w:val="auto"/>
        </w:rPr>
        <w:t>In December 2020, the FDA verbally informed us, that given our planned initiation of two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 Delays in our clinical trials may result in increased development costs for our product candidates and jeopardize our ability to obtain marketing approval for the sale of our drugs.</w:t>
      </w:r>
    </w:p>
    <w:p>
      <w:pPr>
        <w:spacing w:after="0" w:line="178"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2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ALX148 are focused on indications with small patient populations, our ability to enroll eligible subjects may be limited or may result in slower enrollment than we anticipate.</w:t>
      </w:r>
    </w:p>
    <w:p>
      <w:pPr>
        <w:spacing w:after="0" w:line="17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6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Subject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w:t>
      </w:r>
    </w:p>
    <w:p>
      <w:pPr>
        <w:spacing w:after="0" w:line="76"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efficacy or potency of approved drugs for the disease under investigation;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 and</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COVID-19 pandemic.</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5" w:name="page36"/>
    <w:bookmarkEnd w:id="35"/>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ALX148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7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260" w:firstLine="510"/>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7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5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2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76"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76"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76" w:lineRule="exact"/>
        <w:rPr>
          <w:sz w:val="20"/>
          <w:szCs w:val="20"/>
          <w:color w:val="auto"/>
        </w:rPr>
      </w:pPr>
    </w:p>
    <w:p>
      <w:pPr>
        <w:jc w:val="both"/>
        <w:ind w:right="40" w:firstLine="510"/>
        <w:spacing w:after="0" w:line="273"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300"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spacing w:after="0" w:line="254" w:lineRule="auto"/>
        <w:rPr>
          <w:sz w:val="20"/>
          <w:szCs w:val="20"/>
          <w:color w:val="auto"/>
        </w:rPr>
      </w:pPr>
      <w:r>
        <w:rPr>
          <w:rFonts w:ascii="Arial" w:cs="Arial" w:eastAsia="Arial" w:hAnsi="Arial"/>
          <w:sz w:val="18"/>
          <w:szCs w:val="18"/>
          <w:color w:val="auto"/>
        </w:rPr>
        <w:t>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9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6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8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third-party combination drugs may materially and adversely affect demand for our product candidates.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Our product candidates may be administered in combination with drugs of other pharmaceutical companies as one regimen. In addition, we plan to use third-party drugs in our development and clinical trials as controls for our studies, such as conducting Phase 2 clinical trials of ALX148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and Zymeworks, pursuant to which Merck and Zymeworks will supply doses of pembrolizumab and zanidatamab, respectively, for use in certain of our clinical trials. If the agreement with Merck is terminated before our trials are completed, we may need to find another source of pembrolizumab in order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jc w:val="both"/>
        <w:ind w:right="320"/>
        <w:spacing w:after="0" w:line="263" w:lineRule="auto"/>
        <w:rPr>
          <w:sz w:val="20"/>
          <w:szCs w:val="20"/>
          <w:color w:val="auto"/>
        </w:rPr>
      </w:pPr>
      <w:r>
        <w:rPr>
          <w:rFonts w:ascii="Arial" w:cs="Arial" w:eastAsia="Arial" w:hAnsi="Arial"/>
          <w:sz w:val="18"/>
          <w:szCs w:val="18"/>
          <w:color w:val="auto"/>
        </w:rPr>
        <w:t>continue our trial.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would be limited.</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9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9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63" w:lineRule="exact"/>
        <w:rPr>
          <w:sz w:val="20"/>
          <w:szCs w:val="20"/>
          <w:color w:val="auto"/>
        </w:rPr>
      </w:pPr>
    </w:p>
    <w:p>
      <w:pPr>
        <w:ind w:left="1000" w:right="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ALX148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ALX148 and our other product candidates;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ALX148 or our other product candidates by the FDA or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55" w:lineRule="exact"/>
        <w:rPr>
          <w:rFonts w:ascii="Arial" w:cs="Arial" w:eastAsia="Arial" w:hAnsi="Arial"/>
          <w:sz w:val="17"/>
          <w:szCs w:val="17"/>
          <w:color w:val="auto"/>
        </w:rPr>
      </w:pPr>
    </w:p>
    <w:p>
      <w:pPr>
        <w:ind w:left="1000" w:right="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1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6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84" w:lineRule="exact"/>
        <w:rPr>
          <w:sz w:val="20"/>
          <w:szCs w:val="20"/>
          <w:color w:val="auto"/>
        </w:rPr>
      </w:pPr>
    </w:p>
    <w:p>
      <w:pPr>
        <w:jc w:val="both"/>
        <w:ind w:right="260" w:firstLine="510"/>
        <w:spacing w:after="0" w:line="259" w:lineRule="auto"/>
        <w:rPr>
          <w:sz w:val="20"/>
          <w:szCs w:val="20"/>
          <w:color w:val="auto"/>
        </w:rPr>
      </w:pPr>
      <w:r>
        <w:rPr>
          <w:rFonts w:ascii="Arial" w:cs="Arial" w:eastAsia="Arial" w:hAnsi="Arial"/>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line="293" w:lineRule="auto"/>
        <w:rPr>
          <w:sz w:val="20"/>
          <w:szCs w:val="20"/>
          <w:color w:val="auto"/>
        </w:rPr>
      </w:pPr>
      <w:r>
        <w:rPr>
          <w:rFonts w:ascii="Arial" w:cs="Arial" w:eastAsia="Arial" w:hAnsi="Arial"/>
          <w:sz w:val="16"/>
          <w:szCs w:val="16"/>
          <w:color w:val="auto"/>
        </w:rPr>
        <w:t>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64"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2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6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6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6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5540" w:right="400" w:hanging="5033"/>
        <w:spacing w:after="0" w:line="559" w:lineRule="auto"/>
        <w:tabs>
          <w:tab w:leader="none" w:pos="1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the design, implementation or results of our clinical trials;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left="1000" w:right="20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60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000" w:right="2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00" w:right="96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February 2020, the FDA granted Fast Track designations to ALX148 for first-line HNSCC and for second-line treatment of advanced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right="120"/>
        <w:spacing w:after="0" w:line="279" w:lineRule="auto"/>
        <w:rPr>
          <w:sz w:val="20"/>
          <w:szCs w:val="20"/>
          <w:color w:val="auto"/>
        </w:rPr>
      </w:pPr>
      <w:r>
        <w:rPr>
          <w:rFonts w:ascii="Arial" w:cs="Arial" w:eastAsia="Arial" w:hAnsi="Arial"/>
          <w:sz w:val="17"/>
          <w:szCs w:val="17"/>
          <w:color w:val="auto"/>
        </w:rPr>
        <w:t>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2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The U.S. Supreme Court held oral arguments in November 2020 and is expected to issue a decision by mid-2021, although it is uncertain how the Supreme Court will rule.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84"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6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6" w:name="page47"/>
    <w:bookmarkEnd w:id="46"/>
    <w:p>
      <w:pPr>
        <w:ind w:right="120"/>
        <w:spacing w:after="0" w:line="268" w:lineRule="auto"/>
        <w:rPr>
          <w:sz w:val="20"/>
          <w:szCs w:val="20"/>
          <w:color w:val="auto"/>
        </w:rPr>
      </w:pPr>
      <w:r>
        <w:rPr>
          <w:rFonts w:ascii="Arial" w:cs="Arial" w:eastAsia="Arial" w:hAnsi="Arial"/>
          <w:sz w:val="17"/>
          <w:szCs w:val="17"/>
          <w:color w:val="auto"/>
        </w:rPr>
        <w:t>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current administration. The impact of these lawsuits as well as legislative, executive, and administrative actions of the current administration on us and the biopharmaceutical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both"/>
        <w:ind w:right="140" w:firstLine="510"/>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95"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particularly in light of the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2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140"/>
        <w:spacing w:after="0" w:line="259" w:lineRule="auto"/>
        <w:rPr>
          <w:sz w:val="20"/>
          <w:szCs w:val="20"/>
          <w:color w:val="auto"/>
        </w:rPr>
      </w:pPr>
      <w:r>
        <w:rPr>
          <w:rFonts w:ascii="Arial" w:cs="Arial" w:eastAsia="Arial" w:hAnsi="Arial"/>
          <w:sz w:val="18"/>
          <w:szCs w:val="18"/>
          <w:color w:val="auto"/>
        </w:rPr>
        <w:t>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79" w:lineRule="exact"/>
        <w:rPr>
          <w:sz w:val="20"/>
          <w:szCs w:val="20"/>
          <w:color w:val="auto"/>
        </w:rPr>
      </w:pPr>
    </w:p>
    <w:p>
      <w:pPr>
        <w:ind w:left="1000" w:hanging="493"/>
        <w:spacing w:after="0" w:line="25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4" w:lineRule="exact"/>
        <w:rPr>
          <w:rFonts w:ascii="Arial" w:cs="Arial" w:eastAsia="Arial" w:hAnsi="Arial"/>
          <w:sz w:val="18"/>
          <w:szCs w:val="18"/>
          <w:color w:val="auto"/>
        </w:rPr>
      </w:pPr>
    </w:p>
    <w:p>
      <w:pPr>
        <w:ind w:left="1000" w:right="260" w:hanging="493"/>
        <w:spacing w:after="0" w:line="275"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8" w:lineRule="exact"/>
        <w:rPr>
          <w:rFonts w:ascii="Arial" w:cs="Arial" w:eastAsia="Arial" w:hAnsi="Arial"/>
          <w:sz w:val="17"/>
          <w:szCs w:val="17"/>
          <w:color w:val="auto"/>
        </w:rPr>
      </w:pPr>
    </w:p>
    <w:p>
      <w:pPr>
        <w:ind w:left="1000" w:right="160" w:hanging="493"/>
        <w:spacing w:after="0" w:line="275"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auto"/>
        </w:rPr>
      </w:pPr>
    </w:p>
    <w:p>
      <w:pPr>
        <w:ind w:left="1040" w:right="40" w:hanging="519"/>
        <w:spacing w:after="0" w:line="25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40" w:right="40" w:hanging="519"/>
        <w:spacing w:after="0" w:line="25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8"/>
          <w:szCs w:val="18"/>
          <w:i w:val="1"/>
          <w:iCs w:val="1"/>
          <w:color w:val="auto"/>
        </w:rPr>
        <w:t>i.e.</w:t>
      </w:r>
      <w:r>
        <w:rPr>
          <w:rFonts w:ascii="Arial" w:cs="Arial" w:eastAsia="Arial" w:hAnsi="Arial"/>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40" w:right="140" w:hanging="519"/>
        <w:spacing w:after="0" w:line="253"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88" w:lineRule="exact"/>
        <w:rPr>
          <w:rFonts w:ascii="Arial" w:cs="Arial" w:eastAsia="Arial" w:hAnsi="Arial"/>
          <w:sz w:val="18"/>
          <w:szCs w:val="18"/>
          <w:color w:val="auto"/>
        </w:rPr>
      </w:pPr>
    </w:p>
    <w:p>
      <w:pPr>
        <w:ind w:left="1040" w:right="200" w:hanging="519"/>
        <w:spacing w:after="0" w:line="273" w:lineRule="auto"/>
        <w:tabs>
          <w:tab w:leader="none" w:pos="1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jc w:val="both"/>
        <w:ind w:left="1040" w:right="20" w:hanging="519"/>
        <w:spacing w:after="0" w:line="259"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jc w:val="both"/>
        <w:ind w:left="1040" w:right="120"/>
        <w:spacing w:after="0" w:line="273" w:lineRule="auto"/>
        <w:rPr>
          <w:sz w:val="20"/>
          <w:szCs w:val="20"/>
          <w:color w:val="auto"/>
        </w:rPr>
      </w:pPr>
      <w:r>
        <w:rPr>
          <w:rFonts w:ascii="Arial" w:cs="Arial" w:eastAsia="Arial" w:hAnsi="Arial"/>
          <w:sz w:val="17"/>
          <w:szCs w:val="17"/>
          <w:color w:val="auto"/>
        </w:rPr>
        <w:t>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70" w:lineRule="exact"/>
        <w:rPr>
          <w:sz w:val="20"/>
          <w:szCs w:val="20"/>
          <w:color w:val="auto"/>
        </w:rPr>
      </w:pPr>
    </w:p>
    <w:p>
      <w:pPr>
        <w:ind w:left="1000" w:right="2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30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7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7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60"/>
        <w:spacing w:after="0" w:line="255" w:lineRule="auto"/>
        <w:rPr>
          <w:sz w:val="20"/>
          <w:szCs w:val="20"/>
          <w:color w:val="auto"/>
        </w:rPr>
      </w:pPr>
      <w:r>
        <w:rPr>
          <w:rFonts w:ascii="Arial" w:cs="Arial" w:eastAsia="Arial" w:hAnsi="Arial"/>
          <w:sz w:val="18"/>
          <w:szCs w:val="18"/>
          <w:color w:val="auto"/>
        </w:rPr>
        <w:t>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19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w:t>
      </w:r>
    </w:p>
    <w:p>
      <w:pPr>
        <w:spacing w:after="0" w:line="196" w:lineRule="exact"/>
        <w:rPr>
          <w:sz w:val="20"/>
          <w:szCs w:val="20"/>
          <w:color w:val="auto"/>
        </w:rPr>
      </w:pPr>
    </w:p>
    <w:p>
      <w:pPr>
        <w:ind w:right="20" w:firstLine="514"/>
        <w:spacing w:after="0" w:line="255" w:lineRule="auto"/>
        <w:rPr>
          <w:sz w:val="20"/>
          <w:szCs w:val="20"/>
          <w:color w:val="auto"/>
        </w:rPr>
      </w:pPr>
      <w:r>
        <w:rPr>
          <w:rFonts w:ascii="Arial" w:cs="Arial" w:eastAsia="Arial" w:hAnsi="Arial"/>
          <w:sz w:val="18"/>
          <w:szCs w:val="18"/>
          <w:color w:val="auto"/>
        </w:rPr>
        <w:t>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continued to apply in the UK, including the GDPR. In 2021, the UK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92" w:lineRule="exact"/>
        <w:rPr>
          <w:sz w:val="20"/>
          <w:szCs w:val="20"/>
          <w:color w:val="auto"/>
        </w:rPr>
      </w:pPr>
    </w:p>
    <w:p>
      <w:pPr>
        <w:ind w:firstLine="514"/>
        <w:spacing w:after="0" w:line="287" w:lineRule="auto"/>
        <w:rPr>
          <w:sz w:val="20"/>
          <w:szCs w:val="20"/>
          <w:color w:val="auto"/>
        </w:rPr>
      </w:pPr>
      <w:r>
        <w:rPr>
          <w:rFonts w:ascii="Arial" w:cs="Arial" w:eastAsia="Arial" w:hAnsi="Arial"/>
          <w:sz w:val="16"/>
          <w:szCs w:val="16"/>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7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right="20" w:firstLine="514"/>
        <w:spacing w:after="0" w:line="271"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t>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88"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opposition or derivation proceedings challenging our patent rights or the patent rights of others.</w:t>
      </w:r>
    </w:p>
    <w:p>
      <w:pPr>
        <w:spacing w:after="0" w:line="166" w:lineRule="exact"/>
        <w:rPr>
          <w:sz w:val="20"/>
          <w:szCs w:val="20"/>
          <w:color w:val="auto"/>
        </w:rPr>
      </w:pPr>
    </w:p>
    <w:p>
      <w:pPr>
        <w:ind w:firstLine="514"/>
        <w:spacing w:after="0" w:line="287"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6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7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2" w:name="page53"/>
    <w:bookmarkEnd w:id="52"/>
    <w:p>
      <w:pPr>
        <w:ind w:right="120"/>
        <w:spacing w:after="0" w:line="257" w:lineRule="auto"/>
        <w:rPr>
          <w:sz w:val="20"/>
          <w:szCs w:val="20"/>
          <w:color w:val="auto"/>
        </w:rPr>
      </w:pPr>
      <w:r>
        <w:rPr>
          <w:rFonts w:ascii="Arial" w:cs="Arial" w:eastAsia="Arial" w:hAnsi="Arial"/>
          <w:sz w:val="18"/>
          <w:szCs w:val="18"/>
          <w:color w:val="auto"/>
        </w:rPr>
        <w:t>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29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77"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66" w:lineRule="exact"/>
        <w:rPr>
          <w:sz w:val="20"/>
          <w:szCs w:val="20"/>
          <w:color w:val="auto"/>
        </w:rPr>
      </w:pPr>
    </w:p>
    <w:p>
      <w:pPr>
        <w:jc w:val="both"/>
        <w:ind w:right="100" w:firstLine="510"/>
        <w:spacing w:after="0" w:line="296"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170" w:lineRule="exact"/>
        <w:rPr>
          <w:sz w:val="20"/>
          <w:szCs w:val="20"/>
          <w:color w:val="auto"/>
        </w:rPr>
      </w:pPr>
    </w:p>
    <w:p>
      <w:pPr>
        <w:jc w:val="both"/>
        <w:ind w:right="520" w:firstLine="510"/>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ind w:right="60"/>
        <w:spacing w:after="0" w:line="272" w:lineRule="auto"/>
        <w:rPr>
          <w:sz w:val="20"/>
          <w:szCs w:val="20"/>
          <w:color w:val="auto"/>
        </w:rPr>
      </w:pPr>
      <w:r>
        <w:rPr>
          <w:rFonts w:ascii="Arial" w:cs="Arial" w:eastAsia="Arial" w:hAnsi="Arial"/>
          <w:sz w:val="17"/>
          <w:szCs w:val="17"/>
          <w:color w:val="auto"/>
        </w:rPr>
        <w:t>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7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right="60"/>
        <w:spacing w:after="0" w:line="254" w:lineRule="auto"/>
        <w:rPr>
          <w:sz w:val="20"/>
          <w:szCs w:val="20"/>
          <w:color w:val="auto"/>
        </w:rPr>
      </w:pPr>
      <w:r>
        <w:rPr>
          <w:rFonts w:ascii="Arial" w:cs="Arial" w:eastAsia="Arial" w:hAnsi="Arial"/>
          <w:sz w:val="18"/>
          <w:szCs w:val="18"/>
          <w:color w:val="auto"/>
        </w:rPr>
        <w:t>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92"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8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44"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left="1000" w:right="100" w:hanging="493"/>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8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40"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8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line="289" w:lineRule="auto"/>
        <w:rPr>
          <w:sz w:val="20"/>
          <w:szCs w:val="20"/>
          <w:color w:val="auto"/>
        </w:rPr>
      </w:pPr>
      <w:r>
        <w:rPr>
          <w:rFonts w:ascii="Arial" w:cs="Arial" w:eastAsia="Arial" w:hAnsi="Arial"/>
          <w:sz w:val="16"/>
          <w:szCs w:val="16"/>
          <w:color w:val="auto"/>
        </w:rPr>
        <w:t>Hospital for Sick Children that may encompass certain therapies for the treatment of cancer using polypeptides comprising soluble human SIRPα. This patent and patent application relate to the treatment of cancer with polypeptides comprising soluble human SIRPα. Trillium Therapeutics, our competitor,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ALX148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66"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77" w:lineRule="exact"/>
        <w:rPr>
          <w:sz w:val="20"/>
          <w:szCs w:val="20"/>
          <w:color w:val="auto"/>
        </w:rPr>
      </w:pPr>
    </w:p>
    <w:p>
      <w:pPr>
        <w:ind w:right="540" w:firstLine="510"/>
        <w:spacing w:after="0" w:line="311" w:lineRule="auto"/>
        <w:rPr>
          <w:sz w:val="20"/>
          <w:szCs w:val="20"/>
          <w:color w:val="auto"/>
        </w:rPr>
      </w:pPr>
      <w:r>
        <w:rPr>
          <w:rFonts w:ascii="Arial" w:cs="Arial" w:eastAsia="Arial" w:hAnsi="Arial"/>
          <w:sz w:val="16"/>
          <w:szCs w:val="16"/>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00" w:right="2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44"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00" w:right="24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000" w:right="72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1000" w:right="6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line="272" w:lineRule="auto"/>
        <w:rPr>
          <w:sz w:val="20"/>
          <w:szCs w:val="20"/>
          <w:color w:val="auto"/>
        </w:rPr>
      </w:pPr>
      <w:r>
        <w:rPr>
          <w:rFonts w:ascii="Arial" w:cs="Arial" w:eastAsia="Arial" w:hAnsi="Arial"/>
          <w:sz w:val="17"/>
          <w:szCs w:val="17"/>
          <w:color w:val="auto"/>
        </w:rPr>
        <w:t>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30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5540" w:right="2500" w:hanging="5033"/>
        <w:spacing w:after="0" w:line="559" w:lineRule="auto"/>
        <w:tabs>
          <w:tab w:leader="none" w:pos="10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left="1000" w:right="5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44" w:lineRule="exact"/>
        <w:rPr>
          <w:rFonts w:ascii="Arial" w:cs="Arial" w:eastAsia="Arial" w:hAnsi="Arial"/>
          <w:sz w:val="18"/>
          <w:szCs w:val="18"/>
          <w:color w:val="auto"/>
        </w:rPr>
      </w:pPr>
    </w:p>
    <w:p>
      <w:pPr>
        <w:ind w:left="1000" w:right="8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As of March 31, 2021, we had 24 employees, including 13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jc w:val="both"/>
        <w:ind w:right="340" w:firstLine="510"/>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000" w:right="34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44"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political and economic instability, including wars, terrorism and political unrest, boycotts, curtailment of trade and other business restrictions;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44"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2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78"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may not comply with any warnings that identify known potential adverse effects or that certain patients should not use our drugs for various reasons.</w:t>
      </w:r>
    </w:p>
    <w:p>
      <w:pPr>
        <w:spacing w:after="0" w:line="23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9"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December 2019, COVID-19 was reported to have surfaced in Wuhan, China. Since then, the virus has spread across the world, including all 50 states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 clinical trials and preclinical research, including:</w:t>
      </w:r>
    </w:p>
    <w:p>
      <w:pPr>
        <w:spacing w:after="0" w:line="57" w:lineRule="exact"/>
        <w:rPr>
          <w:sz w:val="20"/>
          <w:szCs w:val="20"/>
          <w:color w:val="auto"/>
        </w:rPr>
      </w:pPr>
    </w:p>
    <w:p>
      <w:pPr>
        <w:ind w:left="1000" w:right="1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 of ALX148 and our future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jc w:val="both"/>
        <w:ind w:left="1000" w:right="100" w:hanging="493"/>
        <w:spacing w:after="0" w:line="28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7"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4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25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still assessing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in August 2020, California implemented the Blueprint for a Safer Economy, which uses COVID-19 case rates and test positivity rates in each county to determine the extent to which businesses may reopen. Under the Blueprint for a Safer Economy, many business operations in San Mateo County, where our primary operations are located, remain restricted. As a result, the majority of our employees are currently telecommuting, which may impact certain of our operations over the near term and long term.</w:t>
      </w:r>
    </w:p>
    <w:p>
      <w:pPr>
        <w:spacing w:after="0" w:line="166" w:lineRule="exact"/>
        <w:rPr>
          <w:sz w:val="20"/>
          <w:szCs w:val="20"/>
          <w:color w:val="auto"/>
        </w:rPr>
      </w:pPr>
    </w:p>
    <w:p>
      <w:pPr>
        <w:ind w:right="60" w:firstLine="514"/>
        <w:spacing w:after="0" w:line="268"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84" w:lineRule="exact"/>
        <w:rPr>
          <w:sz w:val="20"/>
          <w:szCs w:val="20"/>
          <w:color w:val="auto"/>
        </w:rPr>
      </w:pPr>
    </w:p>
    <w:p>
      <w:pPr>
        <w:ind w:firstLine="514"/>
        <w:spacing w:after="0" w:line="286" w:lineRule="auto"/>
        <w:rPr>
          <w:sz w:val="20"/>
          <w:szCs w:val="20"/>
          <w:color w:val="auto"/>
        </w:rPr>
      </w:pPr>
      <w:r>
        <w:rPr>
          <w:rFonts w:ascii="Arial" w:cs="Arial" w:eastAsia="Arial" w:hAnsi="Arial"/>
          <w:sz w:val="16"/>
          <w:szCs w:val="16"/>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6"/>
          <w:szCs w:val="16"/>
          <w:i w:val="1"/>
          <w:iCs w:val="1"/>
          <w:color w:val="auto"/>
        </w:rPr>
        <w:t>e.g.</w:t>
      </w:r>
      <w:r>
        <w:rPr>
          <w:rFonts w:ascii="Arial" w:cs="Arial" w:eastAsia="Arial" w:hAnsi="Arial"/>
          <w:sz w:val="16"/>
          <w:szCs w:val="16"/>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1" w:lineRule="exact"/>
        <w:rPr>
          <w:sz w:val="20"/>
          <w:szCs w:val="20"/>
          <w:color w:val="auto"/>
        </w:rPr>
      </w:pPr>
    </w:p>
    <w:p>
      <w:pPr>
        <w:ind w:right="60" w:firstLine="514"/>
        <w:spacing w:after="0" w:line="263" w:lineRule="auto"/>
        <w:rPr>
          <w:sz w:val="20"/>
          <w:szCs w:val="20"/>
          <w:color w:val="auto"/>
        </w:rPr>
      </w:pPr>
      <w:r>
        <w:rPr>
          <w:rFonts w:ascii="Arial" w:cs="Arial" w:eastAsia="Arial" w:hAnsi="Arial"/>
          <w:sz w:val="18"/>
          <w:szCs w:val="18"/>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and in this “Risk Factors”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right="8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recently entered into a collaboration agreement with Tallac Therapeutics pursuant to which we expect to jointly develop, manufacture, and commercialize a novel class of cancer immunotherapeutics.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5" w:lineRule="exact"/>
        <w:rPr>
          <w:sz w:val="20"/>
          <w:szCs w:val="20"/>
          <w:color w:val="auto"/>
        </w:rPr>
      </w:pPr>
    </w:p>
    <w:p>
      <w:pPr>
        <w:ind w:right="20" w:firstLine="514"/>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78" w:lineRule="exact"/>
        <w:rPr>
          <w:sz w:val="20"/>
          <w:szCs w:val="20"/>
          <w:color w:val="auto"/>
        </w:rPr>
      </w:pPr>
    </w:p>
    <w:p>
      <w:pPr>
        <w:ind w:firstLine="514"/>
        <w:spacing w:after="0" w:line="268"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ind w:firstLine="514"/>
        <w:spacing w:after="0" w:line="268"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8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w:t>
      </w:r>
    </w:p>
    <w:p>
      <w:pPr>
        <w:sectPr>
          <w:pgSz w:w="11900" w:h="16838" w:orient="portrait"/>
          <w:cols w:equalWidth="0" w:num="1">
            <w:col w:w="11220"/>
          </w:cols>
          <w:pgMar w:left="320" w:top="449" w:right="35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64" w:name="page65"/>
    <w:bookmarkEnd w:id="64"/>
    <w:p>
      <w:pPr>
        <w:ind w:right="220"/>
        <w:spacing w:after="0" w:line="277" w:lineRule="auto"/>
        <w:rPr>
          <w:sz w:val="20"/>
          <w:szCs w:val="20"/>
          <w:color w:val="auto"/>
        </w:rPr>
      </w:pPr>
      <w:r>
        <w:rPr>
          <w:rFonts w:ascii="Arial" w:cs="Arial" w:eastAsia="Arial" w:hAnsi="Arial"/>
          <w:sz w:val="18"/>
          <w:szCs w:val="18"/>
          <w:color w:val="auto"/>
        </w:rPr>
        <w:t>condition. We cannot predict the number, timing or size of future joint ventures or acquisitions, or the effect that any such transactions might have on our operating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2020, we had net operating loss carryforwards of approximately $7.9 million and $71.4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carries forward indefinitely while the state net operating loss will begin to expire beginning in 2038.</w:t>
      </w:r>
    </w:p>
    <w:p>
      <w:pPr>
        <w:spacing w:after="0" w:line="17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As of December 31, 2020, we had Irish net operating loss carryforwards of approximately $5.1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these factors include:</w:t>
      </w:r>
    </w:p>
    <w:p>
      <w:pPr>
        <w:spacing w:after="0" w:line="76"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left="1000" w:right="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and other external factors such as macroeconomic, disasters, crises or health matters, including the impact of the COVID-19 pandemic;</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5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the stock market has recently experienced significant volatility, particularly with respect to biotechnology and other life sciences company stocks as a result of the COVID-19 pandemic and the U.S. presidential election.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6" w:name="page67"/>
    <w:bookmarkEnd w:id="66"/>
    <w:p>
      <w:pPr>
        <w:ind w:right="200" w:firstLine="51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000" w:right="42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44"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outcomes of clinical trials for ALX148, and any of our other product candidates, or competing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delays in regulatory review or approval of ALX148 or any of our other product candidates;</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demand for ALX148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ALX148 and any of our other product candidates;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commercialize ALX148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5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560" w:firstLine="510"/>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March 31, 2021, we had 40,208,569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6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July 17, 2020, we filed a registration statement on Form S-8 to register 3,563,962 shares of our common stock reserved for future issuance under our equity compensation plans. In addition, on March 18, 2021, we filed a registration statement on Form S-8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80"/>
        <w:spacing w:after="0" w:line="263" w:lineRule="auto"/>
        <w:rPr>
          <w:sz w:val="20"/>
          <w:szCs w:val="20"/>
          <w:color w:val="auto"/>
        </w:rPr>
      </w:pPr>
      <w:r>
        <w:rPr>
          <w:rFonts w:ascii="Arial" w:cs="Arial" w:eastAsia="Arial" w:hAnsi="Arial"/>
          <w:sz w:val="18"/>
          <w:szCs w:val="18"/>
          <w:color w:val="auto"/>
        </w:rPr>
        <w:t>register 1,992,226 shares of our common stock reserved for future issuance under our equity compensation plans. As a result, shares registered under these registration statements on Form S-8 will be available for sale in the public market subject to the satisfaction of applicable vesting arrangements and the exercise of such options and, in the case of our affiliates, the restrictions of Rule 144.</w:t>
      </w:r>
    </w:p>
    <w:p>
      <w:pPr>
        <w:spacing w:after="0" w:line="184"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61"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In addition,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7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line="289" w:lineRule="auto"/>
        <w:rPr>
          <w:sz w:val="20"/>
          <w:szCs w:val="20"/>
          <w:color w:val="auto"/>
        </w:rPr>
      </w:pPr>
      <w:r>
        <w:rPr>
          <w:rFonts w:ascii="Arial" w:cs="Arial" w:eastAsia="Arial" w:hAnsi="Arial"/>
          <w:sz w:val="16"/>
          <w:szCs w:val="16"/>
          <w:color w:val="auto"/>
        </w:rPr>
        <w:t>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As of March 31, 2021, our executive officers, directors, holders of 5% or more of our capital stock and their respective affiliates beneficially owned approximately 58.2% of our outstanding voting stock.</w:t>
      </w:r>
    </w:p>
    <w:p>
      <w:pPr>
        <w:spacing w:after="0" w:line="170"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3" w:lineRule="exact"/>
        <w:rPr>
          <w:sz w:val="20"/>
          <w:szCs w:val="20"/>
          <w:color w:val="auto"/>
        </w:rPr>
      </w:pPr>
    </w:p>
    <w:p>
      <w:pPr>
        <w:ind w:left="5540" w:right="1900" w:hanging="5033"/>
        <w:spacing w:after="0" w:line="559" w:lineRule="auto"/>
        <w:tabs>
          <w:tab w:leader="none" w:pos="10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left="1000" w:hanging="493"/>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44"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44"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44"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5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0" w:name="page71"/>
    <w:bookmarkEnd w:id="70"/>
    <w:p>
      <w:pPr>
        <w:ind w:right="280"/>
        <w:spacing w:after="0" w:line="286" w:lineRule="auto"/>
        <w:rPr>
          <w:sz w:val="20"/>
          <w:szCs w:val="20"/>
          <w:color w:val="auto"/>
        </w:rPr>
      </w:pPr>
      <w:r>
        <w:rPr>
          <w:rFonts w:ascii="Arial" w:cs="Arial" w:eastAsia="Arial" w:hAnsi="Arial"/>
          <w:sz w:val="17"/>
          <w:szCs w:val="17"/>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57" w:lineRule="exact"/>
        <w:rPr>
          <w:sz w:val="20"/>
          <w:szCs w:val="20"/>
          <w:color w:val="auto"/>
        </w:rPr>
      </w:pPr>
    </w:p>
    <w:p>
      <w:pPr>
        <w:jc w:val="both"/>
        <w:ind w:right="280" w:firstLine="510"/>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of 2002. During our review and testing, we may identify deficiencies and be unable to remediate them before we must provide the required reports. In the past, we and our independent registered public accounting firm identified two material weaknesses in our internal control over financial reporting, all of which have since been remediated. We did not identify any material weakness as of March 31, 2021.</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Furthermore, 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9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right="14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4"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disruptions and delays or incur financial damages as a result of system failures or security breaches.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40"/>
        <w:spacing w:after="0" w:line="301" w:lineRule="auto"/>
        <w:rPr>
          <w:sz w:val="20"/>
          <w:szCs w:val="20"/>
          <w:color w:val="auto"/>
        </w:rPr>
      </w:pPr>
      <w:r>
        <w:rPr>
          <w:rFonts w:ascii="Arial" w:cs="Arial" w:eastAsia="Arial" w:hAnsi="Arial"/>
          <w:sz w:val="16"/>
          <w:szCs w:val="16"/>
          <w:color w:val="auto"/>
        </w:rPr>
        <w:t>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5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July 2020, we closed the sale of 9,775,000 shares of common stock, which includes the additional overallotment of 1,275,000 shares exercised by the underwriters in the initial public offering, to the public at an initial public offering price of $19.00 per share. The aggregate offering price for shares sold in our initial public offering was $185.7 million. 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6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received approximately $169.5 million in net proceeds after deducting underwriting discounts and commissions of approximately $13.0 million and offering-related expenses of $3.2 million. No offering expenses were paid directly or indirectly to any of our directors or officers (or their associates) or persons owning ten percent or more of any class of our equity securities or to any other affiliates.</w:t>
      </w:r>
    </w:p>
    <w:p>
      <w:pPr>
        <w:spacing w:after="0" w:line="1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7"/>
              </w:rPr>
              <w:t>Filed</w:t>
            </w:r>
          </w:p>
        </w:tc>
        <w:tc>
          <w:tcPr>
            <w:tcW w:w="1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9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1"/>
                <w:szCs w:val="11"/>
                <w:color w:val="auto"/>
              </w:rPr>
            </w:pPr>
          </w:p>
        </w:tc>
        <w:tc>
          <w:tcPr>
            <w:tcW w:w="3380" w:type="dxa"/>
            <w:vAlign w:val="bottom"/>
            <w:gridSpan w:val="8"/>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continue"/>
          </w:tcPr>
          <w:p>
            <w:pPr>
              <w:spacing w:after="0"/>
              <w:rPr>
                <w:sz w:val="11"/>
                <w:szCs w:val="11"/>
                <w:color w:val="auto"/>
              </w:rPr>
            </w:pPr>
          </w:p>
        </w:tc>
        <w:tc>
          <w:tcPr>
            <w:tcW w:w="11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3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vMerge w:val="continue"/>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Herewith</w:t>
            </w:r>
          </w:p>
        </w:tc>
        <w:tc>
          <w:tcPr>
            <w:tcW w:w="110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440" w:type="dxa"/>
            <w:vAlign w:val="bottom"/>
            <w:tcBorders>
              <w:bottom w:val="single" w:sz="8" w:color="0000EE"/>
            </w:tcBorders>
            <w:gridSpan w:val="6"/>
          </w:tcPr>
          <w:p>
            <w:pPr>
              <w:spacing w:after="0" w:line="182"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Certification of Principal Executive Officer Pursuant to Rules</w:t>
              </w:r>
            </w:hyperlink>
          </w:p>
        </w:tc>
        <w:tc>
          <w:tcPr>
            <w:tcW w:w="320" w:type="dxa"/>
            <w:vAlign w:val="bottom"/>
            <w:gridSpan w:val="3"/>
          </w:tcPr>
          <w:p>
            <w:pPr>
              <w:spacing w:after="0"/>
              <w:rPr>
                <w:sz w:val="15"/>
                <w:szCs w:val="15"/>
                <w:color w:val="auto"/>
              </w:rPr>
            </w:pPr>
          </w:p>
        </w:tc>
        <w:tc>
          <w:tcPr>
            <w:tcW w:w="1000" w:type="dxa"/>
            <w:vAlign w:val="bottom"/>
          </w:tcPr>
          <w:p>
            <w:pPr>
              <w:jc w:val="center"/>
              <w:ind w:right="33"/>
              <w:spacing w:after="0" w:line="182" w:lineRule="exact"/>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13a-14(a) and 15d-14(a) under the Securities Exchange Act of</w:t>
              </w:r>
            </w:hyperlink>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1934, as Adopted Pursuant to Section 302 of the Sarbanes-</w:t>
              </w:r>
            </w:hyperlink>
          </w:p>
        </w:tc>
        <w:tc>
          <w:tcPr>
            <w:tcW w:w="240" w:type="dxa"/>
            <w:vAlign w:val="bottom"/>
            <w:tcBorders>
              <w:top w:val="single" w:sz="8" w:color="0000EE"/>
            </w:tcBorders>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Oxley Act of 2002.</w:t>
              </w:r>
            </w:hyperlink>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760" w:type="dxa"/>
            <w:vAlign w:val="bottom"/>
            <w:gridSpan w:val="9"/>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Certification of Principal Financial Officer Pursuant to Rules</w:t>
              </w:r>
            </w:hyperlink>
          </w:p>
        </w:tc>
        <w:tc>
          <w:tcPr>
            <w:tcW w:w="1000" w:type="dxa"/>
            <w:vAlign w:val="bottom"/>
          </w:tcPr>
          <w:p>
            <w:pPr>
              <w:jc w:val="center"/>
              <w:ind w:right="33"/>
              <w:spacing w:after="0" w:line="182" w:lineRule="exact"/>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13a-14(a) and 15d-14(a) under the Securities Exchange Act of</w:t>
              </w:r>
            </w:hyperlink>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1934, as Adopted Pursuant to Section 302 of the Sarbanes-</w:t>
              </w:r>
            </w:hyperlink>
          </w:p>
        </w:tc>
        <w:tc>
          <w:tcPr>
            <w:tcW w:w="240" w:type="dxa"/>
            <w:vAlign w:val="bottom"/>
            <w:tcBorders>
              <w:top w:val="single" w:sz="8" w:color="0000EE"/>
            </w:tcBorders>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Oxley Act of 2002.</w:t>
              </w:r>
            </w:hyperlink>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760" w:type="dxa"/>
            <w:vAlign w:val="bottom"/>
            <w:gridSpan w:val="9"/>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Certification of Principal Executive Officer Pursuant to 18</w:t>
              </w:r>
            </w:hyperlink>
          </w:p>
        </w:tc>
        <w:tc>
          <w:tcPr>
            <w:tcW w:w="1000" w:type="dxa"/>
            <w:vAlign w:val="bottom"/>
          </w:tcPr>
          <w:p>
            <w:pPr>
              <w:jc w:val="center"/>
              <w:ind w:right="33"/>
              <w:spacing w:after="0" w:line="182" w:lineRule="exact"/>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U.S.C. Section 1350, as Adopted Pursuant to Section 906 of the</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Sarbanes-Oxley Act of 2002.</w:t>
              </w:r>
            </w:hyperlink>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200" w:type="dxa"/>
            <w:vAlign w:val="bottom"/>
            <w:tcBorders>
              <w:bottom w:val="single" w:sz="8" w:color="0000EE"/>
            </w:tcBorders>
            <w:gridSpan w:val="3"/>
          </w:tcPr>
          <w:p>
            <w:pPr>
              <w:spacing w:after="0" w:line="182"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Principal Financial Officer Pursuant to 18</w:t>
              </w:r>
            </w:hyperlink>
          </w:p>
        </w:tc>
        <w:tc>
          <w:tcPr>
            <w:tcW w:w="560" w:type="dxa"/>
            <w:vAlign w:val="bottom"/>
            <w:gridSpan w:val="6"/>
          </w:tcPr>
          <w:p>
            <w:pPr>
              <w:spacing w:after="0"/>
              <w:rPr>
                <w:sz w:val="15"/>
                <w:szCs w:val="15"/>
                <w:color w:val="auto"/>
              </w:rPr>
            </w:pPr>
          </w:p>
        </w:tc>
        <w:tc>
          <w:tcPr>
            <w:tcW w:w="1000" w:type="dxa"/>
            <w:vAlign w:val="bottom"/>
          </w:tcPr>
          <w:p>
            <w:pPr>
              <w:jc w:val="center"/>
              <w:ind w:right="33"/>
              <w:spacing w:after="0" w:line="182" w:lineRule="exact"/>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U.S.C. Section 1350, as Adopted Pursuant to Section 906 of the</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Sarbanes-Oxley Act of 2002.</w:t>
              </w:r>
            </w:hyperlink>
          </w:p>
        </w:tc>
        <w:tc>
          <w:tcPr>
            <w:tcW w:w="2660" w:type="dxa"/>
            <w:vAlign w:val="bottom"/>
            <w:gridSpan w:val="7"/>
          </w:tcPr>
          <w:p>
            <w:pPr>
              <w:spacing w:after="0"/>
              <w:rPr>
                <w:sz w:val="17"/>
                <w:szCs w:val="17"/>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7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10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7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760" w:type="dxa"/>
            <w:vAlign w:val="bottom"/>
            <w:gridSpan w:val="9"/>
          </w:tcPr>
          <w:p>
            <w:pPr>
              <w:spacing w:after="0"/>
              <w:rPr>
                <w:sz w:val="20"/>
                <w:szCs w:val="20"/>
                <w:color w:val="auto"/>
              </w:rPr>
            </w:pPr>
            <w:r>
              <w:rPr>
                <w:rFonts w:ascii="Arial" w:cs="Arial" w:eastAsia="Arial" w:hAnsi="Arial"/>
                <w:sz w:val="18"/>
                <w:szCs w:val="18"/>
                <w:color w:val="auto"/>
                <w:w w:val="98"/>
              </w:rPr>
              <w:t>XBRL Taxonomy Extension Calculation Linkbase Document.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47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7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760" w:type="dxa"/>
            <w:vAlign w:val="bottom"/>
            <w:gridSpan w:val="9"/>
          </w:tcPr>
          <w:p>
            <w:pPr>
              <w:spacing w:after="0"/>
              <w:rPr>
                <w:sz w:val="20"/>
                <w:szCs w:val="20"/>
                <w:color w:val="auto"/>
              </w:rPr>
            </w:pPr>
            <w:r>
              <w:rPr>
                <w:rFonts w:ascii="Arial" w:cs="Arial" w:eastAsia="Arial" w:hAnsi="Arial"/>
                <w:sz w:val="18"/>
                <w:szCs w:val="18"/>
                <w:color w:val="auto"/>
                <w:w w:val="95"/>
              </w:rPr>
              <w:t>XBRL Taxonomy Extension Presentation Linkbase Document.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right="20" w:hanging="492"/>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20"/>
              <w:spacing w:after="0"/>
              <w:rPr>
                <w:sz w:val="20"/>
                <w:szCs w:val="20"/>
                <w:color w:val="auto"/>
              </w:rPr>
            </w:pPr>
            <w:r>
              <w:rPr>
                <w:rFonts w:ascii="Arial" w:cs="Arial" w:eastAsia="Arial" w:hAnsi="Arial"/>
                <w:sz w:val="18"/>
                <w:szCs w:val="18"/>
                <w:color w:val="auto"/>
              </w:rPr>
              <w:t>May 17, 2021</w:t>
            </w: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ALX Oncology Holdings Inc.</w:t>
            </w:r>
          </w:p>
        </w:tc>
      </w:tr>
      <w:tr>
        <w:trPr>
          <w:trHeight w:val="429"/>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40" w:type="dxa"/>
            <w:vAlign w:val="bottom"/>
          </w:tcPr>
          <w:p>
            <w:pPr>
              <w:ind w:left="2100"/>
              <w:spacing w:after="0"/>
              <w:rPr>
                <w:sz w:val="20"/>
                <w:szCs w:val="20"/>
                <w:color w:val="auto"/>
              </w:rPr>
            </w:pPr>
            <w:r>
              <w:rPr>
                <w:rFonts w:ascii="Arial" w:cs="Arial" w:eastAsia="Arial" w:hAnsi="Arial"/>
                <w:sz w:val="16"/>
                <w:szCs w:val="16"/>
                <w:color w:val="auto"/>
              </w:rPr>
              <w:t>By:</w:t>
            </w:r>
          </w:p>
        </w:tc>
        <w:tc>
          <w:tcPr>
            <w:tcW w:w="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Jaume Pons</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Jaume Pons, Ph.D.</w:t>
            </w:r>
          </w:p>
        </w:tc>
      </w:tr>
      <w:tr>
        <w:trPr>
          <w:trHeight w:val="220"/>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President, Chief Executive Officer and Director</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20"/>
              <w:spacing w:after="0"/>
              <w:rPr>
                <w:sz w:val="20"/>
                <w:szCs w:val="20"/>
                <w:color w:val="auto"/>
              </w:rPr>
            </w:pPr>
            <w:r>
              <w:rPr>
                <w:rFonts w:ascii="Arial" w:cs="Arial" w:eastAsia="Arial" w:hAnsi="Arial"/>
                <w:sz w:val="18"/>
                <w:szCs w:val="18"/>
                <w:color w:val="auto"/>
              </w:rPr>
              <w:t>May 17, 2021</w:t>
            </w:r>
          </w:p>
        </w:tc>
        <w:tc>
          <w:tcPr>
            <w:tcW w:w="2540" w:type="dxa"/>
            <w:vAlign w:val="bottom"/>
          </w:tcPr>
          <w:p>
            <w:pPr>
              <w:ind w:left="2100"/>
              <w:spacing w:after="0"/>
              <w:rPr>
                <w:sz w:val="20"/>
                <w:szCs w:val="20"/>
                <w:color w:val="auto"/>
              </w:rPr>
            </w:pPr>
            <w:r>
              <w:rPr>
                <w:rFonts w:ascii="Arial" w:cs="Arial" w:eastAsia="Arial" w:hAnsi="Arial"/>
                <w:sz w:val="16"/>
                <w:szCs w:val="16"/>
                <w:color w:val="auto"/>
              </w:rPr>
              <w:t>By:</w:t>
            </w:r>
          </w:p>
        </w:tc>
        <w:tc>
          <w:tcPr>
            <w:tcW w:w="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Garcia</w:t>
            </w:r>
          </w:p>
        </w:tc>
      </w:tr>
      <w:tr>
        <w:trPr>
          <w:trHeight w:val="204"/>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Peter Garcia</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20"/>
              <w:spacing w:after="0"/>
              <w:rPr>
                <w:sz w:val="20"/>
                <w:szCs w:val="20"/>
                <w:color w:val="auto"/>
              </w:rPr>
            </w:pPr>
            <w:r>
              <w:rPr>
                <w:rFonts w:ascii="Arial" w:cs="Arial" w:eastAsia="Arial" w:hAnsi="Arial"/>
                <w:sz w:val="18"/>
                <w:szCs w:val="18"/>
                <w:color w:val="auto"/>
              </w:rPr>
              <w:t>May 17, 2021</w:t>
            </w:r>
          </w:p>
        </w:tc>
        <w:tc>
          <w:tcPr>
            <w:tcW w:w="2540" w:type="dxa"/>
            <w:vAlign w:val="bottom"/>
          </w:tcPr>
          <w:p>
            <w:pPr>
              <w:ind w:left="2100"/>
              <w:spacing w:after="0"/>
              <w:rPr>
                <w:sz w:val="20"/>
                <w:szCs w:val="20"/>
                <w:color w:val="auto"/>
              </w:rPr>
            </w:pPr>
            <w:r>
              <w:rPr>
                <w:rFonts w:ascii="Arial" w:cs="Arial" w:eastAsia="Arial" w:hAnsi="Arial"/>
                <w:sz w:val="16"/>
                <w:szCs w:val="16"/>
                <w:color w:val="auto"/>
              </w:rPr>
              <w:t>By:</w:t>
            </w:r>
          </w:p>
        </w:tc>
        <w:tc>
          <w:tcPr>
            <w:tcW w:w="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Shelly Pinto</w:t>
            </w:r>
          </w:p>
        </w:tc>
      </w:tr>
      <w:tr>
        <w:trPr>
          <w:trHeight w:val="203"/>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Shelly Pinto</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Vice President, Finance and Chief Accounting Officer</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Accounting Officer)</w:t>
            </w:r>
          </w:p>
        </w:tc>
      </w:tr>
      <w:tr>
        <w:trPr>
          <w:trHeight w:val="667"/>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40" w:type="dxa"/>
            <w:vAlign w:val="bottom"/>
          </w:tcPr>
          <w:p>
            <w:pPr>
              <w:jc w:val="right"/>
              <w:ind w:right="337"/>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March 31, 2021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80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March 31, 2021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798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2"/>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1)"/>
      <w:numFmt w:val="decimal"/>
      <w:start w:val="4"/>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lvl w:ilvl="1">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2021-05-17T23:31:26Z</dcterms:created>
  <dcterms:modified xsi:type="dcterms:W3CDTF">2021-05-17T23:31:26Z</dcterms:modified>
</cp:coreProperties>
</file>