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100330</wp:posOffset>
            </wp:positionH>
            <wp:positionV relativeFrom="page">
              <wp:posOffset>113030</wp:posOffset>
            </wp:positionV>
            <wp:extent cx="7570470" cy="9843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70470" cy="98437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 w:name="page2"/>
    <w:bookmarkEnd w:id="1"/>
    <w:p>
      <w:pPr>
        <w:spacing w:after="0"/>
        <w:rPr>
          <w:sz w:val="20"/>
          <w:szCs w:val="20"/>
          <w:color w:val="auto"/>
        </w:rPr>
      </w:pPr>
    </w:p>
    <w:p>
      <w:pPr>
        <w:sectPr>
          <w:pgSz w:w="12240" w:h="15840"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29"/>
          <w:szCs w:val="29"/>
          <w:b w:val="1"/>
          <w:bCs w:val="1"/>
          <w:color w:val="231F20"/>
        </w:rPr>
        <w:drawing>
          <wp:anchor simplePos="0" relativeHeight="251657728" behindDoc="1" locked="0" layoutInCell="0" allowOverlap="1">
            <wp:simplePos x="0" y="0"/>
            <wp:positionH relativeFrom="page">
              <wp:posOffset>542290</wp:posOffset>
            </wp:positionH>
            <wp:positionV relativeFrom="page">
              <wp:posOffset>764540</wp:posOffset>
            </wp:positionV>
            <wp:extent cx="66871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87185" cy="7620"/>
                    </a:xfrm>
                    <a:prstGeom prst="rect">
                      <a:avLst/>
                    </a:prstGeom>
                    <a:noFill/>
                  </pic:spPr>
                </pic:pic>
              </a:graphicData>
            </a:graphic>
          </wp:anchor>
        </w:drawing>
        <w:drawing>
          <wp:anchor simplePos="0" relativeHeight="251657728" behindDoc="1" locked="0" layoutInCell="0" allowOverlap="1">
            <wp:simplePos x="0" y="0"/>
            <wp:positionH relativeFrom="page">
              <wp:posOffset>542290</wp:posOffset>
            </wp:positionH>
            <wp:positionV relativeFrom="page">
              <wp:posOffset>776605</wp:posOffset>
            </wp:positionV>
            <wp:extent cx="66871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87185" cy="7620"/>
                    </a:xfrm>
                    <a:prstGeom prst="rect">
                      <a:avLst/>
                    </a:prstGeom>
                    <a:noFill/>
                  </pic:spPr>
                </pic:pic>
              </a:graphicData>
            </a:graphic>
          </wp:anchor>
        </w:drawing>
        <w:t>UNITED STATES</w:t>
      </w:r>
    </w:p>
    <w:p>
      <w:pPr>
        <w:jc w:val="center"/>
        <w:spacing w:after="0" w:line="223" w:lineRule="auto"/>
        <w:rPr>
          <w:sz w:val="20"/>
          <w:szCs w:val="20"/>
          <w:color w:val="auto"/>
        </w:rPr>
      </w:pPr>
      <w:r>
        <w:rPr>
          <w:rFonts w:ascii="Arial" w:cs="Arial" w:eastAsia="Arial" w:hAnsi="Arial"/>
          <w:sz w:val="29"/>
          <w:szCs w:val="29"/>
          <w:b w:val="1"/>
          <w:bCs w:val="1"/>
          <w:color w:val="231F20"/>
        </w:rPr>
        <w:t>SECURITIES AND EXCHANGE COMMISSION</w:t>
      </w:r>
    </w:p>
    <w:p>
      <w:pPr>
        <w:jc w:val="center"/>
        <w:spacing w:after="0" w:line="235" w:lineRule="auto"/>
        <w:rPr>
          <w:sz w:val="20"/>
          <w:szCs w:val="20"/>
          <w:color w:val="auto"/>
        </w:rPr>
      </w:pPr>
      <w:r>
        <w:rPr>
          <w:rFonts w:ascii="Arial" w:cs="Arial" w:eastAsia="Arial" w:hAnsi="Arial"/>
          <w:sz w:val="19"/>
          <w:szCs w:val="19"/>
          <w:b w:val="1"/>
          <w:bCs w:val="1"/>
          <w:color w:val="231F20"/>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2644775</wp:posOffset>
            </wp:positionH>
            <wp:positionV relativeFrom="paragraph">
              <wp:posOffset>36830</wp:posOffset>
            </wp:positionV>
            <wp:extent cx="136525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65250" cy="7620"/>
                    </a:xfrm>
                    <a:prstGeom prst="rect">
                      <a:avLst/>
                    </a:prstGeom>
                    <a:noFill/>
                  </pic:spPr>
                </pic:pic>
              </a:graphicData>
            </a:graphic>
          </wp:anchor>
        </w:drawing>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35"/>
          <w:szCs w:val="35"/>
          <w:b w:val="1"/>
          <w:bCs w:val="1"/>
          <w:color w:val="231F20"/>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2644775</wp:posOffset>
            </wp:positionH>
            <wp:positionV relativeFrom="paragraph">
              <wp:posOffset>34290</wp:posOffset>
            </wp:positionV>
            <wp:extent cx="136525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5250" cy="7620"/>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(Mark One)</w:t>
      </w:r>
    </w:p>
    <w:p>
      <w:pPr>
        <w:ind w:left="420"/>
        <w:spacing w:after="0" w:line="223" w:lineRule="auto"/>
        <w:rPr>
          <w:sz w:val="20"/>
          <w:szCs w:val="20"/>
          <w:color w:val="auto"/>
        </w:rPr>
      </w:pPr>
      <w:r>
        <w:rPr>
          <w:rFonts w:ascii="Arial" w:cs="Arial" w:eastAsia="Arial" w:hAnsi="Arial"/>
          <w:sz w:val="16"/>
          <w:szCs w:val="16"/>
          <w:b w:val="1"/>
          <w:bCs w:val="1"/>
          <w:color w:val="231F20"/>
        </w:rPr>
        <w:t>ANNUAL REPORT PURSUANT TO SECTION 13 OR 15(d)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90170" cy="952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0170" cy="95250"/>
                    </a:xfrm>
                    <a:prstGeom prst="rect">
                      <a:avLst/>
                    </a:prstGeom>
                    <a:noFill/>
                  </pic:spPr>
                </pic:pic>
              </a:graphicData>
            </a:graphic>
          </wp:anchor>
        </w:drawing>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For the fiscal year ended December 31, 2024</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OR</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231F20"/>
        </w:rPr>
        <w:t>TRANSITION REPORT PURSUANT TO SECTION 13 OR 15(d) OF THE SECURITIES EXCHANGE ACT OF 1934 FOR THE TRANSITION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-73025</wp:posOffset>
            </wp:positionV>
            <wp:extent cx="90170" cy="952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0170" cy="95250"/>
                    </a:xfrm>
                    <a:prstGeom prst="rect">
                      <a:avLst/>
                    </a:prstGeom>
                    <a:noFill/>
                  </pic:spPr>
                </pic:pic>
              </a:graphicData>
            </a:graphic>
          </wp:anchor>
        </w:drawing>
      </w:r>
    </w:p>
    <w:tbl>
      <w:tblPr>
        <w:tblLayout w:type="fixed"/>
        <w:tblInd w:w="420" w:type="dxa"/>
        <w:tblCellMar>
          <w:top w:w="0" w:type="dxa"/>
          <w:left w:w="0" w:type="dxa"/>
          <w:bottom w:w="0" w:type="dxa"/>
          <w:right w:w="0" w:type="dxa"/>
        </w:tblCellMar>
      </w:tblPr>
      <w:tr>
        <w:trPr>
          <w:trHeight w:val="171"/>
        </w:trPr>
        <w:tc>
          <w:tcPr>
            <w:tcW w:w="1160" w:type="dxa"/>
            <w:vAlign w:val="bottom"/>
          </w:tcPr>
          <w:p>
            <w:pPr>
              <w:spacing w:after="0" w:line="171" w:lineRule="exact"/>
              <w:rPr>
                <w:sz w:val="20"/>
                <w:szCs w:val="20"/>
                <w:color w:val="auto"/>
              </w:rPr>
            </w:pPr>
            <w:r>
              <w:rPr>
                <w:rFonts w:ascii="Arial" w:cs="Arial" w:eastAsia="Arial" w:hAnsi="Arial"/>
                <w:sz w:val="16"/>
                <w:szCs w:val="16"/>
                <w:b w:val="1"/>
                <w:bCs w:val="1"/>
                <w:color w:val="231F20"/>
              </w:rPr>
              <w:t>PERIOD FROM</w:t>
            </w:r>
          </w:p>
        </w:tc>
        <w:tc>
          <w:tcPr>
            <w:tcW w:w="5460" w:type="dxa"/>
            <w:vAlign w:val="bottom"/>
            <w:gridSpan w:val="3"/>
          </w:tcPr>
          <w:p>
            <w:pPr>
              <w:ind w:left="820"/>
              <w:spacing w:after="0" w:line="171" w:lineRule="exact"/>
              <w:rPr>
                <w:sz w:val="20"/>
                <w:szCs w:val="20"/>
                <w:color w:val="auto"/>
              </w:rPr>
            </w:pPr>
            <w:r>
              <w:rPr>
                <w:rFonts w:ascii="Arial" w:cs="Arial" w:eastAsia="Arial" w:hAnsi="Arial"/>
                <w:sz w:val="16"/>
                <w:szCs w:val="16"/>
                <w:b w:val="1"/>
                <w:bCs w:val="1"/>
                <w:color w:val="231F20"/>
              </w:rPr>
              <w:t>TO</w:t>
            </w:r>
          </w:p>
        </w:tc>
        <w:tc>
          <w:tcPr>
            <w:tcW w:w="1420" w:type="dxa"/>
            <w:vAlign w:val="bottom"/>
          </w:tcPr>
          <w:p>
            <w:pPr>
              <w:spacing w:after="0"/>
              <w:rPr>
                <w:sz w:val="14"/>
                <w:szCs w:val="14"/>
                <w:color w:val="auto"/>
              </w:rPr>
            </w:pPr>
          </w:p>
        </w:tc>
      </w:tr>
      <w:tr>
        <w:trPr>
          <w:trHeight w:val="243"/>
        </w:trPr>
        <w:tc>
          <w:tcPr>
            <w:tcW w:w="1160" w:type="dxa"/>
            <w:vAlign w:val="bottom"/>
          </w:tcPr>
          <w:p>
            <w:pPr>
              <w:spacing w:after="0"/>
              <w:rPr>
                <w:sz w:val="21"/>
                <w:szCs w:val="21"/>
                <w:color w:val="auto"/>
              </w:rPr>
            </w:pPr>
          </w:p>
        </w:tc>
        <w:tc>
          <w:tcPr>
            <w:tcW w:w="5460" w:type="dxa"/>
            <w:vAlign w:val="bottom"/>
            <w:gridSpan w:val="3"/>
          </w:tcPr>
          <w:p>
            <w:pPr>
              <w:jc w:val="center"/>
              <w:ind w:left="1770"/>
              <w:spacing w:after="0"/>
              <w:rPr>
                <w:sz w:val="20"/>
                <w:szCs w:val="20"/>
                <w:color w:val="auto"/>
              </w:rPr>
            </w:pPr>
            <w:r>
              <w:rPr>
                <w:rFonts w:ascii="Arial" w:cs="Arial" w:eastAsia="Arial" w:hAnsi="Arial"/>
                <w:sz w:val="19"/>
                <w:szCs w:val="19"/>
                <w:b w:val="1"/>
                <w:bCs w:val="1"/>
                <w:color w:val="231F20"/>
                <w:w w:val="92"/>
              </w:rPr>
              <w:t>Commission File Number 001-39386</w:t>
            </w:r>
          </w:p>
        </w:tc>
        <w:tc>
          <w:tcPr>
            <w:tcW w:w="1420" w:type="dxa"/>
            <w:vAlign w:val="bottom"/>
          </w:tcPr>
          <w:p>
            <w:pPr>
              <w:spacing w:after="0"/>
              <w:rPr>
                <w:sz w:val="21"/>
                <w:szCs w:val="21"/>
                <w:color w:val="auto"/>
              </w:rPr>
            </w:pPr>
          </w:p>
        </w:tc>
      </w:tr>
      <w:tr>
        <w:trPr>
          <w:trHeight w:val="60"/>
        </w:trPr>
        <w:tc>
          <w:tcPr>
            <w:tcW w:w="1160" w:type="dxa"/>
            <w:vAlign w:val="bottom"/>
          </w:tcPr>
          <w:p>
            <w:pPr>
              <w:spacing w:after="0"/>
              <w:rPr>
                <w:sz w:val="5"/>
                <w:szCs w:val="5"/>
                <w:color w:val="auto"/>
              </w:rPr>
            </w:pPr>
          </w:p>
        </w:tc>
        <w:tc>
          <w:tcPr>
            <w:tcW w:w="2580" w:type="dxa"/>
            <w:vAlign w:val="bottom"/>
          </w:tcPr>
          <w:p>
            <w:pPr>
              <w:spacing w:after="0"/>
              <w:rPr>
                <w:sz w:val="5"/>
                <w:szCs w:val="5"/>
                <w:color w:val="auto"/>
              </w:rPr>
            </w:pPr>
          </w:p>
        </w:tc>
        <w:tc>
          <w:tcPr>
            <w:tcW w:w="2160" w:type="dxa"/>
            <w:vAlign w:val="bottom"/>
            <w:tcBorders>
              <w:bottom w:val="single" w:sz="8" w:color="231F20"/>
            </w:tcBorders>
          </w:tcPr>
          <w:p>
            <w:pPr>
              <w:spacing w:after="0"/>
              <w:rPr>
                <w:sz w:val="5"/>
                <w:szCs w:val="5"/>
                <w:color w:val="auto"/>
              </w:rPr>
            </w:pPr>
          </w:p>
        </w:tc>
        <w:tc>
          <w:tcPr>
            <w:tcW w:w="720" w:type="dxa"/>
            <w:vAlign w:val="bottom"/>
          </w:tcPr>
          <w:p>
            <w:pPr>
              <w:spacing w:after="0"/>
              <w:rPr>
                <w:sz w:val="5"/>
                <w:szCs w:val="5"/>
                <w:color w:val="auto"/>
              </w:rPr>
            </w:pPr>
          </w:p>
        </w:tc>
        <w:tc>
          <w:tcPr>
            <w:tcW w:w="1420" w:type="dxa"/>
            <w:vAlign w:val="bottom"/>
          </w:tcPr>
          <w:p>
            <w:pPr>
              <w:spacing w:after="0"/>
              <w:rPr>
                <w:sz w:val="5"/>
                <w:szCs w:val="5"/>
                <w:color w:val="auto"/>
              </w:rPr>
            </w:pPr>
          </w:p>
        </w:tc>
      </w:tr>
      <w:tr>
        <w:trPr>
          <w:trHeight w:val="228"/>
        </w:trPr>
        <w:tc>
          <w:tcPr>
            <w:tcW w:w="1160" w:type="dxa"/>
            <w:vAlign w:val="bottom"/>
          </w:tcPr>
          <w:p>
            <w:pPr>
              <w:spacing w:after="0"/>
              <w:rPr>
                <w:sz w:val="19"/>
                <w:szCs w:val="19"/>
                <w:color w:val="auto"/>
              </w:rPr>
            </w:pPr>
          </w:p>
        </w:tc>
        <w:tc>
          <w:tcPr>
            <w:tcW w:w="5460" w:type="dxa"/>
            <w:vAlign w:val="bottom"/>
            <w:gridSpan w:val="3"/>
          </w:tcPr>
          <w:p>
            <w:pPr>
              <w:jc w:val="center"/>
              <w:ind w:left="1770"/>
              <w:spacing w:after="0"/>
              <w:rPr>
                <w:sz w:val="20"/>
                <w:szCs w:val="20"/>
                <w:color w:val="auto"/>
              </w:rPr>
            </w:pPr>
            <w:r>
              <w:rPr>
                <w:rFonts w:ascii="Arial" w:cs="Arial" w:eastAsia="Arial" w:hAnsi="Arial"/>
                <w:sz w:val="19"/>
                <w:szCs w:val="19"/>
                <w:b w:val="1"/>
                <w:bCs w:val="1"/>
                <w:color w:val="231F20"/>
              </w:rPr>
              <w:t>ALX ONCOLOGY HOLDINGS INC.</w:t>
            </w:r>
          </w:p>
        </w:tc>
        <w:tc>
          <w:tcPr>
            <w:tcW w:w="1420" w:type="dxa"/>
            <w:vAlign w:val="bottom"/>
          </w:tcPr>
          <w:p>
            <w:pPr>
              <w:spacing w:after="0"/>
              <w:rPr>
                <w:sz w:val="19"/>
                <w:szCs w:val="19"/>
                <w:color w:val="auto"/>
              </w:rPr>
            </w:pPr>
          </w:p>
        </w:tc>
      </w:tr>
      <w:tr>
        <w:trPr>
          <w:trHeight w:val="213"/>
        </w:trPr>
        <w:tc>
          <w:tcPr>
            <w:tcW w:w="1160" w:type="dxa"/>
            <w:vAlign w:val="bottom"/>
          </w:tcPr>
          <w:p>
            <w:pPr>
              <w:spacing w:after="0"/>
              <w:rPr>
                <w:sz w:val="18"/>
                <w:szCs w:val="18"/>
                <w:color w:val="auto"/>
              </w:rPr>
            </w:pPr>
          </w:p>
        </w:tc>
        <w:tc>
          <w:tcPr>
            <w:tcW w:w="6880" w:type="dxa"/>
            <w:vAlign w:val="bottom"/>
            <w:gridSpan w:val="4"/>
          </w:tcPr>
          <w:p>
            <w:pPr>
              <w:jc w:val="center"/>
              <w:ind w:left="350"/>
              <w:spacing w:after="0" w:line="214" w:lineRule="exact"/>
              <w:rPr>
                <w:sz w:val="20"/>
                <w:szCs w:val="20"/>
                <w:color w:val="auto"/>
              </w:rPr>
            </w:pPr>
            <w:r>
              <w:rPr>
                <w:rFonts w:ascii="Arial" w:cs="Arial" w:eastAsia="Arial" w:hAnsi="Arial"/>
                <w:sz w:val="19"/>
                <w:szCs w:val="19"/>
                <w:b w:val="1"/>
                <w:bCs w:val="1"/>
                <w:color w:val="231F20"/>
                <w:w w:val="91"/>
              </w:rPr>
              <w:t>(Exact name of registrant as specified in its charter)</w:t>
            </w:r>
          </w:p>
        </w:tc>
      </w:tr>
      <w:tr>
        <w:trPr>
          <w:trHeight w:val="57"/>
        </w:trPr>
        <w:tc>
          <w:tcPr>
            <w:tcW w:w="1160" w:type="dxa"/>
            <w:vAlign w:val="bottom"/>
          </w:tcPr>
          <w:p>
            <w:pPr>
              <w:spacing w:after="0"/>
              <w:rPr>
                <w:sz w:val="4"/>
                <w:szCs w:val="4"/>
                <w:color w:val="auto"/>
              </w:rPr>
            </w:pPr>
          </w:p>
        </w:tc>
        <w:tc>
          <w:tcPr>
            <w:tcW w:w="2580" w:type="dxa"/>
            <w:vAlign w:val="bottom"/>
          </w:tcPr>
          <w:p>
            <w:pPr>
              <w:spacing w:after="0"/>
              <w:rPr>
                <w:sz w:val="4"/>
                <w:szCs w:val="4"/>
                <w:color w:val="auto"/>
              </w:rPr>
            </w:pPr>
          </w:p>
        </w:tc>
        <w:tc>
          <w:tcPr>
            <w:tcW w:w="2160" w:type="dxa"/>
            <w:vAlign w:val="bottom"/>
            <w:tcBorders>
              <w:bottom w:val="single" w:sz="8" w:color="231F20"/>
            </w:tcBorders>
          </w:tcPr>
          <w:p>
            <w:pPr>
              <w:spacing w:after="0"/>
              <w:rPr>
                <w:sz w:val="4"/>
                <w:szCs w:val="4"/>
                <w:color w:val="auto"/>
              </w:rPr>
            </w:pPr>
          </w:p>
        </w:tc>
        <w:tc>
          <w:tcPr>
            <w:tcW w:w="72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33"/>
        </w:trPr>
        <w:tc>
          <w:tcPr>
            <w:tcW w:w="1160" w:type="dxa"/>
            <w:vAlign w:val="bottom"/>
          </w:tcPr>
          <w:p>
            <w:pPr>
              <w:spacing w:after="0"/>
              <w:rPr>
                <w:sz w:val="20"/>
                <w:szCs w:val="20"/>
                <w:color w:val="auto"/>
              </w:rPr>
            </w:pPr>
          </w:p>
        </w:tc>
        <w:tc>
          <w:tcPr>
            <w:tcW w:w="5460" w:type="dxa"/>
            <w:vAlign w:val="bottom"/>
            <w:gridSpan w:val="3"/>
          </w:tcPr>
          <w:p>
            <w:pPr>
              <w:jc w:val="center"/>
              <w:ind w:right="3380"/>
              <w:spacing w:after="0"/>
              <w:rPr>
                <w:sz w:val="20"/>
                <w:szCs w:val="20"/>
                <w:color w:val="auto"/>
              </w:rPr>
            </w:pPr>
            <w:r>
              <w:rPr>
                <w:rFonts w:ascii="Arial" w:cs="Arial" w:eastAsia="Arial" w:hAnsi="Arial"/>
                <w:sz w:val="19"/>
                <w:szCs w:val="19"/>
                <w:b w:val="1"/>
                <w:bCs w:val="1"/>
                <w:color w:val="231F20"/>
                <w:w w:val="95"/>
              </w:rPr>
              <w:t>Delaware</w:t>
            </w:r>
          </w:p>
        </w:tc>
        <w:tc>
          <w:tcPr>
            <w:tcW w:w="1420" w:type="dxa"/>
            <w:vAlign w:val="bottom"/>
          </w:tcPr>
          <w:p>
            <w:pPr>
              <w:jc w:val="right"/>
              <w:ind w:right="54"/>
              <w:spacing w:after="0"/>
              <w:rPr>
                <w:sz w:val="20"/>
                <w:szCs w:val="20"/>
                <w:color w:val="auto"/>
              </w:rPr>
            </w:pPr>
            <w:r>
              <w:rPr>
                <w:rFonts w:ascii="Arial" w:cs="Arial" w:eastAsia="Arial" w:hAnsi="Arial"/>
                <w:sz w:val="19"/>
                <w:szCs w:val="19"/>
                <w:b w:val="1"/>
                <w:bCs w:val="1"/>
                <w:color w:val="231F20"/>
              </w:rPr>
              <w:t>85-0642577</w:t>
            </w:r>
          </w:p>
        </w:tc>
      </w:tr>
      <w:tr>
        <w:trPr>
          <w:trHeight w:val="163"/>
        </w:trPr>
        <w:tc>
          <w:tcPr>
            <w:tcW w:w="1160" w:type="dxa"/>
            <w:vAlign w:val="bottom"/>
          </w:tcPr>
          <w:p>
            <w:pPr>
              <w:spacing w:after="0"/>
              <w:rPr>
                <w:sz w:val="14"/>
                <w:szCs w:val="14"/>
                <w:color w:val="auto"/>
              </w:rPr>
            </w:pPr>
          </w:p>
        </w:tc>
        <w:tc>
          <w:tcPr>
            <w:tcW w:w="5460" w:type="dxa"/>
            <w:vAlign w:val="bottom"/>
            <w:gridSpan w:val="3"/>
          </w:tcPr>
          <w:p>
            <w:pPr>
              <w:jc w:val="center"/>
              <w:ind w:right="3360"/>
              <w:spacing w:after="0" w:line="163" w:lineRule="exact"/>
              <w:rPr>
                <w:sz w:val="20"/>
                <w:szCs w:val="20"/>
                <w:color w:val="auto"/>
              </w:rPr>
            </w:pPr>
            <w:r>
              <w:rPr>
                <w:rFonts w:ascii="Arial" w:cs="Arial" w:eastAsia="Arial" w:hAnsi="Arial"/>
                <w:sz w:val="16"/>
                <w:szCs w:val="16"/>
                <w:b w:val="1"/>
                <w:bCs w:val="1"/>
                <w:color w:val="231F20"/>
                <w:w w:val="88"/>
              </w:rPr>
              <w:t>(State or other jurisdiction of</w:t>
            </w:r>
          </w:p>
        </w:tc>
        <w:tc>
          <w:tcPr>
            <w:tcW w:w="1420" w:type="dxa"/>
            <w:vAlign w:val="bottom"/>
          </w:tcPr>
          <w:p>
            <w:pPr>
              <w:jc w:val="center"/>
              <w:ind w:left="134"/>
              <w:spacing w:after="0" w:line="163" w:lineRule="exact"/>
              <w:rPr>
                <w:sz w:val="20"/>
                <w:szCs w:val="20"/>
                <w:color w:val="auto"/>
              </w:rPr>
            </w:pPr>
            <w:r>
              <w:rPr>
                <w:rFonts w:ascii="Arial" w:cs="Arial" w:eastAsia="Arial" w:hAnsi="Arial"/>
                <w:sz w:val="16"/>
                <w:szCs w:val="16"/>
                <w:b w:val="1"/>
                <w:bCs w:val="1"/>
                <w:color w:val="231F20"/>
                <w:w w:val="91"/>
              </w:rPr>
              <w:t>(I.R.S. Employer</w:t>
            </w:r>
          </w:p>
        </w:tc>
      </w:tr>
      <w:tr>
        <w:trPr>
          <w:trHeight w:val="171"/>
        </w:trPr>
        <w:tc>
          <w:tcPr>
            <w:tcW w:w="1160" w:type="dxa"/>
            <w:vAlign w:val="bottom"/>
          </w:tcPr>
          <w:p>
            <w:pPr>
              <w:spacing w:after="0"/>
              <w:rPr>
                <w:sz w:val="14"/>
                <w:szCs w:val="14"/>
                <w:color w:val="auto"/>
              </w:rPr>
            </w:pPr>
          </w:p>
        </w:tc>
        <w:tc>
          <w:tcPr>
            <w:tcW w:w="5460" w:type="dxa"/>
            <w:vAlign w:val="bottom"/>
            <w:gridSpan w:val="3"/>
          </w:tcPr>
          <w:p>
            <w:pPr>
              <w:jc w:val="center"/>
              <w:ind w:right="3380"/>
              <w:spacing w:after="0" w:line="171" w:lineRule="exact"/>
              <w:rPr>
                <w:sz w:val="20"/>
                <w:szCs w:val="20"/>
                <w:color w:val="auto"/>
              </w:rPr>
            </w:pPr>
            <w:r>
              <w:rPr>
                <w:rFonts w:ascii="Arial" w:cs="Arial" w:eastAsia="Arial" w:hAnsi="Arial"/>
                <w:sz w:val="16"/>
                <w:szCs w:val="16"/>
                <w:b w:val="1"/>
                <w:bCs w:val="1"/>
                <w:color w:val="231F20"/>
                <w:w w:val="89"/>
              </w:rPr>
              <w:t>incorporation or organization)</w:t>
            </w:r>
          </w:p>
        </w:tc>
        <w:tc>
          <w:tcPr>
            <w:tcW w:w="1420" w:type="dxa"/>
            <w:vAlign w:val="bottom"/>
          </w:tcPr>
          <w:p>
            <w:pPr>
              <w:jc w:val="center"/>
              <w:ind w:left="134"/>
              <w:spacing w:after="0" w:line="171" w:lineRule="exact"/>
              <w:rPr>
                <w:sz w:val="20"/>
                <w:szCs w:val="20"/>
                <w:color w:val="auto"/>
              </w:rPr>
            </w:pPr>
            <w:r>
              <w:rPr>
                <w:rFonts w:ascii="Arial" w:cs="Arial" w:eastAsia="Arial" w:hAnsi="Arial"/>
                <w:sz w:val="16"/>
                <w:szCs w:val="16"/>
                <w:b w:val="1"/>
                <w:bCs w:val="1"/>
                <w:color w:val="231F20"/>
                <w:w w:val="88"/>
              </w:rPr>
              <w:t>Identification No.)</w:t>
            </w:r>
          </w:p>
        </w:tc>
      </w:tr>
      <w:tr>
        <w:trPr>
          <w:trHeight w:val="246"/>
        </w:trPr>
        <w:tc>
          <w:tcPr>
            <w:tcW w:w="1160" w:type="dxa"/>
            <w:vAlign w:val="bottom"/>
          </w:tcPr>
          <w:p>
            <w:pPr>
              <w:spacing w:after="0"/>
              <w:rPr>
                <w:sz w:val="21"/>
                <w:szCs w:val="21"/>
                <w:color w:val="auto"/>
              </w:rPr>
            </w:pPr>
          </w:p>
        </w:tc>
        <w:tc>
          <w:tcPr>
            <w:tcW w:w="5460" w:type="dxa"/>
            <w:vAlign w:val="bottom"/>
            <w:gridSpan w:val="3"/>
          </w:tcPr>
          <w:p>
            <w:pPr>
              <w:jc w:val="center"/>
              <w:ind w:right="3380"/>
              <w:spacing w:after="0"/>
              <w:rPr>
                <w:sz w:val="20"/>
                <w:szCs w:val="20"/>
                <w:color w:val="auto"/>
              </w:rPr>
            </w:pPr>
            <w:r>
              <w:rPr>
                <w:rFonts w:ascii="Arial" w:cs="Arial" w:eastAsia="Arial" w:hAnsi="Arial"/>
                <w:sz w:val="19"/>
                <w:szCs w:val="19"/>
                <w:b w:val="1"/>
                <w:bCs w:val="1"/>
                <w:color w:val="231F20"/>
                <w:w w:val="94"/>
              </w:rPr>
              <w:t>323 Allerton Avenue</w:t>
            </w:r>
          </w:p>
        </w:tc>
        <w:tc>
          <w:tcPr>
            <w:tcW w:w="1420" w:type="dxa"/>
            <w:vAlign w:val="bottom"/>
          </w:tcPr>
          <w:p>
            <w:pPr>
              <w:spacing w:after="0"/>
              <w:rPr>
                <w:sz w:val="21"/>
                <w:szCs w:val="21"/>
                <w:color w:val="auto"/>
              </w:rPr>
            </w:pPr>
          </w:p>
        </w:tc>
      </w:tr>
      <w:tr>
        <w:trPr>
          <w:trHeight w:val="236"/>
        </w:trPr>
        <w:tc>
          <w:tcPr>
            <w:tcW w:w="6620" w:type="dxa"/>
            <w:vAlign w:val="bottom"/>
            <w:gridSpan w:val="4"/>
          </w:tcPr>
          <w:p>
            <w:pPr>
              <w:jc w:val="center"/>
              <w:ind w:right="2220"/>
              <w:spacing w:after="0"/>
              <w:rPr>
                <w:sz w:val="20"/>
                <w:szCs w:val="20"/>
                <w:color w:val="auto"/>
              </w:rPr>
            </w:pPr>
            <w:r>
              <w:rPr>
                <w:rFonts w:ascii="Arial" w:cs="Arial" w:eastAsia="Arial" w:hAnsi="Arial"/>
                <w:sz w:val="19"/>
                <w:szCs w:val="19"/>
                <w:b w:val="1"/>
                <w:bCs w:val="1"/>
                <w:color w:val="231F20"/>
                <w:w w:val="91"/>
              </w:rPr>
              <w:t>South San Francisco, California</w:t>
            </w:r>
          </w:p>
        </w:tc>
        <w:tc>
          <w:tcPr>
            <w:tcW w:w="1420" w:type="dxa"/>
            <w:vAlign w:val="bottom"/>
          </w:tcPr>
          <w:p>
            <w:pPr>
              <w:jc w:val="right"/>
              <w:ind w:right="274"/>
              <w:spacing w:after="0"/>
              <w:rPr>
                <w:sz w:val="20"/>
                <w:szCs w:val="20"/>
                <w:color w:val="auto"/>
              </w:rPr>
            </w:pPr>
            <w:r>
              <w:rPr>
                <w:rFonts w:ascii="Arial" w:cs="Arial" w:eastAsia="Arial" w:hAnsi="Arial"/>
                <w:sz w:val="19"/>
                <w:szCs w:val="19"/>
                <w:b w:val="1"/>
                <w:bCs w:val="1"/>
                <w:color w:val="231F20"/>
              </w:rPr>
              <w:t>94080</w:t>
            </w:r>
          </w:p>
        </w:tc>
      </w:tr>
      <w:tr>
        <w:trPr>
          <w:trHeight w:val="171"/>
        </w:trPr>
        <w:tc>
          <w:tcPr>
            <w:tcW w:w="6620" w:type="dxa"/>
            <w:vAlign w:val="bottom"/>
            <w:gridSpan w:val="4"/>
          </w:tcPr>
          <w:p>
            <w:pPr>
              <w:jc w:val="center"/>
              <w:ind w:right="2220"/>
              <w:spacing w:after="0" w:line="171" w:lineRule="exact"/>
              <w:rPr>
                <w:sz w:val="20"/>
                <w:szCs w:val="20"/>
                <w:color w:val="auto"/>
              </w:rPr>
            </w:pPr>
            <w:r>
              <w:rPr>
                <w:rFonts w:ascii="Arial" w:cs="Arial" w:eastAsia="Arial" w:hAnsi="Arial"/>
                <w:sz w:val="16"/>
                <w:szCs w:val="16"/>
                <w:b w:val="1"/>
                <w:bCs w:val="1"/>
                <w:color w:val="231F20"/>
                <w:w w:val="85"/>
              </w:rPr>
              <w:t>(Address of principal executive offices)</w:t>
            </w:r>
          </w:p>
        </w:tc>
        <w:tc>
          <w:tcPr>
            <w:tcW w:w="1420" w:type="dxa"/>
            <w:vAlign w:val="bottom"/>
          </w:tcPr>
          <w:p>
            <w:pPr>
              <w:jc w:val="center"/>
              <w:ind w:left="134"/>
              <w:spacing w:after="0" w:line="171" w:lineRule="exact"/>
              <w:rPr>
                <w:sz w:val="20"/>
                <w:szCs w:val="20"/>
                <w:color w:val="auto"/>
              </w:rPr>
            </w:pPr>
            <w:r>
              <w:rPr>
                <w:rFonts w:ascii="Arial" w:cs="Arial" w:eastAsia="Arial" w:hAnsi="Arial"/>
                <w:sz w:val="16"/>
                <w:szCs w:val="16"/>
                <w:b w:val="1"/>
                <w:bCs w:val="1"/>
                <w:color w:val="231F20"/>
                <w:w w:val="90"/>
              </w:rPr>
              <w:t>(Zip Code)</w:t>
            </w:r>
          </w:p>
        </w:tc>
      </w:tr>
    </w:tbl>
    <w:p>
      <w:pPr>
        <w:spacing w:after="0" w:line="15" w:lineRule="exact"/>
        <w:rPr>
          <w:sz w:val="20"/>
          <w:szCs w:val="20"/>
          <w:color w:val="auto"/>
        </w:rPr>
      </w:pPr>
    </w:p>
    <w:p>
      <w:pPr>
        <w:jc w:val="center"/>
        <w:spacing w:after="0" w:line="231" w:lineRule="exact"/>
        <w:rPr>
          <w:sz w:val="20"/>
          <w:szCs w:val="20"/>
          <w:color w:val="auto"/>
        </w:rPr>
      </w:pPr>
      <w:r>
        <w:rPr>
          <w:rFonts w:ascii="Arial" w:cs="Arial" w:eastAsia="Arial" w:hAnsi="Arial"/>
          <w:sz w:val="19"/>
          <w:szCs w:val="19"/>
          <w:b w:val="1"/>
          <w:bCs w:val="1"/>
          <w:color w:val="231F20"/>
        </w:rPr>
        <w:t>Registrant</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telephone number, including area code: 650-466-7125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2644775</wp:posOffset>
            </wp:positionH>
            <wp:positionV relativeFrom="paragraph">
              <wp:posOffset>36195</wp:posOffset>
            </wp:positionV>
            <wp:extent cx="13652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65250" cy="7620"/>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20"/>
                <w:szCs w:val="20"/>
                <w:color w:val="auto"/>
              </w:rPr>
            </w:pPr>
            <w:r>
              <w:rPr>
                <w:rFonts w:ascii="Arial" w:cs="Arial" w:eastAsia="Arial" w:hAnsi="Arial"/>
                <w:sz w:val="16"/>
                <w:szCs w:val="16"/>
                <w:b w:val="1"/>
                <w:bCs w:val="1"/>
                <w:color w:val="231F20"/>
                <w:w w:val="92"/>
              </w:rPr>
              <w:t>Securities registered pursuant to Section 12(b) of the Act:</w:t>
            </w:r>
          </w:p>
        </w:tc>
        <w:tc>
          <w:tcPr>
            <w:tcW w:w="1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80" w:type="dxa"/>
            <w:vAlign w:val="bottom"/>
          </w:tcPr>
          <w:p>
            <w:pPr>
              <w:spacing w:after="0"/>
              <w:rPr>
                <w:sz w:val="16"/>
                <w:szCs w:val="16"/>
                <w:color w:val="auto"/>
              </w:rPr>
            </w:pPr>
          </w:p>
        </w:tc>
      </w:tr>
      <w:tr>
        <w:trPr>
          <w:trHeight w:val="199"/>
        </w:trPr>
        <w:tc>
          <w:tcPr>
            <w:tcW w:w="4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Arial" w:cs="Arial" w:eastAsia="Arial" w:hAnsi="Arial"/>
                <w:sz w:val="16"/>
                <w:szCs w:val="16"/>
                <w:b w:val="1"/>
                <w:bCs w:val="1"/>
                <w:color w:val="231F20"/>
                <w:w w:val="95"/>
              </w:rPr>
              <w:t>Trading</w:t>
            </w:r>
          </w:p>
        </w:tc>
        <w:tc>
          <w:tcPr>
            <w:tcW w:w="120" w:type="dxa"/>
            <w:vAlign w:val="bottom"/>
          </w:tcPr>
          <w:p>
            <w:pPr>
              <w:spacing w:after="0"/>
              <w:rPr>
                <w:sz w:val="17"/>
                <w:szCs w:val="17"/>
                <w:color w:val="auto"/>
              </w:rPr>
            </w:pPr>
          </w:p>
        </w:tc>
        <w:tc>
          <w:tcPr>
            <w:tcW w:w="4080" w:type="dxa"/>
            <w:vAlign w:val="bottom"/>
          </w:tcPr>
          <w:p>
            <w:pPr>
              <w:spacing w:after="0"/>
              <w:rPr>
                <w:sz w:val="17"/>
                <w:szCs w:val="17"/>
                <w:color w:val="auto"/>
              </w:rPr>
            </w:pPr>
          </w:p>
        </w:tc>
      </w:tr>
      <w:tr>
        <w:trPr>
          <w:trHeight w:val="169"/>
        </w:trPr>
        <w:tc>
          <w:tcPr>
            <w:tcW w:w="4080" w:type="dxa"/>
            <w:vAlign w:val="bottom"/>
            <w:tcBorders>
              <w:bottom w:val="single" w:sz="8" w:color="231F20"/>
            </w:tcBorders>
          </w:tcPr>
          <w:p>
            <w:pPr>
              <w:jc w:val="center"/>
              <w:spacing w:after="0" w:line="169" w:lineRule="exact"/>
              <w:rPr>
                <w:sz w:val="20"/>
                <w:szCs w:val="20"/>
                <w:color w:val="auto"/>
              </w:rPr>
            </w:pPr>
            <w:r>
              <w:rPr>
                <w:rFonts w:ascii="Arial" w:cs="Arial" w:eastAsia="Arial" w:hAnsi="Arial"/>
                <w:sz w:val="16"/>
                <w:szCs w:val="16"/>
                <w:b w:val="1"/>
                <w:bCs w:val="1"/>
                <w:color w:val="231F20"/>
                <w:w w:val="84"/>
              </w:rPr>
              <w:t>Title of each class</w:t>
            </w:r>
          </w:p>
        </w:tc>
        <w:tc>
          <w:tcPr>
            <w:tcW w:w="120" w:type="dxa"/>
            <w:vAlign w:val="bottom"/>
          </w:tcPr>
          <w:p>
            <w:pPr>
              <w:spacing w:after="0"/>
              <w:rPr>
                <w:sz w:val="14"/>
                <w:szCs w:val="14"/>
                <w:color w:val="auto"/>
              </w:rPr>
            </w:pPr>
          </w:p>
        </w:tc>
        <w:tc>
          <w:tcPr>
            <w:tcW w:w="2080" w:type="dxa"/>
            <w:vAlign w:val="bottom"/>
            <w:tcBorders>
              <w:bottom w:val="single" w:sz="8" w:color="231F20"/>
            </w:tcBorders>
          </w:tcPr>
          <w:p>
            <w:pPr>
              <w:jc w:val="center"/>
              <w:spacing w:after="0" w:line="169" w:lineRule="exact"/>
              <w:rPr>
                <w:sz w:val="20"/>
                <w:szCs w:val="20"/>
                <w:color w:val="auto"/>
              </w:rPr>
            </w:pPr>
            <w:r>
              <w:rPr>
                <w:rFonts w:ascii="Arial" w:cs="Arial" w:eastAsia="Arial" w:hAnsi="Arial"/>
                <w:sz w:val="16"/>
                <w:szCs w:val="16"/>
                <w:b w:val="1"/>
                <w:bCs w:val="1"/>
                <w:color w:val="231F20"/>
                <w:w w:val="87"/>
              </w:rPr>
              <w:t>Symbol(s)</w:t>
            </w:r>
          </w:p>
        </w:tc>
        <w:tc>
          <w:tcPr>
            <w:tcW w:w="120" w:type="dxa"/>
            <w:vAlign w:val="bottom"/>
          </w:tcPr>
          <w:p>
            <w:pPr>
              <w:spacing w:after="0"/>
              <w:rPr>
                <w:sz w:val="14"/>
                <w:szCs w:val="14"/>
                <w:color w:val="auto"/>
              </w:rPr>
            </w:pPr>
          </w:p>
        </w:tc>
        <w:tc>
          <w:tcPr>
            <w:tcW w:w="4080" w:type="dxa"/>
            <w:vAlign w:val="bottom"/>
            <w:tcBorders>
              <w:bottom w:val="single" w:sz="8" w:color="231F20"/>
            </w:tcBorders>
          </w:tcPr>
          <w:p>
            <w:pPr>
              <w:jc w:val="center"/>
              <w:spacing w:after="0" w:line="169" w:lineRule="exact"/>
              <w:rPr>
                <w:sz w:val="20"/>
                <w:szCs w:val="20"/>
                <w:color w:val="auto"/>
              </w:rPr>
            </w:pPr>
            <w:r>
              <w:rPr>
                <w:rFonts w:ascii="Arial" w:cs="Arial" w:eastAsia="Arial" w:hAnsi="Arial"/>
                <w:sz w:val="16"/>
                <w:szCs w:val="16"/>
                <w:b w:val="1"/>
                <w:bCs w:val="1"/>
                <w:color w:val="231F20"/>
                <w:w w:val="85"/>
              </w:rPr>
              <w:t>Name of each exchange on which registered</w:t>
            </w:r>
          </w:p>
        </w:tc>
      </w:tr>
      <w:tr>
        <w:trPr>
          <w:trHeight w:val="163"/>
        </w:trPr>
        <w:tc>
          <w:tcPr>
            <w:tcW w:w="4080" w:type="dxa"/>
            <w:vAlign w:val="bottom"/>
          </w:tcPr>
          <w:p>
            <w:pPr>
              <w:jc w:val="center"/>
              <w:spacing w:after="0" w:line="163" w:lineRule="exact"/>
              <w:rPr>
                <w:sz w:val="20"/>
                <w:szCs w:val="20"/>
                <w:color w:val="auto"/>
              </w:rPr>
            </w:pPr>
            <w:r>
              <w:rPr>
                <w:rFonts w:ascii="Arial" w:cs="Arial" w:eastAsia="Arial" w:hAnsi="Arial"/>
                <w:sz w:val="16"/>
                <w:szCs w:val="16"/>
                <w:b w:val="1"/>
                <w:bCs w:val="1"/>
                <w:color w:val="231F20"/>
                <w:w w:val="82"/>
              </w:rPr>
              <w:t>Common Stock, par value $0.001 per share</w:t>
            </w:r>
          </w:p>
        </w:tc>
        <w:tc>
          <w:tcPr>
            <w:tcW w:w="120" w:type="dxa"/>
            <w:vAlign w:val="bottom"/>
          </w:tcPr>
          <w:p>
            <w:pPr>
              <w:spacing w:after="0"/>
              <w:rPr>
                <w:sz w:val="14"/>
                <w:szCs w:val="14"/>
                <w:color w:val="auto"/>
              </w:rPr>
            </w:pPr>
          </w:p>
        </w:tc>
        <w:tc>
          <w:tcPr>
            <w:tcW w:w="2080" w:type="dxa"/>
            <w:vAlign w:val="bottom"/>
          </w:tcPr>
          <w:p>
            <w:pPr>
              <w:jc w:val="center"/>
              <w:spacing w:after="0" w:line="163" w:lineRule="exact"/>
              <w:rPr>
                <w:sz w:val="20"/>
                <w:szCs w:val="20"/>
                <w:color w:val="auto"/>
              </w:rPr>
            </w:pPr>
            <w:r>
              <w:rPr>
                <w:rFonts w:ascii="Arial" w:cs="Arial" w:eastAsia="Arial" w:hAnsi="Arial"/>
                <w:sz w:val="16"/>
                <w:szCs w:val="16"/>
                <w:b w:val="1"/>
                <w:bCs w:val="1"/>
                <w:color w:val="231F20"/>
                <w:w w:val="98"/>
              </w:rPr>
              <w:t>ALXO</w:t>
            </w:r>
          </w:p>
        </w:tc>
        <w:tc>
          <w:tcPr>
            <w:tcW w:w="120" w:type="dxa"/>
            <w:vAlign w:val="bottom"/>
          </w:tcPr>
          <w:p>
            <w:pPr>
              <w:spacing w:after="0"/>
              <w:rPr>
                <w:sz w:val="14"/>
                <w:szCs w:val="14"/>
                <w:color w:val="auto"/>
              </w:rPr>
            </w:pPr>
          </w:p>
        </w:tc>
        <w:tc>
          <w:tcPr>
            <w:tcW w:w="4080" w:type="dxa"/>
            <w:vAlign w:val="bottom"/>
          </w:tcPr>
          <w:p>
            <w:pPr>
              <w:jc w:val="center"/>
              <w:spacing w:after="0" w:line="163" w:lineRule="exact"/>
              <w:rPr>
                <w:sz w:val="20"/>
                <w:szCs w:val="20"/>
                <w:color w:val="auto"/>
              </w:rPr>
            </w:pPr>
            <w:r>
              <w:rPr>
                <w:rFonts w:ascii="Arial" w:cs="Arial" w:eastAsia="Arial" w:hAnsi="Arial"/>
                <w:sz w:val="16"/>
                <w:szCs w:val="16"/>
                <w:b w:val="1"/>
                <w:bCs w:val="1"/>
                <w:color w:val="231F20"/>
                <w:w w:val="83"/>
              </w:rPr>
              <w:t>The Nasdaq Global Select Market</w:t>
            </w:r>
          </w:p>
        </w:tc>
      </w:tr>
      <w:tr>
        <w:trPr>
          <w:trHeight w:val="196"/>
        </w:trPr>
        <w:tc>
          <w:tcPr>
            <w:tcW w:w="4080" w:type="dxa"/>
            <w:vAlign w:val="bottom"/>
          </w:tcPr>
          <w:p>
            <w:pPr>
              <w:spacing w:after="0"/>
              <w:rPr>
                <w:sz w:val="20"/>
                <w:szCs w:val="20"/>
                <w:color w:val="auto"/>
              </w:rPr>
            </w:pPr>
            <w:r>
              <w:rPr>
                <w:rFonts w:ascii="Arial" w:cs="Arial" w:eastAsia="Arial" w:hAnsi="Arial"/>
                <w:sz w:val="16"/>
                <w:szCs w:val="16"/>
                <w:b w:val="1"/>
                <w:bCs w:val="1"/>
                <w:color w:val="231F20"/>
                <w:w w:val="83"/>
              </w:rPr>
              <w:t>Securities registered pursuant to Section 12(g) of the Act: None</w:t>
            </w:r>
          </w:p>
        </w:tc>
        <w:tc>
          <w:tcPr>
            <w:tcW w:w="1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80" w:type="dxa"/>
            <w:vAlign w:val="bottom"/>
          </w:tcPr>
          <w:p>
            <w:pPr>
              <w:spacing w:after="0"/>
              <w:rPr>
                <w:sz w:val="17"/>
                <w:szCs w:val="17"/>
                <w:color w:val="auto"/>
              </w:rPr>
            </w:pPr>
          </w:p>
        </w:tc>
      </w:tr>
    </w:tbl>
    <w:p>
      <w:pPr>
        <w:spacing w:after="0" w:line="52" w:lineRule="exact"/>
        <w:rPr>
          <w:sz w:val="20"/>
          <w:szCs w:val="20"/>
          <w:color w:val="auto"/>
        </w:rPr>
      </w:pPr>
    </w:p>
    <w:p>
      <w:pPr>
        <w:ind w:right="2240"/>
        <w:spacing w:after="0" w:line="304" w:lineRule="auto"/>
        <w:rPr>
          <w:sz w:val="20"/>
          <w:szCs w:val="20"/>
          <w:color w:val="auto"/>
        </w:rPr>
      </w:pPr>
      <w:r>
        <w:rPr>
          <w:rFonts w:ascii="Arial" w:cs="Arial" w:eastAsia="Arial" w:hAnsi="Arial"/>
          <w:sz w:val="13"/>
          <w:szCs w:val="13"/>
          <w:b w:val="1"/>
          <w:bCs w:val="1"/>
          <w:color w:val="231F20"/>
        </w:rPr>
        <w:t xml:space="preserve">Indicate by check mark if the registrant is a well-known seasoned issuer, as defined in Rule 405 of the Securities Act. YES </w:t>
      </w:r>
      <w:r>
        <w:rPr>
          <w:sz w:val="1"/>
          <w:szCs w:val="1"/>
          <w:color w:val="auto"/>
        </w:rPr>
        <w:drawing>
          <wp:inline distT="0" distB="0" distL="0" distR="0">
            <wp:extent cx="95250" cy="952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5250" cy="95250"/>
                    </a:xfrm>
                    <a:prstGeom prst="rect">
                      <a:avLst/>
                    </a:prstGeom>
                    <a:noFill/>
                    <a:ln>
                      <a:noFill/>
                    </a:ln>
                  </pic:spPr>
                </pic:pic>
              </a:graphicData>
            </a:graphic>
          </wp:inline>
        </w:drawing>
      </w:r>
      <w:r>
        <w:rPr>
          <w:rFonts w:ascii="Arial" w:cs="Arial" w:eastAsia="Arial" w:hAnsi="Arial"/>
          <w:sz w:val="13"/>
          <w:szCs w:val="13"/>
          <w:b w:val="1"/>
          <w:bCs w:val="1"/>
          <w:color w:val="231F20"/>
        </w:rPr>
        <w:t xml:space="preserve"> NO </w:t>
      </w:r>
      <w:r>
        <w:rPr>
          <w:sz w:val="1"/>
          <w:szCs w:val="1"/>
          <w:color w:val="auto"/>
        </w:rPr>
        <w:drawing>
          <wp:inline distT="0" distB="0" distL="0" distR="0">
            <wp:extent cx="95250" cy="952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5250" cy="95250"/>
                    </a:xfrm>
                    <a:prstGeom prst="rect">
                      <a:avLst/>
                    </a:prstGeom>
                    <a:noFill/>
                    <a:ln>
                      <a:noFill/>
                    </a:ln>
                  </pic:spPr>
                </pic:pic>
              </a:graphicData>
            </a:graphic>
          </wp:inline>
        </w:drawing>
      </w:r>
      <w:r>
        <w:rPr>
          <w:rFonts w:ascii="Arial" w:cs="Arial" w:eastAsia="Arial" w:hAnsi="Arial"/>
          <w:sz w:val="13"/>
          <w:szCs w:val="13"/>
          <w:b w:val="1"/>
          <w:bCs w:val="1"/>
          <w:color w:val="231F20"/>
        </w:rPr>
        <w:t xml:space="preserve"> Indicate by check mark if the registrant is not required to file reports pursuant to Section 13 or 15(d) of the Act. YES </w:t>
      </w:r>
      <w:r>
        <w:rPr>
          <w:sz w:val="1"/>
          <w:szCs w:val="1"/>
          <w:color w:val="auto"/>
        </w:rPr>
        <w:drawing>
          <wp:inline distT="0" distB="0" distL="0" distR="0">
            <wp:extent cx="95250" cy="952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5250" cy="95250"/>
                    </a:xfrm>
                    <a:prstGeom prst="rect">
                      <a:avLst/>
                    </a:prstGeom>
                    <a:noFill/>
                    <a:ln>
                      <a:noFill/>
                    </a:ln>
                  </pic:spPr>
                </pic:pic>
              </a:graphicData>
            </a:graphic>
          </wp:inline>
        </w:drawing>
      </w:r>
      <w:r>
        <w:rPr>
          <w:rFonts w:ascii="Arial" w:cs="Arial" w:eastAsia="Arial" w:hAnsi="Arial"/>
          <w:sz w:val="13"/>
          <w:szCs w:val="13"/>
          <w:b w:val="1"/>
          <w:bCs w:val="1"/>
          <w:color w:val="231F20"/>
        </w:rPr>
        <w:t xml:space="preserve"> NO </w:t>
      </w:r>
      <w:r>
        <w:rPr>
          <w:sz w:val="1"/>
          <w:szCs w:val="1"/>
          <w:color w:val="auto"/>
        </w:rPr>
        <w:drawing>
          <wp:inline distT="0" distB="0" distL="0" distR="0">
            <wp:extent cx="95250" cy="952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5250" cy="95250"/>
                    </a:xfrm>
                    <a:prstGeom prst="rect">
                      <a:avLst/>
                    </a:prstGeom>
                    <a:noFill/>
                    <a:ln>
                      <a:noFill/>
                    </a:ln>
                  </pic:spPr>
                </pic:pic>
              </a:graphicData>
            </a:graphic>
          </wp:inline>
        </w:drawing>
      </w:r>
    </w:p>
    <w:p>
      <w:pPr>
        <w:spacing w:after="0" w:line="1" w:lineRule="exact"/>
        <w:rPr>
          <w:sz w:val="20"/>
          <w:szCs w:val="20"/>
          <w:color w:val="auto"/>
        </w:rPr>
      </w:pPr>
    </w:p>
    <w:p>
      <w:pPr>
        <w:ind w:right="80"/>
        <w:spacing w:after="0" w:line="304" w:lineRule="auto"/>
        <w:rPr>
          <w:sz w:val="20"/>
          <w:szCs w:val="20"/>
          <w:color w:val="auto"/>
        </w:rPr>
      </w:pPr>
      <w:r>
        <w:rPr>
          <w:rFonts w:ascii="Arial" w:cs="Arial" w:eastAsia="Arial" w:hAnsi="Arial"/>
          <w:sz w:val="12"/>
          <w:szCs w:val="12"/>
          <w:b w:val="1"/>
          <w:bCs w:val="1"/>
          <w:color w:val="231F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224" w:lineRule="auto"/>
        <w:rPr>
          <w:sz w:val="20"/>
          <w:szCs w:val="20"/>
          <w:color w:val="auto"/>
        </w:rPr>
      </w:pPr>
      <w:r>
        <w:rPr>
          <w:rFonts w:ascii="Arial" w:cs="Arial" w:eastAsia="Arial" w:hAnsi="Arial"/>
          <w:sz w:val="16"/>
          <w:szCs w:val="16"/>
          <w:b w:val="1"/>
          <w:bCs w:val="1"/>
          <w:color w:val="231F20"/>
        </w:rPr>
        <w:t xml:space="preserve">days. YES </w:t>
      </w:r>
      <w:r>
        <w:rPr>
          <w:sz w:val="1"/>
          <w:szCs w:val="1"/>
          <w:color w:val="auto"/>
        </w:rPr>
        <w:drawing>
          <wp:inline distT="0" distB="0" distL="0" distR="0">
            <wp:extent cx="95250" cy="857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5250" cy="85725"/>
                    </a:xfrm>
                    <a:prstGeom prst="rect">
                      <a:avLst/>
                    </a:prstGeom>
                    <a:noFill/>
                    <a:ln>
                      <a:noFill/>
                    </a:ln>
                  </pic:spPr>
                </pic:pic>
              </a:graphicData>
            </a:graphic>
          </wp:inline>
        </w:drawing>
      </w:r>
      <w:r>
        <w:rPr>
          <w:rFonts w:ascii="Arial" w:cs="Arial" w:eastAsia="Arial" w:hAnsi="Arial"/>
          <w:sz w:val="16"/>
          <w:szCs w:val="16"/>
          <w:b w:val="1"/>
          <w:bCs w:val="1"/>
          <w:color w:val="231F20"/>
        </w:rPr>
        <w:t xml:space="preserve"> NO </w:t>
      </w:r>
      <w:r>
        <w:rPr>
          <w:sz w:val="1"/>
          <w:szCs w:val="1"/>
          <w:color w:val="auto"/>
        </w:rPr>
        <w:drawing>
          <wp:inline distT="0" distB="0" distL="0" distR="0">
            <wp:extent cx="95250" cy="857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5250" cy="85725"/>
                    </a:xfrm>
                    <a:prstGeom prst="rect">
                      <a:avLst/>
                    </a:prstGeom>
                    <a:noFill/>
                    <a:ln>
                      <a:noFill/>
                    </a:ln>
                  </pic:spPr>
                </pic:pic>
              </a:graphicData>
            </a:graphic>
          </wp:inline>
        </w:drawing>
      </w:r>
    </w:p>
    <w:p>
      <w:pPr>
        <w:spacing w:after="0" w:line="38" w:lineRule="exact"/>
        <w:rPr>
          <w:sz w:val="20"/>
          <w:szCs w:val="20"/>
          <w:color w:val="auto"/>
        </w:rPr>
      </w:pPr>
    </w:p>
    <w:p>
      <w:pPr>
        <w:ind w:right="100"/>
        <w:spacing w:after="0" w:line="281" w:lineRule="auto"/>
        <w:rPr>
          <w:sz w:val="20"/>
          <w:szCs w:val="20"/>
          <w:color w:val="auto"/>
        </w:rPr>
      </w:pPr>
      <w:r>
        <w:rPr>
          <w:rFonts w:ascii="Arial" w:cs="Arial" w:eastAsia="Arial" w:hAnsi="Arial"/>
          <w:sz w:val="13"/>
          <w:szCs w:val="13"/>
          <w:b w:val="1"/>
          <w:bCs w:val="1"/>
          <w:color w:val="231F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sz w:val="1"/>
          <w:szCs w:val="1"/>
          <w:color w:val="auto"/>
        </w:rPr>
        <w:drawing>
          <wp:inline distT="0" distB="0" distL="0" distR="0">
            <wp:extent cx="95250" cy="952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5250" cy="95250"/>
                    </a:xfrm>
                    <a:prstGeom prst="rect">
                      <a:avLst/>
                    </a:prstGeom>
                    <a:noFill/>
                    <a:ln>
                      <a:noFill/>
                    </a:ln>
                  </pic:spPr>
                </pic:pic>
              </a:graphicData>
            </a:graphic>
          </wp:inline>
        </w:drawing>
      </w:r>
      <w:r>
        <w:rPr>
          <w:rFonts w:ascii="Arial" w:cs="Arial" w:eastAsia="Arial" w:hAnsi="Arial"/>
          <w:sz w:val="13"/>
          <w:szCs w:val="13"/>
          <w:b w:val="1"/>
          <w:bCs w:val="1"/>
          <w:color w:val="231F20"/>
        </w:rPr>
        <w:t xml:space="preserve"> NO </w:t>
      </w:r>
      <w:r>
        <w:rPr>
          <w:sz w:val="1"/>
          <w:szCs w:val="1"/>
          <w:color w:val="auto"/>
        </w:rPr>
        <w:drawing>
          <wp:inline distT="0" distB="0" distL="0" distR="0">
            <wp:extent cx="95250" cy="952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5250" cy="95250"/>
                    </a:xfrm>
                    <a:prstGeom prst="rect">
                      <a:avLst/>
                    </a:prstGeom>
                    <a:noFill/>
                    <a:ln>
                      <a:noFill/>
                    </a:ln>
                  </pic:spPr>
                </pic:pic>
              </a:graphicData>
            </a:graphic>
          </wp:inline>
        </w:drawing>
      </w:r>
    </w:p>
    <w:p>
      <w:pPr>
        <w:spacing w:after="0" w:line="13" w:lineRule="exact"/>
        <w:rPr>
          <w:sz w:val="20"/>
          <w:szCs w:val="20"/>
          <w:color w:val="auto"/>
        </w:rPr>
      </w:pPr>
    </w:p>
    <w:p>
      <w:pPr>
        <w:ind w:right="200"/>
        <w:spacing w:after="0" w:line="166" w:lineRule="exact"/>
        <w:rPr>
          <w:sz w:val="20"/>
          <w:szCs w:val="20"/>
          <w:color w:val="auto"/>
        </w:rPr>
      </w:pPr>
      <w:r>
        <w:rPr>
          <w:rFonts w:ascii="Arial" w:cs="Arial" w:eastAsia="Arial" w:hAnsi="Arial"/>
          <w:sz w:val="16"/>
          <w:szCs w:val="16"/>
          <w:b w:val="1"/>
          <w:bCs w:val="1"/>
          <w:color w:val="231F20"/>
        </w:rPr>
        <w:t xml:space="preserve">Indicate by check mark whether the registrant is a large accelerated filer, an accelerated filer, a non-accelerated filer, a smaller reporting company, or an emerging growth company. See the definitions of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large accelerated filer,</w:t>
      </w:r>
      <w:r>
        <w:rPr>
          <w:rFonts w:ascii="PMingLiU" w:cs="PMingLiU" w:eastAsia="PMingLiU" w:hAnsi="PMingLiU"/>
          <w:sz w:val="16"/>
          <w:szCs w:val="16"/>
          <w:b w:val="1"/>
          <w:bCs w:val="1"/>
          <w:color w:val="231F20"/>
        </w:rPr>
        <w:t> </w:t>
      </w:r>
      <w:r>
        <w:rPr>
          <w:rFonts w:ascii="Arial" w:cs="Arial" w:eastAsia="Arial" w:hAnsi="Arial"/>
          <w:sz w:val="16"/>
          <w:szCs w:val="16"/>
          <w:b w:val="1"/>
          <w:bCs w:val="1"/>
          <w:color w:val="231F20"/>
        </w:rPr>
        <w:t>accelerated filer,</w:t>
      </w:r>
      <w:r>
        <w:rPr>
          <w:rFonts w:ascii="PMingLiU" w:cs="PMingLiU" w:eastAsia="PMingLiU" w:hAnsi="PMingLiU"/>
          <w:sz w:val="16"/>
          <w:szCs w:val="16"/>
          <w:b w:val="1"/>
          <w:bCs w:val="1"/>
          <w:color w:val="231F20"/>
        </w:rPr>
        <w:t> </w:t>
      </w:r>
      <w:r>
        <w:rPr>
          <w:rFonts w:ascii="Arial" w:cs="Arial" w:eastAsia="Arial" w:hAnsi="Arial"/>
          <w:sz w:val="16"/>
          <w:szCs w:val="16"/>
          <w:b w:val="1"/>
          <w:bCs w:val="1"/>
          <w:color w:val="231F20"/>
        </w:rPr>
        <w:t>smaller reporting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and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emerging growth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in Rule 12b-2 of the Exchange Act.</w:t>
      </w:r>
    </w:p>
    <w:p>
      <w:pPr>
        <w:sectPr>
          <w:pgSz w:w="12240" w:h="15840" w:orient="portrait"/>
          <w:cols w:equalWidth="0" w:num="1">
            <w:col w:w="10480"/>
          </w:cols>
          <w:pgMar w:left="880" w:top="1258" w:right="880" w:bottom="1440" w:gutter="0" w:footer="0" w:header="0"/>
        </w:sectPr>
      </w:pP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231F20"/>
        </w:rPr>
        <w:t>Large accelerated filer</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b w:val="1"/>
          <w:bCs w:val="1"/>
          <w:color w:val="231F20"/>
        </w:rPr>
        <w:t>Accelerated filer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1403350</wp:posOffset>
            </wp:positionH>
            <wp:positionV relativeFrom="paragraph">
              <wp:posOffset>-76835</wp:posOffset>
            </wp:positionV>
            <wp:extent cx="95250" cy="952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5250" cy="95250"/>
                    </a:xfrm>
                    <a:prstGeom prst="rect">
                      <a:avLst/>
                    </a:prstGeom>
                    <a:noFill/>
                  </pic:spPr>
                </pic:pic>
              </a:graphicData>
            </a:graphic>
          </wp:anchor>
        </w:drawing>
      </w:r>
    </w:p>
    <w:p>
      <w:pPr>
        <w:spacing w:after="0" w:line="129" w:lineRule="exact"/>
        <w:rPr>
          <w:sz w:val="20"/>
          <w:szCs w:val="20"/>
          <w:color w:val="auto"/>
        </w:rPr>
      </w:pPr>
    </w:p>
    <w:p>
      <w:pPr>
        <w:sectPr>
          <w:pgSz w:w="12240" w:h="15840" w:orient="portrait"/>
          <w:cols w:equalWidth="0" w:num="2">
            <w:col w:w="7320" w:space="720"/>
            <w:col w:w="2440"/>
          </w:cols>
          <w:pgMar w:left="880" w:top="1258" w:right="880" w:bottom="1440" w:gutter="0" w:footer="0" w:header="0"/>
          <w:type w:val="continuous"/>
        </w:sectPr>
      </w:pPr>
    </w:p>
    <w:p>
      <w:pPr>
        <w:spacing w:after="0"/>
        <w:rPr>
          <w:sz w:val="20"/>
          <w:szCs w:val="20"/>
          <w:color w:val="auto"/>
        </w:rPr>
      </w:pPr>
      <w:r>
        <w:rPr>
          <w:rFonts w:ascii="Arial" w:cs="Arial" w:eastAsia="Arial" w:hAnsi="Arial"/>
          <w:sz w:val="13"/>
          <w:szCs w:val="13"/>
          <w:b w:val="1"/>
          <w:bCs w:val="1"/>
          <w:color w:val="231F20"/>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231F20"/>
        </w:rPr>
        <w:t>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1403350</wp:posOffset>
            </wp:positionH>
            <wp:positionV relativeFrom="paragraph">
              <wp:posOffset>-76835</wp:posOffset>
            </wp:positionV>
            <wp:extent cx="95250" cy="952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5250" cy="95250"/>
                    </a:xfrm>
                    <a:prstGeom prst="rect">
                      <a:avLst/>
                    </a:prstGeom>
                    <a:noFill/>
                  </pic:spPr>
                </pic:pic>
              </a:graphicData>
            </a:graphic>
          </wp:anchor>
        </w:drawing>
      </w:r>
    </w:p>
    <w:p>
      <w:pPr>
        <w:spacing w:after="0" w:line="97" w:lineRule="exact"/>
        <w:rPr>
          <w:sz w:val="20"/>
          <w:szCs w:val="20"/>
          <w:color w:val="auto"/>
        </w:rPr>
      </w:pPr>
    </w:p>
    <w:p>
      <w:pPr>
        <w:sectPr>
          <w:pgSz w:w="12240" w:h="15840" w:orient="portrait"/>
          <w:cols w:equalWidth="0" w:num="2">
            <w:col w:w="7320" w:space="720"/>
            <w:col w:w="2440"/>
          </w:cols>
          <w:pgMar w:left="880" w:top="1258" w:right="880" w:bottom="1440" w:gutter="0" w:footer="0" w:header="0"/>
          <w:type w:val="continuous"/>
        </w:sectPr>
      </w:pPr>
    </w:p>
    <w:p>
      <w:pPr>
        <w:spacing w:after="0"/>
        <w:rPr>
          <w:sz w:val="20"/>
          <w:szCs w:val="20"/>
          <w:color w:val="auto"/>
        </w:rPr>
      </w:pPr>
      <w:r>
        <w:rPr>
          <w:rFonts w:ascii="Arial" w:cs="Arial" w:eastAsia="Arial" w:hAnsi="Arial"/>
          <w:sz w:val="16"/>
          <w:szCs w:val="16"/>
          <w:b w:val="1"/>
          <w:bCs w:val="1"/>
          <w:color w:val="231F20"/>
        </w:rPr>
        <w:t>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1319530</wp:posOffset>
            </wp:positionH>
            <wp:positionV relativeFrom="paragraph">
              <wp:posOffset>-90170</wp:posOffset>
            </wp:positionV>
            <wp:extent cx="95250" cy="952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5250" cy="95250"/>
                    </a:xfrm>
                    <a:prstGeom prst="rect">
                      <a:avLst/>
                    </a:prstGeom>
                    <a:noFill/>
                  </pic:spPr>
                </pic:pic>
              </a:graphicData>
            </a:graphic>
          </wp:anchor>
        </w:drawing>
      </w:r>
    </w:p>
    <w:p>
      <w:pPr>
        <w:spacing w:after="0" w:line="39" w:lineRule="exact"/>
        <w:rPr>
          <w:sz w:val="20"/>
          <w:szCs w:val="20"/>
          <w:color w:val="auto"/>
        </w:rPr>
      </w:pPr>
    </w:p>
    <w:p>
      <w:pPr>
        <w:ind w:right="260"/>
        <w:spacing w:after="0" w:line="232" w:lineRule="auto"/>
        <w:rPr>
          <w:sz w:val="20"/>
          <w:szCs w:val="20"/>
          <w:color w:val="auto"/>
        </w:rPr>
      </w:pPr>
      <w:r>
        <w:rPr>
          <w:rFonts w:ascii="Arial" w:cs="Arial" w:eastAsia="Arial" w:hAnsi="Arial"/>
          <w:sz w:val="16"/>
          <w:szCs w:val="16"/>
          <w:b w:val="1"/>
          <w:bCs w:val="1"/>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1"/>
          <w:szCs w:val="1"/>
          <w:color w:val="auto"/>
        </w:rPr>
        <w:drawing>
          <wp:inline distT="0" distB="0" distL="0" distR="0">
            <wp:extent cx="95250" cy="8572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5250" cy="85725"/>
                    </a:xfrm>
                    <a:prstGeom prst="rect">
                      <a:avLst/>
                    </a:prstGeom>
                    <a:noFill/>
                    <a:ln>
                      <a:noFill/>
                    </a:ln>
                  </pic:spPr>
                </pic:pic>
              </a:graphicData>
            </a:graphic>
          </wp:inline>
        </w:drawing>
      </w:r>
    </w:p>
    <w:p>
      <w:pPr>
        <w:spacing w:after="0" w:line="38" w:lineRule="exact"/>
        <w:rPr>
          <w:sz w:val="20"/>
          <w:szCs w:val="20"/>
          <w:color w:val="auto"/>
        </w:rPr>
      </w:pPr>
    </w:p>
    <w:p>
      <w:pPr>
        <w:ind w:right="160"/>
        <w:spacing w:after="0" w:line="178" w:lineRule="exact"/>
        <w:rPr>
          <w:sz w:val="20"/>
          <w:szCs w:val="20"/>
          <w:color w:val="auto"/>
        </w:rPr>
      </w:pPr>
      <w:r>
        <w:rPr>
          <w:rFonts w:ascii="Arial" w:cs="Arial" w:eastAsia="Arial" w:hAnsi="Arial"/>
          <w:sz w:val="13"/>
          <w:szCs w:val="13"/>
          <w:b w:val="1"/>
          <w:bCs w:val="1"/>
          <w:color w:val="231F20"/>
        </w:rPr>
        <w:t>Indicate by check mark whether the registrant has filed a report on and attestation to its management</w:t>
      </w:r>
      <w:r>
        <w:rPr>
          <w:rFonts w:ascii="PMingLiU" w:cs="PMingLiU" w:eastAsia="PMingLiU" w:hAnsi="PMingLiU"/>
          <w:sz w:val="13"/>
          <w:szCs w:val="13"/>
          <w:b w:val="1"/>
          <w:bCs w:val="1"/>
          <w:color w:val="231F20"/>
        </w:rPr>
        <w:t></w:t>
      </w:r>
      <w:r>
        <w:rPr>
          <w:rFonts w:ascii="Arial" w:cs="Arial" w:eastAsia="Arial" w:hAnsi="Arial"/>
          <w:sz w:val="13"/>
          <w:szCs w:val="13"/>
          <w:b w:val="1"/>
          <w:bCs w:val="1"/>
          <w:color w:val="231F20"/>
        </w:rPr>
        <w:t xml:space="preserve">s assessment of its internal control over financial reporting under Section 404(b) of the Sarbanes-Oxley Act (15 U.S.C. 7262(b)) by the registered public accounting firm that prepared or issued its audit report. </w:t>
      </w:r>
      <w:r>
        <w:rPr>
          <w:sz w:val="1"/>
          <w:szCs w:val="1"/>
          <w:color w:val="auto"/>
        </w:rPr>
        <w:drawing>
          <wp:inline distT="0" distB="0" distL="0" distR="0">
            <wp:extent cx="95250" cy="952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5250" cy="95250"/>
                    </a:xfrm>
                    <a:prstGeom prst="rect">
                      <a:avLst/>
                    </a:prstGeom>
                    <a:noFill/>
                    <a:ln>
                      <a:noFill/>
                    </a:ln>
                  </pic:spPr>
                </pic:pic>
              </a:graphicData>
            </a:graphic>
          </wp:inline>
        </w:drawing>
      </w:r>
    </w:p>
    <w:p>
      <w:pPr>
        <w:spacing w:after="0" w:line="39" w:lineRule="exact"/>
        <w:rPr>
          <w:sz w:val="20"/>
          <w:szCs w:val="20"/>
          <w:color w:val="auto"/>
        </w:rPr>
      </w:pPr>
    </w:p>
    <w:p>
      <w:pPr>
        <w:ind w:right="20"/>
        <w:spacing w:after="0" w:line="232" w:lineRule="auto"/>
        <w:rPr>
          <w:sz w:val="20"/>
          <w:szCs w:val="20"/>
          <w:color w:val="auto"/>
        </w:rPr>
      </w:pPr>
      <w:r>
        <w:rPr>
          <w:rFonts w:ascii="Arial" w:cs="Arial" w:eastAsia="Arial" w:hAnsi="Arial"/>
          <w:sz w:val="16"/>
          <w:szCs w:val="16"/>
          <w:b w:val="1"/>
          <w:bCs w:val="1"/>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sz w:val="1"/>
          <w:szCs w:val="1"/>
          <w:color w:val="auto"/>
        </w:rPr>
        <w:drawing>
          <wp:inline distT="0" distB="0" distL="0" distR="0">
            <wp:extent cx="95250" cy="8572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5250" cy="85725"/>
                    </a:xfrm>
                    <a:prstGeom prst="rect">
                      <a:avLst/>
                    </a:prstGeom>
                    <a:noFill/>
                    <a:ln>
                      <a:noFill/>
                    </a:ln>
                  </pic:spPr>
                </pic:pic>
              </a:graphicData>
            </a:graphic>
          </wp:inline>
        </w:drawing>
      </w:r>
    </w:p>
    <w:p>
      <w:pPr>
        <w:spacing w:after="0" w:line="35" w:lineRule="exact"/>
        <w:rPr>
          <w:sz w:val="20"/>
          <w:szCs w:val="20"/>
          <w:color w:val="auto"/>
        </w:rPr>
      </w:pPr>
    </w:p>
    <w:p>
      <w:pPr>
        <w:ind w:right="20"/>
        <w:spacing w:after="0" w:line="179" w:lineRule="exact"/>
        <w:rPr>
          <w:sz w:val="20"/>
          <w:szCs w:val="20"/>
          <w:color w:val="auto"/>
        </w:rPr>
      </w:pPr>
      <w:r>
        <w:rPr>
          <w:rFonts w:ascii="Arial" w:cs="Arial" w:eastAsia="Arial" w:hAnsi="Arial"/>
          <w:sz w:val="16"/>
          <w:szCs w:val="16"/>
          <w:b w:val="1"/>
          <w:bCs w:val="1"/>
          <w:color w:val="231F20"/>
        </w:rPr>
        <w:t>Indicate by check mark whether any of those error corrections are restatements that required a recovery analysis of incentive-based compensation received by any of the registrant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s executive officers during the relevant recovery period pursuant to §240.10D-1(b). </w:t>
      </w:r>
      <w:r>
        <w:rPr>
          <w:sz w:val="1"/>
          <w:szCs w:val="1"/>
          <w:color w:val="auto"/>
        </w:rPr>
        <w:drawing>
          <wp:inline distT="0" distB="0" distL="0" distR="0">
            <wp:extent cx="95250" cy="952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5250" cy="95250"/>
                    </a:xfrm>
                    <a:prstGeom prst="rect">
                      <a:avLst/>
                    </a:prstGeom>
                    <a:noFill/>
                    <a:ln>
                      <a:noFill/>
                    </a:ln>
                  </pic:spPr>
                </pic:pic>
              </a:graphicData>
            </a:graphic>
          </wp:inline>
        </w:drawing>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 xml:space="preserve">Indicate by check mark whether the registrant is a shell company (as defined in Rule 12b-2 of the Exchange Act). YES </w:t>
      </w:r>
      <w:r>
        <w:rPr>
          <w:sz w:val="1"/>
          <w:szCs w:val="1"/>
          <w:color w:val="auto"/>
        </w:rPr>
        <w:drawing>
          <wp:inline distT="0" distB="0" distL="0" distR="0">
            <wp:extent cx="95250" cy="952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5250" cy="95250"/>
                    </a:xfrm>
                    <a:prstGeom prst="rect">
                      <a:avLst/>
                    </a:prstGeom>
                    <a:noFill/>
                    <a:ln>
                      <a:noFill/>
                    </a:ln>
                  </pic:spPr>
                </pic:pic>
              </a:graphicData>
            </a:graphic>
          </wp:inline>
        </w:drawing>
      </w:r>
      <w:r>
        <w:rPr>
          <w:rFonts w:ascii="Arial" w:cs="Arial" w:eastAsia="Arial" w:hAnsi="Arial"/>
          <w:sz w:val="16"/>
          <w:szCs w:val="16"/>
          <w:b w:val="1"/>
          <w:bCs w:val="1"/>
          <w:color w:val="231F20"/>
        </w:rPr>
        <w:t xml:space="preserve"> NO </w:t>
      </w:r>
      <w:r>
        <w:rPr>
          <w:sz w:val="1"/>
          <w:szCs w:val="1"/>
          <w:color w:val="auto"/>
        </w:rPr>
        <w:drawing>
          <wp:inline distT="0" distB="0" distL="0" distR="0">
            <wp:extent cx="95250" cy="952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5250" cy="95250"/>
                    </a:xfrm>
                    <a:prstGeom prst="rect">
                      <a:avLst/>
                    </a:prstGeom>
                    <a:noFill/>
                    <a:ln>
                      <a:noFill/>
                    </a:ln>
                  </pic:spPr>
                </pic:pic>
              </a:graphicData>
            </a:graphic>
          </wp:inline>
        </w:drawing>
      </w:r>
    </w:p>
    <w:p>
      <w:pPr>
        <w:spacing w:after="0" w:line="38" w:lineRule="exact"/>
        <w:rPr>
          <w:sz w:val="20"/>
          <w:szCs w:val="20"/>
          <w:color w:val="auto"/>
        </w:rPr>
      </w:pPr>
    </w:p>
    <w:p>
      <w:pPr>
        <w:ind w:right="600"/>
        <w:spacing w:after="0" w:line="167" w:lineRule="exact"/>
        <w:rPr>
          <w:sz w:val="20"/>
          <w:szCs w:val="20"/>
          <w:color w:val="auto"/>
        </w:rPr>
      </w:pPr>
      <w:r>
        <w:rPr>
          <w:rFonts w:ascii="Arial" w:cs="Arial" w:eastAsia="Arial" w:hAnsi="Arial"/>
          <w:sz w:val="14"/>
          <w:szCs w:val="14"/>
          <w:b w:val="1"/>
          <w:bCs w:val="1"/>
          <w:color w:val="231F20"/>
        </w:rPr>
        <w:t>The aggregate market value of the registrant</w:t>
      </w:r>
      <w:r>
        <w:rPr>
          <w:rFonts w:ascii="PMingLiU" w:cs="PMingLiU" w:eastAsia="PMingLiU" w:hAnsi="PMingLiU"/>
          <w:sz w:val="14"/>
          <w:szCs w:val="14"/>
          <w:b w:val="1"/>
          <w:bCs w:val="1"/>
          <w:color w:val="231F20"/>
        </w:rPr>
        <w:t></w:t>
      </w:r>
      <w:r>
        <w:rPr>
          <w:rFonts w:ascii="Arial" w:cs="Arial" w:eastAsia="Arial" w:hAnsi="Arial"/>
          <w:sz w:val="14"/>
          <w:szCs w:val="14"/>
          <w:b w:val="1"/>
          <w:bCs w:val="1"/>
          <w:color w:val="231F20"/>
        </w:rPr>
        <w:t>s common stock held by non-affiliates of the registrant on June 30, 2024, the last business day of its most recently completed second fiscal quarter, was $251.2 million based on the closing sales price of the registrant</w:t>
      </w:r>
      <w:r>
        <w:rPr>
          <w:rFonts w:ascii="PMingLiU" w:cs="PMingLiU" w:eastAsia="PMingLiU" w:hAnsi="PMingLiU"/>
          <w:sz w:val="14"/>
          <w:szCs w:val="14"/>
          <w:b w:val="1"/>
          <w:bCs w:val="1"/>
          <w:color w:val="231F20"/>
        </w:rPr>
        <w:t></w:t>
      </w:r>
      <w:r>
        <w:rPr>
          <w:rFonts w:ascii="Arial" w:cs="Arial" w:eastAsia="Arial" w:hAnsi="Arial"/>
          <w:sz w:val="14"/>
          <w:szCs w:val="14"/>
          <w:b w:val="1"/>
          <w:bCs w:val="1"/>
          <w:color w:val="231F20"/>
        </w:rPr>
        <w:t>s common stock on that date.</w:t>
      </w:r>
    </w:p>
    <w:p>
      <w:pPr>
        <w:spacing w:after="0" w:line="11" w:lineRule="exact"/>
        <w:rPr>
          <w:sz w:val="20"/>
          <w:szCs w:val="20"/>
          <w:color w:val="auto"/>
        </w:rPr>
      </w:pPr>
    </w:p>
    <w:p>
      <w:pPr>
        <w:spacing w:after="0" w:line="194" w:lineRule="exact"/>
        <w:rPr>
          <w:sz w:val="20"/>
          <w:szCs w:val="20"/>
          <w:color w:val="auto"/>
        </w:rPr>
      </w:pPr>
      <w:r>
        <w:rPr>
          <w:rFonts w:ascii="Arial" w:cs="Arial" w:eastAsia="Arial" w:hAnsi="Arial"/>
          <w:sz w:val="16"/>
          <w:szCs w:val="16"/>
          <w:b w:val="1"/>
          <w:bCs w:val="1"/>
          <w:color w:val="231F20"/>
        </w:rPr>
        <w:t>The number of shares of registrant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Common Stock outstanding as of February 27, 2025 was 53,384,145.</w:t>
      </w:r>
    </w:p>
    <w:p>
      <w:pPr>
        <w:spacing w:after="0" w:line="18" w:lineRule="exact"/>
        <w:rPr>
          <w:sz w:val="20"/>
          <w:szCs w:val="20"/>
          <w:color w:val="auto"/>
        </w:rPr>
      </w:pPr>
    </w:p>
    <w:p>
      <w:pPr>
        <w:ind w:left="3540"/>
        <w:spacing w:after="0"/>
        <w:rPr>
          <w:sz w:val="20"/>
          <w:szCs w:val="20"/>
          <w:color w:val="auto"/>
        </w:rPr>
      </w:pPr>
      <w:r>
        <w:rPr>
          <w:rFonts w:ascii="Arial" w:cs="Arial" w:eastAsia="Arial" w:hAnsi="Arial"/>
          <w:sz w:val="16"/>
          <w:szCs w:val="16"/>
          <w:b w:val="1"/>
          <w:bCs w:val="1"/>
          <w:color w:val="231F20"/>
        </w:rPr>
        <w:t>DOCUMENTS INCORPORATED BY REFERENCE</w:t>
      </w:r>
    </w:p>
    <w:p>
      <w:pPr>
        <w:spacing w:after="0" w:line="33" w:lineRule="exact"/>
        <w:rPr>
          <w:sz w:val="20"/>
          <w:szCs w:val="20"/>
          <w:color w:val="auto"/>
        </w:rPr>
      </w:pPr>
    </w:p>
    <w:p>
      <w:pPr>
        <w:ind w:right="280"/>
        <w:spacing w:after="0" w:line="166" w:lineRule="exact"/>
        <w:rPr>
          <w:sz w:val="20"/>
          <w:szCs w:val="20"/>
          <w:color w:val="auto"/>
        </w:rPr>
      </w:pPr>
      <w:r>
        <w:rPr>
          <w:rFonts w:ascii="Arial" w:cs="Arial" w:eastAsia="Arial" w:hAnsi="Arial"/>
          <w:sz w:val="16"/>
          <w:szCs w:val="16"/>
          <w:b w:val="1"/>
          <w:bCs w:val="1"/>
          <w:color w:val="231F20"/>
        </w:rPr>
        <w:t>Certain portions of the registrant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definitive proxy statement relating to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s 2024 Annual Meeting of Stockholders, to be filed with the Securities and Exchange Commission within 120 days of the registrant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fiscal year ended December 31, 2024, are incorporated by reference into Part III of this Annual Report on Form 10-K where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64135</wp:posOffset>
            </wp:positionV>
            <wp:extent cx="668718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87185" cy="762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52070</wp:posOffset>
            </wp:positionV>
            <wp:extent cx="668718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87185" cy="7620"/>
                    </a:xfrm>
                    <a:prstGeom prst="rect">
                      <a:avLst/>
                    </a:prstGeom>
                    <a:noFill/>
                  </pic:spPr>
                </pic:pic>
              </a:graphicData>
            </a:graphic>
          </wp:anchor>
        </w:drawing>
      </w:r>
    </w:p>
    <w:p>
      <w:pPr>
        <w:sectPr>
          <w:pgSz w:w="12240" w:h="15840" w:orient="portrait"/>
          <w:cols w:equalWidth="0" w:num="1">
            <w:col w:w="10480"/>
          </w:cols>
          <w:pgMar w:left="880" w:top="1258" w:right="880" w:bottom="144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[This page intentionally left blank]</w:t>
      </w:r>
    </w:p>
    <w:p>
      <w:pPr>
        <w:sectPr>
          <w:pgSz w:w="12240" w:h="15840" w:orient="portrait"/>
          <w:cols w:equalWidth="0" w:num="1">
            <w:col w:w="9360"/>
          </w:cols>
          <w:pgMar w:left="1440" w:top="1440" w:right="1440"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9"/>
          <w:szCs w:val="19"/>
          <w:b w:val="1"/>
          <w:bCs w:val="1"/>
          <w:color w:val="231F20"/>
        </w:rPr>
        <w:t>SPECIAL NOTE REGARDING FORWARD-LOOKING STATEMENTS</w:t>
      </w:r>
    </w:p>
    <w:p>
      <w:pPr>
        <w:spacing w:after="0" w:line="243" w:lineRule="exact"/>
        <w:rPr>
          <w:sz w:val="20"/>
          <w:szCs w:val="20"/>
          <w:color w:val="auto"/>
        </w:rPr>
      </w:pPr>
    </w:p>
    <w:p>
      <w:pPr>
        <w:ind w:right="60" w:firstLine="475"/>
        <w:spacing w:after="0" w:line="297" w:lineRule="auto"/>
        <w:rPr>
          <w:sz w:val="20"/>
          <w:szCs w:val="20"/>
          <w:color w:val="auto"/>
        </w:rPr>
      </w:pPr>
      <w:r>
        <w:rPr>
          <w:rFonts w:ascii="Arial" w:cs="Arial" w:eastAsia="Arial" w:hAnsi="Arial"/>
          <w:sz w:val="16"/>
          <w:szCs w:val="16"/>
          <w:b w:val="1"/>
          <w:bCs w:val="1"/>
          <w:color w:val="231F20"/>
        </w:rPr>
        <w:t>This Annual Report on Form 10-K contains forward-looking statements. All statements other than statements of historical facts contained in this report,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201" w:lineRule="exact"/>
        <w:rPr>
          <w:sz w:val="20"/>
          <w:szCs w:val="20"/>
          <w:color w:val="auto"/>
        </w:rPr>
      </w:pPr>
    </w:p>
    <w:p>
      <w:pPr>
        <w:ind w:left="480"/>
        <w:spacing w:after="0" w:line="207" w:lineRule="exact"/>
        <w:rPr>
          <w:sz w:val="20"/>
          <w:szCs w:val="20"/>
          <w:color w:val="auto"/>
        </w:rPr>
      </w:pPr>
      <w:r>
        <w:rPr>
          <w:rFonts w:ascii="Arial" w:cs="Arial" w:eastAsia="Arial" w:hAnsi="Arial"/>
          <w:sz w:val="17"/>
          <w:szCs w:val="17"/>
          <w:b w:val="1"/>
          <w:bCs w:val="1"/>
          <w:color w:val="231F20"/>
        </w:rPr>
        <w:t xml:space="preserve">In some cases, you can identify forward-looking statements by terms such as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may,</w:t>
      </w:r>
      <w:r>
        <w:rPr>
          <w:rFonts w:ascii="PMingLiU" w:cs="PMingLiU" w:eastAsia="PMingLiU" w:hAnsi="PMingLiU"/>
          <w:sz w:val="17"/>
          <w:szCs w:val="17"/>
          <w:b w:val="1"/>
          <w:bCs w:val="1"/>
          <w:color w:val="231F20"/>
        </w:rPr>
        <w:t> </w:t>
      </w:r>
      <w:r>
        <w:rPr>
          <w:rFonts w:ascii="Arial" w:cs="Arial" w:eastAsia="Arial" w:hAnsi="Arial"/>
          <w:sz w:val="17"/>
          <w:szCs w:val="17"/>
          <w:b w:val="1"/>
          <w:bCs w:val="1"/>
          <w:color w:val="231F20"/>
        </w:rPr>
        <w:t>will,</w:t>
      </w:r>
      <w:r>
        <w:rPr>
          <w:rFonts w:ascii="PMingLiU" w:cs="PMingLiU" w:eastAsia="PMingLiU" w:hAnsi="PMingLiU"/>
          <w:sz w:val="17"/>
          <w:szCs w:val="17"/>
          <w:b w:val="1"/>
          <w:bCs w:val="1"/>
          <w:color w:val="231F20"/>
        </w:rPr>
        <w:t> </w:t>
      </w:r>
      <w:r>
        <w:rPr>
          <w:rFonts w:ascii="Arial" w:cs="Arial" w:eastAsia="Arial" w:hAnsi="Arial"/>
          <w:sz w:val="17"/>
          <w:szCs w:val="17"/>
          <w:b w:val="1"/>
          <w:bCs w:val="1"/>
          <w:color w:val="231F20"/>
        </w:rPr>
        <w:t>should,</w:t>
      </w:r>
      <w:r>
        <w:rPr>
          <w:rFonts w:ascii="PMingLiU" w:cs="PMingLiU" w:eastAsia="PMingLiU" w:hAnsi="PMingLiU"/>
          <w:sz w:val="17"/>
          <w:szCs w:val="17"/>
          <w:b w:val="1"/>
          <w:bCs w:val="1"/>
          <w:color w:val="231F20"/>
        </w:rPr>
        <w:t> </w:t>
      </w:r>
      <w:r>
        <w:rPr>
          <w:rFonts w:ascii="Arial" w:cs="Arial" w:eastAsia="Arial" w:hAnsi="Arial"/>
          <w:sz w:val="17"/>
          <w:szCs w:val="17"/>
          <w:b w:val="1"/>
          <w:bCs w:val="1"/>
          <w:color w:val="231F20"/>
        </w:rPr>
        <w:t>would,</w:t>
      </w:r>
      <w:r>
        <w:rPr>
          <w:rFonts w:ascii="PMingLiU" w:cs="PMingLiU" w:eastAsia="PMingLiU" w:hAnsi="PMingLiU"/>
          <w:sz w:val="17"/>
          <w:szCs w:val="17"/>
          <w:b w:val="1"/>
          <w:bCs w:val="1"/>
          <w:color w:val="231F20"/>
        </w:rPr>
        <w:t> </w:t>
      </w:r>
      <w:r>
        <w:rPr>
          <w:rFonts w:ascii="Arial" w:cs="Arial" w:eastAsia="Arial" w:hAnsi="Arial"/>
          <w:sz w:val="17"/>
          <w:szCs w:val="17"/>
          <w:b w:val="1"/>
          <w:bCs w:val="1"/>
          <w:color w:val="231F20"/>
        </w:rPr>
        <w:t>expect,</w:t>
      </w:r>
      <w:r>
        <w:rPr>
          <w:rFonts w:ascii="PMingLiU" w:cs="PMingLiU" w:eastAsia="PMingLiU" w:hAnsi="PMingLiU"/>
          <w:sz w:val="17"/>
          <w:szCs w:val="17"/>
          <w:b w:val="1"/>
          <w:bCs w:val="1"/>
          <w:color w:val="231F20"/>
        </w:rPr>
        <w:t></w:t>
      </w:r>
    </w:p>
    <w:p>
      <w:pPr>
        <w:spacing w:after="0" w:line="17" w:lineRule="exact"/>
        <w:rPr>
          <w:sz w:val="20"/>
          <w:szCs w:val="20"/>
          <w:color w:val="auto"/>
        </w:rPr>
      </w:pPr>
    </w:p>
    <w:p>
      <w:pPr>
        <w:spacing w:after="0" w:line="207" w:lineRule="exact"/>
        <w:rPr>
          <w:sz w:val="20"/>
          <w:szCs w:val="20"/>
          <w:color w:val="auto"/>
        </w:rPr>
      </w:pP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plan,</w:t>
      </w:r>
      <w:r>
        <w:rPr>
          <w:rFonts w:ascii="PMingLiU" w:cs="PMingLiU" w:eastAsia="PMingLiU" w:hAnsi="PMingLiU"/>
          <w:sz w:val="17"/>
          <w:szCs w:val="17"/>
          <w:b w:val="1"/>
          <w:bCs w:val="1"/>
          <w:color w:val="231F20"/>
        </w:rPr>
        <w:t> </w:t>
      </w:r>
      <w:r>
        <w:rPr>
          <w:rFonts w:ascii="Arial" w:cs="Arial" w:eastAsia="Arial" w:hAnsi="Arial"/>
          <w:sz w:val="17"/>
          <w:szCs w:val="17"/>
          <w:b w:val="1"/>
          <w:bCs w:val="1"/>
          <w:color w:val="231F20"/>
        </w:rPr>
        <w:t>anticipate,</w:t>
      </w:r>
      <w:r>
        <w:rPr>
          <w:rFonts w:ascii="PMingLiU" w:cs="PMingLiU" w:eastAsia="PMingLiU" w:hAnsi="PMingLiU"/>
          <w:sz w:val="17"/>
          <w:szCs w:val="17"/>
          <w:b w:val="1"/>
          <w:bCs w:val="1"/>
          <w:color w:val="231F20"/>
        </w:rPr>
        <w:t> </w:t>
      </w:r>
      <w:r>
        <w:rPr>
          <w:rFonts w:ascii="Arial" w:cs="Arial" w:eastAsia="Arial" w:hAnsi="Arial"/>
          <w:sz w:val="17"/>
          <w:szCs w:val="17"/>
          <w:b w:val="1"/>
          <w:bCs w:val="1"/>
          <w:color w:val="231F20"/>
        </w:rPr>
        <w:t>could,</w:t>
      </w:r>
      <w:r>
        <w:rPr>
          <w:rFonts w:ascii="PMingLiU" w:cs="PMingLiU" w:eastAsia="PMingLiU" w:hAnsi="PMingLiU"/>
          <w:sz w:val="17"/>
          <w:szCs w:val="17"/>
          <w:b w:val="1"/>
          <w:bCs w:val="1"/>
          <w:color w:val="231F20"/>
        </w:rPr>
        <w:t> </w:t>
      </w:r>
      <w:r>
        <w:rPr>
          <w:rFonts w:ascii="Arial" w:cs="Arial" w:eastAsia="Arial" w:hAnsi="Arial"/>
          <w:sz w:val="17"/>
          <w:szCs w:val="17"/>
          <w:b w:val="1"/>
          <w:bCs w:val="1"/>
          <w:color w:val="231F20"/>
        </w:rPr>
        <w:t>intend,</w:t>
      </w:r>
      <w:r>
        <w:rPr>
          <w:rFonts w:ascii="PMingLiU" w:cs="PMingLiU" w:eastAsia="PMingLiU" w:hAnsi="PMingLiU"/>
          <w:sz w:val="17"/>
          <w:szCs w:val="17"/>
          <w:b w:val="1"/>
          <w:bCs w:val="1"/>
          <w:color w:val="231F20"/>
        </w:rPr>
        <w:t> </w:t>
      </w:r>
      <w:r>
        <w:rPr>
          <w:rFonts w:ascii="Arial" w:cs="Arial" w:eastAsia="Arial" w:hAnsi="Arial"/>
          <w:sz w:val="17"/>
          <w:szCs w:val="17"/>
          <w:b w:val="1"/>
          <w:bCs w:val="1"/>
          <w:color w:val="231F20"/>
        </w:rPr>
        <w:t>target,</w:t>
      </w:r>
      <w:r>
        <w:rPr>
          <w:rFonts w:ascii="PMingLiU" w:cs="PMingLiU" w:eastAsia="PMingLiU" w:hAnsi="PMingLiU"/>
          <w:sz w:val="17"/>
          <w:szCs w:val="17"/>
          <w:b w:val="1"/>
          <w:bCs w:val="1"/>
          <w:color w:val="231F20"/>
        </w:rPr>
        <w:t> </w:t>
      </w:r>
      <w:r>
        <w:rPr>
          <w:rFonts w:ascii="Arial" w:cs="Arial" w:eastAsia="Arial" w:hAnsi="Arial"/>
          <w:sz w:val="17"/>
          <w:szCs w:val="17"/>
          <w:b w:val="1"/>
          <w:bCs w:val="1"/>
          <w:color w:val="231F20"/>
        </w:rPr>
        <w:t>project,</w:t>
      </w:r>
      <w:r>
        <w:rPr>
          <w:rFonts w:ascii="PMingLiU" w:cs="PMingLiU" w:eastAsia="PMingLiU" w:hAnsi="PMingLiU"/>
          <w:sz w:val="17"/>
          <w:szCs w:val="17"/>
          <w:b w:val="1"/>
          <w:bCs w:val="1"/>
          <w:color w:val="231F20"/>
        </w:rPr>
        <w:t> </w:t>
      </w:r>
      <w:r>
        <w:rPr>
          <w:rFonts w:ascii="Arial" w:cs="Arial" w:eastAsia="Arial" w:hAnsi="Arial"/>
          <w:sz w:val="17"/>
          <w:szCs w:val="17"/>
          <w:b w:val="1"/>
          <w:bCs w:val="1"/>
          <w:color w:val="231F20"/>
        </w:rPr>
        <w:t>believe,</w:t>
      </w:r>
      <w:r>
        <w:rPr>
          <w:rFonts w:ascii="PMingLiU" w:cs="PMingLiU" w:eastAsia="PMingLiU" w:hAnsi="PMingLiU"/>
          <w:sz w:val="17"/>
          <w:szCs w:val="17"/>
          <w:b w:val="1"/>
          <w:bCs w:val="1"/>
          <w:color w:val="231F20"/>
        </w:rPr>
        <w:t> </w:t>
      </w:r>
      <w:r>
        <w:rPr>
          <w:rFonts w:ascii="Arial" w:cs="Arial" w:eastAsia="Arial" w:hAnsi="Arial"/>
          <w:sz w:val="17"/>
          <w:szCs w:val="17"/>
          <w:b w:val="1"/>
          <w:bCs w:val="1"/>
          <w:color w:val="231F20"/>
        </w:rPr>
        <w:t>estimate,</w:t>
      </w:r>
      <w:r>
        <w:rPr>
          <w:rFonts w:ascii="PMingLiU" w:cs="PMingLiU" w:eastAsia="PMingLiU" w:hAnsi="PMingLiU"/>
          <w:sz w:val="17"/>
          <w:szCs w:val="17"/>
          <w:b w:val="1"/>
          <w:bCs w:val="1"/>
          <w:color w:val="231F20"/>
        </w:rPr>
        <w:t> </w:t>
      </w:r>
      <w:r>
        <w:rPr>
          <w:rFonts w:ascii="Arial" w:cs="Arial" w:eastAsia="Arial" w:hAnsi="Arial"/>
          <w:sz w:val="17"/>
          <w:szCs w:val="17"/>
          <w:b w:val="1"/>
          <w:bCs w:val="1"/>
          <w:color w:val="231F20"/>
        </w:rPr>
        <w:t>predict,</w:t>
      </w:r>
      <w:r>
        <w:rPr>
          <w:rFonts w:ascii="PMingLiU" w:cs="PMingLiU" w:eastAsia="PMingLiU" w:hAnsi="PMingLiU"/>
          <w:sz w:val="17"/>
          <w:szCs w:val="17"/>
          <w:b w:val="1"/>
          <w:bCs w:val="1"/>
          <w:color w:val="231F20"/>
        </w:rPr>
        <w:t> </w:t>
      </w:r>
      <w:r>
        <w:rPr>
          <w:rFonts w:ascii="Arial" w:cs="Arial" w:eastAsia="Arial" w:hAnsi="Arial"/>
          <w:sz w:val="17"/>
          <w:szCs w:val="17"/>
          <w:b w:val="1"/>
          <w:bCs w:val="1"/>
          <w:color w:val="231F20"/>
        </w:rPr>
        <w:t>potential,</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or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continue</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or the negative</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of these terms or other similar expressions. Forward-looking statements contained in this Annual Report include, but are not limited</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to, statements about:</w:t>
      </w:r>
    </w:p>
    <w:p>
      <w:pPr>
        <w:spacing w:after="0" w:line="254" w:lineRule="exact"/>
        <w:rPr>
          <w:sz w:val="20"/>
          <w:szCs w:val="20"/>
          <w:color w:val="auto"/>
        </w:rPr>
      </w:pPr>
    </w:p>
    <w:p>
      <w:pPr>
        <w:ind w:left="1180"/>
        <w:spacing w:after="0"/>
        <w:rPr>
          <w:sz w:val="20"/>
          <w:szCs w:val="20"/>
          <w:color w:val="auto"/>
        </w:rPr>
      </w:pPr>
      <w:r>
        <w:rPr>
          <w:rFonts w:ascii="Arial" w:cs="Arial" w:eastAsia="Arial" w:hAnsi="Arial"/>
          <w:sz w:val="19"/>
          <w:szCs w:val="19"/>
          <w:b w:val="1"/>
          <w:bCs w:val="1"/>
          <w:color w:val="231F20"/>
        </w:rPr>
        <w:t>our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wp:posOffset>
            </wp:positionH>
            <wp:positionV relativeFrom="paragraph">
              <wp:posOffset>-101600</wp:posOffset>
            </wp:positionV>
            <wp:extent cx="62230" cy="635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231F20"/>
        </w:rPr>
        <w:t>the sufficiency of our existing cash to fund our future operating expenses and capital expenditure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wp:posOffset>
            </wp:positionH>
            <wp:positionV relativeFrom="paragraph">
              <wp:posOffset>-91440</wp:posOffset>
            </wp:positionV>
            <wp:extent cx="62230" cy="635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23" w:lineRule="exact"/>
        <w:rPr>
          <w:sz w:val="20"/>
          <w:szCs w:val="20"/>
          <w:color w:val="auto"/>
        </w:rPr>
      </w:pPr>
    </w:p>
    <w:p>
      <w:pPr>
        <w:ind w:left="1180" w:right="600"/>
        <w:spacing w:after="0" w:line="239" w:lineRule="auto"/>
        <w:rPr>
          <w:sz w:val="20"/>
          <w:szCs w:val="20"/>
          <w:color w:val="auto"/>
        </w:rPr>
      </w:pPr>
      <w:r>
        <w:rPr>
          <w:rFonts w:ascii="Arial" w:cs="Arial" w:eastAsia="Arial" w:hAnsi="Arial"/>
          <w:sz w:val="19"/>
          <w:szCs w:val="19"/>
          <w:b w:val="1"/>
          <w:bCs w:val="1"/>
          <w:color w:val="231F20"/>
        </w:rPr>
        <w:t>the accuracy of our estimates regarding expenses, future revenue, capital requirements, and needs for additional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wp:posOffset>
            </wp:positionH>
            <wp:positionV relativeFrom="paragraph">
              <wp:posOffset>-242570</wp:posOffset>
            </wp:positionV>
            <wp:extent cx="62230" cy="635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6" w:lineRule="exact"/>
        <w:rPr>
          <w:sz w:val="20"/>
          <w:szCs w:val="20"/>
          <w:color w:val="auto"/>
        </w:rPr>
      </w:pPr>
    </w:p>
    <w:p>
      <w:pPr>
        <w:ind w:left="1180" w:right="80"/>
        <w:spacing w:after="0" w:line="239" w:lineRule="auto"/>
        <w:rPr>
          <w:sz w:val="20"/>
          <w:szCs w:val="20"/>
          <w:color w:val="auto"/>
        </w:rPr>
      </w:pPr>
      <w:r>
        <w:rPr>
          <w:rFonts w:ascii="Arial" w:cs="Arial" w:eastAsia="Arial" w:hAnsi="Arial"/>
          <w:sz w:val="19"/>
          <w:szCs w:val="19"/>
          <w:b w:val="1"/>
          <w:bCs w:val="1"/>
          <w:color w:val="231F20"/>
        </w:rPr>
        <w:t>our plans relating to commercializing our product candidates, if approved, including the geographic areas of focus and our ability to grow a sales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wp:posOffset>
            </wp:positionH>
            <wp:positionV relativeFrom="paragraph">
              <wp:posOffset>-242570</wp:posOffset>
            </wp:positionV>
            <wp:extent cx="62230" cy="635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4" w:lineRule="exact"/>
        <w:rPr>
          <w:sz w:val="20"/>
          <w:szCs w:val="20"/>
          <w:color w:val="auto"/>
        </w:rPr>
      </w:pPr>
    </w:p>
    <w:p>
      <w:pPr>
        <w:ind w:left="1180"/>
        <w:spacing w:after="0"/>
        <w:rPr>
          <w:sz w:val="20"/>
          <w:szCs w:val="20"/>
          <w:color w:val="auto"/>
        </w:rPr>
      </w:pPr>
      <w:r>
        <w:rPr>
          <w:rFonts w:ascii="Arial" w:cs="Arial" w:eastAsia="Arial" w:hAnsi="Arial"/>
          <w:sz w:val="19"/>
          <w:szCs w:val="19"/>
          <w:b w:val="1"/>
          <w:bCs w:val="1"/>
          <w:color w:val="231F20"/>
        </w:rPr>
        <w:t>the implementation of our strategic plans for our business and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wp:posOffset>
            </wp:positionH>
            <wp:positionV relativeFrom="paragraph">
              <wp:posOffset>-102870</wp:posOffset>
            </wp:positionV>
            <wp:extent cx="62230" cy="635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5" w:lineRule="exact"/>
        <w:rPr>
          <w:sz w:val="20"/>
          <w:szCs w:val="20"/>
          <w:color w:val="auto"/>
        </w:rPr>
      </w:pPr>
    </w:p>
    <w:p>
      <w:pPr>
        <w:ind w:left="1180" w:right="640"/>
        <w:spacing w:after="0" w:line="262" w:lineRule="auto"/>
        <w:rPr>
          <w:sz w:val="20"/>
          <w:szCs w:val="20"/>
          <w:color w:val="auto"/>
        </w:rPr>
      </w:pPr>
      <w:r>
        <w:rPr>
          <w:rFonts w:ascii="Arial" w:cs="Arial" w:eastAsia="Arial" w:hAnsi="Arial"/>
          <w:sz w:val="18"/>
          <w:szCs w:val="18"/>
          <w:b w:val="1"/>
          <w:bCs w:val="1"/>
          <w:color w:val="231F20"/>
        </w:rPr>
        <w:t>our ability to obtain and maintain regulatory approval of our product candidates and the timing or likelihood of regulatory filings and approvals, including our expectation to seek special designations, such as orphan drug designation, for our product candidates for various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wp:posOffset>
            </wp:positionH>
            <wp:positionV relativeFrom="paragraph">
              <wp:posOffset>-396875</wp:posOffset>
            </wp:positionV>
            <wp:extent cx="62230" cy="635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89" w:lineRule="exact"/>
        <w:rPr>
          <w:sz w:val="20"/>
          <w:szCs w:val="20"/>
          <w:color w:val="auto"/>
        </w:rPr>
      </w:pPr>
    </w:p>
    <w:p>
      <w:pPr>
        <w:ind w:left="1180" w:right="840"/>
        <w:spacing w:after="0" w:line="239" w:lineRule="auto"/>
        <w:rPr>
          <w:sz w:val="20"/>
          <w:szCs w:val="20"/>
          <w:color w:val="auto"/>
        </w:rPr>
      </w:pPr>
      <w:r>
        <w:rPr>
          <w:rFonts w:ascii="Arial" w:cs="Arial" w:eastAsia="Arial" w:hAnsi="Arial"/>
          <w:sz w:val="19"/>
          <w:szCs w:val="19"/>
          <w:b w:val="1"/>
          <w:bCs w:val="1"/>
          <w:color w:val="231F20"/>
        </w:rPr>
        <w:t>our reliance on third parties to conduct preclinical research activities, and for the manufacture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wp:posOffset>
            </wp:positionH>
            <wp:positionV relativeFrom="paragraph">
              <wp:posOffset>-243840</wp:posOffset>
            </wp:positionV>
            <wp:extent cx="62230" cy="635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6" w:lineRule="exact"/>
        <w:rPr>
          <w:sz w:val="20"/>
          <w:szCs w:val="20"/>
          <w:color w:val="auto"/>
        </w:rPr>
      </w:pPr>
    </w:p>
    <w:p>
      <w:pPr>
        <w:ind w:left="1180" w:right="460"/>
        <w:spacing w:after="0" w:line="239" w:lineRule="auto"/>
        <w:rPr>
          <w:sz w:val="20"/>
          <w:szCs w:val="20"/>
          <w:color w:val="auto"/>
        </w:rPr>
      </w:pPr>
      <w:r>
        <w:rPr>
          <w:rFonts w:ascii="Arial" w:cs="Arial" w:eastAsia="Arial" w:hAnsi="Arial"/>
          <w:sz w:val="19"/>
          <w:szCs w:val="19"/>
          <w:b w:val="1"/>
          <w:bCs w:val="1"/>
          <w:color w:val="231F20"/>
        </w:rPr>
        <w:t>the beneficial characteristics, mechanisms of action, safety profile, efficacy and therapeutic effects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wp:posOffset>
            </wp:positionH>
            <wp:positionV relativeFrom="paragraph">
              <wp:posOffset>-242570</wp:posOffset>
            </wp:positionV>
            <wp:extent cx="62230" cy="635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6" w:lineRule="exact"/>
        <w:rPr>
          <w:sz w:val="20"/>
          <w:szCs w:val="20"/>
          <w:color w:val="auto"/>
        </w:rPr>
      </w:pPr>
    </w:p>
    <w:p>
      <w:pPr>
        <w:ind w:left="1180" w:right="1140"/>
        <w:spacing w:after="0" w:line="416" w:lineRule="auto"/>
        <w:rPr>
          <w:sz w:val="20"/>
          <w:szCs w:val="20"/>
          <w:color w:val="auto"/>
        </w:rPr>
      </w:pPr>
      <w:r>
        <w:rPr>
          <w:rFonts w:ascii="Arial" w:cs="Arial" w:eastAsia="Arial" w:hAnsi="Arial"/>
          <w:sz w:val="17"/>
          <w:szCs w:val="17"/>
          <w:b w:val="1"/>
          <w:bCs w:val="1"/>
          <w:color w:val="231F20"/>
        </w:rPr>
        <w:t>the progress and focus of our current and future clinical trials, and the reporting of data from those trials; our ability to advance product candidates into and successfully complete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wp:posOffset>
            </wp:positionH>
            <wp:positionV relativeFrom="paragraph">
              <wp:posOffset>-396240</wp:posOffset>
            </wp:positionV>
            <wp:extent cx="62230" cy="635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230" cy="63500"/>
                    </a:xfrm>
                    <a:prstGeom prst="rect">
                      <a:avLst/>
                    </a:prstGeom>
                    <a:noFill/>
                  </pic:spPr>
                </pic:pic>
              </a:graphicData>
            </a:graphic>
          </wp:anchor>
        </w:drawing>
        <w:drawing>
          <wp:anchor simplePos="0" relativeHeight="251657728" behindDoc="1" locked="0" layoutInCell="0" allowOverlap="1">
            <wp:simplePos x="0" y="0"/>
            <wp:positionH relativeFrom="column">
              <wp:posOffset>522605</wp:posOffset>
            </wp:positionH>
            <wp:positionV relativeFrom="paragraph">
              <wp:posOffset>-181610</wp:posOffset>
            </wp:positionV>
            <wp:extent cx="62230" cy="635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ind w:left="1180"/>
        <w:spacing w:after="0" w:line="239" w:lineRule="auto"/>
        <w:rPr>
          <w:sz w:val="20"/>
          <w:szCs w:val="20"/>
          <w:color w:val="auto"/>
        </w:rPr>
      </w:pPr>
      <w:r>
        <w:rPr>
          <w:rFonts w:ascii="Arial" w:cs="Arial" w:eastAsia="Arial" w:hAnsi="Arial"/>
          <w:sz w:val="19"/>
          <w:szCs w:val="19"/>
          <w:b w:val="1"/>
          <w:bCs w:val="1"/>
          <w:color w:val="231F20"/>
        </w:rPr>
        <w:t>the ability of our clinical trials, including collaborations and investigator sponsored trials, to demonstrate the safety and efficacy of our product candidates, and other positive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wp:posOffset>
            </wp:positionH>
            <wp:positionV relativeFrom="paragraph">
              <wp:posOffset>-242570</wp:posOffset>
            </wp:positionV>
            <wp:extent cx="62230" cy="635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4" w:lineRule="exact"/>
        <w:rPr>
          <w:sz w:val="20"/>
          <w:szCs w:val="20"/>
          <w:color w:val="auto"/>
        </w:rPr>
      </w:pPr>
    </w:p>
    <w:p>
      <w:pPr>
        <w:ind w:left="1180"/>
        <w:spacing w:after="0"/>
        <w:rPr>
          <w:sz w:val="20"/>
          <w:szCs w:val="20"/>
          <w:color w:val="auto"/>
        </w:rPr>
      </w:pPr>
      <w:r>
        <w:rPr>
          <w:rFonts w:ascii="Arial" w:cs="Arial" w:eastAsia="Arial" w:hAnsi="Arial"/>
          <w:sz w:val="19"/>
          <w:szCs w:val="19"/>
          <w:b w:val="1"/>
          <w:bCs w:val="1"/>
          <w:color w:val="231F20"/>
        </w:rPr>
        <w:t>the success of competing therapies that are or may become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wp:posOffset>
            </wp:positionH>
            <wp:positionV relativeFrom="paragraph">
              <wp:posOffset>-102870</wp:posOffset>
            </wp:positionV>
            <wp:extent cx="62230" cy="635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5"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231F20"/>
        </w:rPr>
        <w:t>developments relating to our competitors and our industry, including competing product candidates and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wp:posOffset>
            </wp:positionH>
            <wp:positionV relativeFrom="paragraph">
              <wp:posOffset>-83185</wp:posOffset>
            </wp:positionV>
            <wp:extent cx="62230" cy="635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37" w:lineRule="exact"/>
        <w:rPr>
          <w:sz w:val="20"/>
          <w:szCs w:val="20"/>
          <w:color w:val="auto"/>
        </w:rPr>
      </w:pPr>
    </w:p>
    <w:p>
      <w:pPr>
        <w:ind w:left="1180" w:right="600"/>
        <w:spacing w:after="0" w:line="239" w:lineRule="auto"/>
        <w:rPr>
          <w:sz w:val="20"/>
          <w:szCs w:val="20"/>
          <w:color w:val="auto"/>
        </w:rPr>
      </w:pPr>
      <w:r>
        <w:rPr>
          <w:rFonts w:ascii="Arial" w:cs="Arial" w:eastAsia="Arial" w:hAnsi="Arial"/>
          <w:sz w:val="19"/>
          <w:szCs w:val="19"/>
          <w:b w:val="1"/>
          <w:bCs w:val="1"/>
          <w:color w:val="231F20"/>
        </w:rPr>
        <w:t>our plans relating to the further development and manufacturing of our product candidates, including additional indications that we may pursue;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wp:posOffset>
            </wp:positionH>
            <wp:positionV relativeFrom="paragraph">
              <wp:posOffset>-243840</wp:posOffset>
            </wp:positionV>
            <wp:extent cx="62230" cy="635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1" w:lineRule="exact"/>
        <w:rPr>
          <w:sz w:val="20"/>
          <w:szCs w:val="20"/>
          <w:color w:val="auto"/>
        </w:rPr>
      </w:pPr>
    </w:p>
    <w:p>
      <w:pPr>
        <w:ind w:left="1180"/>
        <w:spacing w:after="0"/>
        <w:rPr>
          <w:sz w:val="20"/>
          <w:szCs w:val="20"/>
          <w:color w:val="auto"/>
        </w:rPr>
      </w:pPr>
      <w:r>
        <w:rPr>
          <w:rFonts w:ascii="Arial" w:cs="Arial" w:eastAsia="Arial" w:hAnsi="Arial"/>
          <w:sz w:val="19"/>
          <w:szCs w:val="19"/>
          <w:b w:val="1"/>
          <w:bCs w:val="1"/>
          <w:color w:val="231F20"/>
        </w:rPr>
        <w:t>existing regulations and regulatory developments in the United States and other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wp:posOffset>
            </wp:positionH>
            <wp:positionV relativeFrom="paragraph">
              <wp:posOffset>-101600</wp:posOffset>
            </wp:positionV>
            <wp:extent cx="62230" cy="635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5" w:lineRule="exact"/>
        <w:rPr>
          <w:sz w:val="20"/>
          <w:szCs w:val="20"/>
          <w:color w:val="auto"/>
        </w:rPr>
      </w:pPr>
    </w:p>
    <w:p>
      <w:pPr>
        <w:ind w:left="1180" w:right="540"/>
        <w:spacing w:after="0" w:line="239" w:lineRule="auto"/>
        <w:rPr>
          <w:sz w:val="20"/>
          <w:szCs w:val="20"/>
          <w:color w:val="auto"/>
        </w:rPr>
      </w:pPr>
      <w:r>
        <w:rPr>
          <w:rFonts w:ascii="Arial" w:cs="Arial" w:eastAsia="Arial" w:hAnsi="Arial"/>
          <w:sz w:val="19"/>
          <w:szCs w:val="19"/>
          <w:b w:val="1"/>
          <w:bCs w:val="1"/>
          <w:color w:val="231F20"/>
        </w:rPr>
        <w:t>our potential and ability to successfully manufacture and supply our product candidates for clinical trials and for commercial use, if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wp:posOffset>
            </wp:positionH>
            <wp:positionV relativeFrom="paragraph">
              <wp:posOffset>-242570</wp:posOffset>
            </wp:positionV>
            <wp:extent cx="62230" cy="635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9" w:lineRule="exact"/>
        <w:rPr>
          <w:sz w:val="20"/>
          <w:szCs w:val="20"/>
          <w:color w:val="auto"/>
        </w:rPr>
      </w:pPr>
    </w:p>
    <w:p>
      <w:pPr>
        <w:ind w:left="1180" w:right="200"/>
        <w:spacing w:after="0" w:line="239" w:lineRule="auto"/>
        <w:rPr>
          <w:sz w:val="20"/>
          <w:szCs w:val="20"/>
          <w:color w:val="auto"/>
        </w:rPr>
      </w:pPr>
      <w:r>
        <w:rPr>
          <w:rFonts w:ascii="Arial" w:cs="Arial" w:eastAsia="Arial" w:hAnsi="Arial"/>
          <w:sz w:val="19"/>
          <w:szCs w:val="19"/>
          <w:b w:val="1"/>
          <w:bCs w:val="1"/>
          <w:color w:val="231F20"/>
        </w:rPr>
        <w:t>our continued reliance on third parties to conduct clinical trials of our product candidates, and for the manufacture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wp:posOffset>
            </wp:positionH>
            <wp:positionV relativeFrom="paragraph">
              <wp:posOffset>-243840</wp:posOffset>
            </wp:positionV>
            <wp:extent cx="62230" cy="635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6" w:lineRule="exact"/>
        <w:rPr>
          <w:sz w:val="20"/>
          <w:szCs w:val="20"/>
          <w:color w:val="auto"/>
        </w:rPr>
      </w:pPr>
    </w:p>
    <w:p>
      <w:pPr>
        <w:ind w:left="1180" w:right="460"/>
        <w:spacing w:after="0" w:line="239" w:lineRule="auto"/>
        <w:rPr>
          <w:sz w:val="20"/>
          <w:szCs w:val="20"/>
          <w:color w:val="auto"/>
        </w:rPr>
      </w:pPr>
      <w:r>
        <w:rPr>
          <w:rFonts w:ascii="Arial" w:cs="Arial" w:eastAsia="Arial" w:hAnsi="Arial"/>
          <w:sz w:val="19"/>
          <w:szCs w:val="19"/>
          <w:b w:val="1"/>
          <w:bCs w:val="1"/>
          <w:color w:val="231F20"/>
        </w:rPr>
        <w:t>our plans and ability to obtain or protect intellectual property rights, including extensions of existing patent terms where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wp:posOffset>
            </wp:positionH>
            <wp:positionV relativeFrom="paragraph">
              <wp:posOffset>-242570</wp:posOffset>
            </wp:positionV>
            <wp:extent cx="62230" cy="635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9" w:lineRule="exact"/>
        <w:rPr>
          <w:sz w:val="20"/>
          <w:szCs w:val="20"/>
          <w:color w:val="auto"/>
        </w:rPr>
      </w:pPr>
    </w:p>
    <w:p>
      <w:pPr>
        <w:ind w:left="1180" w:right="140"/>
        <w:spacing w:after="0" w:line="239" w:lineRule="auto"/>
        <w:rPr>
          <w:sz w:val="20"/>
          <w:szCs w:val="20"/>
          <w:color w:val="auto"/>
        </w:rPr>
      </w:pPr>
      <w:r>
        <w:rPr>
          <w:rFonts w:ascii="Arial" w:cs="Arial" w:eastAsia="Arial" w:hAnsi="Arial"/>
          <w:sz w:val="19"/>
          <w:szCs w:val="19"/>
          <w:b w:val="1"/>
          <w:bCs w:val="1"/>
          <w:color w:val="231F20"/>
        </w:rPr>
        <w:t>the scope of protection we are able to establish and maintain for intellectual property rights, including our technology platform and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wp:posOffset>
            </wp:positionH>
            <wp:positionV relativeFrom="paragraph">
              <wp:posOffset>-243840</wp:posOffset>
            </wp:positionV>
            <wp:extent cx="62230" cy="635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6" w:lineRule="exact"/>
        <w:rPr>
          <w:sz w:val="20"/>
          <w:szCs w:val="20"/>
          <w:color w:val="auto"/>
        </w:rPr>
      </w:pPr>
    </w:p>
    <w:p>
      <w:pPr>
        <w:ind w:left="1180" w:right="300"/>
        <w:spacing w:after="0" w:line="239" w:lineRule="auto"/>
        <w:rPr>
          <w:sz w:val="20"/>
          <w:szCs w:val="20"/>
          <w:color w:val="auto"/>
        </w:rPr>
      </w:pPr>
      <w:r>
        <w:rPr>
          <w:rFonts w:ascii="Arial" w:cs="Arial" w:eastAsia="Arial" w:hAnsi="Arial"/>
          <w:sz w:val="19"/>
          <w:szCs w:val="19"/>
          <w:b w:val="1"/>
          <w:bCs w:val="1"/>
          <w:color w:val="231F20"/>
        </w:rPr>
        <w:t>our ability to retain the continued service of our key personnel, the impacts of any executive officer changes, and to identify, hire, and then retain additional qualified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wp:posOffset>
            </wp:positionH>
            <wp:positionV relativeFrom="paragraph">
              <wp:posOffset>-242570</wp:posOffset>
            </wp:positionV>
            <wp:extent cx="62230" cy="635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ectPr>
          <w:pgSz w:w="12240" w:h="15840" w:orient="portrait"/>
          <w:cols w:equalWidth="0" w:num="1">
            <w:col w:w="10440"/>
          </w:cols>
          <w:pgMar w:left="880" w:top="1160" w:right="920" w:bottom="424"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231F20"/>
        </w:rPr>
        <w:t>i</w:t>
      </w:r>
    </w:p>
    <w:p>
      <w:pPr>
        <w:sectPr>
          <w:pgSz w:w="12240" w:h="15840" w:orient="portrait"/>
          <w:cols w:equalWidth="0" w:num="1">
            <w:col w:w="10440"/>
          </w:cols>
          <w:pgMar w:left="880" w:top="1160" w:right="920" w:bottom="424" w:gutter="0" w:footer="0" w:header="0"/>
          <w:type w:val="continuous"/>
        </w:sectPr>
      </w:pPr>
    </w:p>
    <w:bookmarkStart w:id="5" w:name="page6"/>
    <w:bookmarkEnd w:id="5"/>
    <w:p>
      <w:pPr>
        <w:ind w:left="1180" w:right="100"/>
        <w:spacing w:after="0" w:line="266" w:lineRule="auto"/>
        <w:rPr>
          <w:sz w:val="20"/>
          <w:szCs w:val="20"/>
          <w:color w:val="auto"/>
        </w:rPr>
      </w:pPr>
      <w:r>
        <w:rPr>
          <w:rFonts w:ascii="Arial" w:cs="Arial" w:eastAsia="Arial" w:hAnsi="Arial"/>
          <w:sz w:val="18"/>
          <w:szCs w:val="18"/>
          <w:b w:val="1"/>
          <w:bCs w:val="1"/>
          <w:color w:val="231F20"/>
        </w:rPr>
        <w:t>the impact of outbreaks or public health crises, including the COVID-19 pandemic, interest rate changes, bank failures or instability in the financial services sector, or geopolitical risks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wp:posOffset>
            </wp:positionH>
            <wp:positionV relativeFrom="paragraph">
              <wp:posOffset>-257175</wp:posOffset>
            </wp:positionV>
            <wp:extent cx="62230" cy="635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85" w:lineRule="exact"/>
        <w:rPr>
          <w:sz w:val="20"/>
          <w:szCs w:val="20"/>
          <w:color w:val="auto"/>
        </w:rPr>
      </w:pPr>
    </w:p>
    <w:p>
      <w:pPr>
        <w:ind w:left="1180"/>
        <w:spacing w:after="0" w:line="239" w:lineRule="auto"/>
        <w:rPr>
          <w:sz w:val="20"/>
          <w:szCs w:val="20"/>
          <w:color w:val="auto"/>
        </w:rPr>
      </w:pPr>
      <w:r>
        <w:rPr>
          <w:rFonts w:ascii="Arial" w:cs="Arial" w:eastAsia="Arial" w:hAnsi="Arial"/>
          <w:sz w:val="19"/>
          <w:szCs w:val="19"/>
          <w:b w:val="1"/>
          <w:bCs w:val="1"/>
          <w:color w:val="231F20"/>
        </w:rPr>
        <w:t>our plans for and prospects of our acquisitions and other business development activities, and our ability to successfully capitalize on these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wp:posOffset>
            </wp:positionH>
            <wp:positionV relativeFrom="paragraph">
              <wp:posOffset>-243840</wp:posOffset>
            </wp:positionV>
            <wp:extent cx="62230" cy="635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1" w:lineRule="exact"/>
        <w:rPr>
          <w:sz w:val="20"/>
          <w:szCs w:val="20"/>
          <w:color w:val="auto"/>
        </w:rPr>
      </w:pPr>
    </w:p>
    <w:p>
      <w:pPr>
        <w:ind w:left="1180"/>
        <w:spacing w:after="0"/>
        <w:rPr>
          <w:sz w:val="20"/>
          <w:szCs w:val="20"/>
          <w:color w:val="auto"/>
        </w:rPr>
      </w:pPr>
      <w:r>
        <w:rPr>
          <w:rFonts w:ascii="Arial" w:cs="Arial" w:eastAsia="Arial" w:hAnsi="Arial"/>
          <w:sz w:val="19"/>
          <w:szCs w:val="19"/>
          <w:b w:val="1"/>
          <w:bCs w:val="1"/>
          <w:color w:val="231F20"/>
        </w:rPr>
        <w:t>changes in our financial and internal controls;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wp:posOffset>
            </wp:positionH>
            <wp:positionV relativeFrom="paragraph">
              <wp:posOffset>-101600</wp:posOffset>
            </wp:positionV>
            <wp:extent cx="62230" cy="635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8" w:lineRule="exact"/>
        <w:rPr>
          <w:sz w:val="20"/>
          <w:szCs w:val="20"/>
          <w:color w:val="auto"/>
        </w:rPr>
      </w:pPr>
    </w:p>
    <w:p>
      <w:pPr>
        <w:ind w:left="1180" w:right="440"/>
        <w:spacing w:after="0" w:line="239" w:lineRule="auto"/>
        <w:rPr>
          <w:sz w:val="20"/>
          <w:szCs w:val="20"/>
          <w:color w:val="auto"/>
        </w:rPr>
      </w:pPr>
      <w:r>
        <w:rPr>
          <w:rFonts w:ascii="Arial" w:cs="Arial" w:eastAsia="Arial" w:hAnsi="Arial"/>
          <w:sz w:val="19"/>
          <w:szCs w:val="19"/>
          <w:b w:val="1"/>
          <w:bCs w:val="1"/>
          <w:color w:val="231F20"/>
        </w:rPr>
        <w:t>our anticipated use of our existing cash and cash equivalents, short-term and long-term investments, and the funds available from our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wp:posOffset>
            </wp:positionH>
            <wp:positionV relativeFrom="paragraph">
              <wp:posOffset>-243840</wp:posOffset>
            </wp:positionV>
            <wp:extent cx="62230" cy="635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224" w:lineRule="exact"/>
        <w:rPr>
          <w:sz w:val="20"/>
          <w:szCs w:val="20"/>
          <w:color w:val="auto"/>
        </w:rPr>
      </w:pPr>
    </w:p>
    <w:p>
      <w:pPr>
        <w:ind w:right="40" w:firstLine="475"/>
        <w:spacing w:after="0" w:line="222" w:lineRule="exact"/>
        <w:rPr>
          <w:sz w:val="20"/>
          <w:szCs w:val="20"/>
          <w:color w:val="auto"/>
        </w:rPr>
      </w:pPr>
      <w:r>
        <w:rPr>
          <w:rFonts w:ascii="Arial" w:cs="Arial" w:eastAsia="Arial" w:hAnsi="Arial"/>
          <w:sz w:val="16"/>
          <w:szCs w:val="16"/>
          <w:b w:val="1"/>
          <w:bCs w:val="1"/>
          <w:color w:val="231F20"/>
        </w:rPr>
        <w:t xml:space="preserve">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Annual Report on Form 10-K and are subject to a number of risks, uncertainties and assumptions described in the section titled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Risk Factors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and elsewhere in this Annual Report on Form 10-K.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250" w:lineRule="exact"/>
        <w:rPr>
          <w:sz w:val="20"/>
          <w:szCs w:val="20"/>
          <w:color w:val="auto"/>
        </w:rPr>
      </w:pPr>
    </w:p>
    <w:p>
      <w:pPr>
        <w:ind w:right="60" w:firstLine="475"/>
        <w:spacing w:after="0" w:line="221" w:lineRule="exact"/>
        <w:rPr>
          <w:sz w:val="20"/>
          <w:szCs w:val="20"/>
          <w:color w:val="auto"/>
        </w:rPr>
      </w:pPr>
      <w:r>
        <w:rPr>
          <w:rFonts w:ascii="Arial" w:cs="Arial" w:eastAsia="Arial" w:hAnsi="Arial"/>
          <w:sz w:val="17"/>
          <w:szCs w:val="17"/>
          <w:b w:val="1"/>
          <w:bCs w:val="1"/>
          <w:color w:val="231F20"/>
        </w:rPr>
        <w:t xml:space="preserve">In addition, statements that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we believe</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ectPr>
          <w:pgSz w:w="12240" w:h="15840" w:orient="portrait"/>
          <w:cols w:equalWidth="0" w:num="1">
            <w:col w:w="10480"/>
          </w:cols>
          <w:pgMar w:left="880" w:top="1165" w:right="880" w:bottom="3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ii</w:t>
      </w:r>
    </w:p>
    <w:p>
      <w:pPr>
        <w:sectPr>
          <w:pgSz w:w="12240" w:h="15840" w:orient="portrait"/>
          <w:cols w:equalWidth="0" w:num="1">
            <w:col w:w="10480"/>
          </w:cols>
          <w:pgMar w:left="880" w:top="1165" w:right="880" w:bottom="372"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18"/>
        </w:trPr>
        <w:tc>
          <w:tcPr>
            <w:tcW w:w="920" w:type="dxa"/>
            <w:vAlign w:val="bottom"/>
          </w:tcPr>
          <w:p>
            <w:pPr>
              <w:spacing w:after="0"/>
              <w:rPr>
                <w:sz w:val="18"/>
                <w:szCs w:val="18"/>
                <w:color w:val="auto"/>
              </w:rPr>
            </w:pPr>
          </w:p>
        </w:tc>
        <w:tc>
          <w:tcPr>
            <w:tcW w:w="8860" w:type="dxa"/>
            <w:vAlign w:val="bottom"/>
          </w:tcPr>
          <w:p>
            <w:pPr>
              <w:ind w:left="3580"/>
              <w:spacing w:after="0"/>
              <w:rPr>
                <w:sz w:val="20"/>
                <w:szCs w:val="20"/>
                <w:color w:val="auto"/>
              </w:rPr>
            </w:pPr>
            <w:r>
              <w:rPr>
                <w:rFonts w:ascii="Arial" w:cs="Arial" w:eastAsia="Arial" w:hAnsi="Arial"/>
                <w:sz w:val="19"/>
                <w:szCs w:val="19"/>
                <w:b w:val="1"/>
                <w:bCs w:val="1"/>
                <w:color w:val="231F20"/>
              </w:rPr>
              <w:t>Table of Contents</w:t>
            </w:r>
          </w:p>
        </w:tc>
        <w:tc>
          <w:tcPr>
            <w:tcW w:w="700" w:type="dxa"/>
            <w:vAlign w:val="bottom"/>
          </w:tcPr>
          <w:p>
            <w:pPr>
              <w:spacing w:after="0"/>
              <w:rPr>
                <w:sz w:val="18"/>
                <w:szCs w:val="18"/>
                <w:color w:val="auto"/>
              </w:rPr>
            </w:pPr>
          </w:p>
        </w:tc>
      </w:tr>
      <w:tr>
        <w:trPr>
          <w:trHeight w:val="417"/>
        </w:trPr>
        <w:tc>
          <w:tcPr>
            <w:tcW w:w="920" w:type="dxa"/>
            <w:vAlign w:val="bottom"/>
          </w:tcPr>
          <w:p>
            <w:pPr>
              <w:spacing w:after="0"/>
              <w:rPr>
                <w:sz w:val="24"/>
                <w:szCs w:val="24"/>
                <w:color w:val="auto"/>
              </w:rPr>
            </w:pPr>
          </w:p>
        </w:tc>
        <w:tc>
          <w:tcPr>
            <w:tcW w:w="8860" w:type="dxa"/>
            <w:vAlign w:val="bottom"/>
          </w:tcPr>
          <w:p>
            <w:pPr>
              <w:spacing w:after="0"/>
              <w:rPr>
                <w:sz w:val="24"/>
                <w:szCs w:val="24"/>
                <w:color w:val="auto"/>
              </w:rPr>
            </w:pPr>
          </w:p>
        </w:tc>
        <w:tc>
          <w:tcPr>
            <w:tcW w:w="700" w:type="dxa"/>
            <w:vAlign w:val="bottom"/>
            <w:tcBorders>
              <w:bottom w:val="single" w:sz="8" w:color="231F20"/>
            </w:tcBorders>
          </w:tcPr>
          <w:p>
            <w:pPr>
              <w:jc w:val="right"/>
              <w:ind w:right="104"/>
              <w:spacing w:after="0"/>
              <w:rPr>
                <w:sz w:val="20"/>
                <w:szCs w:val="20"/>
                <w:color w:val="auto"/>
              </w:rPr>
            </w:pPr>
            <w:r>
              <w:rPr>
                <w:rFonts w:ascii="Arial" w:cs="Arial" w:eastAsia="Arial" w:hAnsi="Arial"/>
                <w:sz w:val="16"/>
                <w:szCs w:val="16"/>
                <w:b w:val="1"/>
                <w:bCs w:val="1"/>
                <w:color w:val="231F20"/>
              </w:rPr>
              <w:t>Page</w:t>
            </w:r>
          </w:p>
        </w:tc>
      </w:tr>
      <w:tr>
        <w:trPr>
          <w:trHeight w:val="223"/>
        </w:trPr>
        <w:tc>
          <w:tcPr>
            <w:tcW w:w="920" w:type="dxa"/>
            <w:vAlign w:val="bottom"/>
          </w:tcPr>
          <w:p>
            <w:pPr>
              <w:spacing w:after="0"/>
              <w:rPr>
                <w:sz w:val="20"/>
                <w:szCs w:val="20"/>
                <w:color w:val="auto"/>
              </w:rPr>
            </w:pPr>
            <w:r>
              <w:rPr>
                <w:rFonts w:ascii="Arial" w:cs="Arial" w:eastAsia="Arial" w:hAnsi="Arial"/>
                <w:sz w:val="19"/>
                <w:szCs w:val="19"/>
                <w:b w:val="1"/>
                <w:bCs w:val="1"/>
                <w:color w:val="231F20"/>
              </w:rPr>
              <w:t>PART I</w:t>
            </w:r>
          </w:p>
        </w:tc>
        <w:tc>
          <w:tcPr>
            <w:tcW w:w="88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8"/>
        </w:trPr>
        <w:tc>
          <w:tcPr>
            <w:tcW w:w="920" w:type="dxa"/>
            <w:vAlign w:val="bottom"/>
          </w:tcPr>
          <w:p>
            <w:pPr>
              <w:ind w:left="140"/>
              <w:spacing w:after="0"/>
              <w:rPr>
                <w:sz w:val="20"/>
                <w:szCs w:val="20"/>
                <w:color w:val="auto"/>
              </w:rPr>
            </w:pPr>
            <w:r>
              <w:rPr>
                <w:rFonts w:ascii="Arial" w:cs="Arial" w:eastAsia="Arial" w:hAnsi="Arial"/>
                <w:sz w:val="19"/>
                <w:szCs w:val="19"/>
                <w:b w:val="1"/>
                <w:bCs w:val="1"/>
                <w:color w:val="231F20"/>
              </w:rPr>
              <w:t>Item 1.</w:t>
            </w:r>
          </w:p>
        </w:tc>
        <w:tc>
          <w:tcPr>
            <w:tcW w:w="8860" w:type="dxa"/>
            <w:vAlign w:val="bottom"/>
          </w:tcPr>
          <w:p>
            <w:pPr>
              <w:ind w:left="100"/>
              <w:spacing w:after="0"/>
              <w:rPr>
                <w:sz w:val="20"/>
                <w:szCs w:val="20"/>
                <w:color w:val="auto"/>
              </w:rPr>
            </w:pPr>
            <w:r>
              <w:rPr>
                <w:rFonts w:ascii="Arial" w:cs="Arial" w:eastAsia="Arial" w:hAnsi="Arial"/>
                <w:sz w:val="19"/>
                <w:szCs w:val="19"/>
                <w:b w:val="1"/>
                <w:bCs w:val="1"/>
                <w:color w:val="auto"/>
              </w:rPr>
              <w:t>Business</w:t>
            </w:r>
          </w:p>
        </w:tc>
        <w:tc>
          <w:tcPr>
            <w:tcW w:w="700" w:type="dxa"/>
            <w:vAlign w:val="bottom"/>
          </w:tcPr>
          <w:p>
            <w:pPr>
              <w:jc w:val="right"/>
              <w:spacing w:after="0"/>
              <w:rPr>
                <w:sz w:val="20"/>
                <w:szCs w:val="20"/>
                <w:color w:val="auto"/>
              </w:rPr>
            </w:pPr>
            <w:r>
              <w:rPr>
                <w:rFonts w:ascii="Arial" w:cs="Arial" w:eastAsia="Arial" w:hAnsi="Arial"/>
                <w:sz w:val="19"/>
                <w:szCs w:val="19"/>
                <w:b w:val="1"/>
                <w:bCs w:val="1"/>
                <w:color w:val="231F20"/>
              </w:rPr>
              <w:t>1</w:t>
            </w:r>
          </w:p>
        </w:tc>
      </w:tr>
      <w:tr>
        <w:trPr>
          <w:trHeight w:val="238"/>
        </w:trPr>
        <w:tc>
          <w:tcPr>
            <w:tcW w:w="920" w:type="dxa"/>
            <w:vAlign w:val="bottom"/>
          </w:tcPr>
          <w:p>
            <w:pPr>
              <w:ind w:left="140"/>
              <w:spacing w:after="0"/>
              <w:rPr>
                <w:sz w:val="20"/>
                <w:szCs w:val="20"/>
                <w:color w:val="auto"/>
              </w:rPr>
            </w:pPr>
            <w:r>
              <w:rPr>
                <w:rFonts w:ascii="Arial" w:cs="Arial" w:eastAsia="Arial" w:hAnsi="Arial"/>
                <w:sz w:val="19"/>
                <w:szCs w:val="19"/>
                <w:b w:val="1"/>
                <w:bCs w:val="1"/>
                <w:color w:val="231F20"/>
              </w:rPr>
              <w:t>Item 1A.</w:t>
            </w:r>
          </w:p>
        </w:tc>
        <w:tc>
          <w:tcPr>
            <w:tcW w:w="8860" w:type="dxa"/>
            <w:vAlign w:val="bottom"/>
          </w:tcPr>
          <w:p>
            <w:pPr>
              <w:ind w:left="100"/>
              <w:spacing w:after="0"/>
              <w:rPr>
                <w:sz w:val="20"/>
                <w:szCs w:val="20"/>
                <w:color w:val="auto"/>
              </w:rPr>
            </w:pPr>
            <w:r>
              <w:rPr>
                <w:rFonts w:ascii="Arial" w:cs="Arial" w:eastAsia="Arial" w:hAnsi="Arial"/>
                <w:sz w:val="19"/>
                <w:szCs w:val="19"/>
                <w:b w:val="1"/>
                <w:bCs w:val="1"/>
                <w:color w:val="auto"/>
              </w:rPr>
              <w:t>Risk Factors</w:t>
            </w:r>
          </w:p>
        </w:tc>
        <w:tc>
          <w:tcPr>
            <w:tcW w:w="700" w:type="dxa"/>
            <w:vAlign w:val="bottom"/>
          </w:tcPr>
          <w:p>
            <w:pPr>
              <w:jc w:val="right"/>
              <w:spacing w:after="0"/>
              <w:rPr>
                <w:sz w:val="20"/>
                <w:szCs w:val="20"/>
                <w:color w:val="auto"/>
              </w:rPr>
            </w:pPr>
            <w:r>
              <w:rPr>
                <w:rFonts w:ascii="Arial" w:cs="Arial" w:eastAsia="Arial" w:hAnsi="Arial"/>
                <w:sz w:val="19"/>
                <w:szCs w:val="19"/>
                <w:b w:val="1"/>
                <w:bCs w:val="1"/>
                <w:color w:val="231F20"/>
              </w:rPr>
              <w:t>29</w:t>
            </w:r>
          </w:p>
        </w:tc>
      </w:tr>
      <w:tr>
        <w:trPr>
          <w:trHeight w:val="238"/>
        </w:trPr>
        <w:tc>
          <w:tcPr>
            <w:tcW w:w="920" w:type="dxa"/>
            <w:vAlign w:val="bottom"/>
          </w:tcPr>
          <w:p>
            <w:pPr>
              <w:ind w:left="140"/>
              <w:spacing w:after="0"/>
              <w:rPr>
                <w:sz w:val="20"/>
                <w:szCs w:val="20"/>
                <w:color w:val="auto"/>
              </w:rPr>
            </w:pPr>
            <w:r>
              <w:rPr>
                <w:rFonts w:ascii="Arial" w:cs="Arial" w:eastAsia="Arial" w:hAnsi="Arial"/>
                <w:sz w:val="19"/>
                <w:szCs w:val="19"/>
                <w:b w:val="1"/>
                <w:bCs w:val="1"/>
                <w:color w:val="231F20"/>
              </w:rPr>
              <w:t>Item 1B.</w:t>
            </w:r>
          </w:p>
        </w:tc>
        <w:tc>
          <w:tcPr>
            <w:tcW w:w="8860" w:type="dxa"/>
            <w:vAlign w:val="bottom"/>
          </w:tcPr>
          <w:p>
            <w:pPr>
              <w:ind w:left="100"/>
              <w:spacing w:after="0"/>
              <w:rPr>
                <w:sz w:val="20"/>
                <w:szCs w:val="20"/>
                <w:color w:val="auto"/>
              </w:rPr>
            </w:pPr>
            <w:r>
              <w:rPr>
                <w:rFonts w:ascii="Arial" w:cs="Arial" w:eastAsia="Arial" w:hAnsi="Arial"/>
                <w:sz w:val="19"/>
                <w:szCs w:val="19"/>
                <w:b w:val="1"/>
                <w:bCs w:val="1"/>
                <w:color w:val="auto"/>
              </w:rPr>
              <w:t>Unresolved Staff Comments</w:t>
            </w:r>
          </w:p>
        </w:tc>
        <w:tc>
          <w:tcPr>
            <w:tcW w:w="700" w:type="dxa"/>
            <w:vAlign w:val="bottom"/>
          </w:tcPr>
          <w:p>
            <w:pPr>
              <w:jc w:val="right"/>
              <w:spacing w:after="0"/>
              <w:rPr>
                <w:sz w:val="20"/>
                <w:szCs w:val="20"/>
                <w:color w:val="auto"/>
              </w:rPr>
            </w:pPr>
            <w:r>
              <w:rPr>
                <w:rFonts w:ascii="Arial" w:cs="Arial" w:eastAsia="Arial" w:hAnsi="Arial"/>
                <w:sz w:val="19"/>
                <w:szCs w:val="19"/>
                <w:b w:val="1"/>
                <w:bCs w:val="1"/>
                <w:color w:val="231F20"/>
              </w:rPr>
              <w:t>76</w:t>
            </w:r>
          </w:p>
        </w:tc>
      </w:tr>
      <w:tr>
        <w:trPr>
          <w:trHeight w:val="238"/>
        </w:trPr>
        <w:tc>
          <w:tcPr>
            <w:tcW w:w="920" w:type="dxa"/>
            <w:vAlign w:val="bottom"/>
          </w:tcPr>
          <w:p>
            <w:pPr>
              <w:ind w:left="140"/>
              <w:spacing w:after="0"/>
              <w:rPr>
                <w:sz w:val="20"/>
                <w:szCs w:val="20"/>
                <w:color w:val="auto"/>
              </w:rPr>
            </w:pPr>
            <w:r>
              <w:rPr>
                <w:rFonts w:ascii="Arial" w:cs="Arial" w:eastAsia="Arial" w:hAnsi="Arial"/>
                <w:sz w:val="19"/>
                <w:szCs w:val="19"/>
                <w:b w:val="1"/>
                <w:bCs w:val="1"/>
                <w:color w:val="231F20"/>
              </w:rPr>
              <w:t>Item 1C.</w:t>
            </w:r>
          </w:p>
        </w:tc>
        <w:tc>
          <w:tcPr>
            <w:tcW w:w="8860" w:type="dxa"/>
            <w:vAlign w:val="bottom"/>
          </w:tcPr>
          <w:p>
            <w:pPr>
              <w:ind w:left="100"/>
              <w:spacing w:after="0"/>
              <w:rPr>
                <w:sz w:val="20"/>
                <w:szCs w:val="20"/>
                <w:color w:val="auto"/>
              </w:rPr>
            </w:pPr>
            <w:r>
              <w:rPr>
                <w:rFonts w:ascii="Arial" w:cs="Arial" w:eastAsia="Arial" w:hAnsi="Arial"/>
                <w:sz w:val="19"/>
                <w:szCs w:val="19"/>
                <w:b w:val="1"/>
                <w:bCs w:val="1"/>
                <w:color w:val="231F20"/>
              </w:rPr>
              <w:t>Cybersecurity</w:t>
            </w:r>
          </w:p>
        </w:tc>
        <w:tc>
          <w:tcPr>
            <w:tcW w:w="700" w:type="dxa"/>
            <w:vAlign w:val="bottom"/>
          </w:tcPr>
          <w:p>
            <w:pPr>
              <w:jc w:val="right"/>
              <w:spacing w:after="0"/>
              <w:rPr>
                <w:sz w:val="20"/>
                <w:szCs w:val="20"/>
                <w:color w:val="auto"/>
              </w:rPr>
            </w:pPr>
            <w:r>
              <w:rPr>
                <w:rFonts w:ascii="Arial" w:cs="Arial" w:eastAsia="Arial" w:hAnsi="Arial"/>
                <w:sz w:val="19"/>
                <w:szCs w:val="19"/>
                <w:b w:val="1"/>
                <w:bCs w:val="1"/>
                <w:color w:val="231F20"/>
              </w:rPr>
              <w:t>76</w:t>
            </w:r>
          </w:p>
        </w:tc>
      </w:tr>
      <w:tr>
        <w:trPr>
          <w:trHeight w:val="238"/>
        </w:trPr>
        <w:tc>
          <w:tcPr>
            <w:tcW w:w="920" w:type="dxa"/>
            <w:vAlign w:val="bottom"/>
          </w:tcPr>
          <w:p>
            <w:pPr>
              <w:ind w:left="140"/>
              <w:spacing w:after="0"/>
              <w:rPr>
                <w:sz w:val="20"/>
                <w:szCs w:val="20"/>
                <w:color w:val="auto"/>
              </w:rPr>
            </w:pPr>
            <w:r>
              <w:rPr>
                <w:rFonts w:ascii="Arial" w:cs="Arial" w:eastAsia="Arial" w:hAnsi="Arial"/>
                <w:sz w:val="19"/>
                <w:szCs w:val="19"/>
                <w:b w:val="1"/>
                <w:bCs w:val="1"/>
                <w:color w:val="231F20"/>
              </w:rPr>
              <w:t>Item 2.</w:t>
            </w:r>
          </w:p>
        </w:tc>
        <w:tc>
          <w:tcPr>
            <w:tcW w:w="8860" w:type="dxa"/>
            <w:vAlign w:val="bottom"/>
          </w:tcPr>
          <w:p>
            <w:pPr>
              <w:ind w:left="100"/>
              <w:spacing w:after="0"/>
              <w:rPr>
                <w:sz w:val="20"/>
                <w:szCs w:val="20"/>
                <w:color w:val="auto"/>
              </w:rPr>
            </w:pPr>
            <w:r>
              <w:rPr>
                <w:rFonts w:ascii="Arial" w:cs="Arial" w:eastAsia="Arial" w:hAnsi="Arial"/>
                <w:sz w:val="19"/>
                <w:szCs w:val="19"/>
                <w:b w:val="1"/>
                <w:bCs w:val="1"/>
                <w:color w:val="auto"/>
              </w:rPr>
              <w:t>Properties</w:t>
            </w:r>
          </w:p>
        </w:tc>
        <w:tc>
          <w:tcPr>
            <w:tcW w:w="700" w:type="dxa"/>
            <w:vAlign w:val="bottom"/>
          </w:tcPr>
          <w:p>
            <w:pPr>
              <w:jc w:val="right"/>
              <w:spacing w:after="0"/>
              <w:rPr>
                <w:sz w:val="20"/>
                <w:szCs w:val="20"/>
                <w:color w:val="auto"/>
              </w:rPr>
            </w:pPr>
            <w:r>
              <w:rPr>
                <w:rFonts w:ascii="Arial" w:cs="Arial" w:eastAsia="Arial" w:hAnsi="Arial"/>
                <w:sz w:val="19"/>
                <w:szCs w:val="19"/>
                <w:b w:val="1"/>
                <w:bCs w:val="1"/>
                <w:color w:val="231F20"/>
              </w:rPr>
              <w:t>77</w:t>
            </w:r>
          </w:p>
        </w:tc>
      </w:tr>
      <w:tr>
        <w:trPr>
          <w:trHeight w:val="238"/>
        </w:trPr>
        <w:tc>
          <w:tcPr>
            <w:tcW w:w="920" w:type="dxa"/>
            <w:vAlign w:val="bottom"/>
          </w:tcPr>
          <w:p>
            <w:pPr>
              <w:ind w:left="140"/>
              <w:spacing w:after="0"/>
              <w:rPr>
                <w:sz w:val="20"/>
                <w:szCs w:val="20"/>
                <w:color w:val="auto"/>
              </w:rPr>
            </w:pPr>
            <w:r>
              <w:rPr>
                <w:rFonts w:ascii="Arial" w:cs="Arial" w:eastAsia="Arial" w:hAnsi="Arial"/>
                <w:sz w:val="19"/>
                <w:szCs w:val="19"/>
                <w:b w:val="1"/>
                <w:bCs w:val="1"/>
                <w:color w:val="231F20"/>
              </w:rPr>
              <w:t>Item 3.</w:t>
            </w:r>
          </w:p>
        </w:tc>
        <w:tc>
          <w:tcPr>
            <w:tcW w:w="8860" w:type="dxa"/>
            <w:vAlign w:val="bottom"/>
          </w:tcPr>
          <w:p>
            <w:pPr>
              <w:ind w:left="100"/>
              <w:spacing w:after="0"/>
              <w:rPr>
                <w:sz w:val="20"/>
                <w:szCs w:val="20"/>
                <w:color w:val="auto"/>
              </w:rPr>
            </w:pPr>
            <w:r>
              <w:rPr>
                <w:rFonts w:ascii="Arial" w:cs="Arial" w:eastAsia="Arial" w:hAnsi="Arial"/>
                <w:sz w:val="19"/>
                <w:szCs w:val="19"/>
                <w:b w:val="1"/>
                <w:bCs w:val="1"/>
                <w:color w:val="auto"/>
              </w:rPr>
              <w:t>Legal Proceedings</w:t>
            </w:r>
          </w:p>
        </w:tc>
        <w:tc>
          <w:tcPr>
            <w:tcW w:w="700" w:type="dxa"/>
            <w:vAlign w:val="bottom"/>
          </w:tcPr>
          <w:p>
            <w:pPr>
              <w:jc w:val="right"/>
              <w:spacing w:after="0"/>
              <w:rPr>
                <w:sz w:val="20"/>
                <w:szCs w:val="20"/>
                <w:color w:val="auto"/>
              </w:rPr>
            </w:pPr>
            <w:r>
              <w:rPr>
                <w:rFonts w:ascii="Arial" w:cs="Arial" w:eastAsia="Arial" w:hAnsi="Arial"/>
                <w:sz w:val="19"/>
                <w:szCs w:val="19"/>
                <w:b w:val="1"/>
                <w:bCs w:val="1"/>
                <w:color w:val="231F20"/>
              </w:rPr>
              <w:t>77</w:t>
            </w:r>
          </w:p>
        </w:tc>
      </w:tr>
      <w:tr>
        <w:trPr>
          <w:trHeight w:val="238"/>
        </w:trPr>
        <w:tc>
          <w:tcPr>
            <w:tcW w:w="920" w:type="dxa"/>
            <w:vAlign w:val="bottom"/>
          </w:tcPr>
          <w:p>
            <w:pPr>
              <w:ind w:left="140"/>
              <w:spacing w:after="0"/>
              <w:rPr>
                <w:sz w:val="20"/>
                <w:szCs w:val="20"/>
                <w:color w:val="auto"/>
              </w:rPr>
            </w:pPr>
            <w:r>
              <w:rPr>
                <w:rFonts w:ascii="Arial" w:cs="Arial" w:eastAsia="Arial" w:hAnsi="Arial"/>
                <w:sz w:val="19"/>
                <w:szCs w:val="19"/>
                <w:b w:val="1"/>
                <w:bCs w:val="1"/>
                <w:color w:val="231F20"/>
              </w:rPr>
              <w:t>Item 4.</w:t>
            </w:r>
          </w:p>
        </w:tc>
        <w:tc>
          <w:tcPr>
            <w:tcW w:w="8860" w:type="dxa"/>
            <w:vAlign w:val="bottom"/>
          </w:tcPr>
          <w:p>
            <w:pPr>
              <w:ind w:left="100"/>
              <w:spacing w:after="0"/>
              <w:rPr>
                <w:sz w:val="20"/>
                <w:szCs w:val="20"/>
                <w:color w:val="auto"/>
              </w:rPr>
            </w:pPr>
            <w:r>
              <w:rPr>
                <w:rFonts w:ascii="Arial" w:cs="Arial" w:eastAsia="Arial" w:hAnsi="Arial"/>
                <w:sz w:val="19"/>
                <w:szCs w:val="19"/>
                <w:b w:val="1"/>
                <w:bCs w:val="1"/>
                <w:color w:val="auto"/>
              </w:rPr>
              <w:t>Mine Safety Disclosures</w:t>
            </w:r>
          </w:p>
        </w:tc>
        <w:tc>
          <w:tcPr>
            <w:tcW w:w="700" w:type="dxa"/>
            <w:vAlign w:val="bottom"/>
          </w:tcPr>
          <w:p>
            <w:pPr>
              <w:jc w:val="right"/>
              <w:spacing w:after="0"/>
              <w:rPr>
                <w:sz w:val="20"/>
                <w:szCs w:val="20"/>
                <w:color w:val="auto"/>
              </w:rPr>
            </w:pPr>
            <w:r>
              <w:rPr>
                <w:rFonts w:ascii="Arial" w:cs="Arial" w:eastAsia="Arial" w:hAnsi="Arial"/>
                <w:sz w:val="19"/>
                <w:szCs w:val="19"/>
                <w:b w:val="1"/>
                <w:bCs w:val="1"/>
                <w:color w:val="231F20"/>
              </w:rPr>
              <w:t>77</w:t>
            </w:r>
          </w:p>
        </w:tc>
      </w:tr>
      <w:tr>
        <w:trPr>
          <w:trHeight w:val="475"/>
        </w:trPr>
        <w:tc>
          <w:tcPr>
            <w:tcW w:w="920" w:type="dxa"/>
            <w:vAlign w:val="bottom"/>
          </w:tcPr>
          <w:p>
            <w:pPr>
              <w:spacing w:after="0"/>
              <w:rPr>
                <w:sz w:val="20"/>
                <w:szCs w:val="20"/>
                <w:color w:val="auto"/>
              </w:rPr>
            </w:pPr>
            <w:r>
              <w:rPr>
                <w:rFonts w:ascii="Arial" w:cs="Arial" w:eastAsia="Arial" w:hAnsi="Arial"/>
                <w:sz w:val="19"/>
                <w:szCs w:val="19"/>
                <w:b w:val="1"/>
                <w:bCs w:val="1"/>
                <w:color w:val="231F20"/>
              </w:rPr>
              <w:t>PART II</w:t>
            </w:r>
          </w:p>
        </w:tc>
        <w:tc>
          <w:tcPr>
            <w:tcW w:w="88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8"/>
        </w:trPr>
        <w:tc>
          <w:tcPr>
            <w:tcW w:w="920" w:type="dxa"/>
            <w:vAlign w:val="bottom"/>
          </w:tcPr>
          <w:p>
            <w:pPr>
              <w:ind w:left="140"/>
              <w:spacing w:after="0"/>
              <w:rPr>
                <w:sz w:val="20"/>
                <w:szCs w:val="20"/>
                <w:color w:val="auto"/>
              </w:rPr>
            </w:pPr>
            <w:r>
              <w:rPr>
                <w:rFonts w:ascii="Arial" w:cs="Arial" w:eastAsia="Arial" w:hAnsi="Arial"/>
                <w:sz w:val="19"/>
                <w:szCs w:val="19"/>
                <w:b w:val="1"/>
                <w:bCs w:val="1"/>
                <w:color w:val="231F20"/>
              </w:rPr>
              <w:t>Item 5.</w:t>
            </w:r>
          </w:p>
        </w:tc>
        <w:tc>
          <w:tcPr>
            <w:tcW w:w="8860" w:type="dxa"/>
            <w:vAlign w:val="bottom"/>
          </w:tcPr>
          <w:p>
            <w:pPr>
              <w:ind w:left="100"/>
              <w:spacing w:after="0" w:line="231" w:lineRule="exact"/>
              <w:rPr>
                <w:sz w:val="20"/>
                <w:szCs w:val="20"/>
                <w:color w:val="auto"/>
              </w:rPr>
            </w:pPr>
            <w:r>
              <w:rPr>
                <w:rFonts w:ascii="Arial" w:cs="Arial" w:eastAsia="Arial" w:hAnsi="Arial"/>
                <w:sz w:val="19"/>
                <w:szCs w:val="19"/>
                <w:b w:val="1"/>
                <w:bCs w:val="1"/>
                <w:color w:val="auto"/>
                <w:w w:val="86"/>
              </w:rPr>
              <w:t>Market for Registrant</w:t>
            </w:r>
            <w:r>
              <w:rPr>
                <w:rFonts w:ascii="PMingLiU" w:cs="PMingLiU" w:eastAsia="PMingLiU" w:hAnsi="PMingLiU"/>
                <w:sz w:val="19"/>
                <w:szCs w:val="19"/>
                <w:b w:val="1"/>
                <w:bCs w:val="1"/>
                <w:color w:val="auto"/>
                <w:w w:val="86"/>
              </w:rPr>
              <w:t></w:t>
            </w:r>
            <w:r>
              <w:rPr>
                <w:rFonts w:ascii="Arial" w:cs="Arial" w:eastAsia="Arial" w:hAnsi="Arial"/>
                <w:sz w:val="19"/>
                <w:szCs w:val="19"/>
                <w:b w:val="1"/>
                <w:bCs w:val="1"/>
                <w:color w:val="auto"/>
                <w:w w:val="86"/>
              </w:rPr>
              <w:t>s Common Equity, Related Stockholder Matters and Issuer Purchases of Equity Securities</w:t>
            </w:r>
          </w:p>
        </w:tc>
        <w:tc>
          <w:tcPr>
            <w:tcW w:w="700" w:type="dxa"/>
            <w:vAlign w:val="bottom"/>
          </w:tcPr>
          <w:p>
            <w:pPr>
              <w:jc w:val="right"/>
              <w:spacing w:after="0"/>
              <w:rPr>
                <w:sz w:val="20"/>
                <w:szCs w:val="20"/>
                <w:color w:val="auto"/>
              </w:rPr>
            </w:pPr>
            <w:r>
              <w:rPr>
                <w:rFonts w:ascii="Arial" w:cs="Arial" w:eastAsia="Arial" w:hAnsi="Arial"/>
                <w:sz w:val="19"/>
                <w:szCs w:val="19"/>
                <w:b w:val="1"/>
                <w:bCs w:val="1"/>
                <w:color w:val="231F20"/>
              </w:rPr>
              <w:t>78</w:t>
            </w:r>
          </w:p>
        </w:tc>
      </w:tr>
      <w:tr>
        <w:trPr>
          <w:trHeight w:val="238"/>
        </w:trPr>
        <w:tc>
          <w:tcPr>
            <w:tcW w:w="920" w:type="dxa"/>
            <w:vAlign w:val="bottom"/>
          </w:tcPr>
          <w:p>
            <w:pPr>
              <w:ind w:left="140"/>
              <w:spacing w:after="0"/>
              <w:rPr>
                <w:sz w:val="20"/>
                <w:szCs w:val="20"/>
                <w:color w:val="auto"/>
              </w:rPr>
            </w:pPr>
            <w:r>
              <w:rPr>
                <w:rFonts w:ascii="Arial" w:cs="Arial" w:eastAsia="Arial" w:hAnsi="Arial"/>
                <w:sz w:val="19"/>
                <w:szCs w:val="19"/>
                <w:b w:val="1"/>
                <w:bCs w:val="1"/>
                <w:color w:val="231F20"/>
              </w:rPr>
              <w:t>Item 6.</w:t>
            </w:r>
          </w:p>
        </w:tc>
        <w:tc>
          <w:tcPr>
            <w:tcW w:w="8860" w:type="dxa"/>
            <w:vAlign w:val="bottom"/>
          </w:tcPr>
          <w:p>
            <w:pPr>
              <w:ind w:left="100"/>
              <w:spacing w:after="0"/>
              <w:rPr>
                <w:sz w:val="20"/>
                <w:szCs w:val="20"/>
                <w:color w:val="auto"/>
              </w:rPr>
            </w:pPr>
            <w:r>
              <w:rPr>
                <w:rFonts w:ascii="Arial" w:cs="Arial" w:eastAsia="Arial" w:hAnsi="Arial"/>
                <w:sz w:val="19"/>
                <w:szCs w:val="19"/>
                <w:b w:val="1"/>
                <w:bCs w:val="1"/>
                <w:color w:val="auto"/>
              </w:rPr>
              <w:t>[Reserved]</w:t>
            </w:r>
          </w:p>
        </w:tc>
        <w:tc>
          <w:tcPr>
            <w:tcW w:w="700" w:type="dxa"/>
            <w:vAlign w:val="bottom"/>
          </w:tcPr>
          <w:p>
            <w:pPr>
              <w:jc w:val="right"/>
              <w:spacing w:after="0"/>
              <w:rPr>
                <w:sz w:val="20"/>
                <w:szCs w:val="20"/>
                <w:color w:val="auto"/>
              </w:rPr>
            </w:pPr>
            <w:r>
              <w:rPr>
                <w:rFonts w:ascii="Arial" w:cs="Arial" w:eastAsia="Arial" w:hAnsi="Arial"/>
                <w:sz w:val="19"/>
                <w:szCs w:val="19"/>
                <w:b w:val="1"/>
                <w:bCs w:val="1"/>
                <w:color w:val="231F20"/>
              </w:rPr>
              <w:t>78</w:t>
            </w:r>
          </w:p>
        </w:tc>
      </w:tr>
      <w:tr>
        <w:trPr>
          <w:trHeight w:val="238"/>
        </w:trPr>
        <w:tc>
          <w:tcPr>
            <w:tcW w:w="920" w:type="dxa"/>
            <w:vAlign w:val="bottom"/>
          </w:tcPr>
          <w:p>
            <w:pPr>
              <w:ind w:left="140"/>
              <w:spacing w:after="0"/>
              <w:rPr>
                <w:sz w:val="20"/>
                <w:szCs w:val="20"/>
                <w:color w:val="auto"/>
              </w:rPr>
            </w:pPr>
            <w:r>
              <w:rPr>
                <w:rFonts w:ascii="Arial" w:cs="Arial" w:eastAsia="Arial" w:hAnsi="Arial"/>
                <w:sz w:val="19"/>
                <w:szCs w:val="19"/>
                <w:b w:val="1"/>
                <w:bCs w:val="1"/>
                <w:color w:val="231F20"/>
              </w:rPr>
              <w:t>Item 7.</w:t>
            </w:r>
          </w:p>
        </w:tc>
        <w:tc>
          <w:tcPr>
            <w:tcW w:w="8860" w:type="dxa"/>
            <w:vAlign w:val="bottom"/>
          </w:tcPr>
          <w:p>
            <w:pPr>
              <w:ind w:left="100"/>
              <w:spacing w:after="0" w:line="231" w:lineRule="exact"/>
              <w:rPr>
                <w:sz w:val="20"/>
                <w:szCs w:val="20"/>
                <w:color w:val="auto"/>
              </w:rPr>
            </w:pPr>
            <w:r>
              <w:rPr>
                <w:rFonts w:ascii="Arial" w:cs="Arial" w:eastAsia="Arial" w:hAnsi="Arial"/>
                <w:sz w:val="19"/>
                <w:szCs w:val="19"/>
                <w:b w:val="1"/>
                <w:bCs w:val="1"/>
                <w:color w:val="auto"/>
              </w:rPr>
              <w:t>Management</w:t>
            </w:r>
            <w:r>
              <w:rPr>
                <w:rFonts w:ascii="PMingLiU" w:cs="PMingLiU" w:eastAsia="PMingLiU" w:hAnsi="PMingLiU"/>
                <w:sz w:val="19"/>
                <w:szCs w:val="19"/>
                <w:b w:val="1"/>
                <w:bCs w:val="1"/>
                <w:color w:val="auto"/>
              </w:rPr>
              <w:t></w:t>
            </w:r>
            <w:r>
              <w:rPr>
                <w:rFonts w:ascii="Arial" w:cs="Arial" w:eastAsia="Arial" w:hAnsi="Arial"/>
                <w:sz w:val="19"/>
                <w:szCs w:val="19"/>
                <w:b w:val="1"/>
                <w:bCs w:val="1"/>
                <w:color w:val="auto"/>
              </w:rPr>
              <w:t>s Discussion and Analysis of Financial Condition and Results of Operations</w:t>
            </w:r>
          </w:p>
        </w:tc>
        <w:tc>
          <w:tcPr>
            <w:tcW w:w="700" w:type="dxa"/>
            <w:vAlign w:val="bottom"/>
          </w:tcPr>
          <w:p>
            <w:pPr>
              <w:jc w:val="right"/>
              <w:spacing w:after="0"/>
              <w:rPr>
                <w:sz w:val="20"/>
                <w:szCs w:val="20"/>
                <w:color w:val="auto"/>
              </w:rPr>
            </w:pPr>
            <w:r>
              <w:rPr>
                <w:rFonts w:ascii="Arial" w:cs="Arial" w:eastAsia="Arial" w:hAnsi="Arial"/>
                <w:sz w:val="19"/>
                <w:szCs w:val="19"/>
                <w:b w:val="1"/>
                <w:bCs w:val="1"/>
                <w:color w:val="231F20"/>
              </w:rPr>
              <w:t>79</w:t>
            </w:r>
          </w:p>
        </w:tc>
      </w:tr>
      <w:tr>
        <w:trPr>
          <w:trHeight w:val="238"/>
        </w:trPr>
        <w:tc>
          <w:tcPr>
            <w:tcW w:w="920" w:type="dxa"/>
            <w:vAlign w:val="bottom"/>
          </w:tcPr>
          <w:p>
            <w:pPr>
              <w:ind w:left="140"/>
              <w:spacing w:after="0"/>
              <w:rPr>
                <w:sz w:val="20"/>
                <w:szCs w:val="20"/>
                <w:color w:val="auto"/>
              </w:rPr>
            </w:pPr>
            <w:r>
              <w:rPr>
                <w:rFonts w:ascii="Arial" w:cs="Arial" w:eastAsia="Arial" w:hAnsi="Arial"/>
                <w:sz w:val="19"/>
                <w:szCs w:val="19"/>
                <w:b w:val="1"/>
                <w:bCs w:val="1"/>
                <w:color w:val="231F20"/>
              </w:rPr>
              <w:t>Item 7A.</w:t>
            </w:r>
          </w:p>
        </w:tc>
        <w:tc>
          <w:tcPr>
            <w:tcW w:w="8860" w:type="dxa"/>
            <w:vAlign w:val="bottom"/>
          </w:tcPr>
          <w:p>
            <w:pPr>
              <w:ind w:left="100"/>
              <w:spacing w:after="0"/>
              <w:rPr>
                <w:sz w:val="20"/>
                <w:szCs w:val="20"/>
                <w:color w:val="auto"/>
              </w:rPr>
            </w:pPr>
            <w:r>
              <w:rPr>
                <w:rFonts w:ascii="Arial" w:cs="Arial" w:eastAsia="Arial" w:hAnsi="Arial"/>
                <w:sz w:val="19"/>
                <w:szCs w:val="19"/>
                <w:b w:val="1"/>
                <w:bCs w:val="1"/>
                <w:color w:val="auto"/>
              </w:rPr>
              <w:t>Quantitative and Qualitative Disclosures About Market Risk</w:t>
            </w:r>
          </w:p>
        </w:tc>
        <w:tc>
          <w:tcPr>
            <w:tcW w:w="700" w:type="dxa"/>
            <w:vAlign w:val="bottom"/>
          </w:tcPr>
          <w:p>
            <w:pPr>
              <w:jc w:val="right"/>
              <w:spacing w:after="0"/>
              <w:rPr>
                <w:sz w:val="20"/>
                <w:szCs w:val="20"/>
                <w:color w:val="auto"/>
              </w:rPr>
            </w:pPr>
            <w:r>
              <w:rPr>
                <w:rFonts w:ascii="Arial" w:cs="Arial" w:eastAsia="Arial" w:hAnsi="Arial"/>
                <w:sz w:val="19"/>
                <w:szCs w:val="19"/>
                <w:b w:val="1"/>
                <w:bCs w:val="1"/>
                <w:color w:val="231F20"/>
              </w:rPr>
              <w:t>92</w:t>
            </w:r>
          </w:p>
        </w:tc>
      </w:tr>
      <w:tr>
        <w:trPr>
          <w:trHeight w:val="238"/>
        </w:trPr>
        <w:tc>
          <w:tcPr>
            <w:tcW w:w="920" w:type="dxa"/>
            <w:vAlign w:val="bottom"/>
          </w:tcPr>
          <w:p>
            <w:pPr>
              <w:ind w:left="140"/>
              <w:spacing w:after="0"/>
              <w:rPr>
                <w:sz w:val="20"/>
                <w:szCs w:val="20"/>
                <w:color w:val="auto"/>
              </w:rPr>
            </w:pPr>
            <w:r>
              <w:rPr>
                <w:rFonts w:ascii="Arial" w:cs="Arial" w:eastAsia="Arial" w:hAnsi="Arial"/>
                <w:sz w:val="19"/>
                <w:szCs w:val="19"/>
                <w:b w:val="1"/>
                <w:bCs w:val="1"/>
                <w:color w:val="231F20"/>
              </w:rPr>
              <w:t>Item 8.</w:t>
            </w:r>
          </w:p>
        </w:tc>
        <w:tc>
          <w:tcPr>
            <w:tcW w:w="8860" w:type="dxa"/>
            <w:vAlign w:val="bottom"/>
          </w:tcPr>
          <w:p>
            <w:pPr>
              <w:ind w:left="100"/>
              <w:spacing w:after="0"/>
              <w:rPr>
                <w:sz w:val="20"/>
                <w:szCs w:val="20"/>
                <w:color w:val="auto"/>
              </w:rPr>
            </w:pPr>
            <w:r>
              <w:rPr>
                <w:rFonts w:ascii="Arial" w:cs="Arial" w:eastAsia="Arial" w:hAnsi="Arial"/>
                <w:sz w:val="19"/>
                <w:szCs w:val="19"/>
                <w:b w:val="1"/>
                <w:bCs w:val="1"/>
                <w:color w:val="auto"/>
              </w:rPr>
              <w:t>Financial Statements and Supplementary Data</w:t>
            </w:r>
          </w:p>
        </w:tc>
        <w:tc>
          <w:tcPr>
            <w:tcW w:w="700" w:type="dxa"/>
            <w:vAlign w:val="bottom"/>
          </w:tcPr>
          <w:p>
            <w:pPr>
              <w:jc w:val="right"/>
              <w:spacing w:after="0"/>
              <w:rPr>
                <w:sz w:val="20"/>
                <w:szCs w:val="20"/>
                <w:color w:val="auto"/>
              </w:rPr>
            </w:pPr>
            <w:r>
              <w:rPr>
                <w:rFonts w:ascii="Arial" w:cs="Arial" w:eastAsia="Arial" w:hAnsi="Arial"/>
                <w:sz w:val="19"/>
                <w:szCs w:val="19"/>
                <w:b w:val="1"/>
                <w:bCs w:val="1"/>
                <w:color w:val="231F20"/>
              </w:rPr>
              <w:t>92</w:t>
            </w:r>
          </w:p>
        </w:tc>
      </w:tr>
      <w:tr>
        <w:trPr>
          <w:trHeight w:val="238"/>
        </w:trPr>
        <w:tc>
          <w:tcPr>
            <w:tcW w:w="920" w:type="dxa"/>
            <w:vAlign w:val="bottom"/>
          </w:tcPr>
          <w:p>
            <w:pPr>
              <w:ind w:left="140"/>
              <w:spacing w:after="0"/>
              <w:rPr>
                <w:sz w:val="20"/>
                <w:szCs w:val="20"/>
                <w:color w:val="auto"/>
              </w:rPr>
            </w:pPr>
            <w:r>
              <w:rPr>
                <w:rFonts w:ascii="Arial" w:cs="Arial" w:eastAsia="Arial" w:hAnsi="Arial"/>
                <w:sz w:val="19"/>
                <w:szCs w:val="19"/>
                <w:b w:val="1"/>
                <w:bCs w:val="1"/>
                <w:color w:val="231F20"/>
              </w:rPr>
              <w:t>Item 9.</w:t>
            </w:r>
          </w:p>
        </w:tc>
        <w:tc>
          <w:tcPr>
            <w:tcW w:w="8860" w:type="dxa"/>
            <w:vAlign w:val="bottom"/>
          </w:tcPr>
          <w:p>
            <w:pPr>
              <w:ind w:left="100"/>
              <w:spacing w:after="0"/>
              <w:rPr>
                <w:sz w:val="20"/>
                <w:szCs w:val="20"/>
                <w:color w:val="auto"/>
              </w:rPr>
            </w:pPr>
            <w:r>
              <w:rPr>
                <w:rFonts w:ascii="Arial" w:cs="Arial" w:eastAsia="Arial" w:hAnsi="Arial"/>
                <w:sz w:val="19"/>
                <w:szCs w:val="19"/>
                <w:b w:val="1"/>
                <w:bCs w:val="1"/>
                <w:color w:val="auto"/>
              </w:rPr>
              <w:t>Changes in and Disagreements with Accountants on Accounting and Financial Disclosure</w:t>
            </w:r>
          </w:p>
        </w:tc>
        <w:tc>
          <w:tcPr>
            <w:tcW w:w="700" w:type="dxa"/>
            <w:vAlign w:val="bottom"/>
          </w:tcPr>
          <w:p>
            <w:pPr>
              <w:jc w:val="right"/>
              <w:spacing w:after="0"/>
              <w:rPr>
                <w:sz w:val="20"/>
                <w:szCs w:val="20"/>
                <w:color w:val="auto"/>
              </w:rPr>
            </w:pPr>
            <w:r>
              <w:rPr>
                <w:rFonts w:ascii="Arial" w:cs="Arial" w:eastAsia="Arial" w:hAnsi="Arial"/>
                <w:sz w:val="19"/>
                <w:szCs w:val="19"/>
                <w:b w:val="1"/>
                <w:bCs w:val="1"/>
                <w:color w:val="231F20"/>
              </w:rPr>
              <w:t>124</w:t>
            </w:r>
          </w:p>
        </w:tc>
      </w:tr>
      <w:tr>
        <w:trPr>
          <w:trHeight w:val="238"/>
        </w:trPr>
        <w:tc>
          <w:tcPr>
            <w:tcW w:w="920" w:type="dxa"/>
            <w:vAlign w:val="bottom"/>
          </w:tcPr>
          <w:p>
            <w:pPr>
              <w:ind w:left="140"/>
              <w:spacing w:after="0"/>
              <w:rPr>
                <w:sz w:val="20"/>
                <w:szCs w:val="20"/>
                <w:color w:val="auto"/>
              </w:rPr>
            </w:pPr>
            <w:r>
              <w:rPr>
                <w:rFonts w:ascii="Arial" w:cs="Arial" w:eastAsia="Arial" w:hAnsi="Arial"/>
                <w:sz w:val="19"/>
                <w:szCs w:val="19"/>
                <w:b w:val="1"/>
                <w:bCs w:val="1"/>
                <w:color w:val="231F20"/>
              </w:rPr>
              <w:t>Item 9A.</w:t>
            </w:r>
          </w:p>
        </w:tc>
        <w:tc>
          <w:tcPr>
            <w:tcW w:w="8860" w:type="dxa"/>
            <w:vAlign w:val="bottom"/>
          </w:tcPr>
          <w:p>
            <w:pPr>
              <w:ind w:left="100"/>
              <w:spacing w:after="0"/>
              <w:rPr>
                <w:sz w:val="20"/>
                <w:szCs w:val="20"/>
                <w:color w:val="auto"/>
              </w:rPr>
            </w:pPr>
            <w:r>
              <w:rPr>
                <w:rFonts w:ascii="Arial" w:cs="Arial" w:eastAsia="Arial" w:hAnsi="Arial"/>
                <w:sz w:val="19"/>
                <w:szCs w:val="19"/>
                <w:b w:val="1"/>
                <w:bCs w:val="1"/>
                <w:color w:val="auto"/>
              </w:rPr>
              <w:t>Controls and Procedures</w:t>
            </w:r>
          </w:p>
        </w:tc>
        <w:tc>
          <w:tcPr>
            <w:tcW w:w="700" w:type="dxa"/>
            <w:vAlign w:val="bottom"/>
          </w:tcPr>
          <w:p>
            <w:pPr>
              <w:jc w:val="right"/>
              <w:spacing w:after="0"/>
              <w:rPr>
                <w:sz w:val="20"/>
                <w:szCs w:val="20"/>
                <w:color w:val="auto"/>
              </w:rPr>
            </w:pPr>
            <w:r>
              <w:rPr>
                <w:rFonts w:ascii="Arial" w:cs="Arial" w:eastAsia="Arial" w:hAnsi="Arial"/>
                <w:sz w:val="19"/>
                <w:szCs w:val="19"/>
                <w:b w:val="1"/>
                <w:bCs w:val="1"/>
                <w:color w:val="231F20"/>
              </w:rPr>
              <w:t>124</w:t>
            </w:r>
          </w:p>
        </w:tc>
      </w:tr>
      <w:tr>
        <w:trPr>
          <w:trHeight w:val="238"/>
        </w:trPr>
        <w:tc>
          <w:tcPr>
            <w:tcW w:w="920" w:type="dxa"/>
            <w:vAlign w:val="bottom"/>
          </w:tcPr>
          <w:p>
            <w:pPr>
              <w:ind w:left="140"/>
              <w:spacing w:after="0"/>
              <w:rPr>
                <w:sz w:val="20"/>
                <w:szCs w:val="20"/>
                <w:color w:val="auto"/>
              </w:rPr>
            </w:pPr>
            <w:r>
              <w:rPr>
                <w:rFonts w:ascii="Arial" w:cs="Arial" w:eastAsia="Arial" w:hAnsi="Arial"/>
                <w:sz w:val="19"/>
                <w:szCs w:val="19"/>
                <w:b w:val="1"/>
                <w:bCs w:val="1"/>
                <w:color w:val="231F20"/>
              </w:rPr>
              <w:t>Item 9B.</w:t>
            </w:r>
          </w:p>
        </w:tc>
        <w:tc>
          <w:tcPr>
            <w:tcW w:w="8860" w:type="dxa"/>
            <w:vAlign w:val="bottom"/>
          </w:tcPr>
          <w:p>
            <w:pPr>
              <w:ind w:left="100"/>
              <w:spacing w:after="0"/>
              <w:rPr>
                <w:sz w:val="20"/>
                <w:szCs w:val="20"/>
                <w:color w:val="auto"/>
              </w:rPr>
            </w:pPr>
            <w:r>
              <w:rPr>
                <w:rFonts w:ascii="Arial" w:cs="Arial" w:eastAsia="Arial" w:hAnsi="Arial"/>
                <w:sz w:val="19"/>
                <w:szCs w:val="19"/>
                <w:b w:val="1"/>
                <w:bCs w:val="1"/>
                <w:color w:val="auto"/>
              </w:rPr>
              <w:t>Other Information</w:t>
            </w:r>
          </w:p>
        </w:tc>
        <w:tc>
          <w:tcPr>
            <w:tcW w:w="700" w:type="dxa"/>
            <w:vAlign w:val="bottom"/>
          </w:tcPr>
          <w:p>
            <w:pPr>
              <w:jc w:val="right"/>
              <w:spacing w:after="0"/>
              <w:rPr>
                <w:sz w:val="20"/>
                <w:szCs w:val="20"/>
                <w:color w:val="auto"/>
              </w:rPr>
            </w:pPr>
            <w:r>
              <w:rPr>
                <w:rFonts w:ascii="Arial" w:cs="Arial" w:eastAsia="Arial" w:hAnsi="Arial"/>
                <w:sz w:val="19"/>
                <w:szCs w:val="19"/>
                <w:b w:val="1"/>
                <w:bCs w:val="1"/>
                <w:color w:val="231F20"/>
              </w:rPr>
              <w:t>124</w:t>
            </w:r>
          </w:p>
        </w:tc>
      </w:tr>
      <w:tr>
        <w:trPr>
          <w:trHeight w:val="238"/>
        </w:trPr>
        <w:tc>
          <w:tcPr>
            <w:tcW w:w="920" w:type="dxa"/>
            <w:vAlign w:val="bottom"/>
          </w:tcPr>
          <w:p>
            <w:pPr>
              <w:ind w:left="140"/>
              <w:spacing w:after="0"/>
              <w:rPr>
                <w:sz w:val="20"/>
                <w:szCs w:val="20"/>
                <w:color w:val="auto"/>
              </w:rPr>
            </w:pPr>
            <w:r>
              <w:rPr>
                <w:rFonts w:ascii="Arial" w:cs="Arial" w:eastAsia="Arial" w:hAnsi="Arial"/>
                <w:sz w:val="19"/>
                <w:szCs w:val="19"/>
                <w:b w:val="1"/>
                <w:bCs w:val="1"/>
                <w:color w:val="231F20"/>
              </w:rPr>
              <w:t>Item 9C.</w:t>
            </w:r>
          </w:p>
        </w:tc>
        <w:tc>
          <w:tcPr>
            <w:tcW w:w="8860" w:type="dxa"/>
            <w:vAlign w:val="bottom"/>
          </w:tcPr>
          <w:p>
            <w:pPr>
              <w:ind w:left="100"/>
              <w:spacing w:after="0"/>
              <w:rPr>
                <w:sz w:val="20"/>
                <w:szCs w:val="20"/>
                <w:color w:val="auto"/>
              </w:rPr>
            </w:pPr>
            <w:r>
              <w:rPr>
                <w:rFonts w:ascii="Arial" w:cs="Arial" w:eastAsia="Arial" w:hAnsi="Arial"/>
                <w:sz w:val="19"/>
                <w:szCs w:val="19"/>
                <w:b w:val="1"/>
                <w:bCs w:val="1"/>
                <w:color w:val="auto"/>
              </w:rPr>
              <w:t>Disclosure Regarding Foreign Jurisdictions that Prevent Inspections</w:t>
            </w:r>
          </w:p>
        </w:tc>
        <w:tc>
          <w:tcPr>
            <w:tcW w:w="700" w:type="dxa"/>
            <w:vAlign w:val="bottom"/>
          </w:tcPr>
          <w:p>
            <w:pPr>
              <w:jc w:val="right"/>
              <w:spacing w:after="0"/>
              <w:rPr>
                <w:sz w:val="20"/>
                <w:szCs w:val="20"/>
                <w:color w:val="auto"/>
              </w:rPr>
            </w:pPr>
            <w:r>
              <w:rPr>
                <w:rFonts w:ascii="Arial" w:cs="Arial" w:eastAsia="Arial" w:hAnsi="Arial"/>
                <w:sz w:val="19"/>
                <w:szCs w:val="19"/>
                <w:b w:val="1"/>
                <w:bCs w:val="1"/>
                <w:color w:val="231F20"/>
              </w:rPr>
              <w:t>125</w:t>
            </w:r>
          </w:p>
        </w:tc>
      </w:tr>
      <w:tr>
        <w:trPr>
          <w:trHeight w:val="475"/>
        </w:trPr>
        <w:tc>
          <w:tcPr>
            <w:tcW w:w="920" w:type="dxa"/>
            <w:vAlign w:val="bottom"/>
          </w:tcPr>
          <w:p>
            <w:pPr>
              <w:spacing w:after="0"/>
              <w:rPr>
                <w:sz w:val="20"/>
                <w:szCs w:val="20"/>
                <w:color w:val="auto"/>
              </w:rPr>
            </w:pPr>
            <w:r>
              <w:rPr>
                <w:rFonts w:ascii="Arial" w:cs="Arial" w:eastAsia="Arial" w:hAnsi="Arial"/>
                <w:sz w:val="19"/>
                <w:szCs w:val="19"/>
                <w:b w:val="1"/>
                <w:bCs w:val="1"/>
                <w:color w:val="231F20"/>
              </w:rPr>
              <w:t>PART III</w:t>
            </w:r>
          </w:p>
        </w:tc>
        <w:tc>
          <w:tcPr>
            <w:tcW w:w="88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8"/>
        </w:trPr>
        <w:tc>
          <w:tcPr>
            <w:tcW w:w="920" w:type="dxa"/>
            <w:vAlign w:val="bottom"/>
          </w:tcPr>
          <w:p>
            <w:pPr>
              <w:ind w:left="140"/>
              <w:spacing w:after="0"/>
              <w:rPr>
                <w:sz w:val="20"/>
                <w:szCs w:val="20"/>
                <w:color w:val="auto"/>
              </w:rPr>
            </w:pPr>
            <w:r>
              <w:rPr>
                <w:rFonts w:ascii="Arial" w:cs="Arial" w:eastAsia="Arial" w:hAnsi="Arial"/>
                <w:sz w:val="19"/>
                <w:szCs w:val="19"/>
                <w:b w:val="1"/>
                <w:bCs w:val="1"/>
                <w:color w:val="231F20"/>
              </w:rPr>
              <w:t>Item 10.</w:t>
            </w:r>
          </w:p>
        </w:tc>
        <w:tc>
          <w:tcPr>
            <w:tcW w:w="8860" w:type="dxa"/>
            <w:vAlign w:val="bottom"/>
          </w:tcPr>
          <w:p>
            <w:pPr>
              <w:ind w:left="100"/>
              <w:spacing w:after="0"/>
              <w:rPr>
                <w:sz w:val="20"/>
                <w:szCs w:val="20"/>
                <w:color w:val="auto"/>
              </w:rPr>
            </w:pPr>
            <w:r>
              <w:rPr>
                <w:rFonts w:ascii="Arial" w:cs="Arial" w:eastAsia="Arial" w:hAnsi="Arial"/>
                <w:sz w:val="19"/>
                <w:szCs w:val="19"/>
                <w:b w:val="1"/>
                <w:bCs w:val="1"/>
                <w:color w:val="auto"/>
              </w:rPr>
              <w:t>Directors, Executive Officers and Corporate Governance</w:t>
            </w:r>
          </w:p>
        </w:tc>
        <w:tc>
          <w:tcPr>
            <w:tcW w:w="700" w:type="dxa"/>
            <w:vAlign w:val="bottom"/>
          </w:tcPr>
          <w:p>
            <w:pPr>
              <w:jc w:val="right"/>
              <w:spacing w:after="0"/>
              <w:rPr>
                <w:sz w:val="20"/>
                <w:szCs w:val="20"/>
                <w:color w:val="auto"/>
              </w:rPr>
            </w:pPr>
            <w:r>
              <w:rPr>
                <w:rFonts w:ascii="Arial" w:cs="Arial" w:eastAsia="Arial" w:hAnsi="Arial"/>
                <w:sz w:val="19"/>
                <w:szCs w:val="19"/>
                <w:b w:val="1"/>
                <w:bCs w:val="1"/>
                <w:color w:val="231F20"/>
              </w:rPr>
              <w:t>126</w:t>
            </w:r>
          </w:p>
        </w:tc>
      </w:tr>
      <w:tr>
        <w:trPr>
          <w:trHeight w:val="238"/>
        </w:trPr>
        <w:tc>
          <w:tcPr>
            <w:tcW w:w="920" w:type="dxa"/>
            <w:vAlign w:val="bottom"/>
          </w:tcPr>
          <w:p>
            <w:pPr>
              <w:ind w:left="140"/>
              <w:spacing w:after="0"/>
              <w:rPr>
                <w:sz w:val="20"/>
                <w:szCs w:val="20"/>
                <w:color w:val="auto"/>
              </w:rPr>
            </w:pPr>
            <w:r>
              <w:rPr>
                <w:rFonts w:ascii="Arial" w:cs="Arial" w:eastAsia="Arial" w:hAnsi="Arial"/>
                <w:sz w:val="19"/>
                <w:szCs w:val="19"/>
                <w:b w:val="1"/>
                <w:bCs w:val="1"/>
                <w:color w:val="231F20"/>
              </w:rPr>
              <w:t>Item 11.</w:t>
            </w:r>
          </w:p>
        </w:tc>
        <w:tc>
          <w:tcPr>
            <w:tcW w:w="8860" w:type="dxa"/>
            <w:vAlign w:val="bottom"/>
          </w:tcPr>
          <w:p>
            <w:pPr>
              <w:ind w:left="100"/>
              <w:spacing w:after="0"/>
              <w:rPr>
                <w:sz w:val="20"/>
                <w:szCs w:val="20"/>
                <w:color w:val="auto"/>
              </w:rPr>
            </w:pPr>
            <w:r>
              <w:rPr>
                <w:rFonts w:ascii="Arial" w:cs="Arial" w:eastAsia="Arial" w:hAnsi="Arial"/>
                <w:sz w:val="19"/>
                <w:szCs w:val="19"/>
                <w:b w:val="1"/>
                <w:bCs w:val="1"/>
                <w:color w:val="auto"/>
              </w:rPr>
              <w:t>Executive Compensation</w:t>
            </w:r>
          </w:p>
        </w:tc>
        <w:tc>
          <w:tcPr>
            <w:tcW w:w="700" w:type="dxa"/>
            <w:vAlign w:val="bottom"/>
          </w:tcPr>
          <w:p>
            <w:pPr>
              <w:jc w:val="right"/>
              <w:spacing w:after="0"/>
              <w:rPr>
                <w:sz w:val="20"/>
                <w:szCs w:val="20"/>
                <w:color w:val="auto"/>
              </w:rPr>
            </w:pPr>
            <w:r>
              <w:rPr>
                <w:rFonts w:ascii="Arial" w:cs="Arial" w:eastAsia="Arial" w:hAnsi="Arial"/>
                <w:sz w:val="19"/>
                <w:szCs w:val="19"/>
                <w:b w:val="1"/>
                <w:bCs w:val="1"/>
                <w:color w:val="231F20"/>
              </w:rPr>
              <w:t>126</w:t>
            </w:r>
          </w:p>
        </w:tc>
      </w:tr>
      <w:tr>
        <w:trPr>
          <w:trHeight w:val="238"/>
        </w:trPr>
        <w:tc>
          <w:tcPr>
            <w:tcW w:w="920" w:type="dxa"/>
            <w:vAlign w:val="bottom"/>
          </w:tcPr>
          <w:p>
            <w:pPr>
              <w:ind w:left="140"/>
              <w:spacing w:after="0"/>
              <w:rPr>
                <w:sz w:val="20"/>
                <w:szCs w:val="20"/>
                <w:color w:val="auto"/>
              </w:rPr>
            </w:pPr>
            <w:r>
              <w:rPr>
                <w:rFonts w:ascii="Arial" w:cs="Arial" w:eastAsia="Arial" w:hAnsi="Arial"/>
                <w:sz w:val="19"/>
                <w:szCs w:val="19"/>
                <w:b w:val="1"/>
                <w:bCs w:val="1"/>
                <w:color w:val="231F20"/>
              </w:rPr>
              <w:t>Item 12.</w:t>
            </w:r>
          </w:p>
        </w:tc>
        <w:tc>
          <w:tcPr>
            <w:tcW w:w="8860" w:type="dxa"/>
            <w:vAlign w:val="bottom"/>
          </w:tcPr>
          <w:p>
            <w:pPr>
              <w:ind w:left="100"/>
              <w:spacing w:after="0"/>
              <w:rPr>
                <w:sz w:val="20"/>
                <w:szCs w:val="20"/>
                <w:color w:val="auto"/>
              </w:rPr>
            </w:pPr>
            <w:r>
              <w:rPr>
                <w:rFonts w:ascii="Arial" w:cs="Arial" w:eastAsia="Arial" w:hAnsi="Arial"/>
                <w:sz w:val="19"/>
                <w:szCs w:val="19"/>
                <w:b w:val="1"/>
                <w:bCs w:val="1"/>
                <w:color w:val="auto"/>
                <w:w w:val="96"/>
              </w:rPr>
              <w:t>Security Ownership of Certain Beneficial Owners and Management and Related Stockholder Matters</w:t>
            </w:r>
          </w:p>
        </w:tc>
        <w:tc>
          <w:tcPr>
            <w:tcW w:w="700" w:type="dxa"/>
            <w:vAlign w:val="bottom"/>
          </w:tcPr>
          <w:p>
            <w:pPr>
              <w:jc w:val="right"/>
              <w:spacing w:after="0"/>
              <w:rPr>
                <w:sz w:val="20"/>
                <w:szCs w:val="20"/>
                <w:color w:val="auto"/>
              </w:rPr>
            </w:pPr>
            <w:r>
              <w:rPr>
                <w:rFonts w:ascii="Arial" w:cs="Arial" w:eastAsia="Arial" w:hAnsi="Arial"/>
                <w:sz w:val="19"/>
                <w:szCs w:val="19"/>
                <w:b w:val="1"/>
                <w:bCs w:val="1"/>
                <w:color w:val="231F20"/>
              </w:rPr>
              <w:t>126</w:t>
            </w:r>
          </w:p>
        </w:tc>
      </w:tr>
      <w:tr>
        <w:trPr>
          <w:trHeight w:val="238"/>
        </w:trPr>
        <w:tc>
          <w:tcPr>
            <w:tcW w:w="920" w:type="dxa"/>
            <w:vAlign w:val="bottom"/>
          </w:tcPr>
          <w:p>
            <w:pPr>
              <w:ind w:left="140"/>
              <w:spacing w:after="0"/>
              <w:rPr>
                <w:sz w:val="20"/>
                <w:szCs w:val="20"/>
                <w:color w:val="auto"/>
              </w:rPr>
            </w:pPr>
            <w:r>
              <w:rPr>
                <w:rFonts w:ascii="Arial" w:cs="Arial" w:eastAsia="Arial" w:hAnsi="Arial"/>
                <w:sz w:val="19"/>
                <w:szCs w:val="19"/>
                <w:b w:val="1"/>
                <w:bCs w:val="1"/>
                <w:color w:val="231F20"/>
              </w:rPr>
              <w:t>Item 13.</w:t>
            </w:r>
          </w:p>
        </w:tc>
        <w:tc>
          <w:tcPr>
            <w:tcW w:w="8860" w:type="dxa"/>
            <w:vAlign w:val="bottom"/>
          </w:tcPr>
          <w:p>
            <w:pPr>
              <w:ind w:left="100"/>
              <w:spacing w:after="0"/>
              <w:rPr>
                <w:sz w:val="20"/>
                <w:szCs w:val="20"/>
                <w:color w:val="auto"/>
              </w:rPr>
            </w:pPr>
            <w:r>
              <w:rPr>
                <w:rFonts w:ascii="Arial" w:cs="Arial" w:eastAsia="Arial" w:hAnsi="Arial"/>
                <w:sz w:val="19"/>
                <w:szCs w:val="19"/>
                <w:b w:val="1"/>
                <w:bCs w:val="1"/>
                <w:color w:val="auto"/>
              </w:rPr>
              <w:t>Certain Relationships and Related Transactions, and Director Independence</w:t>
            </w:r>
          </w:p>
        </w:tc>
        <w:tc>
          <w:tcPr>
            <w:tcW w:w="700" w:type="dxa"/>
            <w:vAlign w:val="bottom"/>
          </w:tcPr>
          <w:p>
            <w:pPr>
              <w:jc w:val="right"/>
              <w:spacing w:after="0"/>
              <w:rPr>
                <w:sz w:val="20"/>
                <w:szCs w:val="20"/>
                <w:color w:val="auto"/>
              </w:rPr>
            </w:pPr>
            <w:r>
              <w:rPr>
                <w:rFonts w:ascii="Arial" w:cs="Arial" w:eastAsia="Arial" w:hAnsi="Arial"/>
                <w:sz w:val="19"/>
                <w:szCs w:val="19"/>
                <w:b w:val="1"/>
                <w:bCs w:val="1"/>
                <w:color w:val="231F20"/>
              </w:rPr>
              <w:t>126</w:t>
            </w:r>
          </w:p>
        </w:tc>
      </w:tr>
      <w:tr>
        <w:trPr>
          <w:trHeight w:val="238"/>
        </w:trPr>
        <w:tc>
          <w:tcPr>
            <w:tcW w:w="920" w:type="dxa"/>
            <w:vAlign w:val="bottom"/>
          </w:tcPr>
          <w:p>
            <w:pPr>
              <w:ind w:left="140"/>
              <w:spacing w:after="0"/>
              <w:rPr>
                <w:sz w:val="20"/>
                <w:szCs w:val="20"/>
                <w:color w:val="auto"/>
              </w:rPr>
            </w:pPr>
            <w:r>
              <w:rPr>
                <w:rFonts w:ascii="Arial" w:cs="Arial" w:eastAsia="Arial" w:hAnsi="Arial"/>
                <w:sz w:val="19"/>
                <w:szCs w:val="19"/>
                <w:b w:val="1"/>
                <w:bCs w:val="1"/>
                <w:color w:val="231F20"/>
              </w:rPr>
              <w:t>Item 14.</w:t>
            </w:r>
          </w:p>
        </w:tc>
        <w:tc>
          <w:tcPr>
            <w:tcW w:w="8860" w:type="dxa"/>
            <w:vAlign w:val="bottom"/>
          </w:tcPr>
          <w:p>
            <w:pPr>
              <w:ind w:left="100"/>
              <w:spacing w:after="0"/>
              <w:rPr>
                <w:sz w:val="20"/>
                <w:szCs w:val="20"/>
                <w:color w:val="auto"/>
              </w:rPr>
            </w:pPr>
            <w:r>
              <w:rPr>
                <w:rFonts w:ascii="Arial" w:cs="Arial" w:eastAsia="Arial" w:hAnsi="Arial"/>
                <w:sz w:val="19"/>
                <w:szCs w:val="19"/>
                <w:b w:val="1"/>
                <w:bCs w:val="1"/>
                <w:color w:val="auto"/>
              </w:rPr>
              <w:t>Principal Accounting Fees and Services</w:t>
            </w:r>
          </w:p>
        </w:tc>
        <w:tc>
          <w:tcPr>
            <w:tcW w:w="700" w:type="dxa"/>
            <w:vAlign w:val="bottom"/>
          </w:tcPr>
          <w:p>
            <w:pPr>
              <w:jc w:val="right"/>
              <w:spacing w:after="0"/>
              <w:rPr>
                <w:sz w:val="20"/>
                <w:szCs w:val="20"/>
                <w:color w:val="auto"/>
              </w:rPr>
            </w:pPr>
            <w:r>
              <w:rPr>
                <w:rFonts w:ascii="Arial" w:cs="Arial" w:eastAsia="Arial" w:hAnsi="Arial"/>
                <w:sz w:val="19"/>
                <w:szCs w:val="19"/>
                <w:b w:val="1"/>
                <w:bCs w:val="1"/>
                <w:color w:val="231F20"/>
              </w:rPr>
              <w:t>126</w:t>
            </w:r>
          </w:p>
        </w:tc>
      </w:tr>
      <w:tr>
        <w:trPr>
          <w:trHeight w:val="475"/>
        </w:trPr>
        <w:tc>
          <w:tcPr>
            <w:tcW w:w="920" w:type="dxa"/>
            <w:vAlign w:val="bottom"/>
          </w:tcPr>
          <w:p>
            <w:pPr>
              <w:spacing w:after="0"/>
              <w:rPr>
                <w:sz w:val="20"/>
                <w:szCs w:val="20"/>
                <w:color w:val="auto"/>
              </w:rPr>
            </w:pPr>
            <w:r>
              <w:rPr>
                <w:rFonts w:ascii="Arial" w:cs="Arial" w:eastAsia="Arial" w:hAnsi="Arial"/>
                <w:sz w:val="19"/>
                <w:szCs w:val="19"/>
                <w:b w:val="1"/>
                <w:bCs w:val="1"/>
                <w:color w:val="231F20"/>
              </w:rPr>
              <w:t>PART IV</w:t>
            </w:r>
          </w:p>
        </w:tc>
        <w:tc>
          <w:tcPr>
            <w:tcW w:w="88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8"/>
        </w:trPr>
        <w:tc>
          <w:tcPr>
            <w:tcW w:w="920" w:type="dxa"/>
            <w:vAlign w:val="bottom"/>
          </w:tcPr>
          <w:p>
            <w:pPr>
              <w:ind w:left="140"/>
              <w:spacing w:after="0"/>
              <w:rPr>
                <w:sz w:val="20"/>
                <w:szCs w:val="20"/>
                <w:color w:val="auto"/>
              </w:rPr>
            </w:pPr>
            <w:r>
              <w:rPr>
                <w:rFonts w:ascii="Arial" w:cs="Arial" w:eastAsia="Arial" w:hAnsi="Arial"/>
                <w:sz w:val="19"/>
                <w:szCs w:val="19"/>
                <w:b w:val="1"/>
                <w:bCs w:val="1"/>
                <w:color w:val="231F20"/>
              </w:rPr>
              <w:t>Item 15.</w:t>
            </w:r>
          </w:p>
        </w:tc>
        <w:tc>
          <w:tcPr>
            <w:tcW w:w="8860" w:type="dxa"/>
            <w:vAlign w:val="bottom"/>
          </w:tcPr>
          <w:p>
            <w:pPr>
              <w:ind w:left="100"/>
              <w:spacing w:after="0"/>
              <w:rPr>
                <w:sz w:val="20"/>
                <w:szCs w:val="20"/>
                <w:color w:val="auto"/>
              </w:rPr>
            </w:pPr>
            <w:r>
              <w:rPr>
                <w:rFonts w:ascii="Arial" w:cs="Arial" w:eastAsia="Arial" w:hAnsi="Arial"/>
                <w:sz w:val="19"/>
                <w:szCs w:val="19"/>
                <w:b w:val="1"/>
                <w:bCs w:val="1"/>
                <w:color w:val="auto"/>
              </w:rPr>
              <w:t>Exhibits, Financial Statement Schedules</w:t>
            </w:r>
          </w:p>
        </w:tc>
        <w:tc>
          <w:tcPr>
            <w:tcW w:w="700" w:type="dxa"/>
            <w:vAlign w:val="bottom"/>
          </w:tcPr>
          <w:p>
            <w:pPr>
              <w:jc w:val="right"/>
              <w:spacing w:after="0"/>
              <w:rPr>
                <w:sz w:val="20"/>
                <w:szCs w:val="20"/>
                <w:color w:val="auto"/>
              </w:rPr>
            </w:pPr>
            <w:r>
              <w:rPr>
                <w:rFonts w:ascii="Arial" w:cs="Arial" w:eastAsia="Arial" w:hAnsi="Arial"/>
                <w:sz w:val="19"/>
                <w:szCs w:val="19"/>
                <w:b w:val="1"/>
                <w:bCs w:val="1"/>
                <w:color w:val="231F20"/>
              </w:rPr>
              <w:t>127</w:t>
            </w:r>
          </w:p>
        </w:tc>
      </w:tr>
      <w:tr>
        <w:trPr>
          <w:trHeight w:val="238"/>
        </w:trPr>
        <w:tc>
          <w:tcPr>
            <w:tcW w:w="920" w:type="dxa"/>
            <w:vAlign w:val="bottom"/>
          </w:tcPr>
          <w:p>
            <w:pPr>
              <w:ind w:left="140"/>
              <w:spacing w:after="0"/>
              <w:rPr>
                <w:sz w:val="20"/>
                <w:szCs w:val="20"/>
                <w:color w:val="auto"/>
              </w:rPr>
            </w:pPr>
            <w:r>
              <w:rPr>
                <w:rFonts w:ascii="Arial" w:cs="Arial" w:eastAsia="Arial" w:hAnsi="Arial"/>
                <w:sz w:val="19"/>
                <w:szCs w:val="19"/>
                <w:b w:val="1"/>
                <w:bCs w:val="1"/>
                <w:color w:val="231F20"/>
              </w:rPr>
              <w:t>Item 16.</w:t>
            </w:r>
          </w:p>
        </w:tc>
        <w:tc>
          <w:tcPr>
            <w:tcW w:w="8860" w:type="dxa"/>
            <w:vAlign w:val="bottom"/>
          </w:tcPr>
          <w:p>
            <w:pPr>
              <w:ind w:left="100"/>
              <w:spacing w:after="0"/>
              <w:rPr>
                <w:sz w:val="20"/>
                <w:szCs w:val="20"/>
                <w:color w:val="auto"/>
              </w:rPr>
            </w:pPr>
            <w:r>
              <w:rPr>
                <w:rFonts w:ascii="Arial" w:cs="Arial" w:eastAsia="Arial" w:hAnsi="Arial"/>
                <w:sz w:val="19"/>
                <w:szCs w:val="19"/>
                <w:b w:val="1"/>
                <w:bCs w:val="1"/>
                <w:color w:val="auto"/>
              </w:rPr>
              <w:t>Form 10-K Summary</w:t>
            </w:r>
          </w:p>
        </w:tc>
        <w:tc>
          <w:tcPr>
            <w:tcW w:w="700" w:type="dxa"/>
            <w:vAlign w:val="bottom"/>
          </w:tcPr>
          <w:p>
            <w:pPr>
              <w:jc w:val="right"/>
              <w:spacing w:after="0"/>
              <w:rPr>
                <w:sz w:val="20"/>
                <w:szCs w:val="20"/>
                <w:color w:val="auto"/>
              </w:rPr>
            </w:pPr>
            <w:r>
              <w:rPr>
                <w:rFonts w:ascii="Arial" w:cs="Arial" w:eastAsia="Arial" w:hAnsi="Arial"/>
                <w:sz w:val="19"/>
                <w:szCs w:val="19"/>
                <w:b w:val="1"/>
                <w:bCs w:val="1"/>
                <w:color w:val="231F20"/>
              </w:rPr>
              <w:t>130</w:t>
            </w:r>
          </w:p>
        </w:tc>
      </w:tr>
      <w:tr>
        <w:trPr>
          <w:trHeight w:val="475"/>
        </w:trPr>
        <w:tc>
          <w:tcPr>
            <w:tcW w:w="9780" w:type="dxa"/>
            <w:vAlign w:val="bottom"/>
            <w:gridSpan w:val="2"/>
          </w:tcPr>
          <w:p>
            <w:pPr>
              <w:spacing w:after="0"/>
              <w:rPr>
                <w:sz w:val="20"/>
                <w:szCs w:val="20"/>
                <w:color w:val="auto"/>
              </w:rPr>
            </w:pPr>
            <w:r>
              <w:rPr>
                <w:rFonts w:ascii="Arial" w:cs="Arial" w:eastAsia="Arial" w:hAnsi="Arial"/>
                <w:sz w:val="19"/>
                <w:szCs w:val="19"/>
                <w:b w:val="1"/>
                <w:bCs w:val="1"/>
                <w:color w:val="auto"/>
              </w:rPr>
              <w:t>SIGNATURES</w:t>
            </w:r>
          </w:p>
        </w:tc>
        <w:tc>
          <w:tcPr>
            <w:tcW w:w="700" w:type="dxa"/>
            <w:vAlign w:val="bottom"/>
          </w:tcPr>
          <w:p>
            <w:pPr>
              <w:jc w:val="right"/>
              <w:spacing w:after="0"/>
              <w:rPr>
                <w:sz w:val="20"/>
                <w:szCs w:val="20"/>
                <w:color w:val="auto"/>
              </w:rPr>
            </w:pPr>
            <w:r>
              <w:rPr>
                <w:rFonts w:ascii="Arial" w:cs="Arial" w:eastAsia="Arial" w:hAnsi="Arial"/>
                <w:sz w:val="19"/>
                <w:szCs w:val="19"/>
                <w:b w:val="1"/>
                <w:bCs w:val="1"/>
                <w:color w:val="231F20"/>
              </w:rPr>
              <w:t>131</w:t>
            </w:r>
          </w:p>
        </w:tc>
      </w:tr>
    </w:tbl>
    <w:p>
      <w:pPr>
        <w:spacing w:after="0" w:line="200" w:lineRule="exact"/>
        <w:rPr>
          <w:sz w:val="20"/>
          <w:szCs w:val="20"/>
          <w:color w:val="auto"/>
        </w:rPr>
      </w:pPr>
    </w:p>
    <w:p>
      <w:pPr>
        <w:sectPr>
          <w:pgSz w:w="12240" w:h="15840" w:orient="portrait"/>
          <w:cols w:equalWidth="0" w:num="1">
            <w:col w:w="10480"/>
          </w:cols>
          <w:pgMar w:left="880" w:top="1160" w:right="880" w:bottom="3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iii</w:t>
      </w:r>
    </w:p>
    <w:p>
      <w:pPr>
        <w:sectPr>
          <w:pgSz w:w="12240" w:h="15840" w:orient="portrait"/>
          <w:cols w:equalWidth="0" w:num="1">
            <w:col w:w="10480"/>
          </w:cols>
          <w:pgMar w:left="880" w:top="1160" w:right="880" w:bottom="372" w:gutter="0" w:footer="0" w:header="0"/>
          <w:type w:val="continuous"/>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[This page intentionally left blank]</w:t>
      </w:r>
    </w:p>
    <w:p>
      <w:pPr>
        <w:sectPr>
          <w:pgSz w:w="12240" w:h="15840" w:orient="portrait"/>
          <w:cols w:equalWidth="0" w:num="1">
            <w:col w:w="9360"/>
          </w:cols>
          <w:pgMar w:left="1440" w:top="1440"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9"/>
          <w:szCs w:val="19"/>
          <w:b w:val="1"/>
          <w:bCs w:val="1"/>
          <w:color w:val="231F20"/>
        </w:rPr>
        <w:t>PART I</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1. Business.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BUSINESS</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Overview</w:t>
      </w:r>
    </w:p>
    <w:p>
      <w:pPr>
        <w:spacing w:after="0" w:line="128" w:lineRule="exact"/>
        <w:rPr>
          <w:sz w:val="20"/>
          <w:szCs w:val="20"/>
          <w:color w:val="auto"/>
        </w:rPr>
      </w:pPr>
    </w:p>
    <w:p>
      <w:pPr>
        <w:ind w:firstLine="475"/>
        <w:spacing w:after="0" w:line="222" w:lineRule="exact"/>
        <w:rPr>
          <w:sz w:val="20"/>
          <w:szCs w:val="20"/>
          <w:color w:val="auto"/>
        </w:rPr>
      </w:pPr>
      <w:r>
        <w:rPr>
          <w:rFonts w:ascii="Arial" w:cs="Arial" w:eastAsia="Arial" w:hAnsi="Arial"/>
          <w:sz w:val="17"/>
          <w:szCs w:val="17"/>
          <w:b w:val="1"/>
          <w:bCs w:val="1"/>
          <w:color w:val="231F20"/>
        </w:rPr>
        <w:t xml:space="preserve">We are a clinical-stage immuno-oncology company focused on helping patients fight cancer by developing therapies that block the CD47 immune checkpoint and bridge the innate and adaptive immune system. Our lead product candidate, the CD47 blocker evorpacept, is currently in multiple Phase 1 and 2 clinical trials. Cancer cells leverage CD47, a cell surface protein, as a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don</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t eat me</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signal to evade macrophage phagocytosis or as a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don</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t activate T-cells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signal that prevents activation of T-cells by dendritic cells. We are developing evorpacept to be a next-generation checkpoint inhibitor designed to have a high affinity for CD47 and to avoid the limitations caused by hematologic toxicities inherent in other CD47 blocking approaches.</w:t>
      </w:r>
    </w:p>
    <w:p>
      <w:pPr>
        <w:spacing w:after="0" w:line="128" w:lineRule="exact"/>
        <w:rPr>
          <w:sz w:val="20"/>
          <w:szCs w:val="20"/>
          <w:color w:val="auto"/>
        </w:rPr>
      </w:pPr>
    </w:p>
    <w:p>
      <w:pPr>
        <w:ind w:right="40" w:firstLine="475"/>
        <w:spacing w:after="0" w:line="223" w:lineRule="exact"/>
        <w:rPr>
          <w:sz w:val="20"/>
          <w:szCs w:val="20"/>
          <w:color w:val="auto"/>
        </w:rPr>
      </w:pPr>
      <w:r>
        <w:rPr>
          <w:rFonts w:ascii="Arial" w:cs="Arial" w:eastAsia="Arial" w:hAnsi="Arial"/>
          <w:sz w:val="17"/>
          <w:szCs w:val="17"/>
          <w:b w:val="1"/>
          <w:bCs w:val="1"/>
          <w:color w:val="231F20"/>
        </w:rPr>
        <w:t xml:space="preserve">Anti-cancer agents, including many chemotherapies, other small molecules and anti-cancer antibodies, can stimulate immune cells such as macrophages to engulf and kill cancer cells, a process known as phagocytosis, by providing so-called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eat me</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signals on cancer cells. In response, cancer cells frequently overexpress CD47 to counteract these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eat me</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signals. As a result, high expression of CD47 on cancer cells has been associated with reduced patient survival in multiple cancers. The therapeutic blockade of CD47 in combination with an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eat me</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signal enables the immune system to detect and phagocytose cancer cells. However, healthy blood cells and nearly all other cells in the body also express CD47 as a way to protect against pathologic phagocytosis by immune cells. There have been a number of approaches to blocking CD47, including monoclonal antibodies and fusion proteins that include an active Fc region. These approaches have encountered limitations, including limited dosing and therapeutic window, limited ability to combine with other anti-cancer agents, limited efficacy in solid tumors and limited indications due to patient selection, that have challenged their ability to maximize the full potential of CD47 blockade. In addition, most of these therapeutic approaches to CD47 blockade have resulted in the destruction of patients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healthy blood cells, causing cytopenias that limit the dosing and therapeutic potential of those molecules.</w:t>
      </w:r>
    </w:p>
    <w:p>
      <w:pPr>
        <w:spacing w:after="0" w:line="129" w:lineRule="exact"/>
        <w:rPr>
          <w:sz w:val="20"/>
          <w:szCs w:val="20"/>
          <w:color w:val="auto"/>
        </w:rPr>
      </w:pPr>
    </w:p>
    <w:p>
      <w:pPr>
        <w:ind w:right="20" w:firstLine="475"/>
        <w:spacing w:after="0" w:line="222" w:lineRule="exact"/>
        <w:rPr>
          <w:sz w:val="20"/>
          <w:szCs w:val="20"/>
          <w:color w:val="auto"/>
        </w:rPr>
      </w:pPr>
      <w:r>
        <w:rPr>
          <w:rFonts w:ascii="Arial" w:cs="Arial" w:eastAsia="Arial" w:hAnsi="Arial"/>
          <w:sz w:val="16"/>
          <w:szCs w:val="16"/>
          <w:b w:val="1"/>
          <w:bCs w:val="1"/>
          <w:color w:val="231F20"/>
        </w:rPr>
        <w:t xml:space="preserve">ALX Oncology was founded to address fundamental challenges in blocking CD47 and to realize the full potential of this therapeutic target. Clinical data on competing CD47 blockers to date have come from molecules that incorporate an active antibody Fc region in addition to a CD47 blocking region. The Fc region provides a positive, pro-phagocytic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eat me</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signal to macrophages and other cells of the immune system. Since healthy blood cells also express CD47, these competing therapeutic approaches can cause a reduction in the number of blood cells in the body, resulting in anemia, thrombocytopenia and neutropenia, which can be dangerous to patients and may limit the ability to combine these agents with other anti-cancer medicines.</w:t>
      </w:r>
    </w:p>
    <w:p>
      <w:pPr>
        <w:spacing w:after="0" w:line="127" w:lineRule="exact"/>
        <w:rPr>
          <w:sz w:val="20"/>
          <w:szCs w:val="20"/>
          <w:color w:val="auto"/>
        </w:rPr>
      </w:pPr>
    </w:p>
    <w:p>
      <w:pPr>
        <w:ind w:right="140" w:firstLine="475"/>
        <w:spacing w:after="0" w:line="297" w:lineRule="auto"/>
        <w:rPr>
          <w:sz w:val="20"/>
          <w:szCs w:val="20"/>
          <w:color w:val="auto"/>
        </w:rPr>
      </w:pPr>
      <w:r>
        <w:rPr>
          <w:rFonts w:ascii="Arial" w:cs="Arial" w:eastAsia="Arial" w:hAnsi="Arial"/>
          <w:sz w:val="16"/>
          <w:szCs w:val="16"/>
          <w:b w:val="1"/>
          <w:bCs w:val="1"/>
          <w:color w:val="231F20"/>
        </w:rPr>
        <w:t>Evorpacept is a next-generation CD47 blocking therapeutic that we believe has significantly enhanced properties compared to competing CD47 blocking approaches. Evorpacept is a fusion protein that combines a high-affinity CD47 binding domain with a proprietary inactivated Fc domain. The CD47 binding domain of evorpacept is an affinity enhanced extracellular domain of SIRP</w:t>
      </w:r>
      <w:r>
        <w:rPr>
          <w:sz w:val="1"/>
          <w:szCs w:val="1"/>
          <w:color w:val="auto"/>
        </w:rPr>
        <w:drawing>
          <wp:inline distT="0" distB="0" distL="0" distR="0">
            <wp:extent cx="83185" cy="8318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3185" cy="83185"/>
                    </a:xfrm>
                    <a:prstGeom prst="rect">
                      <a:avLst/>
                    </a:prstGeom>
                    <a:noFill/>
                    <a:ln>
                      <a:noFill/>
                    </a:ln>
                  </pic:spPr>
                </pic:pic>
              </a:graphicData>
            </a:graphic>
          </wp:inline>
        </w:drawing>
      </w:r>
      <w:r>
        <w:rPr>
          <w:rFonts w:ascii="Arial" w:cs="Arial" w:eastAsia="Arial" w:hAnsi="Arial"/>
          <w:sz w:val="16"/>
          <w:szCs w:val="16"/>
          <w:b w:val="1"/>
          <w:bCs w:val="1"/>
          <w:color w:val="231F20"/>
        </w:rPr>
        <w:t>, a protein that is the natural receptor to CD47 found on myeloid cells. We have engineered the Fc domain of evorpacept so that it does not provide a pro-phagocytic signal while still maintaining an antibody-like half-life for the molecule. We believe our inactive Fc approach improves tolerability when compared to other CD47 blocking approaches that have an Fc domain that engages activating receptors on macrophages, causing phagocytosis and death of healthy cells in addition to cancer cells.</w:t>
      </w:r>
    </w:p>
    <w:p>
      <w:pPr>
        <w:spacing w:after="0" w:line="84" w:lineRule="exact"/>
        <w:rPr>
          <w:sz w:val="20"/>
          <w:szCs w:val="20"/>
          <w:color w:val="auto"/>
        </w:rPr>
      </w:pPr>
    </w:p>
    <w:p>
      <w:pPr>
        <w:ind w:right="60" w:firstLine="475"/>
        <w:spacing w:after="0" w:line="222" w:lineRule="exact"/>
        <w:rPr>
          <w:sz w:val="20"/>
          <w:szCs w:val="20"/>
          <w:color w:val="auto"/>
        </w:rPr>
      </w:pPr>
      <w:r>
        <w:rPr>
          <w:rFonts w:ascii="Arial" w:cs="Arial" w:eastAsia="Arial" w:hAnsi="Arial"/>
          <w:sz w:val="17"/>
          <w:szCs w:val="17"/>
          <w:b w:val="1"/>
          <w:bCs w:val="1"/>
          <w:color w:val="231F20"/>
        </w:rPr>
        <w:t>Evorpacept</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design has several additional advantages that we believe will make it broadly applicable to treating a number of oncology indications. Due to the inactive Fc, evorpacept is specifically designed for use in combination with other anti-cancer agents that provide a positive immune-stimulating signal. We believe evorpacept has a favorable tolerability profile that may enable higher dosing levels and greater combination potential with other leading anti-cancer agents. Additionally, the molecular weight of evorpacept is half that of a typical antibody, therefore allowing for higher dosing (10mg/kg of evorpacept is equivalent to 20 mg/kg of a regular antibody). The relatively smaller size of our molecule may facilitate increased penetrance into the tumor microenvironment. We believe these properties may enable evorpacept to provide superior therapeutic benefits.</w:t>
      </w:r>
    </w:p>
    <w:p>
      <w:pPr>
        <w:spacing w:after="0" w:line="126" w:lineRule="exact"/>
        <w:rPr>
          <w:sz w:val="20"/>
          <w:szCs w:val="20"/>
          <w:color w:val="auto"/>
        </w:rPr>
      </w:pPr>
    </w:p>
    <w:p>
      <w:pPr>
        <w:ind w:right="40" w:firstLine="475"/>
        <w:spacing w:after="0" w:line="243" w:lineRule="auto"/>
        <w:rPr>
          <w:sz w:val="20"/>
          <w:szCs w:val="20"/>
          <w:color w:val="auto"/>
        </w:rPr>
      </w:pPr>
      <w:r>
        <w:rPr>
          <w:rFonts w:ascii="Arial" w:cs="Arial" w:eastAsia="Arial" w:hAnsi="Arial"/>
          <w:sz w:val="19"/>
          <w:szCs w:val="19"/>
          <w:b w:val="1"/>
          <w:bCs w:val="1"/>
          <w:color w:val="231F20"/>
        </w:rPr>
        <w:t>Clinical data to date in evorpacept have not shown the dose-dependent hematologic toxicities characteristic of other CD47 blockers that incorporate an active Fc domain. Over 700 subjects have been treated with evorpacept in combination with targeted anti-cancer agents, small molecules, and checkpoint inhibitors to date. Evorpacept has not reached a maximum tolerated dose in any of the combinations evaluated to date.</w:t>
      </w:r>
    </w:p>
    <w:p>
      <w:pPr>
        <w:spacing w:after="0" w:line="126" w:lineRule="exact"/>
        <w:rPr>
          <w:sz w:val="20"/>
          <w:szCs w:val="20"/>
          <w:color w:val="auto"/>
        </w:rPr>
      </w:pPr>
    </w:p>
    <w:p>
      <w:pPr>
        <w:ind w:firstLine="475"/>
        <w:spacing w:after="0" w:line="284" w:lineRule="auto"/>
        <w:rPr>
          <w:sz w:val="20"/>
          <w:szCs w:val="20"/>
          <w:color w:val="auto"/>
        </w:rPr>
      </w:pPr>
      <w:r>
        <w:rPr>
          <w:rFonts w:ascii="Arial" w:cs="Arial" w:eastAsia="Arial" w:hAnsi="Arial"/>
          <w:sz w:val="17"/>
          <w:szCs w:val="17"/>
          <w:b w:val="1"/>
          <w:bCs w:val="1"/>
          <w:color w:val="231F20"/>
        </w:rPr>
        <w:t>We are focused on evorpacept development with the standard-of-care agents, revolving around these two cell types: macrophages and dendritic cells. We initially pursued, and continue to pursue, development of evorpacept based on two well-validated mechanisms of action involving SIRP alpha expression on macrophages and dendritic cells as discussed below.</w:t>
      </w:r>
    </w:p>
    <w:p>
      <w:pPr>
        <w:sectPr>
          <w:pgSz w:w="12240" w:h="15840" w:orient="portrait"/>
          <w:cols w:equalWidth="0" w:num="1">
            <w:col w:w="10480"/>
          </w:cols>
          <w:pgMar w:left="880" w:top="1160" w:right="880" w:bottom="4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31F20"/>
        </w:rPr>
        <w:t>1</w:t>
      </w:r>
    </w:p>
    <w:p>
      <w:pPr>
        <w:sectPr>
          <w:pgSz w:w="12240" w:h="15840" w:orient="portrait"/>
          <w:cols w:equalWidth="0" w:num="1">
            <w:col w:w="10480"/>
          </w:cols>
          <w:pgMar w:left="880" w:top="1160" w:right="880" w:bottom="424" w:gutter="0" w:footer="0" w:header="0"/>
          <w:type w:val="continuous"/>
        </w:sectPr>
      </w:pPr>
    </w:p>
    <w:bookmarkStart w:id="9" w:name="page10"/>
    <w:bookmarkEnd w:id="9"/>
    <w:p>
      <w:pPr>
        <w:ind w:left="4"/>
        <w:spacing w:after="0"/>
        <w:rPr>
          <w:sz w:val="20"/>
          <w:szCs w:val="20"/>
          <w:color w:val="auto"/>
        </w:rPr>
      </w:pPr>
      <w:r>
        <w:rPr>
          <w:rFonts w:ascii="Arial" w:cs="Arial" w:eastAsia="Arial" w:hAnsi="Arial"/>
          <w:sz w:val="19"/>
          <w:szCs w:val="19"/>
          <w:b w:val="1"/>
          <w:bCs w:val="1"/>
          <w:color w:val="231F20"/>
        </w:rPr>
        <w:t>The distinct mechanism of actions and examples of the combinations of priority are:</w:t>
      </w:r>
    </w:p>
    <w:p>
      <w:pPr>
        <w:spacing w:after="0" w:line="128" w:lineRule="exact"/>
        <w:rPr>
          <w:sz w:val="20"/>
          <w:szCs w:val="20"/>
          <w:color w:val="auto"/>
        </w:rPr>
      </w:pPr>
    </w:p>
    <w:p>
      <w:pPr>
        <w:ind w:left="484" w:right="120" w:hanging="484"/>
        <w:spacing w:after="0" w:line="220" w:lineRule="exact"/>
        <w:tabs>
          <w:tab w:leader="none" w:pos="484" w:val="left"/>
        </w:tabs>
        <w:numPr>
          <w:ilvl w:val="0"/>
          <w:numId w:val="1"/>
        </w:numPr>
        <w:rPr>
          <w:rFonts w:ascii="Arial" w:cs="Arial" w:eastAsia="Arial" w:hAnsi="Arial"/>
          <w:sz w:val="19"/>
          <w:szCs w:val="19"/>
          <w:b w:val="1"/>
          <w:bCs w:val="1"/>
          <w:color w:val="231F20"/>
        </w:rPr>
      </w:pPr>
      <w:r>
        <w:rPr>
          <w:rFonts w:ascii="Arial" w:cs="Arial" w:eastAsia="Arial" w:hAnsi="Arial"/>
          <w:sz w:val="19"/>
          <w:szCs w:val="19"/>
          <w:b w:val="1"/>
          <w:bCs w:val="1"/>
          <w:color w:val="231F20"/>
        </w:rPr>
        <w:t xml:space="preserve">Anti-cancer antibodies (the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don</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t eat me</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signal): Combining with anti-cancer targeted antibodies with an active Fc domain, where evorpacept enables the Fc-mediated antibody dependent phagocytosis that is impaired by the expression of CD47 on cancer cells.</w:t>
      </w:r>
    </w:p>
    <w:p>
      <w:pPr>
        <w:spacing w:after="0" w:line="10" w:lineRule="exact"/>
        <w:rPr>
          <w:rFonts w:ascii="Arial" w:cs="Arial" w:eastAsia="Arial" w:hAnsi="Arial"/>
          <w:sz w:val="19"/>
          <w:szCs w:val="19"/>
          <w:b w:val="1"/>
          <w:bCs w:val="1"/>
          <w:color w:val="231F20"/>
        </w:rPr>
      </w:pPr>
    </w:p>
    <w:p>
      <w:pPr>
        <w:ind w:left="484" w:right="80"/>
        <w:spacing w:after="0" w:line="237" w:lineRule="auto"/>
        <w:rPr>
          <w:rFonts w:ascii="Arial" w:cs="Arial" w:eastAsia="Arial" w:hAnsi="Arial"/>
          <w:sz w:val="19"/>
          <w:szCs w:val="19"/>
          <w:b w:val="1"/>
          <w:bCs w:val="1"/>
          <w:color w:val="231F20"/>
        </w:rPr>
      </w:pPr>
      <w:r>
        <w:rPr>
          <w:rFonts w:ascii="Arial" w:cs="Arial" w:eastAsia="Arial" w:hAnsi="Arial"/>
          <w:sz w:val="18"/>
          <w:szCs w:val="18"/>
          <w:b w:val="1"/>
          <w:bCs w:val="1"/>
          <w:color w:val="231F20"/>
        </w:rPr>
        <w:t>Data from the randomized ASPEN-06 Phase 2 clinical trial supports the clinical validation of this mechanism of action. ASPEN-06 evaluates the contribution of evorpacept to HERCEPTIN</w:t>
      </w:r>
      <w:r>
        <w:rPr>
          <w:rFonts w:ascii="Arial" w:cs="Arial" w:eastAsia="Arial" w:hAnsi="Arial"/>
          <w:sz w:val="23"/>
          <w:szCs w:val="23"/>
          <w:b w:val="1"/>
          <w:bCs w:val="1"/>
          <w:color w:val="231F20"/>
          <w:vertAlign w:val="superscript"/>
        </w:rPr>
        <w:t>®</w:t>
      </w:r>
      <w:r>
        <w:rPr>
          <w:rFonts w:ascii="Arial" w:cs="Arial" w:eastAsia="Arial" w:hAnsi="Arial"/>
          <w:sz w:val="18"/>
          <w:szCs w:val="18"/>
          <w:b w:val="1"/>
          <w:bCs w:val="1"/>
          <w:color w:val="231F20"/>
        </w:rPr>
        <w:t xml:space="preserve"> (trastuzumab) plus standard of care (CYRAMZA</w:t>
      </w:r>
      <w:r>
        <w:rPr>
          <w:rFonts w:ascii="Arial" w:cs="Arial" w:eastAsia="Arial" w:hAnsi="Arial"/>
          <w:sz w:val="23"/>
          <w:szCs w:val="23"/>
          <w:b w:val="1"/>
          <w:bCs w:val="1"/>
          <w:color w:val="231F20"/>
          <w:vertAlign w:val="superscript"/>
        </w:rPr>
        <w:t>®</w:t>
      </w:r>
      <w:r>
        <w:rPr>
          <w:rFonts w:ascii="Arial" w:cs="Arial" w:eastAsia="Arial" w:hAnsi="Arial"/>
          <w:sz w:val="18"/>
          <w:szCs w:val="18"/>
          <w:b w:val="1"/>
          <w:bCs w:val="1"/>
          <w:color w:val="231F20"/>
        </w:rPr>
        <w:t xml:space="preserve"> (ramucirumab) + paclitaxel) (Evo-TRP), versus trastuzumab, ramucirumab, and paclitaxel (TRP) in second line or later human epidermal growth factor receptor 2 (HER2)-positive gastric/gastroesophageal junction (GEJ) cancer, where all patients had received an anti-HER2 agent in prior lines of therapy. Results from the December 2024 data cutoff were presented at an oral presentation at the 2025 American Society of Clinical Oncology (ASCO) Gastrointestinal Cancers Symposium:</w:t>
      </w:r>
    </w:p>
    <w:p>
      <w:pPr>
        <w:spacing w:after="0" w:line="142" w:lineRule="exact"/>
        <w:rPr>
          <w:sz w:val="20"/>
          <w:szCs w:val="20"/>
          <w:color w:val="auto"/>
        </w:rPr>
      </w:pPr>
    </w:p>
    <w:p>
      <w:pPr>
        <w:ind w:left="1044"/>
        <w:spacing w:after="0"/>
        <w:rPr>
          <w:sz w:val="20"/>
          <w:szCs w:val="20"/>
          <w:color w:val="auto"/>
        </w:rPr>
      </w:pPr>
      <w:r>
        <w:rPr>
          <w:rFonts w:ascii="Arial" w:cs="Arial" w:eastAsia="Arial" w:hAnsi="Arial"/>
          <w:sz w:val="19"/>
          <w:szCs w:val="19"/>
          <w:b w:val="1"/>
          <w:bCs w:val="1"/>
          <w:color w:val="231F20"/>
        </w:rPr>
        <w:t>Primary endpoints (December 2024 data cutoff):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-95250</wp:posOffset>
            </wp:positionV>
            <wp:extent cx="81915" cy="850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105" w:lineRule="exact"/>
        <w:rPr>
          <w:sz w:val="20"/>
          <w:szCs w:val="20"/>
          <w:color w:val="auto"/>
        </w:rPr>
      </w:pPr>
    </w:p>
    <w:p>
      <w:pPr>
        <w:jc w:val="both"/>
        <w:ind w:left="1604" w:right="40"/>
        <w:spacing w:after="0" w:line="242" w:lineRule="auto"/>
        <w:rPr>
          <w:sz w:val="20"/>
          <w:szCs w:val="20"/>
          <w:color w:val="auto"/>
        </w:rPr>
      </w:pPr>
      <w:r>
        <w:rPr>
          <w:rFonts w:ascii="Arial" w:cs="Arial" w:eastAsia="Arial" w:hAnsi="Arial"/>
          <w:sz w:val="19"/>
          <w:szCs w:val="19"/>
          <w:b w:val="1"/>
          <w:bCs w:val="1"/>
          <w:color w:val="231F20"/>
        </w:rPr>
        <w:t>Intent-to-treat (ITT) patient population overall response rate (ORR) (n=127): Evo-TRP demonstrated an ORR of 41.3% compared to 30% for ramucirumab and paclitaxel (RP) historical control and 26.6% for TRP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-386080</wp:posOffset>
            </wp:positionV>
            <wp:extent cx="62230" cy="635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4" w:lineRule="exact"/>
        <w:rPr>
          <w:sz w:val="20"/>
          <w:szCs w:val="20"/>
          <w:color w:val="auto"/>
        </w:rPr>
      </w:pPr>
    </w:p>
    <w:p>
      <w:pPr>
        <w:ind w:left="1604"/>
        <w:spacing w:after="0" w:line="239" w:lineRule="auto"/>
        <w:rPr>
          <w:sz w:val="20"/>
          <w:szCs w:val="20"/>
          <w:color w:val="auto"/>
        </w:rPr>
      </w:pPr>
      <w:r>
        <w:rPr>
          <w:rFonts w:ascii="Arial" w:cs="Arial" w:eastAsia="Arial" w:hAnsi="Arial"/>
          <w:sz w:val="19"/>
          <w:szCs w:val="19"/>
          <w:b w:val="1"/>
          <w:bCs w:val="1"/>
          <w:color w:val="231F20"/>
        </w:rPr>
        <w:t>Fresh HER2-positive biopsy patient population ORR (n=48): Evo-TRP demonstrated an ORR of 59.1% compared to 30% for RP historical control and 23.1% for TRP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-242570</wp:posOffset>
            </wp:positionV>
            <wp:extent cx="62230" cy="635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23" w:lineRule="exact"/>
        <w:rPr>
          <w:sz w:val="20"/>
          <w:szCs w:val="20"/>
          <w:color w:val="auto"/>
        </w:rPr>
      </w:pPr>
    </w:p>
    <w:p>
      <w:pPr>
        <w:ind w:left="1044" w:right="240"/>
        <w:spacing w:after="0" w:line="284" w:lineRule="auto"/>
        <w:rPr>
          <w:sz w:val="20"/>
          <w:szCs w:val="20"/>
          <w:color w:val="auto"/>
        </w:rPr>
      </w:pPr>
      <w:r>
        <w:rPr>
          <w:rFonts w:ascii="Arial" w:cs="Arial" w:eastAsia="Arial" w:hAnsi="Arial"/>
          <w:sz w:val="17"/>
          <w:szCs w:val="17"/>
          <w:b w:val="1"/>
          <w:bCs w:val="1"/>
          <w:color w:val="231F20"/>
        </w:rPr>
        <w:t>In the ITT population, Evo-TRP demonstrated a median duration of response (mDOR) of 15.7 months and a median progression-free survival (mPFS) of 7.5 months compared to an mDOR of 9.1 months and mPFS of 7.4 months in the TRP control group, with a PFS Hazard Ratio (PFS HR) in this population of 0.77.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-400685</wp:posOffset>
            </wp:positionV>
            <wp:extent cx="81915" cy="850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85" w:lineRule="exact"/>
        <w:rPr>
          <w:sz w:val="20"/>
          <w:szCs w:val="20"/>
          <w:color w:val="auto"/>
        </w:rPr>
      </w:pPr>
    </w:p>
    <w:p>
      <w:pPr>
        <w:jc w:val="both"/>
        <w:ind w:left="1044" w:right="20"/>
        <w:spacing w:after="0" w:line="242" w:lineRule="auto"/>
        <w:rPr>
          <w:sz w:val="20"/>
          <w:szCs w:val="20"/>
          <w:color w:val="auto"/>
        </w:rPr>
      </w:pPr>
      <w:r>
        <w:rPr>
          <w:rFonts w:ascii="Arial" w:cs="Arial" w:eastAsia="Arial" w:hAnsi="Arial"/>
          <w:sz w:val="19"/>
          <w:szCs w:val="19"/>
          <w:b w:val="1"/>
          <w:bCs w:val="1"/>
          <w:color w:val="231F20"/>
        </w:rPr>
        <w:t>In patients with fresh HER2-positive biopsies, Evo-TRP demonstrated an mDOR of 15.7 months and mPFS of 9.5 months compared to an mDOR of 14.5 months and mPFS of 7.1 months in the TRP control group, with a PFS HR of 0.62.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-379730</wp:posOffset>
            </wp:positionV>
            <wp:extent cx="81915" cy="850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118" w:lineRule="exact"/>
        <w:rPr>
          <w:sz w:val="20"/>
          <w:szCs w:val="20"/>
          <w:color w:val="auto"/>
        </w:rPr>
      </w:pPr>
    </w:p>
    <w:p>
      <w:pPr>
        <w:ind w:left="1044"/>
        <w:spacing w:after="0" w:line="243" w:lineRule="auto"/>
        <w:rPr>
          <w:sz w:val="20"/>
          <w:szCs w:val="20"/>
          <w:color w:val="auto"/>
        </w:rPr>
      </w:pPr>
      <w:r>
        <w:rPr>
          <w:rFonts w:ascii="Arial" w:cs="Arial" w:eastAsia="Arial" w:hAnsi="Arial"/>
          <w:sz w:val="19"/>
          <w:szCs w:val="19"/>
          <w:b w:val="1"/>
          <w:bCs w:val="1"/>
          <w:color w:val="231F20"/>
        </w:rPr>
        <w:t>In patients with confirmed HER2-positive expression as determined by either fresh biopsy or circulating tumor DNA (ctDNA) HER2-positivity (n=96), the addition of evorpacept to TRP resulted in a 48.9% ORR, an mDOR of 15.7 months and mPFS of 7.5 months, compared to a 24.5% ORR, an mDOR of 9.1 months and mPFS of 6.7 months in the TRP control group, with a PFS HR of 0.64.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-521970</wp:posOffset>
            </wp:positionV>
            <wp:extent cx="81915" cy="850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118" w:lineRule="exact"/>
        <w:rPr>
          <w:sz w:val="20"/>
          <w:szCs w:val="20"/>
          <w:color w:val="auto"/>
        </w:rPr>
      </w:pPr>
    </w:p>
    <w:p>
      <w:pPr>
        <w:ind w:left="1044" w:right="760"/>
        <w:spacing w:after="0" w:line="239" w:lineRule="auto"/>
        <w:rPr>
          <w:sz w:val="20"/>
          <w:szCs w:val="20"/>
          <w:color w:val="auto"/>
        </w:rPr>
      </w:pPr>
      <w:r>
        <w:rPr>
          <w:rFonts w:ascii="Arial" w:cs="Arial" w:eastAsia="Arial" w:hAnsi="Arial"/>
          <w:sz w:val="19"/>
          <w:szCs w:val="19"/>
          <w:b w:val="1"/>
          <w:bCs w:val="1"/>
          <w:color w:val="231F20"/>
        </w:rPr>
        <w:t>Evo-TRP was generally well tolerated, with the incidence of adverse events in the evorpacept population consistent with those in TRP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-236220</wp:posOffset>
            </wp:positionV>
            <wp:extent cx="81915" cy="850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109" w:lineRule="exact"/>
        <w:rPr>
          <w:sz w:val="20"/>
          <w:szCs w:val="20"/>
          <w:color w:val="auto"/>
        </w:rPr>
      </w:pPr>
    </w:p>
    <w:p>
      <w:pPr>
        <w:ind w:left="484" w:right="20"/>
        <w:spacing w:after="0" w:line="259" w:lineRule="auto"/>
        <w:rPr>
          <w:sz w:val="20"/>
          <w:szCs w:val="20"/>
          <w:color w:val="auto"/>
        </w:rPr>
      </w:pPr>
      <w:r>
        <w:rPr>
          <w:rFonts w:ascii="Arial" w:cs="Arial" w:eastAsia="Arial" w:hAnsi="Arial"/>
          <w:sz w:val="18"/>
          <w:szCs w:val="18"/>
          <w:b w:val="1"/>
          <w:bCs w:val="1"/>
          <w:color w:val="231F20"/>
        </w:rPr>
        <w:t>Our earlier ASPEN-01 Phase 1 positive data in combination with rituximab in non-Hodgkin lymphoma (NHL) and the recent clinical data of our investigator-sponsored trial (IST) collaborator from the ongoing Phase 1/2 IST of evorpacept in combination with rituximab and lenalidomide patients with relapsed refractory B-cell NHL (R/R B-NHL) provide additional support for the clinical validation of this mechanism of action and support exploring combinations of evorpacept with other anti-cancer antibodies.</w:t>
      </w:r>
    </w:p>
    <w:p>
      <w:pPr>
        <w:spacing w:after="0" w:line="114" w:lineRule="exact"/>
        <w:rPr>
          <w:sz w:val="20"/>
          <w:szCs w:val="20"/>
          <w:color w:val="auto"/>
        </w:rPr>
      </w:pPr>
    </w:p>
    <w:p>
      <w:pPr>
        <w:ind w:left="484" w:right="180"/>
        <w:spacing w:after="0" w:line="224" w:lineRule="auto"/>
        <w:rPr>
          <w:sz w:val="20"/>
          <w:szCs w:val="20"/>
          <w:color w:val="auto"/>
        </w:rPr>
      </w:pPr>
      <w:r>
        <w:rPr>
          <w:rFonts w:ascii="Arial" w:cs="Arial" w:eastAsia="Arial" w:hAnsi="Arial"/>
          <w:sz w:val="18"/>
          <w:szCs w:val="18"/>
          <w:b w:val="1"/>
          <w:bCs w:val="1"/>
          <w:color w:val="231F20"/>
        </w:rPr>
        <w:t>This mechanism of action may also apply to antibody-drug conjugates (ADCs), which are being investigated in two separate Phase 1 trials: one in combination with PADCEV</w:t>
      </w:r>
      <w:r>
        <w:rPr>
          <w:rFonts w:ascii="Arial" w:cs="Arial" w:eastAsia="Arial" w:hAnsi="Arial"/>
          <w:sz w:val="23"/>
          <w:szCs w:val="23"/>
          <w:b w:val="1"/>
          <w:bCs w:val="1"/>
          <w:color w:val="231F20"/>
          <w:vertAlign w:val="superscript"/>
        </w:rPr>
        <w:t>®</w:t>
      </w:r>
      <w:r>
        <w:rPr>
          <w:rFonts w:ascii="Arial" w:cs="Arial" w:eastAsia="Arial" w:hAnsi="Arial"/>
          <w:sz w:val="18"/>
          <w:szCs w:val="18"/>
          <w:b w:val="1"/>
          <w:bCs w:val="1"/>
          <w:color w:val="231F20"/>
        </w:rPr>
        <w:t xml:space="preserve"> (enfortumab vedotin-ejfv) in patients with urothelial cancer (ASPEN-07), and the other in combination with ENHERTU</w:t>
      </w:r>
      <w:r>
        <w:rPr>
          <w:rFonts w:ascii="Arial" w:cs="Arial" w:eastAsia="Arial" w:hAnsi="Arial"/>
          <w:sz w:val="23"/>
          <w:szCs w:val="23"/>
          <w:b w:val="1"/>
          <w:bCs w:val="1"/>
          <w:color w:val="231F20"/>
          <w:vertAlign w:val="superscript"/>
        </w:rPr>
        <w:t>®</w:t>
      </w:r>
      <w:r>
        <w:rPr>
          <w:rFonts w:ascii="Arial" w:cs="Arial" w:eastAsia="Arial" w:hAnsi="Arial"/>
          <w:sz w:val="18"/>
          <w:szCs w:val="18"/>
          <w:b w:val="1"/>
          <w:bCs w:val="1"/>
          <w:color w:val="231F20"/>
        </w:rPr>
        <w:t xml:space="preserve"> (fam-trastuzumab deruxtecan-nxki) in patients with unresectable or metastatic HER2-positive and HER2-low breast cancer.</w:t>
      </w:r>
    </w:p>
    <w:p>
      <w:pPr>
        <w:spacing w:after="0" w:line="128" w:lineRule="exact"/>
        <w:rPr>
          <w:sz w:val="20"/>
          <w:szCs w:val="20"/>
          <w:color w:val="auto"/>
        </w:rPr>
      </w:pPr>
    </w:p>
    <w:p>
      <w:pPr>
        <w:ind w:left="484" w:right="460" w:hanging="484"/>
        <w:spacing w:after="0" w:line="220" w:lineRule="exact"/>
        <w:tabs>
          <w:tab w:leader="none" w:pos="484" w:val="left"/>
        </w:tabs>
        <w:numPr>
          <w:ilvl w:val="0"/>
          <w:numId w:val="2"/>
        </w:numPr>
        <w:rPr>
          <w:rFonts w:ascii="Arial" w:cs="Arial" w:eastAsia="Arial" w:hAnsi="Arial"/>
          <w:sz w:val="19"/>
          <w:szCs w:val="19"/>
          <w:b w:val="1"/>
          <w:bCs w:val="1"/>
          <w:color w:val="231F20"/>
        </w:rPr>
      </w:pPr>
      <w:r>
        <w:rPr>
          <w:rFonts w:ascii="Arial" w:cs="Arial" w:eastAsia="Arial" w:hAnsi="Arial"/>
          <w:sz w:val="19"/>
          <w:szCs w:val="19"/>
          <w:b w:val="1"/>
          <w:bCs w:val="1"/>
          <w:color w:val="231F20"/>
        </w:rPr>
        <w:t xml:space="preserve">PD-1/programmed death-ligand 1 (PD-L1) immune checkpoint inhibitors (the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don</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t activate T-cells</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signal): Combining with PD-1/PD-L1 checkpoint inhibitor, where evorpacept activates dendritic cells that are constitutively inhibited by the CD47/ SIRP alpha pathway.</w:t>
      </w:r>
    </w:p>
    <w:p>
      <w:pPr>
        <w:spacing w:after="0" w:line="10" w:lineRule="exact"/>
        <w:rPr>
          <w:rFonts w:ascii="Arial" w:cs="Arial" w:eastAsia="Arial" w:hAnsi="Arial"/>
          <w:sz w:val="19"/>
          <w:szCs w:val="19"/>
          <w:b w:val="1"/>
          <w:bCs w:val="1"/>
          <w:color w:val="231F20"/>
        </w:rPr>
      </w:pPr>
    </w:p>
    <w:p>
      <w:pPr>
        <w:ind w:left="484"/>
        <w:spacing w:after="0" w:line="265" w:lineRule="auto"/>
        <w:rPr>
          <w:rFonts w:ascii="Arial" w:cs="Arial" w:eastAsia="Arial" w:hAnsi="Arial"/>
          <w:sz w:val="19"/>
          <w:szCs w:val="19"/>
          <w:b w:val="1"/>
          <w:bCs w:val="1"/>
          <w:color w:val="231F20"/>
        </w:rPr>
      </w:pPr>
      <w:r>
        <w:rPr>
          <w:rFonts w:ascii="Arial" w:cs="Arial" w:eastAsia="Arial" w:hAnsi="Arial"/>
          <w:sz w:val="17"/>
          <w:szCs w:val="17"/>
          <w:b w:val="1"/>
          <w:bCs w:val="1"/>
          <w:color w:val="231F20"/>
        </w:rPr>
        <w:t>Activated dendritic cells present neoantigens to T-cells that, once activated, will kill cancer cells when the PD-1/PD-L1 inhibitory interaction is blocked by T-cell checkpoint inhibitors. The combination with a PD-1/PD-L1 checkpoint inhibitor allows maximum activity of these newly activated T-cells. This mechanism of action is being investigated in our clinical trials, ASPEN-03 and ASPEN-04, two randomized Phase 2 studies in combination with KEYTRUDA</w:t>
      </w:r>
      <w:r>
        <w:rPr>
          <w:rFonts w:ascii="Arial" w:cs="Arial" w:eastAsia="Arial" w:hAnsi="Arial"/>
          <w:sz w:val="22"/>
          <w:szCs w:val="22"/>
          <w:b w:val="1"/>
          <w:bCs w:val="1"/>
          <w:color w:val="231F20"/>
          <w:vertAlign w:val="superscript"/>
        </w:rPr>
        <w:t>®</w:t>
      </w:r>
      <w:r>
        <w:rPr>
          <w:rFonts w:ascii="Arial" w:cs="Arial" w:eastAsia="Arial" w:hAnsi="Arial"/>
          <w:sz w:val="17"/>
          <w:szCs w:val="17"/>
          <w:b w:val="1"/>
          <w:bCs w:val="1"/>
          <w:color w:val="231F20"/>
        </w:rPr>
        <w:t xml:space="preserve"> (pembrolizumab), without or with chemotherapy, respectively, comparing to the same treatments without evorpacept, in first line head and neck squamous cell carcinoma (HNSCC). Validation of this mechanism is supported by our Phase 1 data (n=23) in the same indications and combinations where we saw an improvement in overall survival (OS) at 12 months with respect to historical data.</w:t>
      </w:r>
    </w:p>
    <w:p>
      <w:pPr>
        <w:sectPr>
          <w:pgSz w:w="12240" w:h="15840" w:orient="portrait"/>
          <w:cols w:equalWidth="0" w:num="1">
            <w:col w:w="9944"/>
          </w:cols>
          <w:pgMar w:left="1356" w:top="1160" w:right="940" w:bottom="4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416"/>
        <w:spacing w:after="0"/>
        <w:rPr>
          <w:sz w:val="20"/>
          <w:szCs w:val="20"/>
          <w:color w:val="auto"/>
        </w:rPr>
      </w:pPr>
      <w:r>
        <w:rPr>
          <w:rFonts w:ascii="Arial" w:cs="Arial" w:eastAsia="Arial" w:hAnsi="Arial"/>
          <w:sz w:val="14"/>
          <w:szCs w:val="14"/>
          <w:b w:val="1"/>
          <w:bCs w:val="1"/>
          <w:color w:val="231F20"/>
        </w:rPr>
        <w:t>2</w:t>
      </w:r>
    </w:p>
    <w:p>
      <w:pPr>
        <w:sectPr>
          <w:pgSz w:w="12240" w:h="15840" w:orient="portrait"/>
          <w:cols w:equalWidth="0" w:num="1">
            <w:col w:w="9944"/>
          </w:cols>
          <w:pgMar w:left="1356" w:top="1160" w:right="940" w:bottom="424" w:gutter="0" w:footer="0" w:header="0"/>
          <w:type w:val="continuous"/>
        </w:sectPr>
      </w:pPr>
    </w:p>
    <w:bookmarkStart w:id="10" w:name="page11"/>
    <w:bookmarkEnd w:id="10"/>
    <w:p>
      <w:pPr>
        <w:ind w:left="480"/>
        <w:spacing w:after="0"/>
        <w:rPr>
          <w:sz w:val="20"/>
          <w:szCs w:val="20"/>
          <w:color w:val="auto"/>
        </w:rPr>
      </w:pPr>
      <w:r>
        <w:rPr>
          <w:rFonts w:ascii="Arial" w:cs="Arial" w:eastAsia="Arial" w:hAnsi="Arial"/>
          <w:sz w:val="19"/>
          <w:szCs w:val="19"/>
          <w:b w:val="1"/>
          <w:bCs w:val="1"/>
          <w:color w:val="231F20"/>
        </w:rPr>
        <w:t>We are pursuing the following clinical programs, collaborations, and investigator-sponsored trials:</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Evorpacept</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Combination with anti-cancer antibody</w:t>
      </w:r>
    </w:p>
    <w:p>
      <w:pPr>
        <w:spacing w:after="0" w:line="122"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ASPEN-06 - Gastric/GEJ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43" w:lineRule="exact"/>
        <w:rPr>
          <w:sz w:val="20"/>
          <w:szCs w:val="20"/>
          <w:color w:val="auto"/>
        </w:rPr>
      </w:pPr>
    </w:p>
    <w:p>
      <w:pPr>
        <w:ind w:left="1520" w:right="120"/>
        <w:spacing w:after="0" w:line="261" w:lineRule="auto"/>
        <w:rPr>
          <w:sz w:val="20"/>
          <w:szCs w:val="20"/>
          <w:color w:val="auto"/>
        </w:rPr>
      </w:pPr>
      <w:r>
        <w:rPr>
          <w:rFonts w:ascii="Arial" w:cs="Arial" w:eastAsia="Arial" w:hAnsi="Arial"/>
          <w:sz w:val="18"/>
          <w:szCs w:val="18"/>
          <w:b w:val="1"/>
          <w:bCs w:val="1"/>
          <w:color w:val="231F20"/>
        </w:rPr>
        <w:t>In January 2020, the U.S. Food and Drug Administration (FDA) granted Fast Track designation for evorpacept in combination with trastuzumab, ramucirumab and paclitaxel for the treatment of patients with HER2-overexpressing advanced gastric or GEJ adenocarcinoma with disease progression on or after prior trastuzumab and fluoropyrimidine or platinum containing chemotherapy.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-531495</wp:posOffset>
            </wp:positionV>
            <wp:extent cx="81915" cy="850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23" w:lineRule="exact"/>
        <w:rPr>
          <w:sz w:val="20"/>
          <w:szCs w:val="20"/>
          <w:color w:val="auto"/>
        </w:rPr>
      </w:pPr>
    </w:p>
    <w:p>
      <w:pPr>
        <w:ind w:left="1520" w:right="80"/>
        <w:spacing w:after="0" w:line="218" w:lineRule="exact"/>
        <w:rPr>
          <w:sz w:val="20"/>
          <w:szCs w:val="20"/>
          <w:color w:val="auto"/>
        </w:rPr>
      </w:pPr>
      <w:r>
        <w:rPr>
          <w:rFonts w:ascii="Arial" w:cs="Arial" w:eastAsia="Arial" w:hAnsi="Arial"/>
          <w:sz w:val="19"/>
          <w:szCs w:val="19"/>
          <w:b w:val="1"/>
          <w:bCs w:val="1"/>
          <w:color w:val="231F20"/>
        </w:rPr>
        <w:t>In January 2022, the FDA</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Office of Orphan Products Development granted Orphan Drug Designation (ODD) to evorpacept for the treatment of patients with gastric/GEJ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-236855</wp:posOffset>
            </wp:positionV>
            <wp:extent cx="81915" cy="850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44" w:lineRule="exact"/>
        <w:rPr>
          <w:sz w:val="20"/>
          <w:szCs w:val="20"/>
          <w:color w:val="auto"/>
        </w:rPr>
      </w:pPr>
    </w:p>
    <w:p>
      <w:pPr>
        <w:ind w:left="1520" w:right="260"/>
        <w:spacing w:after="0" w:line="261" w:lineRule="auto"/>
        <w:rPr>
          <w:sz w:val="20"/>
          <w:szCs w:val="20"/>
          <w:color w:val="auto"/>
        </w:rPr>
      </w:pPr>
      <w:r>
        <w:rPr>
          <w:rFonts w:ascii="Arial" w:cs="Arial" w:eastAsia="Arial" w:hAnsi="Arial"/>
          <w:sz w:val="18"/>
          <w:szCs w:val="18"/>
          <w:b w:val="1"/>
          <w:bCs w:val="1"/>
          <w:color w:val="231F20"/>
        </w:rPr>
        <w:t>In March 2022, we announced the dosing of the first patient in the multi-center, international ASPEN-06 trial, a randomized Phase 2/3 trial of evorpacept in combination with trastuzumab, ramucirumab and paclitaxel for the treatment of second- and third-line advanced HER2-overexpressing gastric/GEJ cancer, where all patients had received an anti-HER2 agent in prior lines of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-531495</wp:posOffset>
            </wp:positionV>
            <wp:extent cx="81915" cy="850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25" w:lineRule="exact"/>
        <w:rPr>
          <w:sz w:val="20"/>
          <w:szCs w:val="20"/>
          <w:color w:val="auto"/>
        </w:rPr>
      </w:pPr>
    </w:p>
    <w:p>
      <w:pPr>
        <w:ind w:left="1520" w:right="20"/>
        <w:spacing w:after="0" w:line="239" w:lineRule="auto"/>
        <w:rPr>
          <w:sz w:val="20"/>
          <w:szCs w:val="20"/>
          <w:color w:val="auto"/>
        </w:rPr>
      </w:pPr>
      <w:r>
        <w:rPr>
          <w:rFonts w:ascii="Arial" w:cs="Arial" w:eastAsia="Arial" w:hAnsi="Arial"/>
          <w:sz w:val="19"/>
          <w:szCs w:val="19"/>
          <w:b w:val="1"/>
          <w:bCs w:val="1"/>
          <w:color w:val="231F20"/>
        </w:rPr>
        <w:t>In June 2023, the European Commission granted ODD to evorpacept for the treatment of patients with gastric/GEJ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-236220</wp:posOffset>
            </wp:positionV>
            <wp:extent cx="81915" cy="850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44" w:lineRule="exact"/>
        <w:rPr>
          <w:sz w:val="20"/>
          <w:szCs w:val="20"/>
          <w:color w:val="auto"/>
        </w:rPr>
      </w:pPr>
    </w:p>
    <w:p>
      <w:pPr>
        <w:ind w:left="1520" w:right="100"/>
        <w:spacing w:after="0" w:line="298" w:lineRule="auto"/>
        <w:rPr>
          <w:sz w:val="20"/>
          <w:szCs w:val="20"/>
          <w:color w:val="auto"/>
        </w:rPr>
      </w:pPr>
      <w:r>
        <w:rPr>
          <w:rFonts w:ascii="Arial" w:cs="Arial" w:eastAsia="Arial" w:hAnsi="Arial"/>
          <w:sz w:val="16"/>
          <w:szCs w:val="16"/>
          <w:b w:val="1"/>
          <w:bCs w:val="1"/>
          <w:color w:val="231F20"/>
        </w:rPr>
        <w:t>In October 2023, we announced positive prespecified interim Phase 2 clinical data from our ASPEN-06 clinical trial. This prespecified interim analysis reported results from 54 randomized patients with second and third line gastric/GEJ cancer, including patients previously treated with fam-trastuzumab deruxtecan-nxki and checkpoint inhibitors. A confirmed ORR of 52% was demonstrated for the Evo-TRP treatment arm compared to 22% for the TRP control arm. An mDOR was not reached for the Evo-TRP treatment arm compared to 7.4 months for the control group. The safety profile of evorpacept was consistent with previous clinical trials and was well-tolerated.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-830580</wp:posOffset>
            </wp:positionV>
            <wp:extent cx="81915" cy="850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1" w:lineRule="exact"/>
        <w:rPr>
          <w:sz w:val="20"/>
          <w:szCs w:val="20"/>
          <w:color w:val="auto"/>
        </w:rPr>
      </w:pPr>
    </w:p>
    <w:p>
      <w:pPr>
        <w:ind w:left="1520"/>
        <w:spacing w:after="0" w:line="296" w:lineRule="auto"/>
        <w:rPr>
          <w:sz w:val="20"/>
          <w:szCs w:val="20"/>
          <w:color w:val="auto"/>
        </w:rPr>
      </w:pPr>
      <w:r>
        <w:rPr>
          <w:rFonts w:ascii="Arial" w:cs="Arial" w:eastAsia="Arial" w:hAnsi="Arial"/>
          <w:sz w:val="16"/>
          <w:szCs w:val="16"/>
          <w:b w:val="1"/>
          <w:bCs w:val="1"/>
          <w:color w:val="231F20"/>
        </w:rPr>
        <w:t>In July 2024, we announced the topline data from our ASPEN-06 Phase 2 clinical trial. This topline data reported results from 127 randomized patients with second and third line gastric/GEJ cancer and was generally well-balanced across arms based on prespecified stratification factors including line of therapy, prior ENHERTU use, Asia region, tumor location (GC or GEJ), HER2 expression level, and having HER2-positive disease based upon a tissue biopsy after anti-HER2 treatment. A confirmed ORR of 40.3% was demonstrated for the Evo-TRP treatment arm compared to 26.6% for the TRP control arm. The mDOR was 15.7 months for the Evo-TRP treatment arm and 7.6 months for the TRP control arm in the full trial population. In patients with fresh HER2-positive biopsies (n=48), Evo-TRP demonstrated an ORR of 54.8% compared to 23.1% for the TRP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-1112520</wp:posOffset>
            </wp:positionV>
            <wp:extent cx="81915" cy="850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1" w:lineRule="exact"/>
        <w:rPr>
          <w:sz w:val="20"/>
          <w:szCs w:val="20"/>
          <w:color w:val="auto"/>
        </w:rPr>
      </w:pPr>
    </w:p>
    <w:p>
      <w:pPr>
        <w:ind w:left="1520" w:right="60"/>
        <w:spacing w:after="0" w:line="244" w:lineRule="auto"/>
        <w:rPr>
          <w:sz w:val="20"/>
          <w:szCs w:val="20"/>
          <w:color w:val="auto"/>
        </w:rPr>
      </w:pPr>
      <w:r>
        <w:rPr>
          <w:rFonts w:ascii="Arial" w:cs="Arial" w:eastAsia="Arial" w:hAnsi="Arial"/>
          <w:sz w:val="19"/>
          <w:szCs w:val="19"/>
          <w:b w:val="1"/>
          <w:bCs w:val="1"/>
          <w:color w:val="231F20"/>
        </w:rPr>
        <w:t>In January 2025, we presented updated results from the ASPEN-06 Phase 2 clinical trial in an oral presentation at the 2025 ASCO Gastrointestinal Cancers Symposium. A confirmed ORR of 41.3% was demonstrated for the Evo-TRP treatment arm compared to 26.6% for the TRP control arm in the ITT patient population. In patients with confirmed HER2-positive expression as determined by either fresh biopsy or ctDNA HER2-positivity (n=96), the addition of evorpacept to TRP resulted in a 48.9% ORR, an mDOR of 15.7 months and mPFS of 7.5 months, compared to a 24.5% ORR, an mDOR of 9.1 months and mPFS of 6.7 months in the TRP control group, with a PFS HR of 0.64.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-947420</wp:posOffset>
            </wp:positionV>
            <wp:extent cx="81915" cy="850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97"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ASPEN-Breast - Breast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43" w:lineRule="exact"/>
        <w:rPr>
          <w:sz w:val="20"/>
          <w:szCs w:val="20"/>
          <w:color w:val="auto"/>
        </w:rPr>
      </w:pPr>
    </w:p>
    <w:p>
      <w:pPr>
        <w:ind w:left="1520" w:right="680"/>
        <w:spacing w:after="0" w:line="329" w:lineRule="auto"/>
        <w:rPr>
          <w:sz w:val="20"/>
          <w:szCs w:val="20"/>
          <w:color w:val="auto"/>
        </w:rPr>
      </w:pPr>
      <w:r>
        <w:rPr>
          <w:rFonts w:ascii="Arial" w:cs="Arial" w:eastAsia="Arial" w:hAnsi="Arial"/>
          <w:sz w:val="16"/>
          <w:szCs w:val="16"/>
          <w:b w:val="1"/>
          <w:bCs w:val="1"/>
          <w:color w:val="231F20"/>
        </w:rPr>
        <w:t>In March 2025, we announced intent to initiate a Phase 2 study evaluating evorpacept in combination with trastuzumab and chemotherapy for the treatment of patients with metastatic HER2-positive breast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-280035</wp:posOffset>
            </wp:positionV>
            <wp:extent cx="81915" cy="850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34"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ASPEN-CRC - Colorectal Cancer (CRC)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43" w:lineRule="exact"/>
        <w:rPr>
          <w:sz w:val="20"/>
          <w:szCs w:val="20"/>
          <w:color w:val="auto"/>
        </w:rPr>
      </w:pPr>
    </w:p>
    <w:p>
      <w:pPr>
        <w:ind w:left="1520" w:right="300"/>
        <w:spacing w:after="0" w:line="242" w:lineRule="auto"/>
        <w:rPr>
          <w:sz w:val="20"/>
          <w:szCs w:val="20"/>
          <w:color w:val="auto"/>
        </w:rPr>
      </w:pPr>
      <w:r>
        <w:rPr>
          <w:rFonts w:ascii="Arial" w:cs="Arial" w:eastAsia="Arial" w:hAnsi="Arial"/>
          <w:sz w:val="19"/>
          <w:szCs w:val="19"/>
          <w:b w:val="1"/>
          <w:bCs w:val="1"/>
          <w:color w:val="231F20"/>
        </w:rPr>
        <w:t>In March 2025, we announced intent to initiate a Phase 1b study evaluating evorpacept in combination with the epidermal growth factor receptor (EGFR)-targeted antibody cetuximab and chemotherapy for the treatment of patients with metastatic CRC.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-379730</wp:posOffset>
            </wp:positionV>
            <wp:extent cx="81915" cy="850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156"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Combination with antibody-drug conjugate (ADC)</w:t>
      </w:r>
    </w:p>
    <w:p>
      <w:pPr>
        <w:spacing w:after="0" w:line="122"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ASPEN-07 - Urothelial Cancer (UC)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43" w:lineRule="exact"/>
        <w:rPr>
          <w:sz w:val="20"/>
          <w:szCs w:val="20"/>
          <w:color w:val="auto"/>
        </w:rPr>
      </w:pPr>
    </w:p>
    <w:p>
      <w:pPr>
        <w:jc w:val="both"/>
        <w:ind w:left="1520" w:right="160"/>
        <w:spacing w:after="0"/>
        <w:rPr>
          <w:sz w:val="20"/>
          <w:szCs w:val="20"/>
          <w:color w:val="auto"/>
        </w:rPr>
      </w:pPr>
      <w:r>
        <w:rPr>
          <w:rFonts w:ascii="Arial" w:cs="Arial" w:eastAsia="Arial" w:hAnsi="Arial"/>
          <w:sz w:val="19"/>
          <w:szCs w:val="19"/>
          <w:b w:val="1"/>
          <w:bCs w:val="1"/>
          <w:color w:val="231F20"/>
        </w:rPr>
        <w:t>In February 2023, we announced the dosing of the first patient in the ASPEN-07 trial, a Phase 1 study evaluating evorpacept in combination with an ADC, enfortumab vedotin-ejfv (EV), for the second-line treatment of locally advanced or metastatic UC.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-375920</wp:posOffset>
            </wp:positionV>
            <wp:extent cx="81915" cy="850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ectPr>
          <w:pgSz w:w="12240" w:h="15840" w:orient="portrait"/>
          <w:cols w:equalWidth="0" w:num="1">
            <w:col w:w="10460"/>
          </w:cols>
          <w:pgMar w:left="880" w:top="1160" w:right="900" w:bottom="4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231F20"/>
        </w:rPr>
        <w:t>3</w:t>
      </w:r>
    </w:p>
    <w:p>
      <w:pPr>
        <w:sectPr>
          <w:pgSz w:w="12240" w:h="15840" w:orient="portrait"/>
          <w:cols w:equalWidth="0" w:num="1">
            <w:col w:w="10460"/>
          </w:cols>
          <w:pgMar w:left="880" w:top="1160" w:right="900" w:bottom="424" w:gutter="0" w:footer="0" w:header="0"/>
          <w:type w:val="continuous"/>
        </w:sectPr>
      </w:pPr>
    </w:p>
    <w:bookmarkStart w:id="11" w:name="page12"/>
    <w:bookmarkEnd w:id="11"/>
    <w:p>
      <w:pPr>
        <w:ind w:left="1520"/>
        <w:spacing w:after="0" w:line="222" w:lineRule="exact"/>
        <w:rPr>
          <w:sz w:val="20"/>
          <w:szCs w:val="20"/>
          <w:color w:val="auto"/>
        </w:rPr>
      </w:pPr>
      <w:r>
        <w:rPr>
          <w:rFonts w:ascii="Arial" w:cs="Arial" w:eastAsia="Arial" w:hAnsi="Arial"/>
          <w:sz w:val="16"/>
          <w:szCs w:val="16"/>
          <w:b w:val="1"/>
          <w:bCs w:val="1"/>
          <w:color w:val="231F20"/>
        </w:rPr>
        <w:t>In June 2024, interim Phase 1 data were presented in a poster presentation at the 2024 ASCO Annual Meeting. The ASCO poster presentation data-cut reported an unconfirmed ORR of 59% (n=22) with evorpacept plus EV (EV single agent ORR benchmark is 41%). Following the April data cut-off, four additional response evaluable patients yielded an unconfirmed ORR of 61% (n=26) including two confirmed complete responses and six confirmed partial responses. These findings represent the first evorpacept combination data with an ADC from ASPEN-07</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ongoing, open-label, single-arm, clinical trial of evorpacept in combination with EV in patients with locally advanced or metastatic urothelial cancer. Continued follow-up for patients who are EV-naïve on ASPEN-07 is ongoing and, enrollment of a new cohort of patients who have received prior EV has begun.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-1085215</wp:posOffset>
            </wp:positionV>
            <wp:extent cx="81915" cy="850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164"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Combination with PD-1/PD-L1 immune checkpoint inhibitor</w:t>
      </w:r>
    </w:p>
    <w:p>
      <w:pPr>
        <w:spacing w:after="0" w:line="120"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ASPEN-03 - Head and Neck Squamous Cell Carcinoma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43" w:lineRule="exact"/>
        <w:rPr>
          <w:sz w:val="20"/>
          <w:szCs w:val="20"/>
          <w:color w:val="auto"/>
        </w:rPr>
      </w:pPr>
    </w:p>
    <w:p>
      <w:pPr>
        <w:ind w:left="1520" w:right="180"/>
        <w:spacing w:after="0" w:line="325" w:lineRule="auto"/>
        <w:rPr>
          <w:sz w:val="20"/>
          <w:szCs w:val="20"/>
          <w:color w:val="auto"/>
        </w:rPr>
      </w:pPr>
      <w:r>
        <w:rPr>
          <w:rFonts w:ascii="Arial" w:cs="Arial" w:eastAsia="Arial" w:hAnsi="Arial"/>
          <w:sz w:val="16"/>
          <w:szCs w:val="16"/>
          <w:b w:val="1"/>
          <w:bCs w:val="1"/>
          <w:color w:val="231F20"/>
        </w:rPr>
        <w:t>In May 2021, we announced the dosing of the first patient in the ASPEN-03 trial, a randomized Phase 2 trial of evorpacept in combination with pembrolizumab for the treatment of first-line advanced PD-L1 positive HNSCC.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-276225</wp:posOffset>
            </wp:positionV>
            <wp:extent cx="81915" cy="850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ind w:left="1520"/>
        <w:spacing w:after="0" w:line="329" w:lineRule="auto"/>
        <w:rPr>
          <w:sz w:val="20"/>
          <w:szCs w:val="20"/>
          <w:color w:val="auto"/>
        </w:rPr>
      </w:pPr>
      <w:r>
        <w:rPr>
          <w:rFonts w:ascii="Arial" w:cs="Arial" w:eastAsia="Arial" w:hAnsi="Arial"/>
          <w:sz w:val="16"/>
          <w:szCs w:val="16"/>
          <w:b w:val="1"/>
          <w:bCs w:val="1"/>
          <w:color w:val="231F20"/>
        </w:rPr>
        <w:t>In July 2022, the FDA granted Fast Track designation for evorpacept in combination with pembrolizumab for first-line treatment of adult patients with metastatic or unresectable, recurrent HNSCC whose tumors express PD-L1.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-280035</wp:posOffset>
            </wp:positionV>
            <wp:extent cx="81915" cy="850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ASPEN-04 - Head and Neck Squamous Cell Carcinoma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43" w:lineRule="exact"/>
        <w:rPr>
          <w:sz w:val="20"/>
          <w:szCs w:val="20"/>
          <w:color w:val="auto"/>
        </w:rPr>
      </w:pPr>
    </w:p>
    <w:p>
      <w:pPr>
        <w:jc w:val="both"/>
        <w:ind w:left="1520" w:right="280"/>
        <w:spacing w:after="0" w:line="242" w:lineRule="auto"/>
        <w:rPr>
          <w:sz w:val="20"/>
          <w:szCs w:val="20"/>
          <w:color w:val="auto"/>
        </w:rPr>
      </w:pPr>
      <w:r>
        <w:rPr>
          <w:rFonts w:ascii="Arial" w:cs="Arial" w:eastAsia="Arial" w:hAnsi="Arial"/>
          <w:sz w:val="19"/>
          <w:szCs w:val="19"/>
          <w:b w:val="1"/>
          <w:bCs w:val="1"/>
          <w:color w:val="231F20"/>
        </w:rPr>
        <w:t>In February 2020, the FDA granted Fast Track designation for evorpacept in combination with pembrolizumab, platinum, and fluorouracil for the first-line treatment of adult patients with metastatic or unresectable, recurrent HNSCC.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-379730</wp:posOffset>
            </wp:positionV>
            <wp:extent cx="81915" cy="850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41" w:lineRule="exact"/>
        <w:rPr>
          <w:sz w:val="20"/>
          <w:szCs w:val="20"/>
          <w:color w:val="auto"/>
        </w:rPr>
      </w:pPr>
    </w:p>
    <w:p>
      <w:pPr>
        <w:ind w:left="1520" w:right="20"/>
        <w:spacing w:after="0" w:line="242" w:lineRule="auto"/>
        <w:rPr>
          <w:sz w:val="20"/>
          <w:szCs w:val="20"/>
          <w:color w:val="auto"/>
        </w:rPr>
      </w:pPr>
      <w:r>
        <w:rPr>
          <w:rFonts w:ascii="Arial" w:cs="Arial" w:eastAsia="Arial" w:hAnsi="Arial"/>
          <w:sz w:val="19"/>
          <w:szCs w:val="19"/>
          <w:b w:val="1"/>
          <w:bCs w:val="1"/>
          <w:color w:val="231F20"/>
        </w:rPr>
        <w:t>In July 2021, we announced the dosing of the first patient in the ASPEN-04 trial, a randomized Phase 2 trial of evorpacept in combination with pembrolizumab, platinum, and fluorouracil for the treatment of first-line advanced HNSCC.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-379730</wp:posOffset>
            </wp:positionV>
            <wp:extent cx="81915" cy="850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Collaborations and Investigator-Sponsored Trials (ISTs)</w:t>
      </w:r>
    </w:p>
    <w:p>
      <w:pPr>
        <w:spacing w:after="0" w:line="125" w:lineRule="exact"/>
        <w:rPr>
          <w:sz w:val="20"/>
          <w:szCs w:val="20"/>
          <w:color w:val="auto"/>
        </w:rPr>
      </w:pPr>
    </w:p>
    <w:p>
      <w:pPr>
        <w:jc w:val="right"/>
        <w:ind w:right="6260"/>
        <w:spacing w:after="0"/>
        <w:rPr>
          <w:sz w:val="20"/>
          <w:szCs w:val="20"/>
          <w:color w:val="auto"/>
        </w:rPr>
      </w:pPr>
      <w:r>
        <w:rPr>
          <w:rFonts w:ascii="Arial" w:cs="Arial" w:eastAsia="Arial" w:hAnsi="Arial"/>
          <w:sz w:val="18"/>
          <w:szCs w:val="18"/>
          <w:b w:val="1"/>
          <w:bCs w:val="1"/>
          <w:color w:val="231F20"/>
        </w:rPr>
        <w:t>Combination with anti-cancer antibody or ADC</w:t>
      </w:r>
    </w:p>
    <w:p>
      <w:pPr>
        <w:spacing w:after="0" w:line="126" w:lineRule="exact"/>
        <w:rPr>
          <w:sz w:val="20"/>
          <w:szCs w:val="20"/>
          <w:color w:val="auto"/>
        </w:rPr>
      </w:pPr>
    </w:p>
    <w:p>
      <w:pPr>
        <w:jc w:val="right"/>
        <w:ind w:right="6320"/>
        <w:spacing w:after="0"/>
        <w:rPr>
          <w:sz w:val="20"/>
          <w:szCs w:val="20"/>
          <w:color w:val="auto"/>
        </w:rPr>
      </w:pPr>
      <w:r>
        <w:rPr>
          <w:rFonts w:ascii="Arial" w:cs="Arial" w:eastAsia="Arial" w:hAnsi="Arial"/>
          <w:sz w:val="19"/>
          <w:szCs w:val="19"/>
          <w:b w:val="1"/>
          <w:bCs w:val="1"/>
          <w:color w:val="231F20"/>
        </w:rPr>
        <w:t>Jazz Pharmaceuticals plc - Breast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43" w:lineRule="exact"/>
        <w:rPr>
          <w:sz w:val="20"/>
          <w:szCs w:val="20"/>
          <w:color w:val="auto"/>
        </w:rPr>
      </w:pPr>
    </w:p>
    <w:p>
      <w:pPr>
        <w:ind w:left="1520" w:right="40"/>
        <w:spacing w:after="0" w:line="243" w:lineRule="auto"/>
        <w:rPr>
          <w:sz w:val="20"/>
          <w:szCs w:val="20"/>
          <w:color w:val="auto"/>
        </w:rPr>
      </w:pPr>
      <w:r>
        <w:rPr>
          <w:rFonts w:ascii="Arial" w:cs="Arial" w:eastAsia="Arial" w:hAnsi="Arial"/>
          <w:sz w:val="19"/>
          <w:szCs w:val="19"/>
          <w:b w:val="1"/>
          <w:bCs w:val="1"/>
          <w:color w:val="231F20"/>
        </w:rPr>
        <w:t>Our collaborator, Jazz Pharmaceuticals plc (Jazz), is sponsoring and managing an ongoing Phase 1 trial of zanidatamab, a HER2-targeted anti-cancer antibody, for the treatment of advanced HER2-expressing breast cancer and other solid tumors in combination with evorpacept (Zanidatamab Trial). We announced the dosing of the first patient in this trial in October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-521970</wp:posOffset>
            </wp:positionV>
            <wp:extent cx="81915" cy="850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41" w:lineRule="exact"/>
        <w:rPr>
          <w:sz w:val="20"/>
          <w:szCs w:val="20"/>
          <w:color w:val="auto"/>
        </w:rPr>
      </w:pPr>
    </w:p>
    <w:p>
      <w:pPr>
        <w:ind w:left="1520" w:right="60"/>
        <w:spacing w:after="0" w:line="243" w:lineRule="auto"/>
        <w:rPr>
          <w:sz w:val="20"/>
          <w:szCs w:val="20"/>
          <w:color w:val="auto"/>
        </w:rPr>
      </w:pPr>
      <w:r>
        <w:rPr>
          <w:rFonts w:ascii="Arial" w:cs="Arial" w:eastAsia="Arial" w:hAnsi="Arial"/>
          <w:sz w:val="19"/>
          <w:szCs w:val="19"/>
          <w:b w:val="1"/>
          <w:bCs w:val="1"/>
          <w:color w:val="231F20"/>
        </w:rPr>
        <w:t>Our initial collaborator for the Zanidatamab Trial was Zymeworks Inc. (Zymeworks), however in a series of transactions commencing in October 2022, Jazz assumed responsibility from Zymeworks for the development and commercialization of zanidatamab in the United States, Europe, Japan and certain other territories, including responsibility for the Zanidatamab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-521970</wp:posOffset>
            </wp:positionV>
            <wp:extent cx="81915" cy="850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41" w:lineRule="exact"/>
        <w:rPr>
          <w:sz w:val="20"/>
          <w:szCs w:val="20"/>
          <w:color w:val="auto"/>
        </w:rPr>
      </w:pPr>
    </w:p>
    <w:p>
      <w:pPr>
        <w:ind w:left="1520"/>
        <w:spacing w:after="0" w:line="275" w:lineRule="auto"/>
        <w:rPr>
          <w:sz w:val="20"/>
          <w:szCs w:val="20"/>
          <w:color w:val="auto"/>
        </w:rPr>
      </w:pPr>
      <w:r>
        <w:rPr>
          <w:rFonts w:ascii="Arial" w:cs="Arial" w:eastAsia="Arial" w:hAnsi="Arial"/>
          <w:sz w:val="17"/>
          <w:szCs w:val="17"/>
          <w:b w:val="1"/>
          <w:bCs w:val="1"/>
          <w:color w:val="231F20"/>
        </w:rPr>
        <w:t>In December 2024, Phase 1b/2 data were presented in a poster presentation at the 2024 San Antonio Breast Cancer Symposium (SABCS). The SABCS poster presentation data-cut reported on efficacy findings from all three of the part-two trial cohorts: Cohort 1 (n=21) consisted of patients with HER2-positive breast cancer who had received prior ENHERTU and also a median of six prior systemic therapies in the metastatic setting. Patients were enrolled based on local assessment of tumor samples or central assessment. Of the 21 patients enrolled in Cohort 1, nine were found to be HER2-positive based on central assessment. Cohort 2 (n=15) consisted of patients with HER2-low breast cancer who had received a median of five prior systemic therapies. Cohort 3 (n=8) consisted of patients with other HER2-expressing cancers. Patients in Cohort 1 who were HER2-positive by central assessment (n=9) showed the greatest anti-tumor activity with a confirmed ORR of 55.6% and a median progression free survival (mPFS) of 7.4 months. Overall, patients in Cohort 1 (n=21) had a confirmed ORR and mPFS of 33.3% and 3.6 months, respectively. Patients in Cohort 2 had a confirmed ORR and mPFS of 20.0% and 1.9 months, respectively. As of the August 2024 data cutoff, median follow-up was 9.6 months, with six patients still on treatment. The median duration of response was not reached for Cohort 1 patients (range: 3.6-25.9 months) and was 5.5 months for Cohort 2 patients (range: 3.6-11.0 months), with responses ongoing, including the longest observed response, in each cohort.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-2093595</wp:posOffset>
            </wp:positionV>
            <wp:extent cx="81915" cy="850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78"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Quantum Leap Healthcare Collaborative - I-SPY Trial - Breast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43" w:lineRule="exact"/>
        <w:rPr>
          <w:sz w:val="20"/>
          <w:szCs w:val="20"/>
          <w:color w:val="auto"/>
        </w:rPr>
      </w:pPr>
    </w:p>
    <w:p>
      <w:pPr>
        <w:ind w:left="1520"/>
        <w:spacing w:after="0" w:line="242" w:lineRule="auto"/>
        <w:rPr>
          <w:sz w:val="20"/>
          <w:szCs w:val="20"/>
          <w:color w:val="auto"/>
        </w:rPr>
      </w:pPr>
      <w:r>
        <w:rPr>
          <w:rFonts w:ascii="Arial" w:cs="Arial" w:eastAsia="Arial" w:hAnsi="Arial"/>
          <w:sz w:val="19"/>
          <w:szCs w:val="19"/>
          <w:b w:val="1"/>
          <w:bCs w:val="1"/>
          <w:color w:val="231F20"/>
        </w:rPr>
        <w:t>Our collaborator, Quantum Leap Healthcare Collaborative (Quantum Leap), is sponsoring and managing an ongoing Phase 1 trial (I-SPY) to evaluate evorpacept in combination with fam-trastuzumab deruxtecan-nxki for the treatment of patients with unresectable or metastatic HER2-positive and HER2-low breast cancer. We announced the dosing of the first patient in March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-519430</wp:posOffset>
            </wp:positionV>
            <wp:extent cx="81915" cy="850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ectPr>
          <w:pgSz w:w="12240" w:h="15840" w:orient="portrait"/>
          <w:cols w:equalWidth="0" w:num="1">
            <w:col w:w="10460"/>
          </w:cols>
          <w:pgMar w:left="880" w:top="1180" w:right="900" w:bottom="424"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231F20"/>
        </w:rPr>
        <w:t>4</w:t>
      </w:r>
    </w:p>
    <w:p>
      <w:pPr>
        <w:sectPr>
          <w:pgSz w:w="12240" w:h="15840" w:orient="portrait"/>
          <w:cols w:equalWidth="0" w:num="1">
            <w:col w:w="10460"/>
          </w:cols>
          <w:pgMar w:left="880" w:top="1180" w:right="900" w:bottom="424" w:gutter="0" w:footer="0" w:header="0"/>
          <w:type w:val="continuous"/>
        </w:sectPr>
      </w:pPr>
    </w:p>
    <w:bookmarkStart w:id="12" w:name="page13"/>
    <w:bookmarkEnd w:id="12"/>
    <w:p>
      <w:pPr>
        <w:ind w:left="960"/>
        <w:spacing w:after="0"/>
        <w:rPr>
          <w:sz w:val="20"/>
          <w:szCs w:val="20"/>
          <w:color w:val="auto"/>
        </w:rPr>
      </w:pPr>
      <w:r>
        <w:rPr>
          <w:rFonts w:ascii="Arial" w:cs="Arial" w:eastAsia="Arial" w:hAnsi="Arial"/>
          <w:sz w:val="19"/>
          <w:szCs w:val="19"/>
          <w:b w:val="1"/>
          <w:bCs w:val="1"/>
          <w:color w:val="231F20"/>
        </w:rPr>
        <w:t>MD Anderson Cancer Center - Non-Hodgkin Lymphoma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43" w:lineRule="exact"/>
        <w:rPr>
          <w:sz w:val="20"/>
          <w:szCs w:val="20"/>
          <w:color w:val="auto"/>
        </w:rPr>
      </w:pPr>
    </w:p>
    <w:p>
      <w:pPr>
        <w:ind w:left="1520" w:right="40"/>
        <w:spacing w:after="0" w:line="218" w:lineRule="auto"/>
        <w:rPr>
          <w:sz w:val="20"/>
          <w:szCs w:val="20"/>
          <w:color w:val="auto"/>
        </w:rPr>
      </w:pPr>
      <w:r>
        <w:rPr>
          <w:rFonts w:ascii="Arial" w:cs="Arial" w:eastAsia="Arial" w:hAnsi="Arial"/>
          <w:sz w:val="19"/>
          <w:szCs w:val="19"/>
          <w:b w:val="1"/>
          <w:bCs w:val="1"/>
          <w:color w:val="231F20"/>
        </w:rPr>
        <w:t>In 2021, an IST of evorpacept was initiated in combination with rituximab and lenalidomide (R</w:t>
      </w:r>
      <w:r>
        <w:rPr>
          <w:rFonts w:ascii="Arial" w:cs="Arial" w:eastAsia="Arial" w:hAnsi="Arial"/>
          <w:sz w:val="25"/>
          <w:szCs w:val="25"/>
          <w:b w:val="1"/>
          <w:bCs w:val="1"/>
          <w:color w:val="231F20"/>
          <w:vertAlign w:val="superscript"/>
        </w:rPr>
        <w:t>2</w:t>
      </w:r>
      <w:r>
        <w:rPr>
          <w:rFonts w:ascii="Arial" w:cs="Arial" w:eastAsia="Arial" w:hAnsi="Arial"/>
          <w:sz w:val="19"/>
          <w:szCs w:val="19"/>
          <w:b w:val="1"/>
          <w:bCs w:val="1"/>
          <w:color w:val="231F20"/>
        </w:rPr>
        <w:t>) for the treatment of patients with indolent and aggressive NHL, sponsored by MD Anderson Cancer Center in Texas. We announced the dosing of the first patient in September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-377825</wp:posOffset>
            </wp:positionV>
            <wp:extent cx="81915" cy="850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44" w:lineRule="exact"/>
        <w:rPr>
          <w:sz w:val="20"/>
          <w:szCs w:val="20"/>
          <w:color w:val="auto"/>
        </w:rPr>
      </w:pPr>
    </w:p>
    <w:p>
      <w:pPr>
        <w:ind w:left="1520" w:right="120"/>
        <w:spacing w:after="0" w:line="276" w:lineRule="auto"/>
        <w:rPr>
          <w:sz w:val="20"/>
          <w:szCs w:val="20"/>
          <w:color w:val="auto"/>
        </w:rPr>
      </w:pPr>
      <w:r>
        <w:rPr>
          <w:rFonts w:ascii="Arial" w:cs="Arial" w:eastAsia="Arial" w:hAnsi="Arial"/>
          <w:sz w:val="17"/>
          <w:szCs w:val="17"/>
          <w:b w:val="1"/>
          <w:bCs w:val="1"/>
          <w:color w:val="231F20"/>
        </w:rPr>
        <w:t>In April 2024, MD Anderson Cancer Center reported clinical data from the ongoing Phase 1/2 IST of evorpacept in combination with R2 in patients with R/R B-NHL. The new data were presented in an oral presentation at the 2024 American Association for Cancer Research (AACR) Annual Meeting. The Phase 1 part of the clinical trial enrolled a total of 20 patients with indolent (n=18) and aggressive (n=2) R/R B-NHL where all patients had received prior rituximab and 72% had received prior chemoimmunotherapy. Patients received evorpacept 30 mg/kg every two weeks (Q2W) (n=3) or 60 mg/kg every four weeks (Q4W) (n=17) in combination with standard R2 treatment. The regimen was well tolerated, and there were no dose-limiting toxicities. Patients with indolent R/R B-NHL (n=18) had a best ORR of 94% and a complete response rate of 83%. The median duration of response was not reached. The Phase 2 portion of the clinical trial is actively accruing treatment naïve patients in the 1L setting.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-1387475</wp:posOffset>
            </wp:positionV>
            <wp:extent cx="81915" cy="850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74"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Sanofi - Multiple Myeloma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43" w:lineRule="exact"/>
        <w:rPr>
          <w:sz w:val="20"/>
          <w:szCs w:val="20"/>
          <w:color w:val="auto"/>
        </w:rPr>
      </w:pPr>
    </w:p>
    <w:p>
      <w:pPr>
        <w:ind w:left="1520" w:right="120"/>
        <w:spacing w:after="0" w:line="224" w:lineRule="auto"/>
        <w:rPr>
          <w:sz w:val="20"/>
          <w:szCs w:val="20"/>
          <w:color w:val="auto"/>
        </w:rPr>
      </w:pPr>
      <w:r>
        <w:rPr>
          <w:rFonts w:ascii="Arial" w:cs="Arial" w:eastAsia="Arial" w:hAnsi="Arial"/>
          <w:sz w:val="19"/>
          <w:szCs w:val="19"/>
          <w:b w:val="1"/>
          <w:bCs w:val="1"/>
          <w:color w:val="231F20"/>
        </w:rPr>
        <w:t>In April 2023, we announced a collaboration with Sanofi who will sponsor and manage a Phase 1/2 trial of SARCLISA</w:t>
      </w:r>
      <w:r>
        <w:rPr>
          <w:rFonts w:ascii="Arial" w:cs="Arial" w:eastAsia="Arial" w:hAnsi="Arial"/>
          <w:sz w:val="25"/>
          <w:szCs w:val="25"/>
          <w:b w:val="1"/>
          <w:bCs w:val="1"/>
          <w:color w:val="231F20"/>
          <w:vertAlign w:val="superscript"/>
        </w:rPr>
        <w:t>®</w:t>
      </w:r>
      <w:r>
        <w:rPr>
          <w:rFonts w:ascii="Arial" w:cs="Arial" w:eastAsia="Arial" w:hAnsi="Arial"/>
          <w:sz w:val="19"/>
          <w:szCs w:val="19"/>
          <w:b w:val="1"/>
          <w:bCs w:val="1"/>
          <w:color w:val="231F20"/>
        </w:rPr>
        <w:t xml:space="preserve"> (isatuximab), an anti-cancer antibody, and dexamethasone in combination with evorpacept for the treatment of patients with relapsed or refractory multiple myeloma. We announced the dosing of the first patients in September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-518795</wp:posOffset>
            </wp:positionV>
            <wp:extent cx="81915" cy="850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163"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Combination with PD-1/PD-L1 immune checkpoint inhibitor</w:t>
      </w:r>
    </w:p>
    <w:p>
      <w:pPr>
        <w:spacing w:after="0" w:line="120"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University of Pittsburgh - Ovarian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43" w:lineRule="exact"/>
        <w:rPr>
          <w:sz w:val="20"/>
          <w:szCs w:val="20"/>
          <w:color w:val="auto"/>
        </w:rPr>
      </w:pPr>
    </w:p>
    <w:p>
      <w:pPr>
        <w:ind w:left="1520"/>
        <w:spacing w:after="0" w:line="262" w:lineRule="auto"/>
        <w:rPr>
          <w:sz w:val="20"/>
          <w:szCs w:val="20"/>
          <w:color w:val="auto"/>
        </w:rPr>
      </w:pPr>
      <w:r>
        <w:rPr>
          <w:rFonts w:ascii="Arial" w:cs="Arial" w:eastAsia="Arial" w:hAnsi="Arial"/>
          <w:sz w:val="18"/>
          <w:szCs w:val="18"/>
          <w:b w:val="1"/>
          <w:bCs w:val="1"/>
          <w:color w:val="231F20"/>
        </w:rPr>
        <w:t>In 2023, a Phase 2 IST of evorpacept was initiated in combination with liposomal doxorubicin and pembrolizumab in patients with recurrent platinum-resistant ovarian cancer, sponsored by the University of Pittsburgh in Pennsylvania. We announced the dosing of the first patient in May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-390525</wp:posOffset>
            </wp:positionV>
            <wp:extent cx="81915" cy="850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82"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University of California San Diego - Oropharyngeal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43" w:lineRule="exact"/>
        <w:rPr>
          <w:sz w:val="20"/>
          <w:szCs w:val="20"/>
          <w:color w:val="auto"/>
        </w:rPr>
      </w:pPr>
    </w:p>
    <w:p>
      <w:pPr>
        <w:ind w:left="1520" w:right="740"/>
        <w:spacing w:after="0" w:line="310" w:lineRule="auto"/>
        <w:rPr>
          <w:sz w:val="20"/>
          <w:szCs w:val="20"/>
          <w:color w:val="auto"/>
        </w:rPr>
      </w:pPr>
      <w:r>
        <w:rPr>
          <w:rFonts w:ascii="Arial" w:cs="Arial" w:eastAsia="Arial" w:hAnsi="Arial"/>
          <w:sz w:val="16"/>
          <w:szCs w:val="16"/>
          <w:b w:val="1"/>
          <w:bCs w:val="1"/>
          <w:color w:val="231F20"/>
        </w:rPr>
        <w:t>In April 2024, a Phase 2 IST of evorpacept was initiated in combination with neoadjuvant radiation and pembrolizumab in patients with previously untreated and early-stage locally advanced, resectable, human papillomavirus-mediated oropharyngeal cancer, sponsored by the University of California San Diego.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-412750</wp:posOffset>
            </wp:positionV>
            <wp:extent cx="81915" cy="850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Early Pipeline Programs</w:t>
      </w:r>
    </w:p>
    <w:p>
      <w:pPr>
        <w:spacing w:after="0" w:line="120"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Tallac Therapeutics - ALTA-002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43" w:lineRule="exact"/>
        <w:rPr>
          <w:sz w:val="20"/>
          <w:szCs w:val="20"/>
          <w:color w:val="auto"/>
        </w:rPr>
      </w:pPr>
    </w:p>
    <w:p>
      <w:pPr>
        <w:ind w:left="1520" w:right="220"/>
        <w:spacing w:after="0" w:line="221" w:lineRule="exact"/>
        <w:rPr>
          <w:sz w:val="20"/>
          <w:szCs w:val="20"/>
          <w:color w:val="auto"/>
        </w:rPr>
      </w:pPr>
      <w:r>
        <w:rPr>
          <w:rFonts w:ascii="Arial" w:cs="Arial" w:eastAsia="Arial" w:hAnsi="Arial"/>
          <w:sz w:val="19"/>
          <w:szCs w:val="19"/>
          <w:b w:val="1"/>
          <w:bCs w:val="1"/>
          <w:color w:val="231F20"/>
        </w:rPr>
        <w:t>Our second program, ALTA-002, is a collaboration between us and Tallac Therapeutics, Inc. (Tallac) that combines our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SIRP</w:t>
      </w:r>
      <w:r>
        <w:rPr>
          <w:sz w:val="1"/>
          <w:szCs w:val="1"/>
          <w:color w:val="auto"/>
        </w:rPr>
        <w:drawing>
          <wp:inline distT="0" distB="0" distL="0" distR="0">
            <wp:extent cx="83185" cy="8318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3185" cy="83185"/>
                    </a:xfrm>
                    <a:prstGeom prst="rect">
                      <a:avLst/>
                    </a:prstGeom>
                    <a:noFill/>
                    <a:ln>
                      <a:noFill/>
                    </a:ln>
                  </pic:spPr>
                </pic:pic>
              </a:graphicData>
            </a:graphic>
          </wp:inline>
        </w:drawing>
      </w:r>
      <w:r>
        <w:rPr>
          <w:rFonts w:ascii="Arial" w:cs="Arial" w:eastAsia="Arial" w:hAnsi="Arial"/>
          <w:sz w:val="19"/>
          <w:szCs w:val="19"/>
          <w:b w:val="1"/>
          <w:bCs w:val="1"/>
          <w:color w:val="231F20"/>
        </w:rPr>
        <w:t xml:space="preserve"> antibody with Tallac</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toll-like receptor 9 (TLR9) agonist, resulting in a potent immune activator targeted to myeloid cells in the tumor to promote innate and adaptive anti-cancer immune responses. This novel Toll-like receptor agonist antibody conjugation platform (TRAAC) enables systemic delivery of targeted TLR9 activation.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-661035</wp:posOffset>
            </wp:positionV>
            <wp:extent cx="81915" cy="850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45" w:lineRule="exact"/>
        <w:rPr>
          <w:sz w:val="20"/>
          <w:szCs w:val="20"/>
          <w:color w:val="auto"/>
        </w:rPr>
      </w:pPr>
    </w:p>
    <w:p>
      <w:pPr>
        <w:jc w:val="both"/>
        <w:ind w:left="1520" w:right="300"/>
        <w:spacing w:after="0" w:line="329" w:lineRule="auto"/>
        <w:rPr>
          <w:sz w:val="20"/>
          <w:szCs w:val="20"/>
          <w:color w:val="auto"/>
        </w:rPr>
      </w:pPr>
      <w:r>
        <w:rPr>
          <w:rFonts w:ascii="Arial" w:cs="Arial" w:eastAsia="Arial" w:hAnsi="Arial"/>
          <w:sz w:val="16"/>
          <w:szCs w:val="16"/>
          <w:b w:val="1"/>
          <w:bCs w:val="1"/>
          <w:color w:val="231F20"/>
        </w:rPr>
        <w:t>In February 2024, we filed an investigative new drug (IND) application for ALTA-002 and in March 2024, the FDA cleared the IND to evaluate ALTA-002 in a Phase 1 clinical trial for patients with advanced solid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-280035</wp:posOffset>
            </wp:positionV>
            <wp:extent cx="81915" cy="850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ADC Program - ALX2004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43" w:lineRule="exact"/>
        <w:rPr>
          <w:sz w:val="20"/>
          <w:szCs w:val="20"/>
          <w:color w:val="auto"/>
        </w:rPr>
      </w:pPr>
    </w:p>
    <w:p>
      <w:pPr>
        <w:ind w:left="1520" w:right="160"/>
        <w:spacing w:after="0" w:line="239" w:lineRule="auto"/>
        <w:rPr>
          <w:sz w:val="20"/>
          <w:szCs w:val="20"/>
          <w:color w:val="auto"/>
        </w:rPr>
      </w:pPr>
      <w:r>
        <w:rPr>
          <w:rFonts w:ascii="Arial" w:cs="Arial" w:eastAsia="Arial" w:hAnsi="Arial"/>
          <w:sz w:val="19"/>
          <w:szCs w:val="19"/>
          <w:b w:val="1"/>
          <w:bCs w:val="1"/>
          <w:color w:val="231F20"/>
        </w:rPr>
        <w:t>With our acquisition of ScalmiBio, Inc. (ScalmiBio) in October 2021, we developed ADC drug candidates based on our expertise in protein engineering and oncology.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-236220</wp:posOffset>
            </wp:positionV>
            <wp:extent cx="81915" cy="850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44" w:lineRule="exact"/>
        <w:rPr>
          <w:sz w:val="20"/>
          <w:szCs w:val="20"/>
          <w:color w:val="auto"/>
        </w:rPr>
      </w:pPr>
    </w:p>
    <w:p>
      <w:pPr>
        <w:ind w:left="1520" w:right="540"/>
        <w:spacing w:after="0" w:line="239" w:lineRule="auto"/>
        <w:rPr>
          <w:sz w:val="20"/>
          <w:szCs w:val="20"/>
          <w:color w:val="auto"/>
        </w:rPr>
      </w:pPr>
      <w:r>
        <w:rPr>
          <w:rFonts w:ascii="Arial" w:cs="Arial" w:eastAsia="Arial" w:hAnsi="Arial"/>
          <w:sz w:val="19"/>
          <w:szCs w:val="19"/>
          <w:b w:val="1"/>
          <w:bCs w:val="1"/>
          <w:color w:val="231F20"/>
        </w:rPr>
        <w:t>In January 2024, we declared a development candidate ALX2004 based on ScalmiBio acquired technology, triggering the first milestone payment to ScalmiBio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-236220</wp:posOffset>
            </wp:positionV>
            <wp:extent cx="81915" cy="850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39" w:lineRule="exact"/>
        <w:rPr>
          <w:sz w:val="20"/>
          <w:szCs w:val="20"/>
          <w:color w:val="auto"/>
        </w:rPr>
      </w:pPr>
    </w:p>
    <w:p>
      <w:pPr>
        <w:ind w:left="1520"/>
        <w:spacing w:after="0"/>
        <w:rPr>
          <w:sz w:val="20"/>
          <w:szCs w:val="20"/>
          <w:color w:val="auto"/>
        </w:rPr>
      </w:pPr>
      <w:r>
        <w:rPr>
          <w:rFonts w:ascii="Arial" w:cs="Arial" w:eastAsia="Arial" w:hAnsi="Arial"/>
          <w:sz w:val="19"/>
          <w:szCs w:val="19"/>
          <w:b w:val="1"/>
          <w:bCs w:val="1"/>
          <w:color w:val="231F20"/>
        </w:rPr>
        <w:t>We intend to file an IND for our first ADC program, ALX2004, in the first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-95250</wp:posOffset>
            </wp:positionV>
            <wp:extent cx="81915" cy="850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108" w:lineRule="exact"/>
        <w:rPr>
          <w:sz w:val="20"/>
          <w:szCs w:val="20"/>
          <w:color w:val="auto"/>
        </w:rPr>
      </w:pPr>
    </w:p>
    <w:p>
      <w:pPr>
        <w:ind w:right="100" w:firstLine="475"/>
        <w:spacing w:after="0"/>
        <w:rPr>
          <w:sz w:val="20"/>
          <w:szCs w:val="20"/>
          <w:color w:val="auto"/>
        </w:rPr>
      </w:pPr>
      <w:r>
        <w:rPr>
          <w:rFonts w:ascii="Arial" w:cs="Arial" w:eastAsia="Arial" w:hAnsi="Arial"/>
          <w:sz w:val="19"/>
          <w:szCs w:val="19"/>
          <w:b w:val="1"/>
          <w:bCs w:val="1"/>
          <w:color w:val="231F20"/>
        </w:rPr>
        <w:t>Based on our clinical results to date in multiple oncology indications that show encouraging anti-tumor activity and tolerability and our clinical development plans, our strategy is to pursue evorpacept as a potentially critical component of future oncology combination treatments.</w:t>
      </w:r>
    </w:p>
    <w:p>
      <w:pPr>
        <w:sectPr>
          <w:pgSz w:w="12240" w:h="15840" w:orient="portrait"/>
          <w:cols w:equalWidth="0" w:num="1">
            <w:col w:w="10440"/>
          </w:cols>
          <w:pgMar w:left="880" w:top="1160" w:right="920" w:bottom="4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231F20"/>
        </w:rPr>
        <w:t>5</w:t>
      </w:r>
    </w:p>
    <w:p>
      <w:pPr>
        <w:sectPr>
          <w:pgSz w:w="12240" w:h="15840" w:orient="portrait"/>
          <w:cols w:equalWidth="0" w:num="1">
            <w:col w:w="10440"/>
          </w:cols>
          <w:pgMar w:left="880" w:top="1160" w:right="920" w:bottom="424" w:gutter="0" w:footer="0" w:header="0"/>
          <w:type w:val="continuous"/>
        </w:sectPr>
      </w:pPr>
    </w:p>
    <w:bookmarkStart w:id="13" w:name="page14"/>
    <w:bookmarkEnd w:id="13"/>
    <w:p>
      <w:pPr>
        <w:ind w:firstLine="475"/>
        <w:spacing w:after="0" w:line="223" w:lineRule="exact"/>
        <w:rPr>
          <w:sz w:val="20"/>
          <w:szCs w:val="20"/>
          <w:color w:val="auto"/>
        </w:rPr>
      </w:pPr>
      <w:r>
        <w:rPr>
          <w:rFonts w:ascii="Arial" w:cs="Arial" w:eastAsia="Arial" w:hAnsi="Arial"/>
          <w:sz w:val="16"/>
          <w:szCs w:val="16"/>
          <w:b w:val="1"/>
          <w:bCs w:val="1"/>
          <w:color w:val="231F20"/>
        </w:rPr>
        <w:t>Our team of industry veterans plans to continue to advance a broad development plan for evorpacept that balances speed to market, scale of unmet need and existing clinical evidence for evorpacept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combination mechanisms. Members of our management team have brought multiple drugs to the FDA approval. Our Chief Executive Officer, Jason Lettmann, brings a broad suite of expertise as an institutional healthcare investor, most recently at Lightstone Ventures, and has been involved with ALX Oncology for nearly a decade since its founding, having co-led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first institutional financing and serving as a member of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Board of Directors. He also previously served as Chief Executive Officer of Promedior, Inc. During his tenure, Promedior was acquired by Roche in 2020 for up to $1.39 billion. Our Chief Medical Officer, Alan Sandler, M.D., brings more than 30 years of experience as a distinguished leader in oncology and drug development. He previously held the position of Executive Vice President, Chief Medical Officer at Mirati Therapeutics, prior to which he was the President, Global Head of Development Oncology at Zai Lab. Our Chairman and founder, Corey Goodman, Ph.D., an elected member of the National Academy of Sciences, has co-founded seven biopharmaceutical companies, including Exelixis and Labrys (acquired by Teva Pharmaceuticals in 2014), and led Pfizer</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Biotherapeutics and Bioinnovation Center. Our Chief Financial Officer, Harish Shantharam, has over 20 years of experience guiding public life science companies. Most recently, he was Chief Financial Officer of Cymabay Therapeutics, and prior to this role he was Vice President and Head of Global Commercial Finance at Gilead Sciences. We have funded our operations to date primarily through the issuance and sale of our convertible preferred stock, the issuance and sale of our common stock through an initial public offering in July 2020 and a follow-on public offering in December 2020, a term loan facility in October 2022, a follow-on public offering in October 2023, and sales under our ATM offering program.</w:t>
      </w:r>
    </w:p>
    <w:p>
      <w:pPr>
        <w:spacing w:after="0" w:line="361"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Our Strategy</w:t>
      </w:r>
    </w:p>
    <w:p>
      <w:pPr>
        <w:spacing w:after="0" w:line="128" w:lineRule="exact"/>
        <w:rPr>
          <w:sz w:val="20"/>
          <w:szCs w:val="20"/>
          <w:color w:val="auto"/>
        </w:rPr>
      </w:pPr>
    </w:p>
    <w:p>
      <w:pPr>
        <w:ind w:right="480" w:firstLine="475"/>
        <w:spacing w:after="0" w:line="238" w:lineRule="auto"/>
        <w:rPr>
          <w:sz w:val="20"/>
          <w:szCs w:val="20"/>
          <w:color w:val="auto"/>
        </w:rPr>
      </w:pPr>
      <w:r>
        <w:rPr>
          <w:rFonts w:ascii="Arial" w:cs="Arial" w:eastAsia="Arial" w:hAnsi="Arial"/>
          <w:sz w:val="19"/>
          <w:szCs w:val="19"/>
          <w:b w:val="1"/>
          <w:bCs w:val="1"/>
          <w:color w:val="231F20"/>
        </w:rPr>
        <w:t>Our goal is to transform treatment options for patients with cancer by developing evorpacept as a foundational checkpoint immunotherapy.</w:t>
      </w:r>
    </w:p>
    <w:p>
      <w:pPr>
        <w:spacing w:after="0" w:line="238"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Key elements of our strategy to support this goal include:</w:t>
      </w:r>
    </w:p>
    <w:p>
      <w:pPr>
        <w:spacing w:after="0" w:line="128" w:lineRule="exact"/>
        <w:rPr>
          <w:sz w:val="20"/>
          <w:szCs w:val="20"/>
          <w:color w:val="auto"/>
        </w:rPr>
      </w:pPr>
    </w:p>
    <w:p>
      <w:pPr>
        <w:ind w:left="960" w:right="160"/>
        <w:spacing w:after="0" w:line="239" w:lineRule="auto"/>
        <w:rPr>
          <w:sz w:val="20"/>
          <w:szCs w:val="20"/>
          <w:color w:val="auto"/>
        </w:rPr>
      </w:pPr>
      <w:r>
        <w:rPr>
          <w:rFonts w:ascii="Arial" w:cs="Arial" w:eastAsia="Arial" w:hAnsi="Arial"/>
          <w:sz w:val="19"/>
          <w:szCs w:val="19"/>
          <w:b w:val="1"/>
          <w:bCs w:val="1"/>
          <w:color w:val="231F20"/>
        </w:rPr>
        <w:t>Expanding the therapeutic potential of CD47 blockade by combining with anti-cancer antibodies and ADCs. We believe evorpacept can overcome the limitations of other CD47 blocking approaches.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-243840</wp:posOffset>
            </wp:positionV>
            <wp:extent cx="62230" cy="635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7" w:lineRule="exact"/>
        <w:rPr>
          <w:sz w:val="20"/>
          <w:szCs w:val="20"/>
          <w:color w:val="auto"/>
        </w:rPr>
      </w:pPr>
    </w:p>
    <w:p>
      <w:pPr>
        <w:ind w:left="960" w:right="80"/>
        <w:spacing w:after="0" w:line="243" w:lineRule="auto"/>
        <w:rPr>
          <w:sz w:val="20"/>
          <w:szCs w:val="20"/>
          <w:color w:val="auto"/>
        </w:rPr>
      </w:pPr>
      <w:r>
        <w:rPr>
          <w:rFonts w:ascii="Arial" w:cs="Arial" w:eastAsia="Arial" w:hAnsi="Arial"/>
          <w:sz w:val="19"/>
          <w:szCs w:val="19"/>
          <w:b w:val="1"/>
          <w:bCs w:val="1"/>
          <w:color w:val="231F20"/>
        </w:rPr>
        <w:t>Expanding the therapeutic potential of CD47 blockade by combining with PD-1/PD-L1 immune checkpoint inhibitors. Based on encouraging early Phase 1 clinical data in our ASPEN-01 study in subjects with advanced HNSCC treated with evorpacept in combination with a PD-1 checkpoint inhibitor with and without chemotherapy, we are conducting two randomized Phase 2 trials (ASPEN-03 and ASPEN-04) of evorpacept for the treatment of first-line advanced HNSCC.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-668655</wp:posOffset>
            </wp:positionV>
            <wp:extent cx="62230" cy="635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7" w:lineRule="exact"/>
        <w:rPr>
          <w:sz w:val="20"/>
          <w:szCs w:val="20"/>
          <w:color w:val="auto"/>
        </w:rPr>
      </w:pPr>
    </w:p>
    <w:p>
      <w:pPr>
        <w:jc w:val="both"/>
        <w:ind w:left="960" w:right="220"/>
        <w:spacing w:after="0" w:line="308" w:lineRule="auto"/>
        <w:rPr>
          <w:sz w:val="20"/>
          <w:szCs w:val="20"/>
          <w:color w:val="auto"/>
        </w:rPr>
      </w:pPr>
      <w:r>
        <w:rPr>
          <w:rFonts w:ascii="Arial" w:cs="Arial" w:eastAsia="Arial" w:hAnsi="Arial"/>
          <w:sz w:val="16"/>
          <w:szCs w:val="16"/>
          <w:b w:val="1"/>
          <w:bCs w:val="1"/>
          <w:color w:val="231F20"/>
        </w:rPr>
        <w:t>Continuing development of a pipeline of innovative therapeutics based on our protein engineering expertise and knowledge of the immune system and cancer biology. We are developing a pipeline of immuno-oncology programs that represent complementary, but differentiated, approaches to engaging the innate and adaptive immune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-417195</wp:posOffset>
            </wp:positionV>
            <wp:extent cx="62230" cy="635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56" w:lineRule="exact"/>
        <w:rPr>
          <w:sz w:val="20"/>
          <w:szCs w:val="20"/>
          <w:color w:val="auto"/>
        </w:rPr>
      </w:pPr>
    </w:p>
    <w:p>
      <w:pPr>
        <w:ind w:left="960"/>
        <w:spacing w:after="0" w:line="259" w:lineRule="auto"/>
        <w:rPr>
          <w:sz w:val="20"/>
          <w:szCs w:val="20"/>
          <w:color w:val="auto"/>
        </w:rPr>
      </w:pPr>
      <w:r>
        <w:rPr>
          <w:rFonts w:ascii="Arial" w:cs="Arial" w:eastAsia="Arial" w:hAnsi="Arial"/>
          <w:sz w:val="18"/>
          <w:szCs w:val="18"/>
          <w:b w:val="1"/>
          <w:bCs w:val="1"/>
          <w:color w:val="231F20"/>
        </w:rPr>
        <w:t>Continuing to develop strategic partnerships to broaden the potential impact of our current and future product candidates across patient populations. In order to advance treatment options for the most patients, we have in the past and may in the future partner with other companies with complementary resources that will maximize the value of our current and future product candidates. Such partnerships may allow us to pair evorpacept and any future product candidates with other novel agents owned fully or in part by strategic partners. Partnerships may and will also help realize the full potential of our product candidates in markets where we are unlikely to pursue development or commercialization on our own. We intend to maintain significant economic interests in our product candidates and selectively consider partnership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-1102360</wp:posOffset>
            </wp:positionV>
            <wp:extent cx="62230" cy="635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ectPr>
          <w:pgSz w:w="12240" w:h="15840" w:orient="portrait"/>
          <w:cols w:equalWidth="0" w:num="1">
            <w:col w:w="10420"/>
          </w:cols>
          <w:pgMar w:left="880" w:top="1165" w:right="940" w:bottom="4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231F20"/>
        </w:rPr>
        <w:t>6</w:t>
      </w:r>
    </w:p>
    <w:p>
      <w:pPr>
        <w:sectPr>
          <w:pgSz w:w="12240" w:h="15840" w:orient="portrait"/>
          <w:cols w:equalWidth="0" w:num="1">
            <w:col w:w="10420"/>
          </w:cols>
          <w:pgMar w:left="880" w:top="1165" w:right="940" w:bottom="424" w:gutter="0" w:footer="0" w:header="0"/>
          <w:type w:val="continuous"/>
        </w:sectPr>
      </w:pPr>
    </w:p>
    <w:bookmarkStart w:id="14" w:name="page15"/>
    <w:bookmarkEnd w:id="14"/>
    <w:p>
      <w:pPr>
        <w:spacing w:after="0"/>
        <w:rPr>
          <w:sz w:val="20"/>
          <w:szCs w:val="20"/>
          <w:color w:val="auto"/>
        </w:rPr>
      </w:pPr>
      <w:r>
        <w:rPr>
          <w:rFonts w:ascii="Arial" w:cs="Arial" w:eastAsia="Arial" w:hAnsi="Arial"/>
          <w:sz w:val="19"/>
          <w:szCs w:val="19"/>
          <w:b w:val="1"/>
          <w:bCs w:val="1"/>
          <w:color w:val="231F20"/>
        </w:rPr>
        <w:t>Pipeline</w:t>
      </w:r>
    </w:p>
    <w:p>
      <w:pPr>
        <w:spacing w:after="0" w:line="128" w:lineRule="exact"/>
        <w:rPr>
          <w:sz w:val="20"/>
          <w:szCs w:val="20"/>
          <w:color w:val="auto"/>
        </w:rPr>
      </w:pPr>
    </w:p>
    <w:p>
      <w:pPr>
        <w:ind w:firstLine="475"/>
        <w:spacing w:after="0" w:line="262" w:lineRule="auto"/>
        <w:rPr>
          <w:sz w:val="20"/>
          <w:szCs w:val="20"/>
          <w:color w:val="auto"/>
        </w:rPr>
      </w:pPr>
      <w:r>
        <w:rPr>
          <w:rFonts w:ascii="Arial" w:cs="Arial" w:eastAsia="Arial" w:hAnsi="Arial"/>
          <w:sz w:val="18"/>
          <w:szCs w:val="18"/>
          <w:b w:val="1"/>
          <w:bCs w:val="1"/>
          <w:color w:val="231F20"/>
        </w:rPr>
        <w:t>Our initial programs are focused on targeting CD47 across various oncology indications. Many forms of cancer use CD47 expression as a means of evading immune response. We are targeting solid tumor and hematologic malignancies indications where we believe we have the greatest potential to address unmet medical needs.</w:t>
      </w:r>
    </w:p>
    <w:p>
      <w:pPr>
        <w:spacing w:after="0" w:line="219"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The chart below summarizes the development status of our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148590</wp:posOffset>
            </wp:positionV>
            <wp:extent cx="6655435" cy="3596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655435" cy="3596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CD47 Scientific Background</w:t>
      </w:r>
    </w:p>
    <w:p>
      <w:pPr>
        <w:spacing w:after="0" w:line="128" w:lineRule="exact"/>
        <w:rPr>
          <w:sz w:val="20"/>
          <w:szCs w:val="20"/>
          <w:color w:val="auto"/>
        </w:rPr>
      </w:pPr>
    </w:p>
    <w:p>
      <w:pPr>
        <w:ind w:firstLine="475"/>
        <w:spacing w:after="0" w:line="259" w:lineRule="auto"/>
        <w:rPr>
          <w:sz w:val="20"/>
          <w:szCs w:val="20"/>
          <w:color w:val="auto"/>
        </w:rPr>
      </w:pPr>
      <w:r>
        <w:rPr>
          <w:rFonts w:ascii="Arial" w:cs="Arial" w:eastAsia="Arial" w:hAnsi="Arial"/>
          <w:sz w:val="18"/>
          <w:szCs w:val="18"/>
          <w:b w:val="1"/>
          <w:bCs w:val="1"/>
          <w:color w:val="231F20"/>
        </w:rPr>
        <w:t>Cancer immunotherapies targeting adaptive immune system checkpoints, notably those related to T cells, have transformed the standard of care in oncology across multiple cancer types. Initial clinical successes in this area have focused on stimulating the adaptive immune system. However, emerging evidence demonstrates that the innate immune system plays a crucial role in the first line of defense to eliminate transformed malignant cells and the subsequent activation of the adaptive immune system. Dendritic cells and macrophages are a type of myeloid cell and are important parts of the innate immune system. These cells eliminate cancer cells by phagocytosis and present tumor-derived antigens to T cells, a process known as cross-priming, which activates the adaptive immune system.</w:t>
      </w:r>
    </w:p>
    <w:p>
      <w:pPr>
        <w:spacing w:after="0" w:line="114" w:lineRule="exact"/>
        <w:rPr>
          <w:sz w:val="20"/>
          <w:szCs w:val="20"/>
          <w:color w:val="auto"/>
        </w:rPr>
      </w:pPr>
    </w:p>
    <w:p>
      <w:pPr>
        <w:ind w:right="180" w:firstLine="475"/>
        <w:spacing w:after="0" w:line="221" w:lineRule="exact"/>
        <w:rPr>
          <w:sz w:val="20"/>
          <w:szCs w:val="20"/>
          <w:color w:val="auto"/>
        </w:rPr>
      </w:pPr>
      <w:r>
        <w:rPr>
          <w:rFonts w:ascii="Arial" w:cs="Arial" w:eastAsia="Arial" w:hAnsi="Arial"/>
          <w:sz w:val="16"/>
          <w:szCs w:val="16"/>
          <w:b w:val="1"/>
          <w:bCs w:val="1"/>
          <w:color w:val="231F20"/>
        </w:rPr>
        <w:t xml:space="preserve">Cancer cells evade phagocytosis by up-regulating CD47, a transmembrane protein that mainly functions as an anti-phagocytic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don</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t eat me</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signal for healthy cells. CD47 interacts with its cognate receptor SIRP</w:t>
      </w:r>
      <w:r>
        <w:rPr>
          <w:sz w:val="1"/>
          <w:szCs w:val="1"/>
          <w:color w:val="auto"/>
        </w:rPr>
        <w:drawing>
          <wp:inline distT="0" distB="0" distL="0" distR="0">
            <wp:extent cx="83185" cy="83185"/>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3185" cy="83185"/>
                    </a:xfrm>
                    <a:prstGeom prst="rect">
                      <a:avLst/>
                    </a:prstGeom>
                    <a:noFill/>
                    <a:ln>
                      <a:noFill/>
                    </a:ln>
                  </pic:spPr>
                </pic:pic>
              </a:graphicData>
            </a:graphic>
          </wp:inline>
        </w:drawing>
      </w:r>
      <w:r>
        <w:rPr>
          <w:rFonts w:ascii="Arial" w:cs="Arial" w:eastAsia="Arial" w:hAnsi="Arial"/>
          <w:sz w:val="16"/>
          <w:szCs w:val="16"/>
          <w:b w:val="1"/>
          <w:bCs w:val="1"/>
          <w:color w:val="231F20"/>
        </w:rPr>
        <w:t>, a regulatory membrane glycoprotein, that is expressed on macrophages and other myeloid cells and serves to prevent phagocytosis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don</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t eat me</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and cross-priming of the adaptive immune system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don</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t activate T cells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when bound to CD47. By overexpressing CD47, cancer cells are able to avoid phagocytosis by macrophages and thereby evade subsequent detection by the adaptive immune system.</w:t>
      </w:r>
    </w:p>
    <w:p>
      <w:pPr>
        <w:sectPr>
          <w:pgSz w:w="12240" w:h="15840" w:orient="portrait"/>
          <w:cols w:equalWidth="0" w:num="1">
            <w:col w:w="10440"/>
          </w:cols>
          <w:pgMar w:left="880" w:top="1160" w:right="920" w:bottom="4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231F20"/>
        </w:rPr>
        <w:t>7</w:t>
      </w:r>
    </w:p>
    <w:p>
      <w:pPr>
        <w:sectPr>
          <w:pgSz w:w="12240" w:h="15840" w:orient="portrait"/>
          <w:cols w:equalWidth="0" w:num="1">
            <w:col w:w="10440"/>
          </w:cols>
          <w:pgMar w:left="880" w:top="1160" w:right="920" w:bottom="424"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559435</wp:posOffset>
            </wp:positionH>
            <wp:positionV relativeFrom="page">
              <wp:posOffset>735965</wp:posOffset>
            </wp:positionV>
            <wp:extent cx="6653530" cy="19799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653530"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20" w:firstLine="475"/>
        <w:spacing w:after="0" w:line="303" w:lineRule="auto"/>
        <w:rPr>
          <w:sz w:val="20"/>
          <w:szCs w:val="20"/>
          <w:color w:val="auto"/>
        </w:rPr>
      </w:pPr>
      <w:r>
        <w:rPr>
          <w:rFonts w:ascii="Arial" w:cs="Arial" w:eastAsia="Arial" w:hAnsi="Arial"/>
          <w:sz w:val="16"/>
          <w:szCs w:val="16"/>
          <w:b w:val="1"/>
          <w:bCs w:val="1"/>
          <w:color w:val="231F20"/>
        </w:rPr>
        <w:t>High CD47 expression in cancer cells has been shown to be a prognostic indicator of decreased survival in multiple oncology indications. A study published by Majeti, et al. in 2009, assessed this association in a validation cohort of 137 subjects with AML. As shown in the figure below, normal karyotype AML, or NK-AML, subjects with high levels of CD47 expression had shorter median overall survival, or mOS, of 9.1 months compared to subjects with low levels of CD47 expression who had an mOS of 22.1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118745</wp:posOffset>
            </wp:positionV>
            <wp:extent cx="5097780" cy="28663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097780" cy="2866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540"/>
        <w:spacing w:after="0" w:line="218" w:lineRule="exact"/>
        <w:rPr>
          <w:sz w:val="20"/>
          <w:szCs w:val="20"/>
          <w:color w:val="auto"/>
        </w:rPr>
      </w:pPr>
      <w:r>
        <w:rPr>
          <w:rFonts w:ascii="Arial" w:cs="Arial" w:eastAsia="Arial" w:hAnsi="Arial"/>
          <w:sz w:val="19"/>
          <w:szCs w:val="19"/>
          <w:b w:val="1"/>
          <w:bCs w:val="1"/>
          <w:color w:val="231F20"/>
        </w:rPr>
        <w:t>Evorpacept</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1-2 Punch: Harnessing the Power of CD47 Blocking to Unmask and Directly Unleash Combination Agent on Cancer Cells</w:t>
      </w:r>
    </w:p>
    <w:p>
      <w:pPr>
        <w:spacing w:after="0" w:line="128" w:lineRule="exact"/>
        <w:rPr>
          <w:sz w:val="20"/>
          <w:szCs w:val="20"/>
          <w:color w:val="auto"/>
        </w:rPr>
      </w:pPr>
    </w:p>
    <w:p>
      <w:pPr>
        <w:ind w:right="200" w:firstLine="475"/>
        <w:spacing w:after="0" w:line="243" w:lineRule="auto"/>
        <w:rPr>
          <w:sz w:val="20"/>
          <w:szCs w:val="20"/>
          <w:color w:val="auto"/>
        </w:rPr>
      </w:pPr>
      <w:r>
        <w:rPr>
          <w:rFonts w:ascii="Arial" w:cs="Arial" w:eastAsia="Arial" w:hAnsi="Arial"/>
          <w:sz w:val="19"/>
          <w:szCs w:val="19"/>
          <w:b w:val="1"/>
          <w:bCs w:val="1"/>
          <w:color w:val="231F20"/>
        </w:rPr>
        <w:t>Data generated by our and other studies in the field have demonstrated that activating the immune system against cancer requires both blocking phagocytosis checkpoints and inducing pro-phagocytic signals. This can be achieved by combining CD47 blockade with either conventional chemotherapies or targeted therapies, which together promote phagocytosis by macrophages and maximize adaptive immune system response.</w:t>
      </w:r>
    </w:p>
    <w:p>
      <w:pPr>
        <w:spacing w:after="0" w:line="123" w:lineRule="exact"/>
        <w:rPr>
          <w:sz w:val="20"/>
          <w:szCs w:val="20"/>
          <w:color w:val="auto"/>
        </w:rPr>
      </w:pPr>
    </w:p>
    <w:p>
      <w:pPr>
        <w:ind w:firstLine="475"/>
        <w:spacing w:after="0" w:line="222" w:lineRule="exact"/>
        <w:rPr>
          <w:sz w:val="20"/>
          <w:szCs w:val="20"/>
          <w:color w:val="auto"/>
        </w:rPr>
      </w:pPr>
      <w:r>
        <w:rPr>
          <w:rFonts w:ascii="Arial" w:cs="Arial" w:eastAsia="Arial" w:hAnsi="Arial"/>
          <w:sz w:val="18"/>
          <w:szCs w:val="18"/>
          <w:b w:val="1"/>
          <w:bCs w:val="1"/>
          <w:color w:val="231F20"/>
        </w:rPr>
        <w:t>Therapeutic antibodies that target tumor-specific antigens, such as the HER2 receptor, also induce cellular phagocytosis. These antibodies direct macrophages to cancer cells by binding to the tumor-specific antigen and activating the macrophage by engaging the Fc</w:t>
      </w:r>
      <w:r>
        <w:rPr>
          <w:sz w:val="1"/>
          <w:szCs w:val="1"/>
          <w:color w:val="auto"/>
        </w:rPr>
        <w:drawing>
          <wp:inline distT="0" distB="0" distL="0" distR="0">
            <wp:extent cx="78740" cy="9906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8740" cy="99060"/>
                    </a:xfrm>
                    <a:prstGeom prst="rect">
                      <a:avLst/>
                    </a:prstGeom>
                    <a:noFill/>
                    <a:ln>
                      <a:noFill/>
                    </a:ln>
                  </pic:spPr>
                </pic:pic>
              </a:graphicData>
            </a:graphic>
          </wp:inline>
        </w:drawing>
      </w:r>
      <w:r>
        <w:rPr>
          <w:rFonts w:ascii="Arial" w:cs="Arial" w:eastAsia="Arial" w:hAnsi="Arial"/>
          <w:sz w:val="18"/>
          <w:szCs w:val="18"/>
          <w:b w:val="1"/>
          <w:bCs w:val="1"/>
          <w:color w:val="231F20"/>
        </w:rPr>
        <w:t xml:space="preserve"> receptors to induce phagocytosis. However, if CD47 is not blocked, the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don</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t eat me</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 signal can limit the activity of this mechanism. CD47 blocking therapies can therefore maximize a combination agent</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s clinical efficacy by overcoming the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don</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t eat me</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 signal that is co-opted by cancer cells.</w:t>
      </w:r>
    </w:p>
    <w:p>
      <w:pPr>
        <w:spacing w:after="0" w:line="125" w:lineRule="exact"/>
        <w:rPr>
          <w:sz w:val="20"/>
          <w:szCs w:val="20"/>
          <w:color w:val="auto"/>
        </w:rPr>
      </w:pPr>
    </w:p>
    <w:p>
      <w:pPr>
        <w:ind w:right="20" w:firstLine="475"/>
        <w:spacing w:after="0" w:line="300" w:lineRule="auto"/>
        <w:rPr>
          <w:sz w:val="20"/>
          <w:szCs w:val="20"/>
          <w:color w:val="auto"/>
        </w:rPr>
      </w:pPr>
      <w:r>
        <w:rPr>
          <w:rFonts w:ascii="Arial" w:cs="Arial" w:eastAsia="Arial" w:hAnsi="Arial"/>
          <w:sz w:val="16"/>
          <w:szCs w:val="16"/>
          <w:b w:val="1"/>
          <w:bCs w:val="1"/>
          <w:color w:val="231F20"/>
        </w:rPr>
        <w:t>Cancer cells can also modulate their environment to suppress detection by immune cells. Overexpression of CD47 helps cancer cells avoid innate immune system detection by dendritic cells and subsequent antigen presentation to T cells, thereby limiting anti-tumor immune response. PD-1/PD-L1 targeting immunotherapies are designed to reduce the suppression of T cells but do not address the initial evasion of the innate immune system by cancer cells. By removing the suppression of dendritic cells, CD47 blocking therapies in combination with PD-1/PD-L1 targeted therapies can complement their T cell stimulatory activities.</w:t>
      </w:r>
    </w:p>
    <w:p>
      <w:pPr>
        <w:sectPr>
          <w:pgSz w:w="12240" w:h="15840" w:orient="portrait"/>
          <w:cols w:equalWidth="0" w:num="1">
            <w:col w:w="10400"/>
          </w:cols>
          <w:pgMar w:left="880" w:top="1440" w:right="960" w:bottom="424" w:gutter="0" w:footer="0" w:header="0"/>
        </w:sectPr>
      </w:pP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231F20"/>
        </w:rPr>
        <w:t>8</w:t>
      </w:r>
    </w:p>
    <w:p>
      <w:pPr>
        <w:sectPr>
          <w:pgSz w:w="12240" w:h="15840" w:orient="portrait"/>
          <w:cols w:equalWidth="0" w:num="1">
            <w:col w:w="10400"/>
          </w:cols>
          <w:pgMar w:left="880" w:top="1440" w:right="960" w:bottom="424"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559435</wp:posOffset>
            </wp:positionH>
            <wp:positionV relativeFrom="page">
              <wp:posOffset>734695</wp:posOffset>
            </wp:positionV>
            <wp:extent cx="6655435" cy="25069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655435" cy="2506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Limitations of Current Approaches to Blocking CD47</w:t>
      </w:r>
    </w:p>
    <w:p>
      <w:pPr>
        <w:spacing w:after="0" w:line="125" w:lineRule="exact"/>
        <w:rPr>
          <w:sz w:val="20"/>
          <w:szCs w:val="20"/>
          <w:color w:val="auto"/>
        </w:rPr>
      </w:pPr>
    </w:p>
    <w:p>
      <w:pPr>
        <w:ind w:firstLine="475"/>
        <w:spacing w:after="0" w:line="242" w:lineRule="auto"/>
        <w:rPr>
          <w:sz w:val="20"/>
          <w:szCs w:val="20"/>
          <w:color w:val="auto"/>
        </w:rPr>
      </w:pPr>
      <w:r>
        <w:rPr>
          <w:rFonts w:ascii="Arial" w:cs="Arial" w:eastAsia="Arial" w:hAnsi="Arial"/>
          <w:sz w:val="19"/>
          <w:szCs w:val="19"/>
          <w:b w:val="1"/>
          <w:bCs w:val="1"/>
          <w:color w:val="231F20"/>
        </w:rPr>
        <w:t>There have been a number of approaches to blocking CD47, including monoclonal antibodies and fusion proteins that include an active Fc region. These approaches have encountered limitations that have challenged their ability to maximize the full potential of CD47 blockade. These include:</w:t>
      </w:r>
    </w:p>
    <w:p>
      <w:pPr>
        <w:spacing w:after="0" w:line="126" w:lineRule="exact"/>
        <w:rPr>
          <w:sz w:val="20"/>
          <w:szCs w:val="20"/>
          <w:color w:val="auto"/>
        </w:rPr>
      </w:pPr>
    </w:p>
    <w:p>
      <w:pPr>
        <w:ind w:left="960" w:right="120"/>
        <w:spacing w:after="0" w:line="222" w:lineRule="exact"/>
        <w:rPr>
          <w:sz w:val="20"/>
          <w:szCs w:val="20"/>
          <w:color w:val="auto"/>
        </w:rPr>
      </w:pPr>
      <w:r>
        <w:rPr>
          <w:rFonts w:ascii="Arial" w:cs="Arial" w:eastAsia="Arial" w:hAnsi="Arial"/>
          <w:sz w:val="18"/>
          <w:szCs w:val="18"/>
          <w:b w:val="1"/>
          <w:bCs w:val="1"/>
          <w:color w:val="231F20"/>
        </w:rPr>
        <w:t xml:space="preserve">Limited dosing and therapeutic window: The majority of clinical data to date from other CD47 blocking agents have come from approaches that incorporate an active Fc region that provides an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eat me</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 signal to macrophages. Given that healthy blood cells express CD47, the presence of an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eat me</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 signal coupled with CD47 binding in a single-agent leads to destruction of blood cells. This mechanism is illustrated in the figure below. The trials of these other CD47 blocking agents have resulted in frequent occurrence of treatment-related cytopenias that we believe limits the therapeutic window of these agents. In addition to limiting the dosing, cytopenias can be dangerous for patients undergoing treatment for cancer as they may already have a compromised immune system related to intensive treatment regimens and disease progression.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-1090930</wp:posOffset>
            </wp:positionV>
            <wp:extent cx="62230" cy="635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12" w:lineRule="exact"/>
        <w:rPr>
          <w:sz w:val="20"/>
          <w:szCs w:val="20"/>
          <w:color w:val="auto"/>
        </w:rPr>
      </w:pPr>
    </w:p>
    <w:p>
      <w:pPr>
        <w:ind w:left="960" w:right="20"/>
        <w:spacing w:after="0" w:line="297" w:lineRule="auto"/>
        <w:rPr>
          <w:sz w:val="20"/>
          <w:szCs w:val="20"/>
          <w:color w:val="auto"/>
        </w:rPr>
      </w:pPr>
      <w:r>
        <w:rPr>
          <w:rFonts w:ascii="Arial" w:cs="Arial" w:eastAsia="Arial" w:hAnsi="Arial"/>
          <w:sz w:val="16"/>
          <w:szCs w:val="16"/>
          <w:b w:val="1"/>
          <w:bCs w:val="1"/>
          <w:color w:val="231F20"/>
        </w:rPr>
        <w:t>Limited ability to combine with other anti-cancer agents: Combination therapies continue to play an important role in treating patients with cancer. Overlapping toxicities of these agents dictate which agents can and cannot be combined. The overlapping toxicity profiles of other CD47 blocking agents and most other anti-cancer agents create challenges for combination dosing. When combination dosing is possible, the therapeutic benefit of the combination is limited due to the minimal amount of the CD47 blocking agent that can be safely dosed. Moreover, many combinations are precluded entirely due to overlapping toxicity. In addition, an active Fc domain can compete with anti-cancer antibodies when used in combination treatments and can prevent such antibodies from binding with Fc</w:t>
      </w:r>
      <w:r>
        <w:rPr>
          <w:sz w:val="1"/>
          <w:szCs w:val="1"/>
          <w:color w:val="auto"/>
        </w:rPr>
        <w:drawing>
          <wp:inline distT="0" distB="0" distL="0" distR="0">
            <wp:extent cx="78740" cy="10604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8740" cy="106045"/>
                    </a:xfrm>
                    <a:prstGeom prst="rect">
                      <a:avLst/>
                    </a:prstGeom>
                    <a:noFill/>
                    <a:ln>
                      <a:noFill/>
                    </a:ln>
                  </pic:spPr>
                </pic:pic>
              </a:graphicData>
            </a:graphic>
          </wp:inline>
        </w:drawing>
      </w:r>
      <w:r>
        <w:rPr>
          <w:rFonts w:ascii="Arial" w:cs="Arial" w:eastAsia="Arial" w:hAnsi="Arial"/>
          <w:sz w:val="16"/>
          <w:szCs w:val="16"/>
          <w:b w:val="1"/>
          <w:bCs w:val="1"/>
          <w:color w:val="231F20"/>
        </w:rPr>
        <w:t xml:space="preserve"> receptors on immune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-990600</wp:posOffset>
            </wp:positionV>
            <wp:extent cx="62230" cy="635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47" w:lineRule="exact"/>
        <w:rPr>
          <w:sz w:val="20"/>
          <w:szCs w:val="20"/>
          <w:color w:val="auto"/>
        </w:rPr>
      </w:pPr>
    </w:p>
    <w:p>
      <w:pPr>
        <w:ind w:left="960"/>
        <w:spacing w:after="0" w:line="262" w:lineRule="auto"/>
        <w:rPr>
          <w:sz w:val="20"/>
          <w:szCs w:val="20"/>
          <w:color w:val="auto"/>
        </w:rPr>
      </w:pPr>
      <w:r>
        <w:rPr>
          <w:rFonts w:ascii="Arial" w:cs="Arial" w:eastAsia="Arial" w:hAnsi="Arial"/>
          <w:sz w:val="18"/>
          <w:szCs w:val="18"/>
          <w:b w:val="1"/>
          <w:bCs w:val="1"/>
          <w:color w:val="231F20"/>
        </w:rPr>
        <w:t>Limited efficacy in solid tumors: To date, other CD47 blocking agents have failed to achieve meaningful clinical activity in the treatment of solid tumors, as the balance between managing cytopenias and maximizing efficacy may lead to tolerable doses that are too low to facilitate tumor penetration and 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-398145</wp:posOffset>
            </wp:positionV>
            <wp:extent cx="62230" cy="635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87" w:lineRule="exact"/>
        <w:rPr>
          <w:sz w:val="20"/>
          <w:szCs w:val="20"/>
          <w:color w:val="auto"/>
        </w:rPr>
      </w:pPr>
    </w:p>
    <w:p>
      <w:pPr>
        <w:ind w:left="960" w:right="60"/>
        <w:spacing w:after="0" w:line="260" w:lineRule="auto"/>
        <w:rPr>
          <w:sz w:val="20"/>
          <w:szCs w:val="20"/>
          <w:color w:val="auto"/>
        </w:rPr>
      </w:pPr>
      <w:r>
        <w:rPr>
          <w:rFonts w:ascii="Arial" w:cs="Arial" w:eastAsia="Arial" w:hAnsi="Arial"/>
          <w:sz w:val="18"/>
          <w:szCs w:val="18"/>
          <w:b w:val="1"/>
          <w:bCs w:val="1"/>
          <w:color w:val="231F20"/>
        </w:rPr>
        <w:t>Limited indications due to patient selection: Toxicities associated with other CD47 blocking agents may require careful patient selection when evaluating potential indications. In some cases, only subjects with lower risk of hematologic complications have been selected for treatment for other CD47 blocking agents due to drug related risk of severe cytopenias. Sponsors have chosen to initially develop these investigational medicines in indications such as MDS, where patients are often already cytopenic upon presentation and receive regular transfusions, potentially obscuring the side effects of their CD47 blocking approaches.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-820420</wp:posOffset>
            </wp:positionV>
            <wp:extent cx="62230" cy="635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ectPr>
          <w:pgSz w:w="12240" w:h="15840" w:orient="portrait"/>
          <w:cols w:equalWidth="0" w:num="1">
            <w:col w:w="10480"/>
          </w:cols>
          <w:pgMar w:left="880" w:top="1440" w:right="880" w:bottom="4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31F20"/>
        </w:rPr>
        <w:t>9</w:t>
      </w:r>
    </w:p>
    <w:p>
      <w:pPr>
        <w:sectPr>
          <w:pgSz w:w="12240" w:h="15840" w:orient="portrait"/>
          <w:cols w:equalWidth="0" w:num="1">
            <w:col w:w="10480"/>
          </w:cols>
          <w:pgMar w:left="880" w:top="1440" w:right="880" w:bottom="424"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559435</wp:posOffset>
            </wp:positionH>
            <wp:positionV relativeFrom="page">
              <wp:posOffset>734695</wp:posOffset>
            </wp:positionV>
            <wp:extent cx="6655435" cy="18503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655435" cy="185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line="231" w:lineRule="exact"/>
        <w:rPr>
          <w:sz w:val="20"/>
          <w:szCs w:val="20"/>
          <w:color w:val="auto"/>
        </w:rPr>
      </w:pPr>
      <w:r>
        <w:rPr>
          <w:rFonts w:ascii="Arial" w:cs="Arial" w:eastAsia="Arial" w:hAnsi="Arial"/>
          <w:sz w:val="19"/>
          <w:szCs w:val="19"/>
          <w:b w:val="1"/>
          <w:bCs w:val="1"/>
          <w:color w:val="231F20"/>
        </w:rPr>
        <w:t>Advantages of ALX</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Approach to Blocking CD47</w:t>
      </w:r>
    </w:p>
    <w:p>
      <w:pPr>
        <w:spacing w:after="0" w:line="128" w:lineRule="exact"/>
        <w:rPr>
          <w:sz w:val="20"/>
          <w:szCs w:val="20"/>
          <w:color w:val="auto"/>
        </w:rPr>
      </w:pPr>
    </w:p>
    <w:p>
      <w:pPr>
        <w:jc w:val="both"/>
        <w:ind w:right="120" w:firstLine="475"/>
        <w:spacing w:after="0" w:line="261" w:lineRule="auto"/>
        <w:rPr>
          <w:sz w:val="20"/>
          <w:szCs w:val="20"/>
          <w:color w:val="auto"/>
        </w:rPr>
      </w:pPr>
      <w:r>
        <w:rPr>
          <w:rFonts w:ascii="Arial" w:cs="Arial" w:eastAsia="Arial" w:hAnsi="Arial"/>
          <w:sz w:val="18"/>
          <w:szCs w:val="18"/>
          <w:b w:val="1"/>
          <w:bCs w:val="1"/>
          <w:color w:val="231F20"/>
        </w:rPr>
        <w:t>We founded ALX Oncology because we believed the limitations described above would prevent CD47 blockade from reaching its full potential as a therapy for patients with cancer. From our inception, we designed evorpacept to overcome these limitations and to maximize the utility of CD47 blockade as an effective anti-cancer therapeutic for a broad range of tumors. Specifically, we believe evorpacept may provide the following significant advantages:</w:t>
      </w:r>
    </w:p>
    <w:p>
      <w:pPr>
        <w:spacing w:after="0" w:line="108" w:lineRule="exact"/>
        <w:rPr>
          <w:sz w:val="20"/>
          <w:szCs w:val="20"/>
          <w:color w:val="auto"/>
        </w:rPr>
      </w:pPr>
    </w:p>
    <w:p>
      <w:pPr>
        <w:ind w:left="960"/>
        <w:spacing w:after="0" w:line="221" w:lineRule="exact"/>
        <w:rPr>
          <w:sz w:val="20"/>
          <w:szCs w:val="20"/>
          <w:color w:val="auto"/>
        </w:rPr>
      </w:pPr>
      <w:r>
        <w:rPr>
          <w:rFonts w:ascii="Arial" w:cs="Arial" w:eastAsia="Arial" w:hAnsi="Arial"/>
          <w:sz w:val="16"/>
          <w:szCs w:val="16"/>
          <w:b w:val="1"/>
          <w:bCs w:val="1"/>
          <w:color w:val="231F20"/>
        </w:rPr>
        <w:t>Broader therapeutic window: We believe evorpacept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broader therapeutic window will allow for greater drug exposure than other CD47 blocking agents potentially translating into improved efficacy across a range of cancers compared to other CD47 blocking agents. Furthermore, flexibility in dosing has allowed for several administration schedules (weekly, bi-weekly, every three weeks, monthly) that are more amenable to combination therapy dosing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-526415</wp:posOffset>
            </wp:positionV>
            <wp:extent cx="62230" cy="635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5" w:lineRule="exact"/>
        <w:rPr>
          <w:sz w:val="20"/>
          <w:szCs w:val="20"/>
          <w:color w:val="auto"/>
        </w:rPr>
      </w:pPr>
    </w:p>
    <w:p>
      <w:pPr>
        <w:ind w:left="960" w:right="300"/>
        <w:spacing w:after="0" w:line="222" w:lineRule="exact"/>
        <w:rPr>
          <w:sz w:val="20"/>
          <w:szCs w:val="20"/>
          <w:color w:val="auto"/>
        </w:rPr>
      </w:pPr>
      <w:r>
        <w:rPr>
          <w:rFonts w:ascii="Arial" w:cs="Arial" w:eastAsia="Arial" w:hAnsi="Arial"/>
          <w:sz w:val="18"/>
          <w:szCs w:val="18"/>
          <w:b w:val="1"/>
          <w:bCs w:val="1"/>
          <w:color w:val="231F20"/>
        </w:rPr>
        <w:t>Strong potential for combination with other anti-cancer agents: CD47 blocking agents are combined with other therapeutics in order to maximize their potential in treating patients with cancer. Unlike other CD47 blocking agents, evorpacept was specifically designed to be combined with other anti-cancer agents. We believe evorpacept</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favorable toxicity profile will enable it to be combined with a wider range of anti-cancer agents, including chemotherapy and cytotoxic containing regimens, compared to other CD47 blocking agents. Furthermore, we believe that evorpacept</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inactive Fc domain will neither compete with nor potentially limit the efficacy of anti-cancer antibodies when used in combination treatments.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-951230</wp:posOffset>
            </wp:positionV>
            <wp:extent cx="62230" cy="635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9" w:lineRule="exact"/>
        <w:rPr>
          <w:sz w:val="20"/>
          <w:szCs w:val="20"/>
          <w:color w:val="auto"/>
        </w:rPr>
      </w:pPr>
    </w:p>
    <w:p>
      <w:pPr>
        <w:ind w:left="960" w:right="160"/>
        <w:spacing w:after="0" w:line="222" w:lineRule="exact"/>
        <w:rPr>
          <w:sz w:val="20"/>
          <w:szCs w:val="20"/>
          <w:color w:val="auto"/>
        </w:rPr>
      </w:pPr>
      <w:r>
        <w:rPr>
          <w:rFonts w:ascii="Arial" w:cs="Arial" w:eastAsia="Arial" w:hAnsi="Arial"/>
          <w:sz w:val="17"/>
          <w:szCs w:val="17"/>
          <w:b w:val="1"/>
          <w:bCs w:val="1"/>
          <w:color w:val="231F20"/>
        </w:rPr>
        <w:t>Encouraging responses in solid tumors: Evorpacept has demonstrated encouraging first-in-human (FIH) Phase 1b and randomized Phase 2 clinical data in the treatment of solid tumors. While other CD47 blocking agents have failed to demonstrate meaningful clinical activity in solid tumors, evorpacept</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differentiated properties may underlie its encouraging results. Based on the data generated with evorpacept in combination with anti-cancer antibodies and checkpoint inhibitors with and without chemotherapy, our strategy is to pursue evorpacept as a potentially important component for future combination treatment of solid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-809625</wp:posOffset>
            </wp:positionV>
            <wp:extent cx="62230" cy="635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8" w:lineRule="exact"/>
        <w:rPr>
          <w:sz w:val="20"/>
          <w:szCs w:val="20"/>
          <w:color w:val="auto"/>
        </w:rPr>
      </w:pPr>
    </w:p>
    <w:p>
      <w:pPr>
        <w:ind w:left="960" w:right="220"/>
        <w:spacing w:after="0" w:line="221" w:lineRule="exact"/>
        <w:rPr>
          <w:sz w:val="20"/>
          <w:szCs w:val="20"/>
          <w:color w:val="auto"/>
        </w:rPr>
      </w:pPr>
      <w:r>
        <w:rPr>
          <w:rFonts w:ascii="Arial" w:cs="Arial" w:eastAsia="Arial" w:hAnsi="Arial"/>
          <w:sz w:val="16"/>
          <w:szCs w:val="16"/>
          <w:b w:val="1"/>
          <w:bCs w:val="1"/>
          <w:color w:val="231F20"/>
        </w:rPr>
        <w:t>Broader potential indications: We believe evorpacept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tolerability profile will allow for broad treatment of patient populations in a wide range of oncology indications. Toxicities such as cytopenias associated with other CD47 blocking agents may potentially constrain their development strategies. We believe evorpacept is well positioned to expand the therapeutic potential of CD47 blockade across a broad spectrum of hematologic and solid tumor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-528320</wp:posOffset>
            </wp:positionV>
            <wp:extent cx="62230" cy="635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Evorpacept</w:t>
      </w:r>
    </w:p>
    <w:p>
      <w:pPr>
        <w:spacing w:after="0" w:line="128" w:lineRule="exact"/>
        <w:rPr>
          <w:sz w:val="20"/>
          <w:szCs w:val="20"/>
          <w:color w:val="auto"/>
        </w:rPr>
      </w:pPr>
    </w:p>
    <w:p>
      <w:pPr>
        <w:ind w:right="100" w:firstLine="475"/>
        <w:spacing w:after="0" w:line="277" w:lineRule="auto"/>
        <w:rPr>
          <w:sz w:val="20"/>
          <w:szCs w:val="20"/>
          <w:color w:val="auto"/>
        </w:rPr>
      </w:pPr>
      <w:r>
        <w:rPr>
          <w:rFonts w:ascii="Arial" w:cs="Arial" w:eastAsia="Arial" w:hAnsi="Arial"/>
          <w:sz w:val="17"/>
          <w:szCs w:val="17"/>
          <w:b w:val="1"/>
          <w:bCs w:val="1"/>
          <w:color w:val="231F20"/>
        </w:rPr>
        <w:t>Our lead product candidate, evorpacept, is a CD47 blocking biologic in development as a combination therapy with other anti-cancer agents for treatment of various oncology indications, including HNSCC, gastric/GEJ, breast cancer, urothelial cancer, multiple myeloma, and NHL. We engineered evorpacept to maximize CD47 blockade and to avoid hematologic toxicities. We believe evorpacept enhances the efficacy of both anti-cancer targeted antibodies, numerous small molecule drugs and T cell checkpoint inhibitors and exhibits no dose-dependent cytopenias. Evorpacept has demonstrated encouraging clinical responses in combination with multiple anti-cancer regimens for both hematologic and solid malignancies.</w:t>
      </w:r>
    </w:p>
    <w:p>
      <w:pPr>
        <w:spacing w:after="0" w:line="101" w:lineRule="exact"/>
        <w:rPr>
          <w:sz w:val="20"/>
          <w:szCs w:val="20"/>
          <w:color w:val="auto"/>
        </w:rPr>
      </w:pPr>
    </w:p>
    <w:p>
      <w:pPr>
        <w:ind w:right="80" w:firstLine="475"/>
        <w:spacing w:after="0" w:line="221" w:lineRule="exact"/>
        <w:rPr>
          <w:sz w:val="20"/>
          <w:szCs w:val="20"/>
          <w:color w:val="auto"/>
        </w:rPr>
      </w:pPr>
      <w:r>
        <w:rPr>
          <w:rFonts w:ascii="Arial" w:cs="Arial" w:eastAsia="Arial" w:hAnsi="Arial"/>
          <w:sz w:val="17"/>
          <w:szCs w:val="17"/>
          <w:b w:val="1"/>
          <w:bCs w:val="1"/>
          <w:color w:val="231F20"/>
        </w:rPr>
        <w:t xml:space="preserve">Other companies have pursued CD47 blocking approaches that prioritize single-agent activity, albeit with limited success in efficacy and significant toxicity. Rather than designing a molecule for monotherapy activity that has been associated with cytopenias, we designed evorpacept for use in combination with anti-cancer agents. Our product candidate exclusively blocks the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don</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t eat me</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pathway. A combination anti-cancer agent provides a specific pro-phagocytic signal on cancer cells. This approach may both increase the specificity to cancer cells and avoid dose-dependent destruction of healthy blood cells.</w:t>
      </w:r>
    </w:p>
    <w:p>
      <w:pPr>
        <w:sectPr>
          <w:pgSz w:w="12240" w:h="15840" w:orient="portrait"/>
          <w:cols w:equalWidth="0" w:num="1">
            <w:col w:w="10480"/>
          </w:cols>
          <w:pgMar w:left="880" w:top="1440" w:right="88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10</w:t>
      </w:r>
    </w:p>
    <w:p>
      <w:pPr>
        <w:sectPr>
          <w:pgSz w:w="12240" w:h="15840" w:orient="portrait"/>
          <w:cols w:equalWidth="0" w:num="1">
            <w:col w:w="10480"/>
          </w:cols>
          <w:pgMar w:left="880" w:top="1440" w:right="880" w:bottom="390" w:gutter="0" w:footer="0" w:header="0"/>
          <w:type w:val="continuous"/>
        </w:sectPr>
      </w:pPr>
    </w:p>
    <w:bookmarkStart w:id="18" w:name="page19"/>
    <w:bookmarkEnd w:id="18"/>
    <w:p>
      <w:pPr>
        <w:spacing w:after="0"/>
        <w:rPr>
          <w:sz w:val="20"/>
          <w:szCs w:val="20"/>
          <w:color w:val="auto"/>
        </w:rPr>
      </w:pPr>
      <w:r>
        <w:rPr>
          <w:rFonts w:ascii="Arial" w:cs="Arial" w:eastAsia="Arial" w:hAnsi="Arial"/>
          <w:sz w:val="19"/>
          <w:szCs w:val="19"/>
          <w:b w:val="1"/>
          <w:bCs w:val="1"/>
          <w:color w:val="231F20"/>
        </w:rPr>
        <w:t>Fusion Protein Design</w:t>
      </w:r>
    </w:p>
    <w:p>
      <w:pPr>
        <w:spacing w:after="0" w:line="128" w:lineRule="exact"/>
        <w:rPr>
          <w:sz w:val="20"/>
          <w:szCs w:val="20"/>
          <w:color w:val="auto"/>
        </w:rPr>
      </w:pPr>
    </w:p>
    <w:p>
      <w:pPr>
        <w:jc w:val="both"/>
        <w:ind w:right="80" w:firstLine="475"/>
        <w:spacing w:after="0" w:line="311" w:lineRule="auto"/>
        <w:rPr>
          <w:sz w:val="20"/>
          <w:szCs w:val="20"/>
          <w:color w:val="auto"/>
        </w:rPr>
      </w:pPr>
      <w:r>
        <w:rPr>
          <w:rFonts w:ascii="Arial" w:cs="Arial" w:eastAsia="Arial" w:hAnsi="Arial"/>
          <w:sz w:val="16"/>
          <w:szCs w:val="16"/>
          <w:b w:val="1"/>
          <w:bCs w:val="1"/>
          <w:color w:val="231F20"/>
        </w:rPr>
        <w:t>Evorpacept is a fusion protein designed to provide a high CD47 blocking potency while potentially eliminating any associated toxicities. Our fusion protein comprises an engineered CD47-binding domain of SIRP</w:t>
      </w:r>
      <w:r>
        <w:rPr>
          <w:sz w:val="1"/>
          <w:szCs w:val="1"/>
          <w:color w:val="auto"/>
        </w:rPr>
        <w:drawing>
          <wp:inline distT="0" distB="0" distL="0" distR="0">
            <wp:extent cx="83185" cy="8318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3185" cy="83185"/>
                    </a:xfrm>
                    <a:prstGeom prst="rect">
                      <a:avLst/>
                    </a:prstGeom>
                    <a:noFill/>
                    <a:ln>
                      <a:noFill/>
                    </a:ln>
                  </pic:spPr>
                </pic:pic>
              </a:graphicData>
            </a:graphic>
          </wp:inline>
        </w:drawing>
      </w:r>
      <w:r>
        <w:rPr>
          <w:rFonts w:ascii="Arial" w:cs="Arial" w:eastAsia="Arial" w:hAnsi="Arial"/>
          <w:sz w:val="16"/>
          <w:szCs w:val="16"/>
          <w:b w:val="1"/>
          <w:bCs w:val="1"/>
          <w:color w:val="231F20"/>
        </w:rPr>
        <w:t xml:space="preserve"> that has been genetically linked to a modified human immunoglobulin-derived Fc domain that does not bind to Fc</w:t>
      </w:r>
      <w:r>
        <w:rPr>
          <w:sz w:val="1"/>
          <w:szCs w:val="1"/>
          <w:color w:val="auto"/>
        </w:rPr>
        <w:drawing>
          <wp:inline distT="0" distB="0" distL="0" distR="0">
            <wp:extent cx="78740" cy="106045"/>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8740" cy="106045"/>
                    </a:xfrm>
                    <a:prstGeom prst="rect">
                      <a:avLst/>
                    </a:prstGeom>
                    <a:noFill/>
                    <a:ln>
                      <a:noFill/>
                    </a:ln>
                  </pic:spPr>
                </pic:pic>
              </a:graphicData>
            </a:graphic>
          </wp:inline>
        </w:drawing>
      </w:r>
      <w:r>
        <w:rPr>
          <w:rFonts w:ascii="Arial" w:cs="Arial" w:eastAsia="Arial" w:hAnsi="Arial"/>
          <w:sz w:val="16"/>
          <w:szCs w:val="16"/>
          <w:b w:val="1"/>
          <w:bCs w:val="1"/>
          <w:color w:val="231F20"/>
        </w:rPr>
        <w:t xml:space="preserve"> receptors. We engineered evorpacept in two important ways:</w:t>
      </w:r>
    </w:p>
    <w:p>
      <w:pPr>
        <w:spacing w:after="0" w:line="52" w:lineRule="exact"/>
        <w:rPr>
          <w:sz w:val="20"/>
          <w:szCs w:val="20"/>
          <w:color w:val="auto"/>
        </w:rPr>
      </w:pPr>
    </w:p>
    <w:p>
      <w:pPr>
        <w:ind w:left="960" w:right="240"/>
        <w:spacing w:after="0" w:line="239" w:lineRule="auto"/>
        <w:rPr>
          <w:sz w:val="20"/>
          <w:szCs w:val="20"/>
          <w:color w:val="auto"/>
        </w:rPr>
      </w:pPr>
      <w:r>
        <w:rPr>
          <w:rFonts w:ascii="Arial" w:cs="Arial" w:eastAsia="Arial" w:hAnsi="Arial"/>
          <w:sz w:val="19"/>
          <w:szCs w:val="19"/>
          <w:b w:val="1"/>
          <w:bCs w:val="1"/>
          <w:color w:val="231F20"/>
        </w:rPr>
        <w:t>We mutated the binding domain to optimize CD47 affinity. Evorpacept binding domain demonstrates an affinity that is over 3,000 times stronger than wildtype SIRP</w:t>
      </w:r>
      <w:r>
        <w:rPr>
          <w:sz w:val="1"/>
          <w:szCs w:val="1"/>
          <w:color w:val="auto"/>
        </w:rPr>
        <w:drawing>
          <wp:inline distT="0" distB="0" distL="0" distR="0">
            <wp:extent cx="83185" cy="83185"/>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3185" cy="83185"/>
                    </a:xfrm>
                    <a:prstGeom prst="rect">
                      <a:avLst/>
                    </a:prstGeom>
                    <a:noFill/>
                    <a:ln>
                      <a:noFill/>
                    </a:ln>
                  </pic:spPr>
                </pic:pic>
              </a:graphicData>
            </a:graphic>
          </wp:inline>
        </w:drawing>
      </w:r>
      <w:r>
        <w:rPr>
          <w:rFonts w:ascii="Arial" w:cs="Arial" w:eastAsia="Arial" w:hAnsi="Arial"/>
          <w:sz w:val="19"/>
          <w:szCs w:val="19"/>
          <w:b w:val="1"/>
          <w:bCs w:val="1"/>
          <w:color w:val="231F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-242570</wp:posOffset>
            </wp:positionV>
            <wp:extent cx="62230" cy="635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9" w:lineRule="exact"/>
        <w:rPr>
          <w:sz w:val="20"/>
          <w:szCs w:val="20"/>
          <w:color w:val="auto"/>
        </w:rPr>
      </w:pPr>
    </w:p>
    <w:p>
      <w:pPr>
        <w:ind w:left="960" w:right="20"/>
        <w:spacing w:after="0" w:line="242" w:lineRule="auto"/>
        <w:rPr>
          <w:sz w:val="20"/>
          <w:szCs w:val="20"/>
          <w:color w:val="auto"/>
        </w:rPr>
      </w:pPr>
      <w:r>
        <w:rPr>
          <w:rFonts w:ascii="Arial" w:cs="Arial" w:eastAsia="Arial" w:hAnsi="Arial"/>
          <w:sz w:val="19"/>
          <w:szCs w:val="19"/>
          <w:b w:val="1"/>
          <w:bCs w:val="1"/>
          <w:color w:val="231F20"/>
        </w:rPr>
        <w:t>We fused the CD47-binding region of SIRP</w:t>
      </w:r>
      <w:r>
        <w:rPr>
          <w:sz w:val="1"/>
          <w:szCs w:val="1"/>
          <w:color w:val="auto"/>
        </w:rPr>
        <w:drawing>
          <wp:inline distT="0" distB="0" distL="0" distR="0">
            <wp:extent cx="83185" cy="83185"/>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3185" cy="83185"/>
                    </a:xfrm>
                    <a:prstGeom prst="rect">
                      <a:avLst/>
                    </a:prstGeom>
                    <a:noFill/>
                    <a:ln>
                      <a:noFill/>
                    </a:ln>
                  </pic:spPr>
                </pic:pic>
              </a:graphicData>
            </a:graphic>
          </wp:inline>
        </w:drawing>
      </w:r>
      <w:r>
        <w:rPr>
          <w:rFonts w:ascii="Arial" w:cs="Arial" w:eastAsia="Arial" w:hAnsi="Arial"/>
          <w:sz w:val="19"/>
          <w:szCs w:val="19"/>
          <w:b w:val="1"/>
          <w:bCs w:val="1"/>
          <w:color w:val="231F20"/>
        </w:rPr>
        <w:t xml:space="preserve"> to an inactive Fc domain. Incorporating an inactive Fc domain was intended to eliminate single-agent activation of macrophages while still maintaining an antibody-like pharmacokinetic, or PK,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-387350</wp:posOffset>
            </wp:positionV>
            <wp:extent cx="62230" cy="635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4" w:lineRule="exact"/>
        <w:rPr>
          <w:sz w:val="20"/>
          <w:szCs w:val="20"/>
          <w:color w:val="auto"/>
        </w:rPr>
      </w:pPr>
    </w:p>
    <w:p>
      <w:pPr>
        <w:ind w:right="800" w:firstLine="475"/>
        <w:spacing w:after="0" w:line="329" w:lineRule="auto"/>
        <w:rPr>
          <w:sz w:val="20"/>
          <w:szCs w:val="20"/>
          <w:color w:val="auto"/>
        </w:rPr>
      </w:pPr>
      <w:r>
        <w:rPr>
          <w:rFonts w:ascii="Arial" w:cs="Arial" w:eastAsia="Arial" w:hAnsi="Arial"/>
          <w:sz w:val="16"/>
          <w:szCs w:val="16"/>
          <w:b w:val="1"/>
          <w:bCs w:val="1"/>
          <w:color w:val="231F20"/>
        </w:rPr>
        <w:t>The successful design of evorpacept required in-house generation of approximately 280 different protein constructs to thoroughly evaluate and optimize the impact of differing designs on multiple important evaluation criteria.</w:t>
      </w:r>
    </w:p>
    <w:p>
      <w:pPr>
        <w:spacing w:after="0" w:line="40" w:lineRule="exact"/>
        <w:rPr>
          <w:sz w:val="20"/>
          <w:szCs w:val="20"/>
          <w:color w:val="auto"/>
        </w:rPr>
      </w:pPr>
    </w:p>
    <w:p>
      <w:pPr>
        <w:ind w:left="480"/>
        <w:spacing w:after="0" w:line="231" w:lineRule="exact"/>
        <w:rPr>
          <w:sz w:val="20"/>
          <w:szCs w:val="20"/>
          <w:color w:val="auto"/>
        </w:rPr>
      </w:pPr>
      <w:r>
        <w:rPr>
          <w:rFonts w:ascii="Arial" w:cs="Arial" w:eastAsia="Arial" w:hAnsi="Arial"/>
          <w:sz w:val="19"/>
          <w:szCs w:val="19"/>
          <w:b w:val="1"/>
          <w:bCs w:val="1"/>
          <w:color w:val="231F20"/>
        </w:rPr>
        <w:t>In order to optimize evorpacept</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properties we conducted the following processes:</w:t>
      </w:r>
    </w:p>
    <w:p>
      <w:pPr>
        <w:spacing w:after="0" w:line="122"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Design of the high-affinity CD47 binding domain:</w:t>
      </w:r>
    </w:p>
    <w:p>
      <w:pPr>
        <w:spacing w:after="0" w:line="120"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Optimization of binding affinity for human CD47;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8"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231F20"/>
        </w:rPr>
        <w:t>Optimization of cross-reactivity to rodent and monkey CD47 to enable key translational experiments;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-99060</wp:posOffset>
            </wp:positionV>
            <wp:extent cx="62230" cy="635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11" w:lineRule="exact"/>
        <w:rPr>
          <w:sz w:val="20"/>
          <w:szCs w:val="20"/>
          <w:color w:val="auto"/>
        </w:rPr>
      </w:pPr>
    </w:p>
    <w:p>
      <w:pPr>
        <w:ind w:left="960"/>
        <w:spacing w:after="0"/>
        <w:rPr>
          <w:sz w:val="20"/>
          <w:szCs w:val="20"/>
          <w:color w:val="auto"/>
        </w:rPr>
      </w:pPr>
      <w:r>
        <w:rPr>
          <w:rFonts w:ascii="Arial" w:cs="Arial" w:eastAsia="Arial" w:hAnsi="Arial"/>
          <w:sz w:val="17"/>
          <w:szCs w:val="17"/>
          <w:b w:val="1"/>
          <w:bCs w:val="1"/>
          <w:color w:val="231F20"/>
        </w:rPr>
        <w:t>Elimination of partially glycosylated sites in SIRP</w:t>
      </w:r>
      <w:r>
        <w:rPr>
          <w:sz w:val="1"/>
          <w:szCs w:val="1"/>
          <w:color w:val="auto"/>
        </w:rPr>
        <w:drawing>
          <wp:inline distT="0" distB="0" distL="0" distR="0">
            <wp:extent cx="83185" cy="8318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3185" cy="83185"/>
                    </a:xfrm>
                    <a:prstGeom prst="rect">
                      <a:avLst/>
                    </a:prstGeom>
                    <a:noFill/>
                    <a:ln>
                      <a:noFill/>
                    </a:ln>
                  </pic:spPr>
                </pic:pic>
              </a:graphicData>
            </a:graphic>
          </wp:inline>
        </w:drawing>
      </w:r>
      <w:r>
        <w:rPr>
          <w:rFonts w:ascii="Arial" w:cs="Arial" w:eastAsia="Arial" w:hAnsi="Arial"/>
          <w:sz w:val="17"/>
          <w:szCs w:val="17"/>
          <w:b w:val="1"/>
          <w:bCs w:val="1"/>
          <w:color w:val="231F20"/>
        </w:rPr>
        <w:t xml:space="preserve"> to remove heterogeneity and enable consistent manufacturing.</w:t>
      </w:r>
    </w:p>
    <w:p>
      <w:pPr>
        <w:spacing w:after="0" w:line="140"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Design of the optimal fusion combination for PK extension:</w:t>
      </w:r>
    </w:p>
    <w:p>
      <w:pPr>
        <w:spacing w:after="0" w:line="120"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Selection of an immunoglobulin isotype to prevent hemagglutination;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8" w:lineRule="exact"/>
        <w:rPr>
          <w:sz w:val="20"/>
          <w:szCs w:val="20"/>
          <w:color w:val="auto"/>
        </w:rPr>
      </w:pPr>
    </w:p>
    <w:p>
      <w:pPr>
        <w:ind w:left="960" w:right="580"/>
        <w:spacing w:after="0" w:line="263" w:lineRule="auto"/>
        <w:rPr>
          <w:sz w:val="20"/>
          <w:szCs w:val="20"/>
          <w:color w:val="auto"/>
        </w:rPr>
      </w:pPr>
      <w:r>
        <w:rPr>
          <w:rFonts w:ascii="Arial" w:cs="Arial" w:eastAsia="Arial" w:hAnsi="Arial"/>
          <w:sz w:val="18"/>
          <w:szCs w:val="18"/>
          <w:b w:val="1"/>
          <w:bCs w:val="1"/>
          <w:color w:val="231F20"/>
        </w:rPr>
        <w:t>Selection of mutations to immunoglobulin G1, or IgG1, to functionally eliminate Fc</w:t>
      </w:r>
      <w:r>
        <w:rPr>
          <w:sz w:val="1"/>
          <w:szCs w:val="1"/>
          <w:color w:val="auto"/>
        </w:rPr>
        <w:drawing>
          <wp:inline distT="0" distB="0" distL="0" distR="0">
            <wp:extent cx="78740" cy="9779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8740" cy="97790"/>
                    </a:xfrm>
                    <a:prstGeom prst="rect">
                      <a:avLst/>
                    </a:prstGeom>
                    <a:noFill/>
                    <a:ln>
                      <a:noFill/>
                    </a:ln>
                  </pic:spPr>
                </pic:pic>
              </a:graphicData>
            </a:graphic>
          </wp:inline>
        </w:drawing>
      </w:r>
      <w:r>
        <w:rPr>
          <w:rFonts w:ascii="Arial" w:cs="Arial" w:eastAsia="Arial" w:hAnsi="Arial"/>
          <w:sz w:val="18"/>
          <w:szCs w:val="18"/>
          <w:b w:val="1"/>
          <w:bCs w:val="1"/>
          <w:color w:val="231F20"/>
        </w:rPr>
        <w:t xml:space="preserve"> binding and avoid associated cytopenias while maintaining neonatal Fc receptor binding that enables antibody-like PK.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-255905</wp:posOffset>
            </wp:positionV>
            <wp:extent cx="62230" cy="635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83"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As illustrated in the figure below, evorpacept comprises:</w:t>
      </w:r>
    </w:p>
    <w:p>
      <w:pPr>
        <w:spacing w:after="0" w:line="120"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A SIRP</w:t>
      </w:r>
      <w:r>
        <w:rPr>
          <w:sz w:val="1"/>
          <w:szCs w:val="1"/>
          <w:color w:val="auto"/>
        </w:rPr>
        <w:drawing>
          <wp:inline distT="0" distB="0" distL="0" distR="0">
            <wp:extent cx="83185" cy="83185"/>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3185" cy="83185"/>
                    </a:xfrm>
                    <a:prstGeom prst="rect">
                      <a:avLst/>
                    </a:prstGeom>
                    <a:noFill/>
                    <a:ln>
                      <a:noFill/>
                    </a:ln>
                  </pic:spPr>
                </pic:pic>
              </a:graphicData>
            </a:graphic>
          </wp:inline>
        </w:drawing>
      </w:r>
      <w:r>
        <w:rPr>
          <w:rFonts w:ascii="Arial" w:cs="Arial" w:eastAsia="Arial" w:hAnsi="Arial"/>
          <w:sz w:val="19"/>
          <w:szCs w:val="19"/>
          <w:b w:val="1"/>
          <w:bCs w:val="1"/>
          <w:color w:val="231F20"/>
        </w:rPr>
        <w:t xml:space="preserve"> binding domain optimized to bind to CD47 with high affinity at a picomolar level;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8" w:lineRule="exact"/>
        <w:rPr>
          <w:sz w:val="20"/>
          <w:szCs w:val="20"/>
          <w:color w:val="auto"/>
        </w:rPr>
      </w:pPr>
    </w:p>
    <w:p>
      <w:pPr>
        <w:ind w:left="960" w:right="60"/>
        <w:spacing w:after="0" w:line="239" w:lineRule="auto"/>
        <w:rPr>
          <w:sz w:val="20"/>
          <w:szCs w:val="20"/>
          <w:color w:val="auto"/>
        </w:rPr>
      </w:pPr>
      <w:r>
        <w:rPr>
          <w:rFonts w:ascii="Arial" w:cs="Arial" w:eastAsia="Arial" w:hAnsi="Arial"/>
          <w:sz w:val="19"/>
          <w:szCs w:val="19"/>
          <w:b w:val="1"/>
          <w:bCs w:val="1"/>
          <w:color w:val="231F20"/>
        </w:rPr>
        <w:t>An inactive Fc domain that reduces cytopenias while preserving the desired PK properties of antibodies with an active Fc domain.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-243840</wp:posOffset>
            </wp:positionV>
            <wp:extent cx="62230" cy="635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224" w:lineRule="exact"/>
        <w:rPr>
          <w:sz w:val="20"/>
          <w:szCs w:val="20"/>
          <w:color w:val="auto"/>
        </w:rPr>
      </w:pPr>
    </w:p>
    <w:p>
      <w:pPr>
        <w:ind w:firstLine="475"/>
        <w:spacing w:after="0" w:line="221" w:lineRule="exact"/>
        <w:rPr>
          <w:sz w:val="20"/>
          <w:szCs w:val="20"/>
          <w:color w:val="auto"/>
        </w:rPr>
      </w:pPr>
      <w:r>
        <w:rPr>
          <w:rFonts w:ascii="Arial" w:cs="Arial" w:eastAsia="Arial" w:hAnsi="Arial"/>
          <w:sz w:val="18"/>
          <w:szCs w:val="18"/>
          <w:b w:val="1"/>
          <w:bCs w:val="1"/>
          <w:color w:val="231F20"/>
        </w:rPr>
        <w:t>The resulting fusion protein has approximately one-half the molecular weight of a typical antibody. Evorpacept</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lower molecular weight enables it to deliver the molar equivalent of an antibody at one half the dose. For example, a 10mg/kg of evorpacept is equivalent to 20 mg/kg of a regular antibody. Evorpacept</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lower molecular weight may also facilitate increased solid tumor penetration and provide greater potency within the tumor microenvironment. Furthermore, evorpacept can be efficiently and consistently produced at high yield at commercial scale utilizing standard monoclonal antibody manufacturing techniques. We believe evorpacept</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differentiated properties potentially overcome the limitations of other CD47 blocking agents and may have utility as a combination agent in oncology.</w:t>
      </w:r>
    </w:p>
    <w:p>
      <w:pPr>
        <w:sectPr>
          <w:pgSz w:w="12240" w:h="15840" w:orient="portrait"/>
          <w:cols w:equalWidth="0" w:num="1">
            <w:col w:w="10440"/>
          </w:cols>
          <w:pgMar w:left="880" w:top="1160" w:right="92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231F20"/>
        </w:rPr>
        <w:t>11</w:t>
      </w:r>
    </w:p>
    <w:p>
      <w:pPr>
        <w:sectPr>
          <w:pgSz w:w="12240" w:h="15840" w:orient="portrait"/>
          <w:cols w:equalWidth="0" w:num="1">
            <w:col w:w="10440"/>
          </w:cols>
          <w:pgMar w:left="880" w:top="1160" w:right="920" w:bottom="390" w:gutter="0" w:footer="0" w:header="0"/>
          <w:type w:val="continuous"/>
        </w:sectPr>
      </w:pPr>
    </w:p>
    <w:bookmarkStart w:id="19" w:name="page20"/>
    <w:bookmarkEnd w:id="19"/>
    <w:p>
      <w:pPr>
        <w:spacing w:after="0"/>
        <w:rPr>
          <w:sz w:val="20"/>
          <w:szCs w:val="20"/>
          <w:color w:val="auto"/>
        </w:rPr>
      </w:pPr>
      <w:r>
        <w:rPr>
          <w:rFonts w:ascii="Arial" w:cs="Arial" w:eastAsia="Arial" w:hAnsi="Arial"/>
          <w:sz w:val="17"/>
          <w:szCs w:val="17"/>
          <w:b w:val="1"/>
          <w:bCs w:val="1"/>
          <w:color w:val="231F20"/>
        </w:rPr>
        <w:t>Our lead candidate, evorpacept, is a fusion protein that potently and selectively binds CD47 to block the SIRP</w:t>
      </w:r>
      <w:r>
        <w:rPr>
          <w:sz w:val="1"/>
          <w:szCs w:val="1"/>
          <w:color w:val="auto"/>
        </w:rPr>
        <w:drawing>
          <wp:inline distT="0" distB="0" distL="0" distR="0">
            <wp:extent cx="83185" cy="83185"/>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3185" cy="83185"/>
                    </a:xfrm>
                    <a:prstGeom prst="rect">
                      <a:avLst/>
                    </a:prstGeom>
                    <a:noFill/>
                    <a:ln>
                      <a:noFill/>
                    </a:ln>
                  </pic:spPr>
                </pic:pic>
              </a:graphicData>
            </a:graphic>
          </wp:inline>
        </w:drawing>
      </w:r>
      <w:r>
        <w:rPr>
          <w:rFonts w:ascii="Arial" w:cs="Arial" w:eastAsia="Arial" w:hAnsi="Arial"/>
          <w:sz w:val="17"/>
          <w:szCs w:val="17"/>
          <w:b w:val="1"/>
          <w:bCs w:val="1"/>
          <w:color w:val="231F20"/>
        </w:rPr>
        <w:t xml:space="preserve"> interaction.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159385</wp:posOffset>
            </wp:positionV>
            <wp:extent cx="6653530" cy="28682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653530" cy="286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Pre-Clinical Differentiation</w:t>
      </w:r>
    </w:p>
    <w:p>
      <w:pPr>
        <w:spacing w:after="0" w:line="128" w:lineRule="exact"/>
        <w:rPr>
          <w:sz w:val="20"/>
          <w:szCs w:val="20"/>
          <w:color w:val="auto"/>
        </w:rPr>
      </w:pPr>
    </w:p>
    <w:p>
      <w:pPr>
        <w:ind w:right="220" w:firstLine="475"/>
        <w:spacing w:after="0" w:line="295" w:lineRule="auto"/>
        <w:rPr>
          <w:sz w:val="20"/>
          <w:szCs w:val="20"/>
          <w:color w:val="auto"/>
        </w:rPr>
      </w:pPr>
      <w:r>
        <w:rPr>
          <w:rFonts w:ascii="Arial" w:cs="Arial" w:eastAsia="Arial" w:hAnsi="Arial"/>
          <w:sz w:val="17"/>
          <w:szCs w:val="17"/>
          <w:b w:val="1"/>
          <w:bCs w:val="1"/>
          <w:color w:val="231F20"/>
        </w:rPr>
        <w:t>Our preclinical studies of evorpacept support a target product profile of favorable tolerability, the ability to be dosed at high levels and increased anti-tumor activity as compared to other CD47 blocking agents. These data include the following:</w:t>
      </w: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Lack of hematologic side effects</w:t>
      </w:r>
    </w:p>
    <w:p>
      <w:pPr>
        <w:spacing w:after="0" w:line="128" w:lineRule="exact"/>
        <w:rPr>
          <w:sz w:val="20"/>
          <w:szCs w:val="20"/>
          <w:color w:val="auto"/>
        </w:rPr>
      </w:pPr>
    </w:p>
    <w:p>
      <w:pPr>
        <w:ind w:firstLine="475"/>
        <w:spacing w:after="0" w:line="222" w:lineRule="exact"/>
        <w:rPr>
          <w:sz w:val="20"/>
          <w:szCs w:val="20"/>
          <w:color w:val="auto"/>
        </w:rPr>
      </w:pPr>
      <w:r>
        <w:rPr>
          <w:rFonts w:ascii="Arial" w:cs="Arial" w:eastAsia="Arial" w:hAnsi="Arial"/>
          <w:sz w:val="18"/>
          <w:szCs w:val="18"/>
          <w:b w:val="1"/>
          <w:bCs w:val="1"/>
          <w:color w:val="231F20"/>
        </w:rPr>
        <w:t>Our preclinical data demonstrate that CD47 blocking agents with an active Fc domain directly cause adverse hematologic side effects. To support this hypothesis, we engineered a fusion protein with a SIRP</w:t>
      </w:r>
      <w:r>
        <w:rPr>
          <w:sz w:val="1"/>
          <w:szCs w:val="1"/>
          <w:color w:val="auto"/>
        </w:rPr>
        <w:drawing>
          <wp:inline distT="0" distB="0" distL="0" distR="0">
            <wp:extent cx="83185" cy="83185"/>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3185" cy="83185"/>
                    </a:xfrm>
                    <a:prstGeom prst="rect">
                      <a:avLst/>
                    </a:prstGeom>
                    <a:noFill/>
                    <a:ln>
                      <a:noFill/>
                    </a:ln>
                  </pic:spPr>
                </pic:pic>
              </a:graphicData>
            </a:graphic>
          </wp:inline>
        </w:drawing>
      </w:r>
      <w:r>
        <w:rPr>
          <w:rFonts w:ascii="Arial" w:cs="Arial" w:eastAsia="Arial" w:hAnsi="Arial"/>
          <w:sz w:val="18"/>
          <w:szCs w:val="18"/>
          <w:b w:val="1"/>
          <w:bCs w:val="1"/>
          <w:color w:val="231F20"/>
        </w:rPr>
        <w:t xml:space="preserve"> CD47-binding domain identical to evorpacept</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binding domain but fused to an active, wild-type IgG1 Fc domain, ALX377. We administered 30 mg/kg evorpacept and 30 mg/kg ALX377 in mouse models and measured red blood cell, or RBC, platelet and white blood cell (lymphocyte, monocytes and granulocytes) counts. As shown in the figure below, mice treated with evorpacept having an inactive Fc domain showed blood count levels that were similar to the pre-dose baseline. In contrast, mice treated with ALX377 having an active Fc domain showed average decreases of 34% in RBC count, 70% in platelet count and 67% in white blood cell count three days post-dosing as compared to baseline counts.</w:t>
      </w:r>
    </w:p>
    <w:p>
      <w:pPr>
        <w:spacing w:after="0" w:line="357"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The inactive Fc domain on evorpacept is responsible for improved hematologic tolerability in preclinical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148590</wp:posOffset>
            </wp:positionV>
            <wp:extent cx="6405245" cy="23456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405245" cy="2345690"/>
                    </a:xfrm>
                    <a:prstGeom prst="rect">
                      <a:avLst/>
                    </a:prstGeom>
                    <a:noFill/>
                  </pic:spPr>
                </pic:pic>
              </a:graphicData>
            </a:graphic>
          </wp:anchor>
        </w:drawing>
      </w:r>
    </w:p>
    <w:p>
      <w:pPr>
        <w:sectPr>
          <w:pgSz w:w="12240" w:h="15840" w:orient="portrait"/>
          <w:cols w:equalWidth="0" w:num="1">
            <w:col w:w="10300"/>
          </w:cols>
          <w:pgMar w:left="880" w:top="1165" w:right="106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231F20"/>
        </w:rPr>
        <w:t>12</w:t>
      </w:r>
    </w:p>
    <w:p>
      <w:pPr>
        <w:sectPr>
          <w:pgSz w:w="12240" w:h="15840" w:orient="portrait"/>
          <w:cols w:equalWidth="0" w:num="1">
            <w:col w:w="10300"/>
          </w:cols>
          <w:pgMar w:left="880" w:top="1165" w:right="1060" w:bottom="390" w:gutter="0" w:footer="0" w:header="0"/>
          <w:type w:val="continuous"/>
        </w:sectPr>
      </w:pPr>
    </w:p>
    <w:bookmarkStart w:id="20" w:name="page21"/>
    <w:bookmarkEnd w:id="20"/>
    <w:p>
      <w:pPr>
        <w:ind w:right="100" w:firstLine="475"/>
        <w:spacing w:after="0" w:line="222" w:lineRule="exact"/>
        <w:rPr>
          <w:sz w:val="20"/>
          <w:szCs w:val="20"/>
          <w:color w:val="auto"/>
        </w:rPr>
      </w:pPr>
      <w:r>
        <w:rPr>
          <w:rFonts w:ascii="Arial" w:cs="Arial" w:eastAsia="Arial" w:hAnsi="Arial"/>
          <w:sz w:val="16"/>
          <w:szCs w:val="16"/>
          <w:b w:val="1"/>
          <w:bCs w:val="1"/>
          <w:color w:val="231F20"/>
        </w:rPr>
        <w:t>In vitro and in vivo toxicology studies in monkeys show that evorpacept was well-tolerated at intravenous doses of up to 100 mg/kg/week in the 1-month study and up to 30 mg/kg every other week in the 3-month study with no target organ toxicity or toxicity related to the exaggerated pharmacology of evorpacept. Together, these preclinical studies demonstrate that inactivation of the Fc domain of evorpacept avoids adverse effects on normal blood cells seen on other CD47 blocking agents with an active Fc domain. They also support our expectation that evorpacept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lack of overlapping toxicities with other anti-cancer therapies may result in fewer adverse outcomes in the clinic when combined with these therapies than combinations with conventional CD47 blocking agents.</w:t>
      </w:r>
    </w:p>
    <w:p>
      <w:pPr>
        <w:spacing w:after="0" w:line="357"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Evorpacept elicits superior phagocytosis in combination with anti-cancer antibodies</w:t>
      </w:r>
    </w:p>
    <w:p>
      <w:pPr>
        <w:spacing w:after="0" w:line="125" w:lineRule="exact"/>
        <w:rPr>
          <w:sz w:val="20"/>
          <w:szCs w:val="20"/>
          <w:color w:val="auto"/>
        </w:rPr>
      </w:pPr>
    </w:p>
    <w:p>
      <w:pPr>
        <w:ind w:firstLine="475"/>
        <w:spacing w:after="0" w:line="222" w:lineRule="exact"/>
        <w:rPr>
          <w:sz w:val="20"/>
          <w:szCs w:val="20"/>
          <w:color w:val="auto"/>
        </w:rPr>
      </w:pPr>
      <w:r>
        <w:rPr>
          <w:rFonts w:ascii="Arial" w:cs="Arial" w:eastAsia="Arial" w:hAnsi="Arial"/>
          <w:sz w:val="16"/>
          <w:szCs w:val="16"/>
          <w:b w:val="1"/>
          <w:bCs w:val="1"/>
          <w:color w:val="231F20"/>
        </w:rPr>
        <w:t>The inactive Fc of evorpacept does not compete with the active Fc domain of other therapeutic antibodies for binding with Fc</w:t>
      </w:r>
      <w:r>
        <w:rPr>
          <w:sz w:val="1"/>
          <w:szCs w:val="1"/>
          <w:color w:val="auto"/>
        </w:rPr>
        <w:drawing>
          <wp:inline distT="0" distB="0" distL="0" distR="0">
            <wp:extent cx="78740" cy="9906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8740" cy="99060"/>
                    </a:xfrm>
                    <a:prstGeom prst="rect">
                      <a:avLst/>
                    </a:prstGeom>
                    <a:noFill/>
                    <a:ln>
                      <a:noFill/>
                    </a:ln>
                  </pic:spPr>
                </pic:pic>
              </a:graphicData>
            </a:graphic>
          </wp:inline>
        </w:drawing>
      </w:r>
      <w:r>
        <w:rPr>
          <w:rFonts w:ascii="Arial" w:cs="Arial" w:eastAsia="Arial" w:hAnsi="Arial"/>
          <w:sz w:val="16"/>
          <w:szCs w:val="16"/>
          <w:b w:val="1"/>
          <w:bCs w:val="1"/>
          <w:color w:val="231F20"/>
        </w:rPr>
        <w:t xml:space="preserve"> receptors on effector cells of the immune system. This fact, coupled with the high-affinity CD47 binding of our agent, results in enhanced phagocytosis from evorpacept in combination with other anti-cancer antibodies to a greater extent than other CD47 blockers. We believe this will allow us to explore evorpacept in combination with a higher number of leading anti-cancer antibodies compared to other CD47 blocking agents in both hematologic malignancies and solid tumors. In order to investigate the potential effects of the Fc domain and CD47 binding affinity on phagocytic activity, we produced two CD47 blocking agents with either an IgG4 or IgG1 active Fc domain, based on published sequences from two other clinical CD47 blockade programs. We combined these agents and evorpacept with cetuximab, an epidermal growth factor receptor, or EGFR, inhibitor that is the FDA approved for several solid tumors, to assess phagocytic activity as compared to single-agent cetuximab. Both cetuximab and the active Fc domain of a CD47 blocking agent bind to the same cell surface Fc</w:t>
      </w:r>
      <w:r>
        <w:rPr>
          <w:sz w:val="1"/>
          <w:szCs w:val="1"/>
          <w:color w:val="auto"/>
        </w:rPr>
        <w:drawing>
          <wp:inline distT="0" distB="0" distL="0" distR="0">
            <wp:extent cx="78740" cy="9906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8740" cy="99060"/>
                    </a:xfrm>
                    <a:prstGeom prst="rect">
                      <a:avLst/>
                    </a:prstGeom>
                    <a:noFill/>
                    <a:ln>
                      <a:noFill/>
                    </a:ln>
                  </pic:spPr>
                </pic:pic>
              </a:graphicData>
            </a:graphic>
          </wp:inline>
        </w:drawing>
      </w:r>
      <w:r>
        <w:rPr>
          <w:rFonts w:ascii="Arial" w:cs="Arial" w:eastAsia="Arial" w:hAnsi="Arial"/>
          <w:sz w:val="16"/>
          <w:szCs w:val="16"/>
          <w:b w:val="1"/>
          <w:bCs w:val="1"/>
          <w:color w:val="231F20"/>
        </w:rPr>
        <w:t xml:space="preserve"> receptors on a macrophage, potentially creating competition. IgG1 binds to receptors with higher affinity than IgG4 does, and evorpacept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inactive Fc does not bind. This experiment shows that CD47 blocking agents with active Fc domains and lower affinity, combined with cetuximab result in lower phagocytic activity from macrophages as compared to evorpacept with cetuximab. This experiment suggests evorpacept, the only clinical CD47 blocking agent with an inactive Fc domain and high-affinity CD47 binding, may be unique in its anti-tumor activity when combined with anti-tumor antibodies.</w:t>
      </w:r>
    </w:p>
    <w:p>
      <w:pPr>
        <w:spacing w:after="0" w:line="368"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231F20"/>
        </w:rPr>
        <w:t>Evorpacept has shown superior antibody-dependent cellular phagocytosis, or ADCP, of solid tumor cells compared to CD47 blockers with an active Fc domain and lower CD47 affinity when combined with an anti-tumor antibody.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133985</wp:posOffset>
            </wp:positionV>
            <wp:extent cx="6655435" cy="31502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655435" cy="3150235"/>
                    </a:xfrm>
                    <a:prstGeom prst="rect">
                      <a:avLst/>
                    </a:prstGeom>
                    <a:noFill/>
                  </pic:spPr>
                </pic:pic>
              </a:graphicData>
            </a:graphic>
          </wp:anchor>
        </w:drawing>
      </w:r>
    </w:p>
    <w:p>
      <w:pPr>
        <w:sectPr>
          <w:pgSz w:w="12240" w:h="15840" w:orient="portrait"/>
          <w:cols w:equalWidth="0" w:num="1">
            <w:col w:w="10480"/>
          </w:cols>
          <w:pgMar w:left="880" w:top="1165" w:right="88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13</w:t>
      </w:r>
    </w:p>
    <w:p>
      <w:pPr>
        <w:sectPr>
          <w:pgSz w:w="12240" w:h="15840" w:orient="portrait"/>
          <w:cols w:equalWidth="0" w:num="1">
            <w:col w:w="10480"/>
          </w:cols>
          <w:pgMar w:left="880" w:top="1165" w:right="880" w:bottom="390" w:gutter="0" w:footer="0" w:header="0"/>
          <w:type w:val="continuous"/>
        </w:sectPr>
      </w:pPr>
    </w:p>
    <w:bookmarkStart w:id="21" w:name="page22"/>
    <w:bookmarkEnd w:id="21"/>
    <w:p>
      <w:pPr>
        <w:spacing w:after="0"/>
        <w:rPr>
          <w:sz w:val="20"/>
          <w:szCs w:val="20"/>
          <w:color w:val="auto"/>
        </w:rPr>
      </w:pPr>
      <w:r>
        <w:rPr>
          <w:rFonts w:ascii="Arial" w:cs="Arial" w:eastAsia="Arial" w:hAnsi="Arial"/>
          <w:sz w:val="19"/>
          <w:szCs w:val="19"/>
          <w:b w:val="1"/>
          <w:bCs w:val="1"/>
          <w:color w:val="231F20"/>
        </w:rPr>
        <w:t>Licensing and Intellectual Property</w:t>
      </w:r>
    </w:p>
    <w:p>
      <w:pPr>
        <w:spacing w:after="0" w:line="128" w:lineRule="exact"/>
        <w:rPr>
          <w:sz w:val="20"/>
          <w:szCs w:val="20"/>
          <w:color w:val="auto"/>
        </w:rPr>
      </w:pPr>
    </w:p>
    <w:p>
      <w:pPr>
        <w:ind w:firstLine="475"/>
        <w:spacing w:after="0" w:line="277" w:lineRule="auto"/>
        <w:rPr>
          <w:sz w:val="20"/>
          <w:szCs w:val="20"/>
          <w:color w:val="auto"/>
        </w:rPr>
      </w:pPr>
      <w:r>
        <w:rPr>
          <w:rFonts w:ascii="Arial" w:cs="Arial" w:eastAsia="Arial" w:hAnsi="Arial"/>
          <w:sz w:val="17"/>
          <w:szCs w:val="17"/>
          <w:b w:val="1"/>
          <w:bCs w:val="1"/>
          <w:color w:val="231F20"/>
        </w:rPr>
        <w:t>Our commercial success depends in part on our ability to obtain and maintain proprietary protection for our current and future product candidates, novel discoveries, product development technologies and knowhow and to operate without infringing on the proprietary rights of others. We seek to protect our proprietary position by, among other methods, filing or in-licensing U.S. and foreign patents and patent applications related to technology, inventions and improvements that are important to the development and implementation of our business. Our patent portfolio is intended to cover our product candidates and related components, their methods of use and processes for their manufacture and any other inventions that are commercially important to our business. We also rely on trademarks, trade secrets, knowhow, continuing technological innovation and confidential information to develop and maintain our proprietary position.</w:t>
      </w:r>
    </w:p>
    <w:p>
      <w:pPr>
        <w:spacing w:after="0" w:line="96" w:lineRule="exact"/>
        <w:rPr>
          <w:sz w:val="20"/>
          <w:szCs w:val="20"/>
          <w:color w:val="auto"/>
        </w:rPr>
      </w:pPr>
    </w:p>
    <w:p>
      <w:pPr>
        <w:ind w:firstLine="475"/>
        <w:spacing w:after="0" w:line="277" w:lineRule="auto"/>
        <w:rPr>
          <w:sz w:val="20"/>
          <w:szCs w:val="20"/>
          <w:color w:val="auto"/>
        </w:rPr>
      </w:pPr>
      <w:r>
        <w:rPr>
          <w:rFonts w:ascii="Arial" w:cs="Arial" w:eastAsia="Arial" w:hAnsi="Arial"/>
          <w:sz w:val="17"/>
          <w:szCs w:val="17"/>
          <w:b w:val="1"/>
          <w:bCs w:val="1"/>
          <w:color w:val="231F20"/>
        </w:rPr>
        <w:t>As of January 6, 2025, we own 11 issued U.S. patents, 79 foreign issued patents, 13 pending U.S. nonprovisional patent applications and a portfolio of national patent application filings in a variety of non-U.S. jurisdictions, including Europe, Hong Kong, Brazil, Mexico, New Zealand, Japan, Australia, Canada, China, India, Israel, Republic of Korea, Singapore, Taiwan and Russia. Of these patents and patent applications, the following relate to evorpacept: six issued U.S. patents, nine pending U.S. nonprovisional patent applications, and a portfolio of granted and pending patent filings in a variety of non-U.S. jurisdictions, including Europe, Hong Kong, Brazil, Mexico, New Zealand, Japan, Australia, Canada, China, India, Israel, Republic of Korea, Singapore and Russia. The following relate to antibody shielding technology and exatecan derivatives: one issued U.S. patent, three pending U.S. nonprovisional patent applications, and 58 pending foreign patent applications.</w:t>
      </w:r>
    </w:p>
    <w:p>
      <w:pPr>
        <w:spacing w:after="0" w:line="96" w:lineRule="exact"/>
        <w:rPr>
          <w:sz w:val="20"/>
          <w:szCs w:val="20"/>
          <w:color w:val="auto"/>
        </w:rPr>
      </w:pPr>
    </w:p>
    <w:p>
      <w:pPr>
        <w:ind w:right="40" w:firstLine="475"/>
        <w:spacing w:after="0" w:line="243" w:lineRule="auto"/>
        <w:rPr>
          <w:sz w:val="20"/>
          <w:szCs w:val="20"/>
          <w:color w:val="auto"/>
        </w:rPr>
      </w:pPr>
      <w:r>
        <w:rPr>
          <w:rFonts w:ascii="Arial" w:cs="Arial" w:eastAsia="Arial" w:hAnsi="Arial"/>
          <w:sz w:val="19"/>
          <w:szCs w:val="19"/>
          <w:b w:val="1"/>
          <w:bCs w:val="1"/>
          <w:color w:val="231F20"/>
        </w:rPr>
        <w:t>The term of individual patents depends upon the legal term for patents in the countries in which they are granted. Our 11 U.S. issued patents and, if issued as U.S. patents, our 13 U.S. nonprovisional patent applications are expected to expire between August 2036 and November 2043 excluding any additional term for patent term adjustments or patent term extensions, with an expiration of between August 2036 and May 2043 with respect to our patent and patent applications related to evorpacept, excluding any additional term for patent term extensions.</w:t>
      </w:r>
    </w:p>
    <w:p>
      <w:pPr>
        <w:spacing w:after="0" w:line="125" w:lineRule="exact"/>
        <w:rPr>
          <w:sz w:val="20"/>
          <w:szCs w:val="20"/>
          <w:color w:val="auto"/>
        </w:rPr>
      </w:pPr>
    </w:p>
    <w:p>
      <w:pPr>
        <w:ind w:right="80" w:firstLine="475"/>
        <w:spacing w:after="0" w:line="221" w:lineRule="exact"/>
        <w:rPr>
          <w:sz w:val="20"/>
          <w:szCs w:val="20"/>
          <w:color w:val="auto"/>
        </w:rPr>
      </w:pPr>
      <w:r>
        <w:rPr>
          <w:rFonts w:ascii="Arial" w:cs="Arial" w:eastAsia="Arial" w:hAnsi="Arial"/>
          <w:sz w:val="19"/>
          <w:szCs w:val="19"/>
          <w:b w:val="1"/>
          <w:bCs w:val="1"/>
          <w:color w:val="231F20"/>
        </w:rPr>
        <w:t>We obtained a worldwide, royalty-bearing, sublicensable license from the Board of Trustees of the Leland Stanford Junior University, or Stanford, under certain patents relating to high-affinity SIRP</w:t>
      </w:r>
      <w:r>
        <w:rPr>
          <w:sz w:val="1"/>
          <w:szCs w:val="1"/>
          <w:color w:val="auto"/>
        </w:rPr>
        <w:drawing>
          <wp:inline distT="0" distB="0" distL="0" distR="0">
            <wp:extent cx="83185" cy="83185"/>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3185" cy="83185"/>
                    </a:xfrm>
                    <a:prstGeom prst="rect">
                      <a:avLst/>
                    </a:prstGeom>
                    <a:noFill/>
                    <a:ln>
                      <a:noFill/>
                    </a:ln>
                  </pic:spPr>
                </pic:pic>
              </a:graphicData>
            </a:graphic>
          </wp:inline>
        </w:drawing>
      </w:r>
      <w:r>
        <w:rPr>
          <w:rFonts w:ascii="Arial" w:cs="Arial" w:eastAsia="Arial" w:hAnsi="Arial"/>
          <w:sz w:val="19"/>
          <w:szCs w:val="19"/>
          <w:b w:val="1"/>
          <w:bCs w:val="1"/>
          <w:color w:val="231F20"/>
        </w:rPr>
        <w:t xml:space="preserve"> variant polypeptides, to develop, manufacture and commercialize products for use in certain licensed fields, the scope of which would include the application of the licensed intellectual property in oncology. For more information regarding our license agreement with Stanford, please see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Exclusive (Equity) Agreement with Stanford University.</w:t>
      </w:r>
      <w:r>
        <w:rPr>
          <w:rFonts w:ascii="PMingLiU" w:cs="PMingLiU" w:eastAsia="PMingLiU" w:hAnsi="PMingLiU"/>
          <w:sz w:val="19"/>
          <w:szCs w:val="19"/>
          <w:b w:val="1"/>
          <w:bCs w:val="1"/>
          <w:color w:val="231F20"/>
        </w:rPr>
        <w:t></w:t>
      </w:r>
    </w:p>
    <w:p>
      <w:pPr>
        <w:spacing w:after="0" w:line="129" w:lineRule="exact"/>
        <w:rPr>
          <w:sz w:val="20"/>
          <w:szCs w:val="20"/>
          <w:color w:val="auto"/>
        </w:rPr>
      </w:pPr>
    </w:p>
    <w:p>
      <w:pPr>
        <w:ind w:firstLine="475"/>
        <w:spacing w:after="0" w:line="276" w:lineRule="auto"/>
        <w:rPr>
          <w:sz w:val="20"/>
          <w:szCs w:val="20"/>
          <w:color w:val="auto"/>
        </w:rPr>
      </w:pPr>
      <w:r>
        <w:rPr>
          <w:rFonts w:ascii="Arial" w:cs="Arial" w:eastAsia="Arial" w:hAnsi="Arial"/>
          <w:sz w:val="17"/>
          <w:szCs w:val="17"/>
          <w:b w:val="1"/>
          <w:bCs w:val="1"/>
          <w:color w:val="231F20"/>
        </w:rPr>
        <w:t>The patent portfolio we have exclusively licensed from Stanford contains patent families relating to high-affinity SIRP</w:t>
      </w:r>
      <w:r>
        <w:rPr>
          <w:sz w:val="1"/>
          <w:szCs w:val="1"/>
          <w:color w:val="auto"/>
        </w:rPr>
        <w:drawing>
          <wp:inline distT="0" distB="0" distL="0" distR="0">
            <wp:extent cx="83185" cy="83185"/>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3185" cy="83185"/>
                    </a:xfrm>
                    <a:prstGeom prst="rect">
                      <a:avLst/>
                    </a:prstGeom>
                    <a:noFill/>
                    <a:ln>
                      <a:noFill/>
                    </a:ln>
                  </pic:spPr>
                </pic:pic>
              </a:graphicData>
            </a:graphic>
          </wp:inline>
        </w:drawing>
      </w:r>
      <w:r>
        <w:rPr>
          <w:rFonts w:ascii="Arial" w:cs="Arial" w:eastAsia="Arial" w:hAnsi="Arial"/>
          <w:sz w:val="17"/>
          <w:szCs w:val="17"/>
          <w:b w:val="1"/>
          <w:bCs w:val="1"/>
          <w:color w:val="231F20"/>
        </w:rPr>
        <w:t xml:space="preserve"> variant polypeptides, which includes three issued patents in the U.S. and one each in Australia, Canada, China, Europe, Hong Kong and four in Japan. The European patent has been validated as national patents in 37 different European countries. The patent family includes one pending patent application in each of U.S., Europe, and China and two pending patent applications in Hong Kong. These patents and patent applications are subject to retained rights by Stanford to allow academic and nonprofit research institutions to practice the licensed technology and patents for noncommercial purposes. In addition, these patents are subject to certain pre-existing rights that Stanford has granted to two third parties. These patents are expected to expire in 2033 excluding any extension of patent term that may be available.</w:t>
      </w:r>
    </w:p>
    <w:p>
      <w:pPr>
        <w:spacing w:after="0" w:line="102" w:lineRule="exact"/>
        <w:rPr>
          <w:sz w:val="20"/>
          <w:szCs w:val="20"/>
          <w:color w:val="auto"/>
        </w:rPr>
      </w:pPr>
    </w:p>
    <w:p>
      <w:pPr>
        <w:ind w:right="20" w:firstLine="475"/>
        <w:spacing w:after="0" w:line="222" w:lineRule="exact"/>
        <w:rPr>
          <w:sz w:val="20"/>
          <w:szCs w:val="20"/>
          <w:color w:val="auto"/>
        </w:rPr>
      </w:pPr>
      <w:r>
        <w:rPr>
          <w:rFonts w:ascii="Arial" w:cs="Arial" w:eastAsia="Arial" w:hAnsi="Arial"/>
          <w:sz w:val="16"/>
          <w:szCs w:val="16"/>
          <w:b w:val="1"/>
          <w:bCs w:val="1"/>
          <w:color w:val="231F20"/>
        </w:rPr>
        <w:t>We are aware of a European patent (EP 2 429 574) owned by UHN and The Hospital for Sick Children that relates to the treatment of hematologic cancers with polypeptides comprising soluble human SIRP</w:t>
      </w:r>
      <w:r>
        <w:rPr>
          <w:sz w:val="1"/>
          <w:szCs w:val="1"/>
          <w:color w:val="auto"/>
        </w:rPr>
        <w:drawing>
          <wp:inline distT="0" distB="0" distL="0" distR="0">
            <wp:extent cx="83185" cy="83185"/>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3185" cy="83185"/>
                    </a:xfrm>
                    <a:prstGeom prst="rect">
                      <a:avLst/>
                    </a:prstGeom>
                    <a:noFill/>
                    <a:ln>
                      <a:noFill/>
                    </a:ln>
                  </pic:spPr>
                </pic:pic>
              </a:graphicData>
            </a:graphic>
          </wp:inline>
        </w:drawing>
      </w:r>
      <w:r>
        <w:rPr>
          <w:rFonts w:ascii="Arial" w:cs="Arial" w:eastAsia="Arial" w:hAnsi="Arial"/>
          <w:sz w:val="16"/>
          <w:szCs w:val="16"/>
          <w:b w:val="1"/>
          <w:bCs w:val="1"/>
          <w:color w:val="231F20"/>
        </w:rPr>
        <w:t>, or a CD47-binding fragment thereof. This patent, which was originally granted on May 6, 2015, was revoked by the Opposition Division of the European Patent Office (Opposition Division) on November 6, 2017. The revocation was appealed by UHN and The Hospital for Sick Children, and on October 18, 2022, the Board of Appeal of the European Patent Office (Board of Appeal) ruled in favor of UHN with respect to the matter on appeal, but remanded the case back to the Opposition Division for consideration of a further ground of invalidity (sufficiency of disclosure). On December 8, 2023, the Opposition Board held that the disclosure in EP 2 429 574 was sufficient and upheld the patent in amended form. On February 15, 2024, the Board of Appeal announced that it had received a notice of appeal with respect to the Opposition Board</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ruling regarding sufficiency of disclosure. The hearing before the Board of Appeal has been scheduled for December 9, 2025. Additionally, on December 27, 2023, a second European Patent (EP 2 995 315), a divisional of European patent (EP 2 429 574), was granted to UHN and The Hospital for Sick Children. This patent relates to the eradication of hematological CD47+ cancer cells and tumors with polypeptides comprising soluble human SIRP</w:t>
      </w:r>
      <w:r>
        <w:rPr>
          <w:sz w:val="1"/>
          <w:szCs w:val="1"/>
          <w:color w:val="auto"/>
        </w:rPr>
        <w:drawing>
          <wp:inline distT="0" distB="0" distL="0" distR="0">
            <wp:extent cx="83185" cy="83185"/>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3185" cy="83185"/>
                    </a:xfrm>
                    <a:prstGeom prst="rect">
                      <a:avLst/>
                    </a:prstGeom>
                    <a:noFill/>
                    <a:ln>
                      <a:noFill/>
                    </a:ln>
                  </pic:spPr>
                </pic:pic>
              </a:graphicData>
            </a:graphic>
          </wp:inline>
        </w:drawing>
      </w:r>
      <w:r>
        <w:rPr>
          <w:rFonts w:ascii="Arial" w:cs="Arial" w:eastAsia="Arial" w:hAnsi="Arial"/>
          <w:sz w:val="16"/>
          <w:szCs w:val="16"/>
          <w:b w:val="1"/>
          <w:bCs w:val="1"/>
          <w:color w:val="231F20"/>
        </w:rPr>
        <w:t>, or a CD47-binding fragment thereof. On February 27, 2024, the Opposition Division announced that it had received a notice of opposition with respect to EP 2 995</w:t>
      </w:r>
    </w:p>
    <w:p>
      <w:pPr>
        <w:spacing w:after="0" w:line="17" w:lineRule="exact"/>
        <w:rPr>
          <w:sz w:val="20"/>
          <w:szCs w:val="20"/>
          <w:color w:val="auto"/>
        </w:rPr>
      </w:pPr>
    </w:p>
    <w:p>
      <w:pPr>
        <w:ind w:right="180" w:firstLine="3"/>
        <w:spacing w:after="0" w:line="261" w:lineRule="auto"/>
        <w:tabs>
          <w:tab w:leader="none" w:pos="389" w:val="left"/>
        </w:tabs>
        <w:numPr>
          <w:ilvl w:val="0"/>
          <w:numId w:val="3"/>
        </w:numPr>
        <w:rPr>
          <w:rFonts w:ascii="Arial" w:cs="Arial" w:eastAsia="Arial" w:hAnsi="Arial"/>
          <w:sz w:val="18"/>
          <w:szCs w:val="18"/>
          <w:b w:val="1"/>
          <w:bCs w:val="1"/>
          <w:color w:val="231F20"/>
        </w:rPr>
      </w:pPr>
      <w:r>
        <w:rPr>
          <w:rFonts w:ascii="Arial" w:cs="Arial" w:eastAsia="Arial" w:hAnsi="Arial"/>
          <w:sz w:val="18"/>
          <w:szCs w:val="18"/>
          <w:b w:val="1"/>
          <w:bCs w:val="1"/>
          <w:color w:val="231F20"/>
        </w:rPr>
        <w:t>A date for the opposition hearing has not yet been announced. The patent claims of both EP 2 429 574 and EP 2 995 315, if not revoked or otherwise limited by the European Patent Office, could potentially limit our ability to pursue evorpacept in certain indications in certain geographies in the future. The U.S. counterpart to EP 2 429 574 was granted in 2021 as US patent 10,907,209. However, we believe that we do not infringe claims listed in this U.S. patent.</w:t>
      </w:r>
    </w:p>
    <w:p>
      <w:pPr>
        <w:spacing w:after="0" w:line="108" w:lineRule="exact"/>
        <w:rPr>
          <w:sz w:val="20"/>
          <w:szCs w:val="20"/>
          <w:color w:val="auto"/>
        </w:rPr>
      </w:pPr>
    </w:p>
    <w:p>
      <w:pPr>
        <w:ind w:firstLine="475"/>
        <w:spacing w:after="0" w:line="218" w:lineRule="exact"/>
        <w:rPr>
          <w:sz w:val="20"/>
          <w:szCs w:val="20"/>
          <w:color w:val="auto"/>
        </w:rPr>
      </w:pPr>
      <w:r>
        <w:rPr>
          <w:rFonts w:ascii="Arial" w:cs="Arial" w:eastAsia="Arial" w:hAnsi="Arial"/>
          <w:sz w:val="19"/>
          <w:szCs w:val="19"/>
          <w:b w:val="1"/>
          <w:bCs w:val="1"/>
          <w:color w:val="231F20"/>
        </w:rPr>
        <w:t xml:space="preserve">For more information regarding the risks related to our intellectual property, including the above referenced intellectual property proceedings, see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Risk Factors</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Risks Related to Our Intellectual Property.</w:t>
      </w:r>
      <w:r>
        <w:rPr>
          <w:rFonts w:ascii="PMingLiU" w:cs="PMingLiU" w:eastAsia="PMingLiU" w:hAnsi="PMingLiU"/>
          <w:sz w:val="19"/>
          <w:szCs w:val="19"/>
          <w:b w:val="1"/>
          <w:bCs w:val="1"/>
          <w:color w:val="231F20"/>
        </w:rPr>
        <w:t></w:t>
      </w:r>
    </w:p>
    <w:p>
      <w:pPr>
        <w:sectPr>
          <w:pgSz w:w="12240" w:h="15840" w:orient="portrait"/>
          <w:cols w:equalWidth="0" w:num="1">
            <w:col w:w="10460"/>
          </w:cols>
          <w:pgMar w:left="880" w:top="1160" w:right="90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231F20"/>
        </w:rPr>
        <w:t>14</w:t>
      </w:r>
    </w:p>
    <w:p>
      <w:pPr>
        <w:sectPr>
          <w:pgSz w:w="12240" w:h="15840" w:orient="portrait"/>
          <w:cols w:equalWidth="0" w:num="1">
            <w:col w:w="10460"/>
          </w:cols>
          <w:pgMar w:left="880" w:top="1160" w:right="900" w:bottom="390" w:gutter="0" w:footer="0" w:header="0"/>
          <w:type w:val="continuous"/>
        </w:sectPr>
      </w:pPr>
    </w:p>
    <w:bookmarkStart w:id="22" w:name="page23"/>
    <w:bookmarkEnd w:id="22"/>
    <w:p>
      <w:pPr>
        <w:spacing w:after="0"/>
        <w:rPr>
          <w:sz w:val="20"/>
          <w:szCs w:val="20"/>
          <w:color w:val="auto"/>
        </w:rPr>
      </w:pPr>
      <w:r>
        <w:rPr>
          <w:rFonts w:ascii="Arial" w:cs="Arial" w:eastAsia="Arial" w:hAnsi="Arial"/>
          <w:sz w:val="19"/>
          <w:szCs w:val="19"/>
          <w:b w:val="1"/>
          <w:bCs w:val="1"/>
          <w:color w:val="231F20"/>
        </w:rPr>
        <w:t>Exclusive (Equity) Agreement with Stanford University</w:t>
      </w:r>
    </w:p>
    <w:p>
      <w:pPr>
        <w:spacing w:after="0" w:line="128" w:lineRule="exact"/>
        <w:rPr>
          <w:sz w:val="20"/>
          <w:szCs w:val="20"/>
          <w:color w:val="auto"/>
        </w:rPr>
      </w:pPr>
    </w:p>
    <w:p>
      <w:pPr>
        <w:ind w:right="60" w:firstLine="475"/>
        <w:spacing w:after="0" w:line="296" w:lineRule="auto"/>
        <w:rPr>
          <w:sz w:val="20"/>
          <w:szCs w:val="20"/>
          <w:color w:val="auto"/>
        </w:rPr>
      </w:pPr>
      <w:r>
        <w:rPr>
          <w:rFonts w:ascii="Arial" w:cs="Arial" w:eastAsia="Arial" w:hAnsi="Arial"/>
          <w:sz w:val="16"/>
          <w:szCs w:val="16"/>
          <w:b w:val="1"/>
          <w:bCs w:val="1"/>
          <w:color w:val="231F20"/>
        </w:rPr>
        <w:t>In March 2015, we entered into a license agreement, or the Stanford Agreement, with The Board of Trustees of the Leland Stanford Junior University under which we obtained a worldwide, royalty-bearing, sublicensable license under certain patents relating to our current product candidates, to develop, manufacture and commercialize products for use in certain licensed fields, the scope of which would include the application of the licensed intellectual property in oncology. The license granted to us in the Stanford Agreement includes an exclusive grant, subject to certain pre-existing non-exclusive or exclusive rights that Stanford retained for grant to third parties with respect to certain categories of the licensed patents in certain fields of use and retained rights by Stanford and all other nonprofit institutions to use and practice the licensed patents and technology for internal research and other nonprofit purposes. The license granted to us in the Stanford Agreement also includes non-exclusive grants to certain Stanford patents.</w:t>
      </w:r>
    </w:p>
    <w:p>
      <w:pPr>
        <w:spacing w:after="0" w:line="85" w:lineRule="exact"/>
        <w:rPr>
          <w:sz w:val="20"/>
          <w:szCs w:val="20"/>
          <w:color w:val="auto"/>
        </w:rPr>
      </w:pPr>
    </w:p>
    <w:p>
      <w:pPr>
        <w:ind w:firstLine="475"/>
        <w:spacing w:after="0" w:line="275" w:lineRule="auto"/>
        <w:rPr>
          <w:sz w:val="20"/>
          <w:szCs w:val="20"/>
          <w:color w:val="auto"/>
        </w:rPr>
      </w:pPr>
      <w:r>
        <w:rPr>
          <w:rFonts w:ascii="Arial" w:cs="Arial" w:eastAsia="Arial" w:hAnsi="Arial"/>
          <w:sz w:val="17"/>
          <w:szCs w:val="17"/>
          <w:b w:val="1"/>
          <w:bCs w:val="1"/>
          <w:color w:val="231F20"/>
        </w:rPr>
        <w:t>In consideration for the rights granted to us under the Stanford Agreement, we paid Stanford a nonrefundable license royalty and reimbursed Stanford for past patent expenses, together totaling less than $0.1 million, and granted Stanford a specified number of our common stock. In addition, we are obligated to pay Stanford ongoing patent expenses and an annual license maintenance fee, which are nominal and will be creditable against any royalties payable to Stanford in the applicable year. We are required to make milestone payments up to an aggregate of $5.0 million in respect of a specified number of licensed products that successfully satisfy certain clinical and regulatory milestones. We recorded the first milestone payment of $0.2 million during the year ended December 31, 2021. There have been no milestones met during the year ended December 31, 2024. We also agreed to pay Stanford tiered royalties on a specified percentage of net sales made by us, our affiliates and our sublicensees of licensed products at rates ranging within low single-digit percentages, subject to certain reductions and offsets. Our license, on a licensed product-by-licensed product and country-by-country basis, shall become royalty-free and fully paid-up upon the later of the date on which the last valid claim included in the exclusively or non-exclusively licensed patents expires and ten years after the first commercial sale of the licensed product in such country.</w:t>
      </w:r>
    </w:p>
    <w:p>
      <w:pPr>
        <w:spacing w:after="0" w:line="106" w:lineRule="exact"/>
        <w:rPr>
          <w:sz w:val="20"/>
          <w:szCs w:val="20"/>
          <w:color w:val="auto"/>
        </w:rPr>
      </w:pPr>
    </w:p>
    <w:p>
      <w:pPr>
        <w:ind w:right="80" w:firstLine="475"/>
        <w:spacing w:after="0" w:line="222" w:lineRule="exact"/>
        <w:rPr>
          <w:sz w:val="20"/>
          <w:szCs w:val="20"/>
          <w:color w:val="auto"/>
        </w:rPr>
      </w:pPr>
      <w:r>
        <w:rPr>
          <w:rFonts w:ascii="Arial" w:cs="Arial" w:eastAsia="Arial" w:hAnsi="Arial"/>
          <w:sz w:val="17"/>
          <w:szCs w:val="17"/>
          <w:b w:val="1"/>
          <w:bCs w:val="1"/>
          <w:color w:val="231F20"/>
        </w:rPr>
        <w:t>We may terminate the Stanford Agreement, on a licensed product-by-licensed product basis, at any time for any reason by providing at least 60 days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written notice to Stanford. Stanford may terminate the Stanford Agreement if we are in breach of any provision of the Stanford Agreement and fail to remedy such breach within 60 days after written notice of such breach by Stanford. In addition, Stanford has the right to terminate the Stanford Agreement, on a licensed product-by-licensed product basis, if we are not diligently developing and commercializing such licensed product under certain conditions or if we fail to achieve specified development milestones for such licensed product by certain dates, subject to our extension rights.</w:t>
      </w:r>
    </w:p>
    <w:p>
      <w:pPr>
        <w:spacing w:after="0" w:line="356"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Other Third-Party Agreements</w:t>
      </w:r>
    </w:p>
    <w:p>
      <w:pPr>
        <w:spacing w:after="0" w:line="128" w:lineRule="exact"/>
        <w:rPr>
          <w:sz w:val="20"/>
          <w:szCs w:val="20"/>
          <w:color w:val="auto"/>
        </w:rPr>
      </w:pPr>
    </w:p>
    <w:p>
      <w:pPr>
        <w:ind w:right="260" w:firstLine="475"/>
        <w:spacing w:after="0" w:line="278" w:lineRule="auto"/>
        <w:rPr>
          <w:sz w:val="20"/>
          <w:szCs w:val="20"/>
          <w:color w:val="auto"/>
        </w:rPr>
      </w:pPr>
      <w:r>
        <w:rPr>
          <w:rFonts w:ascii="Arial" w:cs="Arial" w:eastAsia="Arial" w:hAnsi="Arial"/>
          <w:sz w:val="17"/>
          <w:szCs w:val="17"/>
          <w:b w:val="1"/>
          <w:bCs w:val="1"/>
          <w:color w:val="231F20"/>
        </w:rPr>
        <w:t>We have entered into license agreements with third parties related to the development and commercialization of our product candidates, including evorpacept, and SIRP</w:t>
      </w:r>
      <w:r>
        <w:rPr>
          <w:sz w:val="1"/>
          <w:szCs w:val="1"/>
          <w:color w:val="auto"/>
        </w:rPr>
        <w:drawing>
          <wp:inline distT="0" distB="0" distL="0" distR="0">
            <wp:extent cx="83185" cy="83185"/>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3185" cy="83185"/>
                    </a:xfrm>
                    <a:prstGeom prst="rect">
                      <a:avLst/>
                    </a:prstGeom>
                    <a:noFill/>
                    <a:ln>
                      <a:noFill/>
                    </a:ln>
                  </pic:spPr>
                </pic:pic>
              </a:graphicData>
            </a:graphic>
          </wp:inline>
        </w:drawing>
      </w:r>
      <w:r>
        <w:rPr>
          <w:rFonts w:ascii="Arial" w:cs="Arial" w:eastAsia="Arial" w:hAnsi="Arial"/>
          <w:sz w:val="17"/>
          <w:szCs w:val="17"/>
          <w:b w:val="1"/>
          <w:bCs w:val="1"/>
          <w:color w:val="231F20"/>
        </w:rPr>
        <w:t xml:space="preserve"> antibodies which we are exploring in our research program. In consideration of the foregoing, we have agreed to customary payment terms in these agreements, including certain milestone payments upon the achievement of clinical and commercial milestones and low single-digit royalties. See further details in Note 12 to our consolidated financial statements appearing elsewhere in this Annual Report on Form 10-K.</w:t>
      </w:r>
    </w:p>
    <w:p>
      <w:pPr>
        <w:spacing w:after="0" w:line="327"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Commercialization</w:t>
      </w:r>
    </w:p>
    <w:p>
      <w:pPr>
        <w:spacing w:after="0" w:line="125" w:lineRule="exact"/>
        <w:rPr>
          <w:sz w:val="20"/>
          <w:szCs w:val="20"/>
          <w:color w:val="auto"/>
        </w:rPr>
      </w:pPr>
    </w:p>
    <w:p>
      <w:pPr>
        <w:ind w:right="100" w:firstLine="475"/>
        <w:spacing w:after="0" w:line="298" w:lineRule="auto"/>
        <w:rPr>
          <w:sz w:val="20"/>
          <w:szCs w:val="20"/>
          <w:color w:val="auto"/>
        </w:rPr>
      </w:pPr>
      <w:r>
        <w:rPr>
          <w:rFonts w:ascii="Arial" w:cs="Arial" w:eastAsia="Arial" w:hAnsi="Arial"/>
          <w:sz w:val="16"/>
          <w:szCs w:val="16"/>
          <w:b w:val="1"/>
          <w:bCs w:val="1"/>
          <w:color w:val="231F20"/>
        </w:rPr>
        <w:t>We intend to retain significant development and commercial rights to our product candidates and, if marketing approval is obtained, to commercialize our product candidates on our own, or potentially with a partner, in the United States and other regions. We currently have no sales, marketing or commercial product distribution capabilities and have no experience as a company commercializing products. We intend to build the necessary infrastructure and capabilities over time for the United States, and potentially other regions, following further advancement of our product candidates. Clinical data, the size of the addressable patient population, the size of the commercial infrastructure and manufacturing needs may all influence or alter our commercialization plans.</w:t>
      </w:r>
    </w:p>
    <w:p>
      <w:pPr>
        <w:spacing w:after="0" w:line="311"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Manufacturing and Supply</w:t>
      </w:r>
    </w:p>
    <w:p>
      <w:pPr>
        <w:spacing w:after="0" w:line="128" w:lineRule="exact"/>
        <w:rPr>
          <w:sz w:val="20"/>
          <w:szCs w:val="20"/>
          <w:color w:val="auto"/>
        </w:rPr>
      </w:pPr>
    </w:p>
    <w:p>
      <w:pPr>
        <w:jc w:val="both"/>
        <w:ind w:right="120" w:firstLine="475"/>
        <w:spacing w:after="0" w:line="242" w:lineRule="auto"/>
        <w:rPr>
          <w:sz w:val="20"/>
          <w:szCs w:val="20"/>
          <w:color w:val="auto"/>
        </w:rPr>
      </w:pPr>
      <w:r>
        <w:rPr>
          <w:rFonts w:ascii="Arial" w:cs="Arial" w:eastAsia="Arial" w:hAnsi="Arial"/>
          <w:sz w:val="19"/>
          <w:szCs w:val="19"/>
          <w:b w:val="1"/>
          <w:bCs w:val="1"/>
          <w:color w:val="231F20"/>
        </w:rPr>
        <w:t>We do not own or operate and do not intend to establish our own manufacturing facilities. We rely on, and will continue to rely on, CMOs for both drug substance and drug product. Both evorpacept bulk drug substance and finished drug product are produced in accordance with current good manufacturing practices, or cGMPs.</w:t>
      </w:r>
    </w:p>
    <w:p>
      <w:pPr>
        <w:spacing w:after="0" w:line="124" w:lineRule="exact"/>
        <w:rPr>
          <w:sz w:val="20"/>
          <w:szCs w:val="20"/>
          <w:color w:val="auto"/>
        </w:rPr>
      </w:pPr>
    </w:p>
    <w:p>
      <w:pPr>
        <w:ind w:right="60" w:firstLine="475"/>
        <w:spacing w:after="0" w:line="297" w:lineRule="auto"/>
        <w:rPr>
          <w:sz w:val="20"/>
          <w:szCs w:val="20"/>
          <w:color w:val="auto"/>
        </w:rPr>
      </w:pPr>
      <w:r>
        <w:rPr>
          <w:rFonts w:ascii="Arial" w:cs="Arial" w:eastAsia="Arial" w:hAnsi="Arial"/>
          <w:sz w:val="16"/>
          <w:szCs w:val="16"/>
          <w:b w:val="1"/>
          <w:bCs w:val="1"/>
          <w:color w:val="231F20"/>
        </w:rPr>
        <w:t>Our existing supply of evorpacept is sufficient to complete our clinical trials through the first quarter of 2026. We plan to manufacture additional supplies with our existing CMOs to produce evorpacept drug product sufficient to complete the ongoing and planned clinical trials described in this document. We first entered into an engagement with KBI Biopharma, Inc. in 2015 for analytical method development, formulation development, bulk drug manufacturing, release and stability testing. We first entered into a drug product manufacturing agreement with Lyophilization Services of New England, Inc. (now PCI Pharma Services) in 2016 for all evorpacept drug product used in clinical trials. We subsequently entered into a drug product manufacturing agreement with Patheon UK Limited in 2022 for additional drug product production of evorpacept drug product used in clinical trials.</w:t>
      </w:r>
    </w:p>
    <w:p>
      <w:pPr>
        <w:sectPr>
          <w:pgSz w:w="12240" w:h="15840" w:orient="portrait"/>
          <w:cols w:equalWidth="0" w:num="1">
            <w:col w:w="10480"/>
          </w:cols>
          <w:pgMar w:left="880" w:top="1160" w:right="880" w:bottom="39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15</w:t>
      </w:r>
    </w:p>
    <w:p>
      <w:pPr>
        <w:sectPr>
          <w:pgSz w:w="12240" w:h="15840" w:orient="portrait"/>
          <w:cols w:equalWidth="0" w:num="1">
            <w:col w:w="10480"/>
          </w:cols>
          <w:pgMar w:left="880" w:top="1160" w:right="880" w:bottom="390" w:gutter="0" w:footer="0" w:header="0"/>
          <w:type w:val="continuous"/>
        </w:sectPr>
      </w:pPr>
    </w:p>
    <w:bookmarkStart w:id="23" w:name="page24"/>
    <w:bookmarkEnd w:id="23"/>
    <w:p>
      <w:pPr>
        <w:spacing w:after="0"/>
        <w:rPr>
          <w:sz w:val="20"/>
          <w:szCs w:val="20"/>
          <w:color w:val="auto"/>
        </w:rPr>
      </w:pPr>
      <w:r>
        <w:rPr>
          <w:rFonts w:ascii="Arial" w:cs="Arial" w:eastAsia="Arial" w:hAnsi="Arial"/>
          <w:sz w:val="19"/>
          <w:szCs w:val="19"/>
          <w:b w:val="1"/>
          <w:bCs w:val="1"/>
          <w:color w:val="231F20"/>
        </w:rPr>
        <w:t>Competition</w:t>
      </w:r>
    </w:p>
    <w:p>
      <w:pPr>
        <w:spacing w:after="0" w:line="128" w:lineRule="exact"/>
        <w:rPr>
          <w:sz w:val="20"/>
          <w:szCs w:val="20"/>
          <w:color w:val="auto"/>
        </w:rPr>
      </w:pPr>
    </w:p>
    <w:p>
      <w:pPr>
        <w:ind w:right="20" w:firstLine="475"/>
        <w:spacing w:after="0" w:line="295" w:lineRule="auto"/>
        <w:rPr>
          <w:sz w:val="20"/>
          <w:szCs w:val="20"/>
          <w:color w:val="auto"/>
        </w:rPr>
      </w:pPr>
      <w:r>
        <w:rPr>
          <w:rFonts w:ascii="Arial" w:cs="Arial" w:eastAsia="Arial" w:hAnsi="Arial"/>
          <w:sz w:val="16"/>
          <w:szCs w:val="16"/>
          <w:b w:val="1"/>
          <w:bCs w:val="1"/>
          <w:color w:val="231F20"/>
        </w:rPr>
        <w:t>The development and commercialization of new product candidates is highly competitive. We face competition with respect to evorpacept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immune-oncology therapies for the treatment of cancer. There are other companies working to develop immuno-oncology therapies for the treatment of cancer including divisions of large pharmaceutical and biotechnology companies of various sizes. The large pharmaceutical and biotechnology companies that have commercialized and/or are developing immuno-oncology treatments for cancer include, but are not limited to, AstraZeneca, Bristol Myers Squibb, Coherus BioSciences, Gilead Sciences, Merck, Merck KGaA, Novartis, Pfizer, Regeneron Pharmaceuticals and Roche/Genentech. Newly approved therapeutics could change the treatment paradigm or standard of care, which could negatively impact the design of our clinical trials and the prospects of our product candidates.</w:t>
      </w:r>
    </w:p>
    <w:p>
      <w:pPr>
        <w:spacing w:after="0" w:line="86" w:lineRule="exact"/>
        <w:rPr>
          <w:sz w:val="20"/>
          <w:szCs w:val="20"/>
          <w:color w:val="auto"/>
        </w:rPr>
      </w:pPr>
    </w:p>
    <w:p>
      <w:pPr>
        <w:ind w:right="40" w:firstLine="475"/>
        <w:spacing w:after="0" w:line="275" w:lineRule="auto"/>
        <w:rPr>
          <w:sz w:val="20"/>
          <w:szCs w:val="20"/>
          <w:color w:val="auto"/>
        </w:rPr>
      </w:pPr>
      <w:r>
        <w:rPr>
          <w:rFonts w:ascii="Arial" w:cs="Arial" w:eastAsia="Arial" w:hAnsi="Arial"/>
          <w:sz w:val="17"/>
          <w:szCs w:val="17"/>
          <w:b w:val="1"/>
          <w:bCs w:val="1"/>
          <w:color w:val="231F20"/>
        </w:rPr>
        <w:t>Some of these competitive products and therapies are based on scientific approaches that are the same as or similar to our approach, including with respect to the targeting of the CD47 pathway, and others are based on entirely different approaches. We are aware that Adagene, Akesobio, Bio-Thera Solutions, Boehringer Ingelheim, Bristol Myers Squibb, Byondis, Centessa, Conjupro Biotherapeutics, CTTQ (SinoBiological), Daiichi Sankyo, Exelixis, GenSci, Gilead Sciences (through its acquisition of Forty Seven), Hanchor Bio, Hisun, Hutchmed, I-Mab, Ichnos, ImmuneOncia Therapeutics, ImmuneOnco Biopharma, Innovent, Kahr, LaNova, Lightchain Bioscience, Mabwell Therapeutics, Mabworks, Novimmune, OSE Immunotherapeutics, Pfizer (through its acquisition of Trillium Therapeutics), Phanes, Pyxis Oncology (through its acquisition of Apexigen), Shandong New Time, Shattuck Labs, Sorrento Therapeutics, Sumgen, SunHo Pharmaceutical, TG Therapeutics, Waterstone, and Zai Lab, among others, are developing or have begun development of drugs targeting the CD47 pathway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06" w:lineRule="exact"/>
        <w:rPr>
          <w:sz w:val="20"/>
          <w:szCs w:val="20"/>
          <w:color w:val="auto"/>
        </w:rPr>
      </w:pPr>
    </w:p>
    <w:p>
      <w:pPr>
        <w:ind w:right="20" w:firstLine="475"/>
        <w:spacing w:after="0" w:line="259" w:lineRule="auto"/>
        <w:rPr>
          <w:sz w:val="20"/>
          <w:szCs w:val="20"/>
          <w:color w:val="auto"/>
        </w:rPr>
      </w:pPr>
      <w:r>
        <w:rPr>
          <w:rFonts w:ascii="Arial" w:cs="Arial" w:eastAsia="Arial" w:hAnsi="Arial"/>
          <w:sz w:val="18"/>
          <w:szCs w:val="18"/>
          <w:b w:val="1"/>
          <w:bCs w:val="1"/>
          <w:color w:val="231F20"/>
        </w:rPr>
        <w:t>There are already a variety of available drug therapies marketed for cancer and some of the currently approved drug therapies are branded and subject to patent protection and others are available on a generic basis. Many of these approved drugs are well established therapies and are widely accepted by physicians, patients and third-party payors. Insurers and other third-party payors may also encourage the use of generic products. We expect that if evorpacept and/or any of our other future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w:t>
      </w:r>
    </w:p>
    <w:p>
      <w:pPr>
        <w:spacing w:after="0" w:line="114" w:lineRule="exact"/>
        <w:rPr>
          <w:sz w:val="20"/>
          <w:szCs w:val="20"/>
          <w:color w:val="auto"/>
        </w:rPr>
      </w:pPr>
    </w:p>
    <w:p>
      <w:pPr>
        <w:ind w:right="60" w:firstLine="475"/>
        <w:spacing w:after="0" w:line="277" w:lineRule="auto"/>
        <w:rPr>
          <w:sz w:val="20"/>
          <w:szCs w:val="20"/>
          <w:color w:val="auto"/>
        </w:rPr>
      </w:pPr>
      <w:r>
        <w:rPr>
          <w:rFonts w:ascii="Arial" w:cs="Arial" w:eastAsia="Arial" w:hAnsi="Arial"/>
          <w:sz w:val="17"/>
          <w:szCs w:val="17"/>
          <w:b w:val="1"/>
          <w:bCs w:val="1"/>
          <w:color w:val="231F20"/>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96" w:lineRule="exact"/>
        <w:rPr>
          <w:sz w:val="20"/>
          <w:szCs w:val="20"/>
          <w:color w:val="auto"/>
        </w:rPr>
      </w:pPr>
    </w:p>
    <w:p>
      <w:pPr>
        <w:ind w:firstLine="475"/>
        <w:spacing w:after="0" w:line="259" w:lineRule="auto"/>
        <w:rPr>
          <w:sz w:val="20"/>
          <w:szCs w:val="20"/>
          <w:color w:val="auto"/>
        </w:rPr>
      </w:pPr>
      <w:r>
        <w:rPr>
          <w:rFonts w:ascii="Arial" w:cs="Arial" w:eastAsia="Arial" w:hAnsi="Arial"/>
          <w:sz w:val="18"/>
          <w:szCs w:val="18"/>
          <w:b w:val="1"/>
          <w:bCs w:val="1"/>
          <w:color w:val="231F20"/>
        </w:rPr>
        <w:t>We could see a reduction or elimination of our commercial opportunity if our competitors develop and commercialize products that are safer, more effective, more convenient or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price, the level of biosimilar or generic competition and the availability of reimbursement from government and other third-party payors. The inability to compete with existing or subsequently introduced drugs would harm our business, financial condition and results of operations.</w:t>
      </w:r>
    </w:p>
    <w:p>
      <w:pPr>
        <w:sectPr>
          <w:pgSz w:w="12240" w:h="15840" w:orient="portrait"/>
          <w:cols w:equalWidth="0" w:num="1">
            <w:col w:w="10460"/>
          </w:cols>
          <w:pgMar w:left="880" w:top="1160" w:right="90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231F20"/>
        </w:rPr>
        <w:t>16</w:t>
      </w:r>
    </w:p>
    <w:p>
      <w:pPr>
        <w:sectPr>
          <w:pgSz w:w="12240" w:h="15840" w:orient="portrait"/>
          <w:cols w:equalWidth="0" w:num="1">
            <w:col w:w="10460"/>
          </w:cols>
          <w:pgMar w:left="880" w:top="1160" w:right="900" w:bottom="390" w:gutter="0" w:footer="0" w:header="0"/>
          <w:type w:val="continuous"/>
        </w:sectPr>
      </w:pPr>
    </w:p>
    <w:bookmarkStart w:id="24" w:name="page25"/>
    <w:bookmarkEnd w:id="24"/>
    <w:p>
      <w:pPr>
        <w:spacing w:after="0"/>
        <w:rPr>
          <w:sz w:val="20"/>
          <w:szCs w:val="20"/>
          <w:color w:val="auto"/>
        </w:rPr>
      </w:pPr>
      <w:r>
        <w:rPr>
          <w:rFonts w:ascii="Arial" w:cs="Arial" w:eastAsia="Arial" w:hAnsi="Arial"/>
          <w:sz w:val="19"/>
          <w:szCs w:val="19"/>
          <w:b w:val="1"/>
          <w:bCs w:val="1"/>
          <w:color w:val="231F20"/>
        </w:rPr>
        <w:t>Government Regulation</w:t>
      </w:r>
    </w:p>
    <w:p>
      <w:pPr>
        <w:spacing w:after="0" w:line="128" w:lineRule="exact"/>
        <w:rPr>
          <w:sz w:val="20"/>
          <w:szCs w:val="20"/>
          <w:color w:val="auto"/>
        </w:rPr>
      </w:pPr>
    </w:p>
    <w:p>
      <w:pPr>
        <w:ind w:right="40" w:firstLine="475"/>
        <w:spacing w:after="0" w:line="222" w:lineRule="exact"/>
        <w:rPr>
          <w:sz w:val="20"/>
          <w:szCs w:val="20"/>
          <w:color w:val="auto"/>
        </w:rPr>
      </w:pPr>
      <w:r>
        <w:rPr>
          <w:rFonts w:ascii="Arial" w:cs="Arial" w:eastAsia="Arial" w:hAnsi="Arial"/>
          <w:sz w:val="16"/>
          <w:szCs w:val="16"/>
          <w:b w:val="1"/>
          <w:bCs w:val="1"/>
          <w:color w:val="231F20"/>
        </w:rPr>
        <w:t>In the United States, the FDA, regulates biologic products under the Food, Drug, and Cosmetic Act, or FDCA, and Public Health Service Act, or PHSA. Biologic products and substances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the FDA</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132" w:lineRule="exact"/>
        <w:rPr>
          <w:sz w:val="20"/>
          <w:szCs w:val="20"/>
          <w:color w:val="auto"/>
        </w:rPr>
      </w:pPr>
    </w:p>
    <w:p>
      <w:pPr>
        <w:ind w:right="140" w:firstLine="475"/>
        <w:spacing w:after="0" w:line="298" w:lineRule="auto"/>
        <w:rPr>
          <w:sz w:val="20"/>
          <w:szCs w:val="20"/>
          <w:color w:val="auto"/>
        </w:rPr>
      </w:pPr>
      <w:r>
        <w:rPr>
          <w:rFonts w:ascii="Arial" w:cs="Arial" w:eastAsia="Arial" w:hAnsi="Arial"/>
          <w:sz w:val="16"/>
          <w:szCs w:val="16"/>
          <w:b w:val="1"/>
          <w:bCs w:val="1"/>
          <w:color w:val="231F20"/>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 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spacing w:after="0" w:line="311"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U.S. Biologics Regulation</w:t>
      </w:r>
    </w:p>
    <w:p>
      <w:pPr>
        <w:spacing w:after="0" w:line="128" w:lineRule="exact"/>
        <w:rPr>
          <w:sz w:val="20"/>
          <w:szCs w:val="20"/>
          <w:color w:val="auto"/>
        </w:rPr>
      </w:pPr>
    </w:p>
    <w:p>
      <w:pPr>
        <w:ind w:right="160" w:firstLine="475"/>
        <w:spacing w:after="0" w:line="239" w:lineRule="auto"/>
        <w:rPr>
          <w:sz w:val="20"/>
          <w:szCs w:val="20"/>
          <w:color w:val="auto"/>
        </w:rPr>
      </w:pPr>
      <w:r>
        <w:rPr>
          <w:rFonts w:ascii="Arial" w:cs="Arial" w:eastAsia="Arial" w:hAnsi="Arial"/>
          <w:sz w:val="19"/>
          <w:szCs w:val="19"/>
          <w:b w:val="1"/>
          <w:bCs w:val="1"/>
          <w:color w:val="231F20"/>
        </w:rPr>
        <w:t>Any future product candidates must be approved by the FDA through the BLA process before they may be legally marketed in the United States.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The process generally involves the following:</w:t>
      </w:r>
    </w:p>
    <w:p>
      <w:pPr>
        <w:spacing w:after="0" w:line="125" w:lineRule="exact"/>
        <w:rPr>
          <w:sz w:val="20"/>
          <w:szCs w:val="20"/>
          <w:color w:val="auto"/>
        </w:rPr>
      </w:pPr>
    </w:p>
    <w:p>
      <w:pPr>
        <w:ind w:left="960" w:right="180"/>
        <w:spacing w:after="0" w:line="218" w:lineRule="exact"/>
        <w:rPr>
          <w:sz w:val="20"/>
          <w:szCs w:val="20"/>
          <w:color w:val="auto"/>
        </w:rPr>
      </w:pPr>
      <w:r>
        <w:rPr>
          <w:rFonts w:ascii="Arial" w:cs="Arial" w:eastAsia="Arial" w:hAnsi="Arial"/>
          <w:sz w:val="19"/>
          <w:szCs w:val="19"/>
          <w:b w:val="1"/>
          <w:bCs w:val="1"/>
          <w:color w:val="231F20"/>
        </w:rPr>
        <w:t>Completion of extensive preclinical laboratory tests and animal studies performed in accordance with the FDA</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current Good Laboratory Practices, or GLP,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-242570</wp:posOffset>
            </wp:positionV>
            <wp:extent cx="62230" cy="635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8" w:lineRule="exact"/>
        <w:rPr>
          <w:sz w:val="20"/>
          <w:szCs w:val="20"/>
          <w:color w:val="auto"/>
        </w:rPr>
      </w:pPr>
    </w:p>
    <w:p>
      <w:pPr>
        <w:ind w:left="960" w:right="140"/>
        <w:spacing w:after="0" w:line="266" w:lineRule="auto"/>
        <w:rPr>
          <w:sz w:val="20"/>
          <w:szCs w:val="20"/>
          <w:color w:val="auto"/>
        </w:rPr>
      </w:pPr>
      <w:r>
        <w:rPr>
          <w:rFonts w:ascii="Arial" w:cs="Arial" w:eastAsia="Arial" w:hAnsi="Arial"/>
          <w:sz w:val="18"/>
          <w:szCs w:val="18"/>
          <w:b w:val="1"/>
          <w:bCs w:val="1"/>
          <w:color w:val="231F20"/>
        </w:rPr>
        <w:t>Submission to the FDA of an investigational new drug, or IND, application, which must become effective before clinical trials may begin and must be updated annually or when significant changes are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-259080</wp:posOffset>
            </wp:positionV>
            <wp:extent cx="62230" cy="635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83" w:lineRule="exact"/>
        <w:rPr>
          <w:sz w:val="20"/>
          <w:szCs w:val="20"/>
          <w:color w:val="auto"/>
        </w:rPr>
      </w:pPr>
    </w:p>
    <w:p>
      <w:pPr>
        <w:ind w:left="960" w:right="120"/>
        <w:spacing w:after="0" w:line="239" w:lineRule="auto"/>
        <w:rPr>
          <w:sz w:val="20"/>
          <w:szCs w:val="20"/>
          <w:color w:val="auto"/>
        </w:rPr>
      </w:pPr>
      <w:r>
        <w:rPr>
          <w:rFonts w:ascii="Arial" w:cs="Arial" w:eastAsia="Arial" w:hAnsi="Arial"/>
          <w:sz w:val="19"/>
          <w:szCs w:val="19"/>
          <w:b w:val="1"/>
          <w:bCs w:val="1"/>
          <w:color w:val="231F20"/>
        </w:rPr>
        <w:t>Approval by an independent institutional review board, or IRB, or ethics committee at each clinical site before the trial is commenced.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-242570</wp:posOffset>
            </wp:positionV>
            <wp:extent cx="62230" cy="635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9" w:lineRule="exact"/>
        <w:rPr>
          <w:sz w:val="20"/>
          <w:szCs w:val="20"/>
          <w:color w:val="auto"/>
        </w:rPr>
      </w:pPr>
    </w:p>
    <w:p>
      <w:pPr>
        <w:ind w:left="960" w:right="220"/>
        <w:spacing w:after="0" w:line="262" w:lineRule="auto"/>
        <w:rPr>
          <w:sz w:val="20"/>
          <w:szCs w:val="20"/>
          <w:color w:val="auto"/>
        </w:rPr>
      </w:pPr>
      <w:r>
        <w:rPr>
          <w:rFonts w:ascii="Arial" w:cs="Arial" w:eastAsia="Arial" w:hAnsi="Arial"/>
          <w:sz w:val="18"/>
          <w:szCs w:val="18"/>
          <w:b w:val="1"/>
          <w:bCs w:val="1"/>
          <w:color w:val="231F20"/>
        </w:rPr>
        <w:t>Performance of adequate and well-controlled human clinical trials in accordance with the applicable IND regulations, good clinical practice, or GCP, requirements to establish the safety, purity and potency (i.e., safety and effectiveness) of the proposed biologic product candidate for its intended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-398145</wp:posOffset>
            </wp:positionV>
            <wp:extent cx="62230" cy="635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87" w:lineRule="exact"/>
        <w:rPr>
          <w:sz w:val="20"/>
          <w:szCs w:val="20"/>
          <w:color w:val="auto"/>
        </w:rPr>
      </w:pPr>
    </w:p>
    <w:p>
      <w:pPr>
        <w:ind w:left="960" w:right="220"/>
        <w:spacing w:after="0" w:line="239" w:lineRule="auto"/>
        <w:rPr>
          <w:sz w:val="20"/>
          <w:szCs w:val="20"/>
          <w:color w:val="auto"/>
        </w:rPr>
      </w:pPr>
      <w:r>
        <w:rPr>
          <w:rFonts w:ascii="Arial" w:cs="Arial" w:eastAsia="Arial" w:hAnsi="Arial"/>
          <w:sz w:val="19"/>
          <w:szCs w:val="19"/>
          <w:b w:val="1"/>
          <w:bCs w:val="1"/>
          <w:color w:val="231F20"/>
        </w:rPr>
        <w:t>Compliance with PREA, BPCA and FDARA regarding development of certain molecularly targeted oncology drugs for pediatric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-243840</wp:posOffset>
            </wp:positionV>
            <wp:extent cx="62230" cy="635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1"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Preparation of and submission to the FDA of a BLA after completion of all pivotal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2"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A determination by the FDA within 60 days of its receipt of a BLA to file the application for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5" w:lineRule="exact"/>
        <w:rPr>
          <w:sz w:val="20"/>
          <w:szCs w:val="20"/>
          <w:color w:val="auto"/>
        </w:rPr>
      </w:pPr>
    </w:p>
    <w:p>
      <w:pPr>
        <w:ind w:left="960"/>
        <w:spacing w:after="0"/>
        <w:rPr>
          <w:sz w:val="20"/>
          <w:szCs w:val="20"/>
          <w:color w:val="auto"/>
        </w:rPr>
      </w:pPr>
      <w:r>
        <w:rPr>
          <w:rFonts w:ascii="Arial" w:cs="Arial" w:eastAsia="Arial" w:hAnsi="Arial"/>
          <w:sz w:val="17"/>
          <w:szCs w:val="17"/>
          <w:b w:val="1"/>
          <w:bCs w:val="1"/>
          <w:color w:val="231F20"/>
        </w:rPr>
        <w:t>Satisfactory completion of any FDA audit of selected clinical trial sites that generated the data in support of the BLA.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-90170</wp:posOffset>
            </wp:positionV>
            <wp:extent cx="62230" cy="635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25" w:lineRule="exact"/>
        <w:rPr>
          <w:sz w:val="20"/>
          <w:szCs w:val="20"/>
          <w:color w:val="auto"/>
        </w:rPr>
      </w:pPr>
    </w:p>
    <w:p>
      <w:pPr>
        <w:ind w:left="960" w:right="40"/>
        <w:spacing w:after="0" w:line="220" w:lineRule="exact"/>
        <w:rPr>
          <w:sz w:val="20"/>
          <w:szCs w:val="20"/>
          <w:color w:val="auto"/>
        </w:rPr>
      </w:pPr>
      <w:r>
        <w:rPr>
          <w:rFonts w:ascii="Arial" w:cs="Arial" w:eastAsia="Arial" w:hAnsi="Arial"/>
          <w:sz w:val="18"/>
          <w:szCs w:val="18"/>
          <w:b w:val="1"/>
          <w:bCs w:val="1"/>
          <w:color w:val="231F20"/>
        </w:rPr>
        <w:t>Satisfactory completion of an FDA pre-approval inspection of the manufacturing facility or facilities at which the proposed product is produced to assess compliance with cGMPs, and to assure that the facilities, methods and controls are adequate to preserve the biological product</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continued safety, purity and potency.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-385445</wp:posOffset>
            </wp:positionV>
            <wp:extent cx="62230" cy="635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1"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Satisfactory completion of an FDA Advisory Committee review,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8" w:lineRule="exact"/>
        <w:rPr>
          <w:sz w:val="20"/>
          <w:szCs w:val="20"/>
          <w:color w:val="auto"/>
        </w:rPr>
      </w:pPr>
    </w:p>
    <w:p>
      <w:pPr>
        <w:ind w:left="960"/>
        <w:spacing w:after="0" w:line="238" w:lineRule="auto"/>
        <w:rPr>
          <w:sz w:val="20"/>
          <w:szCs w:val="20"/>
          <w:color w:val="auto"/>
        </w:rPr>
      </w:pPr>
      <w:r>
        <w:rPr>
          <w:rFonts w:ascii="Arial" w:cs="Arial" w:eastAsia="Arial" w:hAnsi="Arial"/>
          <w:sz w:val="19"/>
          <w:szCs w:val="19"/>
          <w:b w:val="1"/>
          <w:bCs w:val="1"/>
          <w:color w:val="231F20"/>
        </w:rPr>
        <w:t>FDA review and approval of a BLA to permit commercial marketing of the product for particular indications for use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-242570</wp:posOffset>
            </wp:positionV>
            <wp:extent cx="62230" cy="635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8" w:lineRule="exact"/>
        <w:rPr>
          <w:sz w:val="20"/>
          <w:szCs w:val="20"/>
          <w:color w:val="auto"/>
        </w:rPr>
      </w:pPr>
    </w:p>
    <w:p>
      <w:pPr>
        <w:ind w:left="960" w:right="120"/>
        <w:spacing w:after="0" w:line="329" w:lineRule="auto"/>
        <w:rPr>
          <w:sz w:val="20"/>
          <w:szCs w:val="20"/>
          <w:color w:val="auto"/>
        </w:rPr>
      </w:pPr>
      <w:r>
        <w:rPr>
          <w:rFonts w:ascii="Arial" w:cs="Arial" w:eastAsia="Arial" w:hAnsi="Arial"/>
          <w:sz w:val="16"/>
          <w:szCs w:val="16"/>
          <w:b w:val="1"/>
          <w:bCs w:val="1"/>
          <w:color w:val="231F20"/>
        </w:rPr>
        <w:t>FDA review and approval of the combination partner NDA/BLA to address any necessary cross-labeling requirements to permit commercial marketing of the combination product for the particular indications for use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-288290</wp:posOffset>
            </wp:positionV>
            <wp:extent cx="62230" cy="635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37" w:lineRule="exact"/>
        <w:rPr>
          <w:sz w:val="20"/>
          <w:szCs w:val="20"/>
          <w:color w:val="auto"/>
        </w:rPr>
      </w:pPr>
    </w:p>
    <w:p>
      <w:pPr>
        <w:ind w:left="960" w:right="20"/>
        <w:spacing w:after="0" w:line="266" w:lineRule="auto"/>
        <w:rPr>
          <w:sz w:val="20"/>
          <w:szCs w:val="20"/>
          <w:color w:val="auto"/>
        </w:rPr>
      </w:pPr>
      <w:r>
        <w:rPr>
          <w:rFonts w:ascii="Arial" w:cs="Arial" w:eastAsia="Arial" w:hAnsi="Arial"/>
          <w:sz w:val="18"/>
          <w:szCs w:val="18"/>
          <w:b w:val="1"/>
          <w:bCs w:val="1"/>
          <w:color w:val="231F20"/>
        </w:rPr>
        <w:t>Compliance with any post-approval requirements, including the potential requirement to implement a Risk Evaluation and Mitigation Strategy, or REMS, and the potential requirement to conduct post-approval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-257175</wp:posOffset>
            </wp:positionV>
            <wp:extent cx="62230" cy="635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ectPr>
          <w:pgSz w:w="12240" w:h="15840" w:orient="portrait"/>
          <w:cols w:equalWidth="0" w:num="1">
            <w:col w:w="10480"/>
          </w:cols>
          <w:pgMar w:left="880" w:top="1160" w:right="88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17</w:t>
      </w:r>
    </w:p>
    <w:p>
      <w:pPr>
        <w:sectPr>
          <w:pgSz w:w="12240" w:h="15840" w:orient="portrait"/>
          <w:cols w:equalWidth="0" w:num="1">
            <w:col w:w="10480"/>
          </w:cols>
          <w:pgMar w:left="880" w:top="1160" w:right="880" w:bottom="390" w:gutter="0" w:footer="0" w:header="0"/>
          <w:type w:val="continuous"/>
        </w:sectPr>
      </w:pPr>
    </w:p>
    <w:bookmarkStart w:id="25" w:name="page26"/>
    <w:bookmarkEnd w:id="25"/>
    <w:p>
      <w:pPr>
        <w:spacing w:after="0"/>
        <w:rPr>
          <w:sz w:val="20"/>
          <w:szCs w:val="20"/>
          <w:color w:val="auto"/>
        </w:rPr>
      </w:pPr>
      <w:r>
        <w:rPr>
          <w:rFonts w:ascii="Arial" w:cs="Arial" w:eastAsia="Arial" w:hAnsi="Arial"/>
          <w:sz w:val="19"/>
          <w:szCs w:val="19"/>
          <w:b w:val="1"/>
          <w:bCs w:val="1"/>
          <w:color w:val="231F20"/>
        </w:rPr>
        <w:t>Preclinical and Clinical Development</w:t>
      </w:r>
    </w:p>
    <w:p>
      <w:pPr>
        <w:spacing w:after="0" w:line="128" w:lineRule="exact"/>
        <w:rPr>
          <w:sz w:val="20"/>
          <w:szCs w:val="20"/>
          <w:color w:val="auto"/>
        </w:rPr>
      </w:pPr>
    </w:p>
    <w:p>
      <w:pPr>
        <w:ind w:right="140" w:firstLine="475"/>
        <w:spacing w:after="0" w:line="262" w:lineRule="auto"/>
        <w:rPr>
          <w:sz w:val="20"/>
          <w:szCs w:val="20"/>
          <w:color w:val="auto"/>
        </w:rPr>
      </w:pPr>
      <w:r>
        <w:rPr>
          <w:rFonts w:ascii="Arial" w:cs="Arial" w:eastAsia="Arial" w:hAnsi="Arial"/>
          <w:sz w:val="18"/>
          <w:szCs w:val="18"/>
          <w:b w:val="1"/>
          <w:bCs w:val="1"/>
          <w:color w:val="231F20"/>
        </w:rPr>
        <w:t>The data required to support a BLA are generated in two distinct developmental stages: preclinical and clinical. The preclinical and clinical testing and approval process require substantial time, effort and financial resources, and we cannot be certain that any approvals for any future product candidates will be granted on a timely basis, or at all.</w:t>
      </w:r>
    </w:p>
    <w:p>
      <w:pPr>
        <w:spacing w:after="0" w:line="107" w:lineRule="exact"/>
        <w:rPr>
          <w:sz w:val="20"/>
          <w:szCs w:val="20"/>
          <w:color w:val="auto"/>
        </w:rPr>
      </w:pPr>
    </w:p>
    <w:p>
      <w:pPr>
        <w:ind w:firstLine="475"/>
        <w:spacing w:after="0" w:line="297" w:lineRule="auto"/>
        <w:rPr>
          <w:sz w:val="20"/>
          <w:szCs w:val="20"/>
          <w:color w:val="auto"/>
        </w:rPr>
      </w:pPr>
      <w:r>
        <w:rPr>
          <w:rFonts w:ascii="Arial" w:cs="Arial" w:eastAsia="Arial" w:hAnsi="Arial"/>
          <w:sz w:val="16"/>
          <w:szCs w:val="16"/>
          <w:b w:val="1"/>
          <w:bCs w:val="1"/>
          <w:color w:val="231F20"/>
        </w:rPr>
        <w:t>The preclinical developmental stage generally involves laboratory evaluations of product chemistry, formulation and stability, as well as studies to evaluate toxicity in animals, including pharmacology, PK, toxicokinetic and metabolism studies, that support subsequent clinical testing in humans. The sponsor must submit the results of the preclinical studies, together with manufacturing information, analytical data, any available clinical data or literature and a proposed clinical protocol, to the FDA as part of the IND. Preclinical studies include laboratory evaluation of product chemistry and formulation, as well as in vitro and animal studies to assess the potential for adverse events and in some cases to establish a rationale for therapeutic use. The conduct of preclinical studies is subject to federal regulations and requirements, including GLP regulations for safety/toxicology studies.</w:t>
      </w:r>
    </w:p>
    <w:p>
      <w:pPr>
        <w:spacing w:after="0" w:line="84" w:lineRule="exact"/>
        <w:rPr>
          <w:sz w:val="20"/>
          <w:szCs w:val="20"/>
          <w:color w:val="auto"/>
        </w:rPr>
      </w:pPr>
    </w:p>
    <w:p>
      <w:pPr>
        <w:ind w:right="200" w:firstLine="475"/>
        <w:spacing w:after="0" w:line="266" w:lineRule="auto"/>
        <w:rPr>
          <w:sz w:val="20"/>
          <w:szCs w:val="20"/>
          <w:color w:val="auto"/>
        </w:rPr>
      </w:pPr>
      <w:r>
        <w:rPr>
          <w:rFonts w:ascii="Arial" w:cs="Arial" w:eastAsia="Arial" w:hAnsi="Arial"/>
          <w:sz w:val="18"/>
          <w:szCs w:val="18"/>
          <w:b w:val="1"/>
          <w:bCs w:val="1"/>
          <w:color w:val="231F20"/>
        </w:rPr>
        <w:t>Prior to beginning the first clinical trial with a product candidate, we must submit an IND to the FDA. An IND is a request for authorization from the FDA to administer an investigational new biopharmaceutical product to humans.</w:t>
      </w:r>
    </w:p>
    <w:p>
      <w:pPr>
        <w:spacing w:after="0" w:line="105" w:lineRule="exact"/>
        <w:rPr>
          <w:sz w:val="20"/>
          <w:szCs w:val="20"/>
          <w:color w:val="auto"/>
        </w:rPr>
      </w:pPr>
    </w:p>
    <w:p>
      <w:pPr>
        <w:ind w:firstLine="475"/>
        <w:spacing w:after="0" w:line="260" w:lineRule="auto"/>
        <w:rPr>
          <w:sz w:val="20"/>
          <w:szCs w:val="20"/>
          <w:color w:val="auto"/>
        </w:rPr>
      </w:pPr>
      <w:r>
        <w:rPr>
          <w:rFonts w:ascii="Arial" w:cs="Arial" w:eastAsia="Arial" w:hAnsi="Arial"/>
          <w:sz w:val="18"/>
          <w:szCs w:val="18"/>
          <w:b w:val="1"/>
          <w:bCs w:val="1"/>
          <w:color w:val="231F20"/>
        </w:rPr>
        <w:t>The central focus of an IND submission is on the general investigational plan and the protocol(s) for clinical trials. An IND must become effective before human clinical trials may begin. The IND automatically becomes effective 30 days after receipt by the FDA, unless before that time the FDA raises any concerns or questions about the proposed clinical trial(s) and places the trial(s) on clinical hold.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09" w:lineRule="exact"/>
        <w:rPr>
          <w:sz w:val="20"/>
          <w:szCs w:val="20"/>
          <w:color w:val="auto"/>
        </w:rPr>
      </w:pPr>
    </w:p>
    <w:p>
      <w:pPr>
        <w:ind w:right="20" w:firstLine="475"/>
        <w:spacing w:after="0" w:line="293" w:lineRule="auto"/>
        <w:rPr>
          <w:sz w:val="20"/>
          <w:szCs w:val="20"/>
          <w:color w:val="auto"/>
        </w:rPr>
      </w:pPr>
      <w:r>
        <w:rPr>
          <w:rFonts w:ascii="Arial" w:cs="Arial" w:eastAsia="Arial" w:hAnsi="Arial"/>
          <w:sz w:val="16"/>
          <w:szCs w:val="16"/>
          <w:b w:val="1"/>
          <w:bCs w:val="1"/>
          <w:color w:val="231F20"/>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an independent IRB for each site proposing to conduct the clinical trial must review and approve the plan for any clinical trial and its informed consent form before the clinical trial begins at that site and must monitor the trial until completed. Regulatory authorities, the IRB, or the sponsor may suspend a clinical trial at any time on various grounds, including a finding that the subjects are being exposed to an unacceptable health risk or that the trial is unlikely to meet its stated objectives. Some trials also include oversight by an independent group of qualified experts organized by the clinical trial sponsor, known as a data safety monitoring board, which provides authorization for whether or not a trial may move forward at designated check points based on access to certain data from the trial and may halt the clinical trial if it determines that there is an unacceptable safety risk for subjects or other grounds, such as no demonstration of efficacy. There are also requirements governing the reporting of ongoing preclinical studies and clinical trials and clinical trial results to public registries.</w:t>
      </w:r>
    </w:p>
    <w:p>
      <w:pPr>
        <w:spacing w:after="0" w:line="95" w:lineRule="exact"/>
        <w:rPr>
          <w:sz w:val="20"/>
          <w:szCs w:val="20"/>
          <w:color w:val="auto"/>
        </w:rPr>
      </w:pPr>
    </w:p>
    <w:p>
      <w:pPr>
        <w:ind w:right="60" w:firstLine="475"/>
        <w:spacing w:after="0" w:line="278" w:lineRule="auto"/>
        <w:rPr>
          <w:sz w:val="20"/>
          <w:szCs w:val="20"/>
          <w:color w:val="auto"/>
        </w:rPr>
      </w:pPr>
      <w:r>
        <w:rPr>
          <w:rFonts w:ascii="Arial" w:cs="Arial" w:eastAsia="Arial" w:hAnsi="Arial"/>
          <w:sz w:val="17"/>
          <w:szCs w:val="17"/>
          <w:b w:val="1"/>
          <w:bCs w:val="1"/>
          <w:color w:val="231F20"/>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 BLA. The FDA will accept a well-designed and well-conducted foreign clinical trial not conducted under an IND if the trial was conducted in accordance with GCP requirements, the clinical data are relevant to the US patient population in terms of medical practice, standard of care, and patient population definition, and the FDA is able to validate the data through an onsite inspection if deemed necessary.</w:t>
      </w:r>
    </w:p>
    <w:p>
      <w:pPr>
        <w:spacing w:after="0" w:line="96"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231F20"/>
        </w:rPr>
        <w:t>For purposes of BLA approval, human clinical trials are typically conducted in three sequential phases that may overlap.</w:t>
      </w:r>
    </w:p>
    <w:p>
      <w:pPr>
        <w:spacing w:after="0" w:line="143" w:lineRule="exact"/>
        <w:rPr>
          <w:sz w:val="20"/>
          <w:szCs w:val="20"/>
          <w:color w:val="auto"/>
        </w:rPr>
      </w:pPr>
    </w:p>
    <w:p>
      <w:pPr>
        <w:ind w:left="960" w:right="600"/>
        <w:spacing w:after="0" w:line="303" w:lineRule="auto"/>
        <w:rPr>
          <w:sz w:val="20"/>
          <w:szCs w:val="20"/>
          <w:color w:val="auto"/>
        </w:rPr>
      </w:pPr>
      <w:r>
        <w:rPr>
          <w:rFonts w:ascii="Arial" w:cs="Arial" w:eastAsia="Arial" w:hAnsi="Arial"/>
          <w:sz w:val="16"/>
          <w:szCs w:val="16"/>
          <w:b w:val="1"/>
          <w:bCs w:val="1"/>
          <w:color w:val="231F20"/>
        </w:rPr>
        <w:t>Phase 1. For biologics being studied in oncology indications, the investigational product is initially introduced into patients with the target disease or condition. These trials are generally designed to test the safety, dosage tolerance, absorption, metabolism and distribution of the investigational product in humans, to identify possible side effects associated with increasing doses, and, if possible, to gain early evidence on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-556260</wp:posOffset>
            </wp:positionV>
            <wp:extent cx="62230" cy="635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61" w:lineRule="exact"/>
        <w:rPr>
          <w:sz w:val="20"/>
          <w:szCs w:val="20"/>
          <w:color w:val="auto"/>
        </w:rPr>
      </w:pPr>
    </w:p>
    <w:p>
      <w:pPr>
        <w:ind w:left="960"/>
        <w:spacing w:after="0" w:line="261" w:lineRule="auto"/>
        <w:rPr>
          <w:sz w:val="20"/>
          <w:szCs w:val="20"/>
          <w:color w:val="auto"/>
        </w:rPr>
      </w:pPr>
      <w:r>
        <w:rPr>
          <w:rFonts w:ascii="Arial" w:cs="Arial" w:eastAsia="Arial" w:hAnsi="Arial"/>
          <w:sz w:val="18"/>
          <w:szCs w:val="18"/>
          <w:b w:val="1"/>
          <w:bCs w:val="1"/>
          <w:color w:val="231F20"/>
        </w:rPr>
        <w:t>Phase 2. The investigational product is administered to a limited patient population with a specified disease or condition to evaluate the preliminary efficacy, optimal dosages and dosing schedule and to identify possible adverse side effects and safety risks and additional information on PK and PD. Multiple Phase 2 clinical trials may be conducted to obtain information prior to beginning larger and more expensive Phase 3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-539115</wp:posOffset>
            </wp:positionV>
            <wp:extent cx="62230" cy="635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88" w:lineRule="exact"/>
        <w:rPr>
          <w:sz w:val="20"/>
          <w:szCs w:val="20"/>
          <w:color w:val="auto"/>
        </w:rPr>
      </w:pPr>
    </w:p>
    <w:p>
      <w:pPr>
        <w:ind w:left="960" w:right="40"/>
        <w:spacing w:after="0" w:line="279" w:lineRule="auto"/>
        <w:rPr>
          <w:sz w:val="20"/>
          <w:szCs w:val="20"/>
          <w:color w:val="auto"/>
        </w:rPr>
      </w:pPr>
      <w:r>
        <w:rPr>
          <w:rFonts w:ascii="Arial" w:cs="Arial" w:eastAsia="Arial" w:hAnsi="Arial"/>
          <w:sz w:val="17"/>
          <w:szCs w:val="17"/>
          <w:b w:val="1"/>
          <w:bCs w:val="1"/>
          <w:color w:val="231F20"/>
        </w:rPr>
        <w:t>Phase 3. The investigational product is administered to an expanded patient population to further evaluate dosage, to provide statistically significant evidence of clinical efficacy and to further test for safety, purity and potency for an intended use, and generally at multiple geographically dispersed clinical trial sites. These clinical trials are intended to establish the overall risk/benefit ratio of the investigational product and to provide an adequate basis for product approval. These trials may include comparisons with placebo and/or other comparator treatments.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-687705</wp:posOffset>
            </wp:positionV>
            <wp:extent cx="62230" cy="635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ectPr>
          <w:pgSz w:w="12240" w:h="15840" w:orient="portrait"/>
          <w:cols w:equalWidth="0" w:num="1">
            <w:col w:w="10480"/>
          </w:cols>
          <w:pgMar w:left="880" w:top="1160" w:right="880" w:bottom="39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18</w:t>
      </w:r>
    </w:p>
    <w:p>
      <w:pPr>
        <w:sectPr>
          <w:pgSz w:w="12240" w:h="15840" w:orient="portrait"/>
          <w:cols w:equalWidth="0" w:num="1">
            <w:col w:w="10480"/>
          </w:cols>
          <w:pgMar w:left="880" w:top="1160" w:right="880" w:bottom="390" w:gutter="0" w:footer="0" w:header="0"/>
          <w:type w:val="continuous"/>
        </w:sectPr>
      </w:pPr>
    </w:p>
    <w:bookmarkStart w:id="26" w:name="page27"/>
    <w:bookmarkEnd w:id="26"/>
    <w:p>
      <w:pPr>
        <w:ind w:right="100" w:firstLine="475"/>
        <w:spacing w:after="0" w:line="296" w:lineRule="auto"/>
        <w:rPr>
          <w:sz w:val="20"/>
          <w:szCs w:val="20"/>
          <w:color w:val="auto"/>
        </w:rPr>
      </w:pPr>
      <w:r>
        <w:rPr>
          <w:rFonts w:ascii="Arial" w:cs="Arial" w:eastAsia="Arial" w:hAnsi="Arial"/>
          <w:sz w:val="16"/>
          <w:szCs w:val="16"/>
          <w:b w:val="1"/>
          <w:bCs w:val="1"/>
          <w:color w:val="231F20"/>
        </w:rPr>
        <w:t>In some cases, the FDA may require, or companies may voluntarily pursue, additional clinical trials after a product is approved to gain more information about the product. These so-called Phase 4 trials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315"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BLA Submission and Review</w:t>
      </w:r>
    </w:p>
    <w:p>
      <w:pPr>
        <w:spacing w:after="0" w:line="125" w:lineRule="exact"/>
        <w:rPr>
          <w:sz w:val="20"/>
          <w:szCs w:val="20"/>
          <w:color w:val="auto"/>
        </w:rPr>
      </w:pPr>
    </w:p>
    <w:p>
      <w:pPr>
        <w:ind w:right="100" w:firstLine="475"/>
        <w:spacing w:after="0" w:line="222" w:lineRule="exact"/>
        <w:rPr>
          <w:sz w:val="20"/>
          <w:szCs w:val="20"/>
          <w:color w:val="auto"/>
        </w:rPr>
      </w:pPr>
      <w:r>
        <w:rPr>
          <w:rFonts w:ascii="Arial" w:cs="Arial" w:eastAsia="Arial" w:hAnsi="Arial"/>
          <w:sz w:val="16"/>
          <w:szCs w:val="16"/>
          <w:b w:val="1"/>
          <w:bCs w:val="1"/>
          <w:color w:val="231F20"/>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studies and clinical trials, including negative or ambiguous results as well as positive findings, together with detailed information relating to the product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chemistry, manufacturing, controls and proposed labeling, among other things. The submission of a BLA requires payment of a substantial application user fee to the FDA, unless a waiver or exemption applies.</w:t>
      </w:r>
    </w:p>
    <w:p>
      <w:pPr>
        <w:spacing w:after="0" w:line="127" w:lineRule="exact"/>
        <w:rPr>
          <w:sz w:val="20"/>
          <w:szCs w:val="20"/>
          <w:color w:val="auto"/>
        </w:rPr>
      </w:pPr>
    </w:p>
    <w:p>
      <w:pPr>
        <w:ind w:right="100" w:firstLine="475"/>
        <w:spacing w:after="0" w:line="222" w:lineRule="exact"/>
        <w:rPr>
          <w:sz w:val="20"/>
          <w:szCs w:val="20"/>
          <w:color w:val="auto"/>
        </w:rPr>
      </w:pPr>
      <w:r>
        <w:rPr>
          <w:rFonts w:ascii="Arial" w:cs="Arial" w:eastAsia="Arial" w:hAnsi="Arial"/>
          <w:sz w:val="16"/>
          <w:szCs w:val="16"/>
          <w:b w:val="1"/>
          <w:bCs w:val="1"/>
          <w:color w:val="231F20"/>
        </w:rPr>
        <w:t>Once a BLA has been submitted, the FDA</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goal is to review standard applications within ten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w:t>
      </w:r>
    </w:p>
    <w:p>
      <w:pPr>
        <w:spacing w:after="0" w:line="127" w:lineRule="exact"/>
        <w:rPr>
          <w:sz w:val="20"/>
          <w:szCs w:val="20"/>
          <w:color w:val="auto"/>
        </w:rPr>
      </w:pPr>
    </w:p>
    <w:p>
      <w:pPr>
        <w:ind w:right="60" w:firstLine="475"/>
        <w:spacing w:after="0" w:line="243" w:lineRule="auto"/>
        <w:rPr>
          <w:sz w:val="20"/>
          <w:szCs w:val="20"/>
          <w:color w:val="auto"/>
        </w:rPr>
      </w:pPr>
      <w:r>
        <w:rPr>
          <w:rFonts w:ascii="Arial" w:cs="Arial" w:eastAsia="Arial" w:hAnsi="Arial"/>
          <w:sz w:val="19"/>
          <w:szCs w:val="19"/>
          <w:b w:val="1"/>
          <w:bCs w:val="1"/>
          <w:color w:val="231F20"/>
        </w:rPr>
        <w:t>Additionally, before approving a BLA,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25" w:lineRule="exact"/>
        <w:rPr>
          <w:sz w:val="20"/>
          <w:szCs w:val="20"/>
          <w:color w:val="auto"/>
        </w:rPr>
      </w:pPr>
    </w:p>
    <w:p>
      <w:pPr>
        <w:ind w:firstLine="478"/>
        <w:spacing w:after="0" w:line="276" w:lineRule="auto"/>
        <w:rPr>
          <w:sz w:val="20"/>
          <w:szCs w:val="20"/>
          <w:color w:val="auto"/>
        </w:rPr>
      </w:pPr>
      <w:r>
        <w:rPr>
          <w:rFonts w:ascii="Arial" w:cs="Arial" w:eastAsia="Arial" w:hAnsi="Arial"/>
          <w:sz w:val="17"/>
          <w:szCs w:val="17"/>
          <w:b w:val="1"/>
          <w:bCs w:val="1"/>
          <w:color w:val="231F20"/>
        </w:rPr>
        <w:t>After the FDA evaluates a BLA and conducts inspections of manufacturing facilities where the investigational product and/or its biopharmaceutical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99" w:lineRule="exact"/>
        <w:rPr>
          <w:sz w:val="20"/>
          <w:szCs w:val="20"/>
          <w:color w:val="auto"/>
        </w:rPr>
      </w:pPr>
    </w:p>
    <w:p>
      <w:pPr>
        <w:ind w:right="60" w:firstLine="478"/>
        <w:spacing w:after="0" w:line="222" w:lineRule="exact"/>
        <w:rPr>
          <w:sz w:val="20"/>
          <w:szCs w:val="20"/>
          <w:color w:val="auto"/>
        </w:rPr>
      </w:pPr>
      <w:r>
        <w:rPr>
          <w:rFonts w:ascii="Arial" w:cs="Arial" w:eastAsia="Arial" w:hAnsi="Arial"/>
          <w:sz w:val="17"/>
          <w:szCs w:val="17"/>
          <w:b w:val="1"/>
          <w:bCs w:val="1"/>
          <w:color w:val="231F20"/>
        </w:rPr>
        <w:t>If regulatory approval of a product is granted, such approval will be granted for particular indications and may entail limitations on the indicated uses for which such product may be marketed. For example, the FDA may approve the BLA with a Risk Evaluation and Management Strategy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trials and surveillance to further assess and monitor the product</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safety and effectiveness after commercialization and may limit further marketing of the product based on the results of these post-marketing studies.</w:t>
      </w:r>
    </w:p>
    <w:p>
      <w:pPr>
        <w:sectPr>
          <w:pgSz w:w="12240" w:h="15840" w:orient="portrait"/>
          <w:cols w:equalWidth="0" w:num="1">
            <w:col w:w="10460"/>
          </w:cols>
          <w:pgMar w:left="880" w:top="1165" w:right="90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231F20"/>
        </w:rPr>
        <w:t>19</w:t>
      </w:r>
    </w:p>
    <w:p>
      <w:pPr>
        <w:sectPr>
          <w:pgSz w:w="12240" w:h="15840" w:orient="portrait"/>
          <w:cols w:equalWidth="0" w:num="1">
            <w:col w:w="10460"/>
          </w:cols>
          <w:pgMar w:left="880" w:top="1165" w:right="900" w:bottom="390" w:gutter="0" w:footer="0" w:header="0"/>
          <w:type w:val="continuous"/>
        </w:sectPr>
      </w:pPr>
    </w:p>
    <w:bookmarkStart w:id="27" w:name="page28"/>
    <w:bookmarkEnd w:id="27"/>
    <w:p>
      <w:pPr>
        <w:spacing w:after="0"/>
        <w:rPr>
          <w:sz w:val="20"/>
          <w:szCs w:val="20"/>
          <w:color w:val="auto"/>
        </w:rPr>
      </w:pPr>
      <w:r>
        <w:rPr>
          <w:rFonts w:ascii="Arial" w:cs="Arial" w:eastAsia="Arial" w:hAnsi="Arial"/>
          <w:sz w:val="19"/>
          <w:szCs w:val="19"/>
          <w:b w:val="1"/>
          <w:bCs w:val="1"/>
          <w:color w:val="231F20"/>
        </w:rPr>
        <w:t>Expedited Development and Review Programs</w:t>
      </w:r>
    </w:p>
    <w:p>
      <w:pPr>
        <w:spacing w:after="0" w:line="128" w:lineRule="exact"/>
        <w:rPr>
          <w:sz w:val="20"/>
          <w:szCs w:val="20"/>
          <w:color w:val="auto"/>
        </w:rPr>
      </w:pPr>
    </w:p>
    <w:p>
      <w:pPr>
        <w:ind w:right="40" w:firstLine="475"/>
        <w:spacing w:after="0" w:line="295" w:lineRule="auto"/>
        <w:rPr>
          <w:sz w:val="20"/>
          <w:szCs w:val="20"/>
          <w:color w:val="auto"/>
        </w:rPr>
      </w:pPr>
      <w:r>
        <w:rPr>
          <w:rFonts w:ascii="Arial" w:cs="Arial" w:eastAsia="Arial" w:hAnsi="Arial"/>
          <w:sz w:val="16"/>
          <w:szCs w:val="16"/>
          <w:b w:val="1"/>
          <w:bCs w:val="1"/>
          <w:color w:val="231F20"/>
        </w:rPr>
        <w:t>The FDA offers a number of expedited development and review programs for qualifying product candidates. The Fast Track program is intended to expedite or facilitate the process for reviewing new products that meet certain criteria. Specifically, new products are eligible for Fast Track designation if they are intended to treat patients with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frequent interactions with the review team during product development and, once a BLA is submitted, the product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86" w:lineRule="exact"/>
        <w:rPr>
          <w:sz w:val="20"/>
          <w:szCs w:val="20"/>
          <w:color w:val="auto"/>
        </w:rPr>
      </w:pPr>
    </w:p>
    <w:p>
      <w:pPr>
        <w:ind w:right="100" w:firstLine="475"/>
        <w:spacing w:after="0" w:line="277" w:lineRule="auto"/>
        <w:rPr>
          <w:sz w:val="20"/>
          <w:szCs w:val="20"/>
          <w:color w:val="auto"/>
        </w:rPr>
      </w:pPr>
      <w:r>
        <w:rPr>
          <w:rFonts w:ascii="Arial" w:cs="Arial" w:eastAsia="Arial" w:hAnsi="Arial"/>
          <w:sz w:val="17"/>
          <w:szCs w:val="17"/>
          <w:b w:val="1"/>
          <w:bCs w:val="1"/>
          <w:color w:val="231F20"/>
        </w:rPr>
        <w:t>A product intended to treat patients with a serious or life-threatening disease or condition may also be eligible for breakthrough therapy designation to expedite its development and review. A product can receive breakthrough therapy designation if preliminary clinical evidence indicates that the product,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p>
    <w:p>
      <w:pPr>
        <w:spacing w:after="0" w:line="98" w:lineRule="exact"/>
        <w:rPr>
          <w:sz w:val="20"/>
          <w:szCs w:val="20"/>
          <w:color w:val="auto"/>
        </w:rPr>
      </w:pPr>
    </w:p>
    <w:p>
      <w:pPr>
        <w:ind w:right="40" w:firstLine="475"/>
        <w:spacing w:after="0" w:line="222" w:lineRule="exact"/>
        <w:rPr>
          <w:sz w:val="20"/>
          <w:szCs w:val="20"/>
          <w:color w:val="auto"/>
        </w:rPr>
      </w:pPr>
      <w:r>
        <w:rPr>
          <w:rFonts w:ascii="Arial" w:cs="Arial" w:eastAsia="Arial" w:hAnsi="Arial"/>
          <w:sz w:val="18"/>
          <w:szCs w:val="18"/>
          <w:b w:val="1"/>
          <w:bCs w:val="1"/>
          <w:color w:val="231F20"/>
        </w:rPr>
        <w:t>Any marketing application for a biologic submitted to the FDA for approval, including a product with a Fast Track designation and/or breakthrough therapy designation, may be eligible for other types of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For original BLAs, priority review designation means the FDA</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goal is to take action on the marketing application within six months of the 60-day filing date (as compared to ten months under standard review).</w:t>
      </w:r>
    </w:p>
    <w:p>
      <w:pPr>
        <w:spacing w:after="0" w:line="128" w:lineRule="exact"/>
        <w:rPr>
          <w:sz w:val="20"/>
          <w:szCs w:val="20"/>
          <w:color w:val="auto"/>
        </w:rPr>
      </w:pPr>
    </w:p>
    <w:p>
      <w:pPr>
        <w:ind w:right="100" w:firstLine="475"/>
        <w:spacing w:after="0" w:line="222" w:lineRule="exact"/>
        <w:rPr>
          <w:sz w:val="20"/>
          <w:szCs w:val="20"/>
          <w:color w:val="auto"/>
        </w:rPr>
      </w:pPr>
      <w:r>
        <w:rPr>
          <w:rFonts w:ascii="Arial" w:cs="Arial" w:eastAsia="Arial" w:hAnsi="Arial"/>
          <w:sz w:val="16"/>
          <w:szCs w:val="16"/>
          <w:b w:val="1"/>
          <w:bCs w:val="1"/>
          <w:color w:val="231F20"/>
        </w:rPr>
        <w:t>Additionally, products studied for their safety and effectiveness in treating patients with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trials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 The Food and Drug Omnibus Reform Act made several changes to the FDA</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w:t>
      </w:r>
    </w:p>
    <w:p>
      <w:pPr>
        <w:spacing w:after="0" w:line="132" w:lineRule="exact"/>
        <w:rPr>
          <w:sz w:val="20"/>
          <w:szCs w:val="20"/>
          <w:color w:val="auto"/>
        </w:rPr>
      </w:pPr>
    </w:p>
    <w:p>
      <w:pPr>
        <w:ind w:right="40" w:firstLine="475"/>
        <w:spacing w:after="0" w:line="243" w:lineRule="auto"/>
        <w:rPr>
          <w:sz w:val="20"/>
          <w:szCs w:val="20"/>
          <w:color w:val="auto"/>
        </w:rPr>
      </w:pPr>
      <w:r>
        <w:rPr>
          <w:rFonts w:ascii="Arial" w:cs="Arial" w:eastAsia="Arial" w:hAnsi="Arial"/>
          <w:sz w:val="19"/>
          <w:szCs w:val="19"/>
          <w:b w:val="1"/>
          <w:bCs w:val="1"/>
          <w:color w:val="231F20"/>
        </w:rPr>
        <w:t>Fast track designation, breakthrough therapy designation and priority review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spacing w:after="0" w:line="351"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Orphan Drug Designation</w:t>
      </w:r>
    </w:p>
    <w:p>
      <w:pPr>
        <w:spacing w:after="0" w:line="128" w:lineRule="exact"/>
        <w:rPr>
          <w:sz w:val="20"/>
          <w:szCs w:val="20"/>
          <w:color w:val="auto"/>
        </w:rPr>
      </w:pPr>
    </w:p>
    <w:p>
      <w:pPr>
        <w:ind w:firstLine="475"/>
        <w:spacing w:after="0" w:line="297" w:lineRule="auto"/>
        <w:rPr>
          <w:sz w:val="20"/>
          <w:szCs w:val="20"/>
          <w:color w:val="auto"/>
        </w:rPr>
      </w:pPr>
      <w:r>
        <w:rPr>
          <w:rFonts w:ascii="Arial" w:cs="Arial" w:eastAsia="Arial" w:hAnsi="Arial"/>
          <w:sz w:val="16"/>
          <w:szCs w:val="16"/>
          <w:b w:val="1"/>
          <w:bCs w:val="1"/>
          <w:color w:val="231F20"/>
        </w:rPr>
        <w:t>Under the Orphan Drug Act, the FDA may grant orphan designation to a drug or biologic intended to treat patients with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ectPr>
          <w:pgSz w:w="12240" w:h="15840" w:orient="portrait"/>
          <w:cols w:equalWidth="0" w:num="1">
            <w:col w:w="10460"/>
          </w:cols>
          <w:pgMar w:left="880" w:top="1160" w:right="90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231F20"/>
        </w:rPr>
        <w:t>20</w:t>
      </w:r>
    </w:p>
    <w:p>
      <w:pPr>
        <w:sectPr>
          <w:pgSz w:w="12240" w:h="15840" w:orient="portrait"/>
          <w:cols w:equalWidth="0" w:num="1">
            <w:col w:w="10460"/>
          </w:cols>
          <w:pgMar w:left="880" w:top="1160" w:right="900" w:bottom="390" w:gutter="0" w:footer="0" w:header="0"/>
          <w:type w:val="continuous"/>
        </w:sectPr>
      </w:pPr>
    </w:p>
    <w:bookmarkStart w:id="28" w:name="page29"/>
    <w:bookmarkEnd w:id="28"/>
    <w:p>
      <w:pPr>
        <w:ind w:firstLine="475"/>
        <w:spacing w:after="0" w:line="259" w:lineRule="auto"/>
        <w:rPr>
          <w:sz w:val="20"/>
          <w:szCs w:val="20"/>
          <w:color w:val="auto"/>
        </w:rPr>
      </w:pPr>
      <w:r>
        <w:rPr>
          <w:rFonts w:ascii="Arial" w:cs="Arial" w:eastAsia="Arial" w:hAnsi="Arial"/>
          <w:sz w:val="18"/>
          <w:szCs w:val="18"/>
          <w:b w:val="1"/>
          <w:bCs w:val="1"/>
          <w:color w:val="231F20"/>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spacing w:after="0" w:line="114" w:lineRule="exact"/>
        <w:rPr>
          <w:sz w:val="20"/>
          <w:szCs w:val="20"/>
          <w:color w:val="auto"/>
        </w:rPr>
      </w:pPr>
    </w:p>
    <w:p>
      <w:pPr>
        <w:ind w:right="180" w:firstLine="475"/>
        <w:spacing w:after="0" w:line="261" w:lineRule="auto"/>
        <w:rPr>
          <w:sz w:val="20"/>
          <w:szCs w:val="20"/>
          <w:color w:val="auto"/>
        </w:rPr>
      </w:pPr>
      <w:r>
        <w:rPr>
          <w:rFonts w:ascii="Arial" w:cs="Arial" w:eastAsia="Arial" w:hAnsi="Arial"/>
          <w:sz w:val="18"/>
          <w:szCs w:val="18"/>
          <w:b w:val="1"/>
          <w:bCs w:val="1"/>
          <w:color w:val="231F20"/>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10" w:lineRule="exact"/>
        <w:rPr>
          <w:sz w:val="20"/>
          <w:szCs w:val="20"/>
          <w:color w:val="auto"/>
        </w:rPr>
      </w:pPr>
    </w:p>
    <w:p>
      <w:pPr>
        <w:ind w:right="100" w:firstLine="475"/>
        <w:spacing w:after="0" w:line="221" w:lineRule="exact"/>
        <w:rPr>
          <w:sz w:val="20"/>
          <w:szCs w:val="20"/>
          <w:color w:val="auto"/>
        </w:rPr>
      </w:pPr>
      <w:r>
        <w:rPr>
          <w:rFonts w:ascii="Arial" w:cs="Arial" w:eastAsia="Arial" w:hAnsi="Arial"/>
          <w:sz w:val="17"/>
          <w:szCs w:val="17"/>
          <w:b w:val="1"/>
          <w:bCs w:val="1"/>
          <w:color w:val="231F20"/>
        </w:rPr>
        <w:t>In a 2021 court case, the court expanded the scope of orphan drug exclusivity by finding that orphan drug exclusivity applies to all uses or indications within an entire disease or condition. This position was in contrast to the FDA</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longstanding view which ties the scope of orphan drug exclusivity to the uses or indications for which a drug is approved, and thus permits other sponsors to obtain approval of a drug for new uses or indications within the same orphan designated disease or condition that have not yet been approved. Following the case, the FDA has indicated that while the agency complies with the court</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order it intends to continue taking a more limited view of orphan designation. As a result, it is unclear how future litigation, legislation, agency decisions, and administrative actions will impact the scope of the orphan drug exclusivity.</w:t>
      </w:r>
    </w:p>
    <w:p>
      <w:pPr>
        <w:spacing w:after="0" w:line="132" w:lineRule="exact"/>
        <w:rPr>
          <w:sz w:val="20"/>
          <w:szCs w:val="20"/>
          <w:color w:val="auto"/>
        </w:rPr>
      </w:pPr>
    </w:p>
    <w:p>
      <w:pPr>
        <w:jc w:val="both"/>
        <w:ind w:firstLine="475"/>
        <w:spacing w:after="0" w:line="222" w:lineRule="exact"/>
        <w:rPr>
          <w:sz w:val="20"/>
          <w:szCs w:val="20"/>
          <w:color w:val="auto"/>
        </w:rPr>
      </w:pPr>
      <w:r>
        <w:rPr>
          <w:rFonts w:ascii="Arial" w:cs="Arial" w:eastAsia="Arial" w:hAnsi="Arial"/>
          <w:sz w:val="16"/>
          <w:szCs w:val="16"/>
          <w:b w:val="1"/>
          <w:bCs w:val="1"/>
          <w:color w:val="231F20"/>
        </w:rPr>
        <w:t>In June 2024, the U.S. Supreme Court overruled the Chevron doctrine, which gives deference to regulatory agencies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statutory interpretations in litigation against federal government agencies, such as the FDA, where the law is ambiguous. This landmark Supreme Court decision may invite various stakeholders to bring lawsuits against the FDA to challenge longstanding decisions and policies, such as market exclusivities, which could lead to uncertainties in the industry. Further, changes in the leadership of the FDA and other federal agencies under the current U.S. presidential administration may lead to new policies, changes in the regulations, or disruptions to the normal operations of federal agencies, any of which may impact our clinical development plans.</w:t>
      </w:r>
    </w:p>
    <w:p>
      <w:pPr>
        <w:spacing w:after="0" w:line="355"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Post-Approval Requirements</w:t>
      </w:r>
    </w:p>
    <w:p>
      <w:pPr>
        <w:spacing w:after="0" w:line="128" w:lineRule="exact"/>
        <w:rPr>
          <w:sz w:val="20"/>
          <w:szCs w:val="20"/>
          <w:color w:val="auto"/>
        </w:rPr>
      </w:pPr>
    </w:p>
    <w:p>
      <w:pPr>
        <w:ind w:right="80" w:firstLine="475"/>
        <w:spacing w:after="0" w:line="293" w:lineRule="auto"/>
        <w:rPr>
          <w:sz w:val="20"/>
          <w:szCs w:val="20"/>
          <w:color w:val="auto"/>
        </w:rPr>
      </w:pPr>
      <w:r>
        <w:rPr>
          <w:rFonts w:ascii="Arial" w:cs="Arial" w:eastAsia="Arial" w:hAnsi="Arial"/>
          <w:sz w:val="16"/>
          <w:szCs w:val="16"/>
          <w:b w:val="1"/>
          <w:bCs w:val="1"/>
          <w:color w:val="231F20"/>
        </w:rPr>
        <w:t>Any products manufactured or distributed by us pursuant to FDA approvals are subject to pervasive and continuing regulation by the FDA, including, among other things, requirements relating to facility registration, biopharmaceutical product listing,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upon us and any third-party manufacturers that we may decide to use. Accordingly, manufacturers must continue to expend time, money and effort in the area of production and quality control to maintain compliance with cGMPs and other aspects of regulatory compliance. Further, if there are any modifications to the drug or biologic, including changes in indications, labeling or manufacturing processes or facilities, the applicant may be required to submit and obtain FDA approval of a new BLA or a supplement submission, which may require the development of additional preclinical studies, clinical trials, data and/or assays, such as comparability protocols.</w:t>
      </w:r>
    </w:p>
    <w:p>
      <w:pPr>
        <w:spacing w:after="0" w:line="90" w:lineRule="exact"/>
        <w:rPr>
          <w:sz w:val="20"/>
          <w:szCs w:val="20"/>
          <w:color w:val="auto"/>
        </w:rPr>
      </w:pPr>
    </w:p>
    <w:p>
      <w:pPr>
        <w:ind w:right="40" w:firstLine="475"/>
        <w:spacing w:after="0" w:line="260" w:lineRule="auto"/>
        <w:rPr>
          <w:sz w:val="20"/>
          <w:szCs w:val="20"/>
          <w:color w:val="auto"/>
        </w:rPr>
      </w:pPr>
      <w:r>
        <w:rPr>
          <w:rFonts w:ascii="Arial" w:cs="Arial" w:eastAsia="Arial" w:hAnsi="Arial"/>
          <w:sz w:val="18"/>
          <w:szCs w:val="18"/>
          <w:b w:val="1"/>
          <w:bCs w:val="1"/>
          <w:color w:val="231F20"/>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111" w:lineRule="exact"/>
        <w:rPr>
          <w:sz w:val="20"/>
          <w:szCs w:val="20"/>
          <w:color w:val="auto"/>
        </w:rPr>
      </w:pPr>
    </w:p>
    <w:p>
      <w:pPr>
        <w:ind w:left="960" w:right="480"/>
        <w:spacing w:after="0" w:line="238" w:lineRule="auto"/>
        <w:rPr>
          <w:sz w:val="20"/>
          <w:szCs w:val="20"/>
          <w:color w:val="auto"/>
        </w:rPr>
      </w:pPr>
      <w:r>
        <w:rPr>
          <w:rFonts w:ascii="Arial" w:cs="Arial" w:eastAsia="Arial" w:hAnsi="Arial"/>
          <w:sz w:val="19"/>
          <w:szCs w:val="19"/>
          <w:b w:val="1"/>
          <w:bCs w:val="1"/>
          <w:color w:val="231F20"/>
        </w:rPr>
        <w:t>Restrictions on the marketing or manufacturing of a product, complete withdrawal of the product from the market or product recalls.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-242570</wp:posOffset>
            </wp:positionV>
            <wp:extent cx="62230" cy="635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3"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Fines, warning letters or holds on post-approval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ectPr>
          <w:pgSz w:w="12240" w:h="15840" w:orient="portrait"/>
          <w:cols w:equalWidth="0" w:num="1">
            <w:col w:w="10480"/>
          </w:cols>
          <w:pgMar w:left="880" w:top="1165" w:right="88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21</w:t>
      </w:r>
    </w:p>
    <w:p>
      <w:pPr>
        <w:sectPr>
          <w:pgSz w:w="12240" w:h="15840" w:orient="portrait"/>
          <w:cols w:equalWidth="0" w:num="1">
            <w:col w:w="10480"/>
          </w:cols>
          <w:pgMar w:left="880" w:top="1165" w:right="880" w:bottom="390" w:gutter="0" w:footer="0" w:header="0"/>
          <w:type w:val="continuous"/>
        </w:sectPr>
      </w:pPr>
    </w:p>
    <w:bookmarkStart w:id="29" w:name="page30"/>
    <w:bookmarkEnd w:id="29"/>
    <w:p>
      <w:pPr>
        <w:ind w:left="960"/>
        <w:spacing w:after="0" w:line="239" w:lineRule="auto"/>
        <w:rPr>
          <w:sz w:val="20"/>
          <w:szCs w:val="20"/>
          <w:color w:val="auto"/>
        </w:rPr>
      </w:pPr>
      <w:r>
        <w:rPr>
          <w:rFonts w:ascii="Arial" w:cs="Arial" w:eastAsia="Arial" w:hAnsi="Arial"/>
          <w:sz w:val="19"/>
          <w:szCs w:val="19"/>
          <w:b w:val="1"/>
          <w:bCs w:val="1"/>
          <w:color w:val="231F20"/>
        </w:rPr>
        <w:t>Refusal of the FDA to approve pending applications or supplements to approved applications, or suspension or revocation of existing product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-242570</wp:posOffset>
            </wp:positionV>
            <wp:extent cx="62230" cy="635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4"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Product seizure or detention, or refusal of the FDA to permit the import or export of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231F20"/>
        </w:rPr>
        <w:t>Consent decrees, corporate integrity agreements, debarment or exclusion from federal healthcare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-97790</wp:posOffset>
            </wp:positionV>
            <wp:extent cx="62230" cy="635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9"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Mandated modification of promotional materials and labeling and the issuance of corrective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5" w:lineRule="exact"/>
        <w:rPr>
          <w:sz w:val="20"/>
          <w:szCs w:val="20"/>
          <w:color w:val="auto"/>
        </w:rPr>
      </w:pPr>
    </w:p>
    <w:p>
      <w:pPr>
        <w:ind w:left="960" w:right="560"/>
        <w:spacing w:after="0" w:line="239" w:lineRule="auto"/>
        <w:rPr>
          <w:sz w:val="20"/>
          <w:szCs w:val="20"/>
          <w:color w:val="auto"/>
        </w:rPr>
      </w:pPr>
      <w:r>
        <w:rPr>
          <w:rFonts w:ascii="Arial" w:cs="Arial" w:eastAsia="Arial" w:hAnsi="Arial"/>
          <w:sz w:val="19"/>
          <w:szCs w:val="19"/>
          <w:b w:val="1"/>
          <w:bCs w:val="1"/>
          <w:color w:val="231F20"/>
        </w:rPr>
        <w:t>The issuance of safety alerts, Dear Healthcare Provider letters, press releases and other communications containing warnings or other safety information about the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-242570</wp:posOffset>
            </wp:positionV>
            <wp:extent cx="62230" cy="635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4"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Injunctions or the imposition of civil or criminal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5" w:lineRule="exact"/>
        <w:rPr>
          <w:sz w:val="20"/>
          <w:szCs w:val="20"/>
          <w:color w:val="auto"/>
        </w:rPr>
      </w:pPr>
    </w:p>
    <w:p>
      <w:pPr>
        <w:jc w:val="both"/>
        <w:ind w:right="180" w:firstLine="475"/>
        <w:spacing w:after="0" w:line="310" w:lineRule="auto"/>
        <w:rPr>
          <w:sz w:val="20"/>
          <w:szCs w:val="20"/>
          <w:color w:val="auto"/>
        </w:rPr>
      </w:pPr>
      <w:r>
        <w:rPr>
          <w:rFonts w:ascii="Arial" w:cs="Arial" w:eastAsia="Arial" w:hAnsi="Arial"/>
          <w:sz w:val="16"/>
          <w:szCs w:val="16"/>
          <w:b w:val="1"/>
          <w:bCs w:val="1"/>
          <w:color w:val="231F20"/>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w:t>
      </w:r>
    </w:p>
    <w:p>
      <w:pPr>
        <w:spacing w:after="0" w:line="72" w:lineRule="exact"/>
        <w:rPr>
          <w:sz w:val="20"/>
          <w:szCs w:val="20"/>
          <w:color w:val="auto"/>
        </w:rPr>
      </w:pPr>
    </w:p>
    <w:p>
      <w:pPr>
        <w:ind w:right="40" w:firstLine="475"/>
        <w:spacing w:after="0" w:line="222" w:lineRule="exact"/>
        <w:rPr>
          <w:sz w:val="20"/>
          <w:szCs w:val="20"/>
          <w:color w:val="auto"/>
        </w:rPr>
      </w:pPr>
      <w:r>
        <w:rPr>
          <w:rFonts w:ascii="Arial" w:cs="Arial" w:eastAsia="Arial" w:hAnsi="Arial"/>
          <w:sz w:val="19"/>
          <w:szCs w:val="19"/>
          <w:b w:val="1"/>
          <w:bCs w:val="1"/>
          <w:color w:val="231F20"/>
        </w:rPr>
        <w:t>Failure to comply with these requirements can result in, among other things, adverse publicity, warning letters, corrective advertising and potential civil and criminal penalties. Physicians may prescribe legally available products for uses that are not described in the product</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communications on the subject of off-label use of their products.</w:t>
      </w:r>
    </w:p>
    <w:p>
      <w:pPr>
        <w:spacing w:after="0" w:line="355"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Biosimilars and Reference Product Exclusivity</w:t>
      </w:r>
    </w:p>
    <w:p>
      <w:pPr>
        <w:spacing w:after="0" w:line="125" w:lineRule="exact"/>
        <w:rPr>
          <w:sz w:val="20"/>
          <w:szCs w:val="20"/>
          <w:color w:val="auto"/>
        </w:rPr>
      </w:pPr>
    </w:p>
    <w:p>
      <w:pPr>
        <w:ind w:right="260" w:firstLine="475"/>
        <w:spacing w:after="0" w:line="242" w:lineRule="auto"/>
        <w:rPr>
          <w:sz w:val="20"/>
          <w:szCs w:val="20"/>
          <w:color w:val="auto"/>
        </w:rPr>
      </w:pPr>
      <w:r>
        <w:rPr>
          <w:rFonts w:ascii="Arial" w:cs="Arial" w:eastAsia="Arial" w:hAnsi="Arial"/>
          <w:sz w:val="19"/>
          <w:szCs w:val="19"/>
          <w:b w:val="1"/>
          <w:bCs w:val="1"/>
          <w:color w:val="231F20"/>
        </w:rPr>
        <w:t>The Patient Protection and Affordable Care Act, or ACA, includes a subtitle called the Biologics Price Competition and Innovation Act of 2009, or BPCIA, which created an abbreviated approval pathway for biological products that are biosimilar to or interchangeable with an FDA approved reference biological product.</w:t>
      </w:r>
    </w:p>
    <w:p>
      <w:pPr>
        <w:spacing w:after="0" w:line="124" w:lineRule="exact"/>
        <w:rPr>
          <w:sz w:val="20"/>
          <w:szCs w:val="20"/>
          <w:color w:val="auto"/>
        </w:rPr>
      </w:pPr>
    </w:p>
    <w:p>
      <w:pPr>
        <w:ind w:firstLine="475"/>
        <w:spacing w:after="0" w:line="298" w:lineRule="auto"/>
        <w:rPr>
          <w:sz w:val="20"/>
          <w:szCs w:val="20"/>
          <w:color w:val="auto"/>
        </w:rPr>
      </w:pPr>
      <w:r>
        <w:rPr>
          <w:rFonts w:ascii="Arial" w:cs="Arial" w:eastAsia="Arial" w:hAnsi="Arial"/>
          <w:sz w:val="16"/>
          <w:szCs w:val="16"/>
          <w:b w:val="1"/>
          <w:bCs w:val="1"/>
          <w:color w:val="231F20"/>
        </w:rPr>
        <w:t>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86" w:lineRule="exact"/>
        <w:rPr>
          <w:sz w:val="20"/>
          <w:szCs w:val="20"/>
          <w:color w:val="auto"/>
        </w:rPr>
      </w:pPr>
    </w:p>
    <w:p>
      <w:pPr>
        <w:ind w:right="60" w:firstLine="475"/>
        <w:spacing w:after="0" w:line="222" w:lineRule="exact"/>
        <w:rPr>
          <w:sz w:val="20"/>
          <w:szCs w:val="20"/>
          <w:color w:val="auto"/>
        </w:rPr>
      </w:pPr>
      <w:r>
        <w:rPr>
          <w:rFonts w:ascii="Arial" w:cs="Arial" w:eastAsia="Arial" w:hAnsi="Arial"/>
          <w:sz w:val="18"/>
          <w:szCs w:val="18"/>
          <w:b w:val="1"/>
          <w:bCs w:val="1"/>
          <w:color w:val="231F20"/>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interchangeable</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 by the FDA will, in fact, be readily substituted by pharmacies, which are governed by state pharmacy law. Additionally, prescribing physicians are free to specify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Do Not Substitute</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 in prescriptions, which would prohibit pharmacists from substituting a branded biologic product for a biosimilar product.</w:t>
      </w:r>
    </w:p>
    <w:p>
      <w:pPr>
        <w:spacing w:after="0" w:line="130" w:lineRule="exact"/>
        <w:rPr>
          <w:sz w:val="20"/>
          <w:szCs w:val="20"/>
          <w:color w:val="auto"/>
        </w:rPr>
      </w:pPr>
    </w:p>
    <w:p>
      <w:pPr>
        <w:ind w:firstLine="475"/>
        <w:spacing w:after="0" w:line="242" w:lineRule="auto"/>
        <w:rPr>
          <w:sz w:val="20"/>
          <w:szCs w:val="20"/>
          <w:color w:val="auto"/>
        </w:rPr>
      </w:pPr>
      <w:r>
        <w:rPr>
          <w:rFonts w:ascii="Arial" w:cs="Arial" w:eastAsia="Arial" w:hAnsi="Arial"/>
          <w:sz w:val="19"/>
          <w:szCs w:val="19"/>
          <w:b w:val="1"/>
          <w:bCs w:val="1"/>
          <w:color w:val="231F20"/>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are subject to uncertainty.</w:t>
      </w:r>
    </w:p>
    <w:p>
      <w:pPr>
        <w:spacing w:after="0" w:line="35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Government Regulation Outside of the United States</w:t>
      </w:r>
    </w:p>
    <w:p>
      <w:pPr>
        <w:spacing w:after="0" w:line="125" w:lineRule="exact"/>
        <w:rPr>
          <w:sz w:val="20"/>
          <w:szCs w:val="20"/>
          <w:color w:val="auto"/>
        </w:rPr>
      </w:pPr>
    </w:p>
    <w:p>
      <w:pPr>
        <w:ind w:firstLine="475"/>
        <w:spacing w:after="0" w:line="260" w:lineRule="auto"/>
        <w:rPr>
          <w:sz w:val="20"/>
          <w:szCs w:val="20"/>
          <w:color w:val="auto"/>
        </w:rPr>
      </w:pPr>
      <w:r>
        <w:rPr>
          <w:rFonts w:ascii="Arial" w:cs="Arial" w:eastAsia="Arial" w:hAnsi="Arial"/>
          <w:sz w:val="18"/>
          <w:szCs w:val="18"/>
          <w:b w:val="1"/>
          <w:bCs w:val="1"/>
          <w:color w:val="231F20"/>
        </w:rPr>
        <w:t>In addition to regulations in the United States, we are subject to a variety of regulations in other jurisdictions where we seek to commercialize any of our product candidates, including countries in Europe and Asia. Such foreign regulations govern, among other things, research and development, clinical trials, testing, manufacturing, safety, efficacy, labeling, packaging, storage, record keeping, distribution, reporting, advertising and other promotional practices involving biological products as well as authorization and approval of our product candidates. Because biologically sourced raw materials are subject to unique contamination risks, their use may be restricted in some countries.</w:t>
      </w:r>
    </w:p>
    <w:p>
      <w:pPr>
        <w:sectPr>
          <w:pgSz w:w="12240" w:h="15840" w:orient="portrait"/>
          <w:cols w:equalWidth="0" w:num="1">
            <w:col w:w="10440"/>
          </w:cols>
          <w:pgMar w:left="880" w:top="1165" w:right="92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231F20"/>
        </w:rPr>
        <w:t>22</w:t>
      </w:r>
    </w:p>
    <w:p>
      <w:pPr>
        <w:sectPr>
          <w:pgSz w:w="12240" w:h="15840" w:orient="portrait"/>
          <w:cols w:equalWidth="0" w:num="1">
            <w:col w:w="10440"/>
          </w:cols>
          <w:pgMar w:left="880" w:top="1165" w:right="920" w:bottom="390" w:gutter="0" w:footer="0" w:header="0"/>
          <w:type w:val="continuous"/>
        </w:sectPr>
      </w:pPr>
    </w:p>
    <w:bookmarkStart w:id="30" w:name="page31"/>
    <w:bookmarkEnd w:id="30"/>
    <w:p>
      <w:pPr>
        <w:ind w:firstLine="475"/>
        <w:spacing w:after="0" w:line="222" w:lineRule="exact"/>
        <w:rPr>
          <w:sz w:val="20"/>
          <w:szCs w:val="20"/>
          <w:color w:val="auto"/>
        </w:rPr>
      </w:pPr>
      <w:r>
        <w:rPr>
          <w:rFonts w:ascii="Arial" w:cs="Arial" w:eastAsia="Arial" w:hAnsi="Arial"/>
          <w:sz w:val="17"/>
          <w:szCs w:val="17"/>
          <w:b w:val="1"/>
          <w:bCs w:val="1"/>
          <w:color w:val="231F20"/>
        </w:rPr>
        <w:t>Whether or not we obtain FDA approval for a product candidate, we must obtain the requisite approvals from regulatory authorities in foreign countries prior to the commencement of a clinical trial or marketing of a product in those countries. Certain countries outside of the United States have a similar approval process that requires the submission of a clinical trial application, or CTA, much like the IND prior to the commencement of human clinical trials. In the European Union, for example, a CTA must be submitted for each clinical trial to each country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national health authority and an independent ethics committee, much like the FDA and an IRB, respectively. Once the CTA is approved in accordance with a country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requirements, the corresponding clinical trial may proceed. The requirements and process governing the conduct of clinical trials, product licensing, pricing and reimbursement vary from country to country. In all cases, the clinical trials must be conducted in accordance with GCP requirements, applicable regulatory requirements and the ethical principles that have their origin in the Declaration of Helsinki.</w:t>
      </w:r>
    </w:p>
    <w:p>
      <w:pPr>
        <w:spacing w:after="0" w:line="356"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European Union Drug Development</w:t>
      </w:r>
    </w:p>
    <w:p>
      <w:pPr>
        <w:spacing w:after="0" w:line="128" w:lineRule="exact"/>
        <w:rPr>
          <w:sz w:val="20"/>
          <w:szCs w:val="20"/>
          <w:color w:val="auto"/>
        </w:rPr>
      </w:pPr>
    </w:p>
    <w:p>
      <w:pPr>
        <w:ind w:firstLine="475"/>
        <w:spacing w:after="0" w:line="275" w:lineRule="auto"/>
        <w:rPr>
          <w:sz w:val="20"/>
          <w:szCs w:val="20"/>
          <w:color w:val="auto"/>
        </w:rPr>
      </w:pPr>
      <w:r>
        <w:rPr>
          <w:rFonts w:ascii="Arial" w:cs="Arial" w:eastAsia="Arial" w:hAnsi="Arial"/>
          <w:sz w:val="17"/>
          <w:szCs w:val="17"/>
          <w:b w:val="1"/>
          <w:bCs w:val="1"/>
          <w:color w:val="231F20"/>
        </w:rPr>
        <w:t>Similar to the United States, the various phases of preclinical and clinical research in the European Union are subject to significant regulatory controls. Although the E.U. Clinical Trials Directive 2001/20/EC has sought to harmonize the E.U. clinical trials regulatory framework, setting out common rules for the control and authorization of clinical trials in the European Union,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(NCA) and one or more Ethics Committees (ECs). Under the current regime, all suspected unexpected serious adverse reactions to the investigated drug that occur during the clinical trial have to be reported to the NCA and ECs of the Member State where they occurred. The Clinical Trials Regulation EU No 536/2014, which entered into force in January 2022 with a transition period and aims at harmonizing and streamlining clinical-trial authorization, simplifying adverse-event reporting procedures, improving the supervision of clinical trials and increasing their transparency. From January 31, 2025, or the end of the transition period, any trials approved under the Clinical Trials Directive that continue running will need to comply with the Clinical Trials Regulation, and their sponsors must enter information on the trials in the Clinical Trials Information System.</w:t>
      </w:r>
    </w:p>
    <w:p>
      <w:pPr>
        <w:spacing w:after="0" w:line="105" w:lineRule="exact"/>
        <w:rPr>
          <w:sz w:val="20"/>
          <w:szCs w:val="20"/>
          <w:color w:val="auto"/>
        </w:rPr>
      </w:pPr>
    </w:p>
    <w:p>
      <w:pPr>
        <w:ind w:right="660" w:firstLine="475"/>
        <w:spacing w:after="0" w:line="262" w:lineRule="auto"/>
        <w:rPr>
          <w:sz w:val="20"/>
          <w:szCs w:val="20"/>
          <w:color w:val="auto"/>
        </w:rPr>
      </w:pPr>
      <w:r>
        <w:rPr>
          <w:rFonts w:ascii="Arial" w:cs="Arial" w:eastAsia="Arial" w:hAnsi="Arial"/>
          <w:sz w:val="18"/>
          <w:szCs w:val="18"/>
          <w:b w:val="1"/>
          <w:bCs w:val="1"/>
          <w:color w:val="231F20"/>
        </w:rPr>
        <w:t>In the European Economic Area (EEA), which is comprised of the 27 Member States of the European Union (excluding Croatia), Norway, Iceland and Liechtenstein, medicinal products can only be commercialized after obtaining a Marketing Authorization (MA). There are two types of Marketing Authorizations:</w:t>
      </w:r>
    </w:p>
    <w:p>
      <w:pPr>
        <w:spacing w:after="0" w:line="107" w:lineRule="exact"/>
        <w:rPr>
          <w:sz w:val="20"/>
          <w:szCs w:val="20"/>
          <w:color w:val="auto"/>
        </w:rPr>
      </w:pPr>
    </w:p>
    <w:p>
      <w:pPr>
        <w:ind w:left="960" w:right="20"/>
        <w:spacing w:after="0" w:line="295" w:lineRule="auto"/>
        <w:rPr>
          <w:sz w:val="20"/>
          <w:szCs w:val="20"/>
          <w:color w:val="auto"/>
        </w:rPr>
      </w:pPr>
      <w:r>
        <w:rPr>
          <w:rFonts w:ascii="Arial" w:cs="Arial" w:eastAsia="Arial" w:hAnsi="Arial"/>
          <w:sz w:val="16"/>
          <w:szCs w:val="16"/>
          <w:b w:val="1"/>
          <w:bCs w:val="1"/>
          <w:color w:val="231F20"/>
        </w:rPr>
        <w:t>The Community MA is issued by the European Commission through the Centralized Procedure, based on the opinion of the Committee for Medicinal Products for Human Use (CHMP), of the European Medicines Agency (EMA),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for products that are in the interest of public health in the European Union.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-1258570</wp:posOffset>
            </wp:positionV>
            <wp:extent cx="62230" cy="635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69" w:lineRule="exact"/>
        <w:rPr>
          <w:sz w:val="20"/>
          <w:szCs w:val="20"/>
          <w:color w:val="auto"/>
        </w:rPr>
      </w:pPr>
    </w:p>
    <w:p>
      <w:pPr>
        <w:ind w:left="960" w:right="20"/>
        <w:spacing w:after="0" w:line="275" w:lineRule="auto"/>
        <w:rPr>
          <w:sz w:val="20"/>
          <w:szCs w:val="20"/>
          <w:color w:val="auto"/>
        </w:rPr>
      </w:pPr>
      <w:r>
        <w:rPr>
          <w:rFonts w:ascii="Arial" w:cs="Arial" w:eastAsia="Arial" w:hAnsi="Arial"/>
          <w:sz w:val="17"/>
          <w:szCs w:val="17"/>
          <w:b w:val="1"/>
          <w:bCs w:val="1"/>
          <w:color w:val="231F20"/>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(RMS). The competent authority of the RMS prepares a draft assessment report, a draft summary of the product characteristics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(i.e., in the RMS and the Member States Concerned).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-1814830</wp:posOffset>
            </wp:positionV>
            <wp:extent cx="62230" cy="635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85" w:lineRule="exact"/>
        <w:rPr>
          <w:sz w:val="20"/>
          <w:szCs w:val="20"/>
          <w:color w:val="auto"/>
        </w:rPr>
      </w:pPr>
    </w:p>
    <w:p>
      <w:pPr>
        <w:jc w:val="both"/>
        <w:ind w:right="140" w:firstLine="475"/>
        <w:spacing w:after="0" w:line="242" w:lineRule="auto"/>
        <w:rPr>
          <w:sz w:val="20"/>
          <w:szCs w:val="20"/>
          <w:color w:val="auto"/>
        </w:rPr>
      </w:pPr>
      <w:r>
        <w:rPr>
          <w:rFonts w:ascii="Arial" w:cs="Arial" w:eastAsia="Arial" w:hAnsi="Arial"/>
          <w:sz w:val="19"/>
          <w:szCs w:val="19"/>
          <w:b w:val="1"/>
          <w:bCs w:val="1"/>
          <w:color w:val="231F20"/>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ectPr>
          <w:pgSz w:w="12240" w:h="15840" w:orient="portrait"/>
          <w:cols w:equalWidth="0" w:num="1">
            <w:col w:w="10460"/>
          </w:cols>
          <w:pgMar w:left="880" w:top="1165" w:right="90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231F20"/>
        </w:rPr>
        <w:t>23</w:t>
      </w:r>
    </w:p>
    <w:p>
      <w:pPr>
        <w:sectPr>
          <w:pgSz w:w="12240" w:h="15840" w:orient="portrait"/>
          <w:cols w:equalWidth="0" w:num="1">
            <w:col w:w="10460"/>
          </w:cols>
          <w:pgMar w:left="880" w:top="1165" w:right="900" w:bottom="390" w:gutter="0" w:footer="0" w:header="0"/>
          <w:type w:val="continuous"/>
        </w:sectPr>
      </w:pPr>
    </w:p>
    <w:bookmarkStart w:id="31" w:name="page32"/>
    <w:bookmarkEnd w:id="31"/>
    <w:p>
      <w:pPr>
        <w:spacing w:after="0"/>
        <w:rPr>
          <w:sz w:val="20"/>
          <w:szCs w:val="20"/>
          <w:color w:val="auto"/>
        </w:rPr>
      </w:pPr>
      <w:r>
        <w:rPr>
          <w:rFonts w:ascii="Arial" w:cs="Arial" w:eastAsia="Arial" w:hAnsi="Arial"/>
          <w:sz w:val="19"/>
          <w:szCs w:val="19"/>
          <w:b w:val="1"/>
          <w:bCs w:val="1"/>
          <w:color w:val="231F20"/>
        </w:rPr>
        <w:t>Other U.S Healthcare Laws and Compliance Requirements</w:t>
      </w:r>
    </w:p>
    <w:p>
      <w:pPr>
        <w:spacing w:after="0" w:line="128" w:lineRule="exact"/>
        <w:rPr>
          <w:sz w:val="20"/>
          <w:szCs w:val="20"/>
          <w:color w:val="auto"/>
        </w:rPr>
      </w:pPr>
    </w:p>
    <w:p>
      <w:pPr>
        <w:ind w:right="20" w:firstLine="475"/>
        <w:spacing w:after="0" w:line="276" w:lineRule="auto"/>
        <w:rPr>
          <w:sz w:val="20"/>
          <w:szCs w:val="20"/>
          <w:color w:val="auto"/>
        </w:rPr>
      </w:pPr>
      <w:r>
        <w:rPr>
          <w:rFonts w:ascii="Arial" w:cs="Arial" w:eastAsia="Arial" w:hAnsi="Arial"/>
          <w:sz w:val="17"/>
          <w:szCs w:val="17"/>
          <w:b w:val="1"/>
          <w:bCs w:val="1"/>
          <w:color w:val="231F20"/>
        </w:rPr>
        <w:t>Biopharmaceutical companies are subject to additional healthcare regulation and enforcement by the federal government and by authorities in the states and foreign jurisdictions in which they conduct their business. Research, manufacturing, sales, promotion and other activities following product approval are subject to regulation by numerous regulatory authorities in the United States in addition to the FDA, including the U.S. Centers for Medicare &amp; Medicaid Services, or CMS, other divisions of the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 For example, in the United States, sales, marketing and scientific and educational programs also must comply with state and federal fraud and abuse laws, false claims laws, transparency laws, government price reporting and health information privacy and security laws. These laws include the following:</w:t>
      </w:r>
    </w:p>
    <w:p>
      <w:pPr>
        <w:spacing w:after="0" w:line="101" w:lineRule="exact"/>
        <w:rPr>
          <w:sz w:val="20"/>
          <w:szCs w:val="20"/>
          <w:color w:val="auto"/>
        </w:rPr>
      </w:pPr>
    </w:p>
    <w:p>
      <w:pPr>
        <w:ind w:left="960" w:right="40"/>
        <w:spacing w:after="0" w:line="295" w:lineRule="auto"/>
        <w:rPr>
          <w:sz w:val="20"/>
          <w:szCs w:val="20"/>
          <w:color w:val="auto"/>
        </w:rPr>
      </w:pPr>
      <w:r>
        <w:rPr>
          <w:rFonts w:ascii="Arial" w:cs="Arial" w:eastAsia="Arial" w:hAnsi="Arial"/>
          <w:sz w:val="16"/>
          <w:szCs w:val="16"/>
          <w:b w:val="1"/>
          <w:bCs w:val="1"/>
          <w:color w:val="231F20"/>
        </w:rPr>
        <w:t>The federal Anti-Kickback Statute, which makes it illegal for any person, including a prescription drug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Moreover, the Patient Protection and Affordable Care Act, as amended by the Health Care and Education Reconciliation Act of 2010, or collectively, the ACA, provides that the government may assert that a claim including items or services resulting from a violation of the federal Anti-Kickback Statute constitutes a false or fraudulent claim for purposes of the civil False Claims Act, or FCA. In addition, the intent standard under the federal Anti-Kickback Statute was amended by the ACA to eliminate the need to prove specific intent and actual knowledge to establish an Anti-Kickback Statute violation.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-1259840</wp:posOffset>
            </wp:positionV>
            <wp:extent cx="62230" cy="635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69" w:lineRule="exact"/>
        <w:rPr>
          <w:sz w:val="20"/>
          <w:szCs w:val="20"/>
          <w:color w:val="auto"/>
        </w:rPr>
      </w:pPr>
    </w:p>
    <w:p>
      <w:pPr>
        <w:jc w:val="both"/>
        <w:ind w:left="960" w:right="480"/>
        <w:spacing w:after="0" w:line="303" w:lineRule="auto"/>
        <w:rPr>
          <w:sz w:val="20"/>
          <w:szCs w:val="20"/>
          <w:color w:val="auto"/>
        </w:rPr>
      </w:pPr>
      <w:r>
        <w:rPr>
          <w:rFonts w:ascii="Arial" w:cs="Arial" w:eastAsia="Arial" w:hAnsi="Arial"/>
          <w:sz w:val="16"/>
          <w:szCs w:val="16"/>
          <w:b w:val="1"/>
          <w:bCs w:val="1"/>
          <w:color w:val="231F20"/>
        </w:rPr>
        <w:t>The federal civil and criminal false claims, including the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-557530</wp:posOffset>
            </wp:positionV>
            <wp:extent cx="62230" cy="635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59" w:lineRule="exact"/>
        <w:rPr>
          <w:sz w:val="20"/>
          <w:szCs w:val="20"/>
          <w:color w:val="auto"/>
        </w:rPr>
      </w:pPr>
    </w:p>
    <w:p>
      <w:pPr>
        <w:ind w:left="960" w:right="40"/>
        <w:spacing w:after="0" w:line="221" w:lineRule="exact"/>
        <w:rPr>
          <w:sz w:val="20"/>
          <w:szCs w:val="20"/>
          <w:color w:val="auto"/>
        </w:rPr>
      </w:pPr>
      <w:r>
        <w:rPr>
          <w:rFonts w:ascii="Arial" w:cs="Arial" w:eastAsia="Arial" w:hAnsi="Arial"/>
          <w:sz w:val="16"/>
          <w:szCs w:val="16"/>
          <w:b w:val="1"/>
          <w:bCs w:val="1"/>
          <w:color w:val="231F20"/>
        </w:rPr>
        <w:t>The civil monetary penalties laws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decision to order or receive items or services reimbursable by the government from a particular provider or supplier.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-667385</wp:posOffset>
            </wp:positionV>
            <wp:extent cx="62230" cy="635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9" w:lineRule="exact"/>
        <w:rPr>
          <w:sz w:val="20"/>
          <w:szCs w:val="20"/>
          <w:color w:val="auto"/>
        </w:rPr>
      </w:pPr>
    </w:p>
    <w:p>
      <w:pPr>
        <w:ind w:left="960"/>
        <w:spacing w:after="0" w:line="259" w:lineRule="auto"/>
        <w:rPr>
          <w:sz w:val="20"/>
          <w:szCs w:val="20"/>
          <w:color w:val="auto"/>
        </w:rPr>
      </w:pPr>
      <w:r>
        <w:rPr>
          <w:rFonts w:ascii="Arial" w:cs="Arial" w:eastAsia="Arial" w:hAnsi="Arial"/>
          <w:sz w:val="18"/>
          <w:szCs w:val="18"/>
          <w:b w:val="1"/>
          <w:bCs w:val="1"/>
          <w:color w:val="231F20"/>
        </w:rPr>
        <w:t>The Federal Health Insurance Portability and Accountability Act of 1996, or HIPAA, prohibits, among other things, executing or attempting to execute a scheme to defraud any healthcare benefit program or making false statements relating to healthcare matters. HIPAA, as amended by the Health Information Technology for Economic and Clinical Health Act and their implementing regulations, also imposes obligations, including mandatory contractual terms, on certain covered healthcare providers, health plans, and healthcare clearinghouses and their respective business associates that perform services for them that involve the use, or disclosure of, individually identifiable health information as well as their covered subcontractors, with respect to safeguarding the privacy, security and transmission of individually identifiable health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-1102360</wp:posOffset>
            </wp:positionV>
            <wp:extent cx="62230" cy="635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94" w:lineRule="exact"/>
        <w:rPr>
          <w:sz w:val="20"/>
          <w:szCs w:val="20"/>
          <w:color w:val="auto"/>
        </w:rPr>
      </w:pPr>
    </w:p>
    <w:p>
      <w:pPr>
        <w:ind w:left="960" w:right="40"/>
        <w:spacing w:after="0" w:line="239" w:lineRule="auto"/>
        <w:rPr>
          <w:sz w:val="20"/>
          <w:szCs w:val="20"/>
          <w:color w:val="auto"/>
        </w:rPr>
      </w:pPr>
      <w:r>
        <w:rPr>
          <w:rFonts w:ascii="Arial" w:cs="Arial" w:eastAsia="Arial" w:hAnsi="Arial"/>
          <w:sz w:val="19"/>
          <w:szCs w:val="19"/>
          <w:b w:val="1"/>
          <w:bCs w:val="1"/>
          <w:color w:val="231F20"/>
        </w:rPr>
        <w:t>Federal consumer protection and unfair competition laws, which broadly regulate marketplace activities and activities that potentially harm consumers.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-243840</wp:posOffset>
            </wp:positionV>
            <wp:extent cx="62230" cy="635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6"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231F20"/>
        </w:rPr>
        <w:t>The FDCA, which prohibits, among other things, the adulteration or misbranding of drugs, biologics and medical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-83185</wp:posOffset>
            </wp:positionV>
            <wp:extent cx="62230" cy="635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34" w:lineRule="exact"/>
        <w:rPr>
          <w:sz w:val="20"/>
          <w:szCs w:val="20"/>
          <w:color w:val="auto"/>
        </w:rPr>
      </w:pPr>
    </w:p>
    <w:p>
      <w:pPr>
        <w:ind w:left="960" w:right="200"/>
        <w:spacing w:after="0" w:line="222" w:lineRule="exact"/>
        <w:rPr>
          <w:sz w:val="20"/>
          <w:szCs w:val="20"/>
          <w:color w:val="auto"/>
        </w:rPr>
      </w:pPr>
      <w:r>
        <w:rPr>
          <w:rFonts w:ascii="Arial" w:cs="Arial" w:eastAsia="Arial" w:hAnsi="Arial"/>
          <w:sz w:val="16"/>
          <w:szCs w:val="16"/>
          <w:b w:val="1"/>
          <w:bCs w:val="1"/>
          <w:color w:val="231F20"/>
        </w:rPr>
        <w:t>The federal Physician Payments Sunshine Act requires applicable manufacturers of covered drugs, medical devices, biologics and medical supplies for which payment is available under Medicare, Medicaid, or the Children</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Health Insurance Program, with specific exceptions, to annually report to CMS information regarding payments and other transfers of value made in the previous year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-951865</wp:posOffset>
            </wp:positionV>
            <wp:extent cx="62230" cy="635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8" w:lineRule="exact"/>
        <w:rPr>
          <w:sz w:val="20"/>
          <w:szCs w:val="20"/>
          <w:color w:val="auto"/>
        </w:rPr>
      </w:pPr>
    </w:p>
    <w:p>
      <w:pPr>
        <w:ind w:left="960" w:right="140"/>
        <w:spacing w:after="0" w:line="296" w:lineRule="auto"/>
        <w:rPr>
          <w:sz w:val="20"/>
          <w:szCs w:val="20"/>
          <w:color w:val="auto"/>
        </w:rPr>
      </w:pPr>
      <w:r>
        <w:rPr>
          <w:rFonts w:ascii="Arial" w:cs="Arial" w:eastAsia="Arial" w:hAnsi="Arial"/>
          <w:sz w:val="16"/>
          <w:szCs w:val="16"/>
          <w:b w:val="1"/>
          <w:bCs w:val="1"/>
          <w:color w:val="231F20"/>
        </w:rPr>
        <w:t>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For example,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-1120140</wp:posOffset>
            </wp:positionV>
            <wp:extent cx="62230" cy="635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ectPr>
          <w:pgSz w:w="12240" w:h="15840" w:orient="portrait"/>
          <w:cols w:equalWidth="0" w:num="1">
            <w:col w:w="10480"/>
          </w:cols>
          <w:pgMar w:left="880" w:top="1160" w:right="880" w:bottom="39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24</w:t>
      </w:r>
    </w:p>
    <w:p>
      <w:pPr>
        <w:sectPr>
          <w:pgSz w:w="12240" w:h="15840" w:orient="portrait"/>
          <w:cols w:equalWidth="0" w:num="1">
            <w:col w:w="10480"/>
          </w:cols>
          <w:pgMar w:left="880" w:top="1160" w:right="880" w:bottom="390" w:gutter="0" w:footer="0" w:header="0"/>
          <w:type w:val="continuous"/>
        </w:sectPr>
      </w:pPr>
    </w:p>
    <w:bookmarkStart w:id="32" w:name="page33"/>
    <w:bookmarkEnd w:id="32"/>
    <w:p>
      <w:pPr>
        <w:ind w:left="960" w:right="160"/>
        <w:spacing w:after="0" w:line="277" w:lineRule="auto"/>
        <w:rPr>
          <w:sz w:val="20"/>
          <w:szCs w:val="20"/>
          <w:color w:val="auto"/>
        </w:rPr>
      </w:pPr>
      <w:r>
        <w:rPr>
          <w:rFonts w:ascii="Arial" w:cs="Arial" w:eastAsia="Arial" w:hAnsi="Arial"/>
          <w:sz w:val="17"/>
          <w:szCs w:val="17"/>
          <w:b w:val="1"/>
          <w:bCs w:val="1"/>
          <w:color w:val="231F20"/>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if any, and to devise and maintain an adequate system of internal accounting controls for international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-969010</wp:posOffset>
            </wp:positionV>
            <wp:extent cx="62230" cy="635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81" w:lineRule="exact"/>
        <w:rPr>
          <w:sz w:val="20"/>
          <w:szCs w:val="20"/>
          <w:color w:val="auto"/>
        </w:rPr>
      </w:pPr>
    </w:p>
    <w:p>
      <w:pPr>
        <w:ind w:left="960" w:right="60"/>
        <w:spacing w:after="0" w:line="222" w:lineRule="exact"/>
        <w:rPr>
          <w:sz w:val="20"/>
          <w:szCs w:val="20"/>
          <w:color w:val="auto"/>
        </w:rPr>
      </w:pPr>
      <w:r>
        <w:rPr>
          <w:rFonts w:ascii="Arial" w:cs="Arial" w:eastAsia="Arial" w:hAnsi="Arial"/>
          <w:sz w:val="16"/>
          <w:szCs w:val="16"/>
          <w:b w:val="1"/>
          <w:bCs w:val="1"/>
          <w:color w:val="231F20"/>
        </w:rPr>
        <w:t>Analogous state and foreign laws and regulations, such as state anti-kickback, anti-referral and false claims laws, which may apply to sales or marketing arrangements and claims involving healthcare items or services reimbursed by non-governmental third-party payors, including private insurers, state laws that require biotechnology or pharmaceutical companies to comply with the biotechnology or pharmaceutical industry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voluntary compliance guidelines and the relevant compliance guidance promulgated by the federal government and may require drug manufacturers to report certain information related to payments and other transfers of value to physicians and other healthcare providers or marketing expenditures, state laws that require biotechnology companies to report information on the pricing of certain drug products, state and local laws that require the registration of pharmaceutical sales representatives, and state and foreign laws that govern the privacy and security of health information in some circumstances, many of which differ from each other in significant ways and often are not preempted by HIPAA, thus complicating compliance efforts; and state laws related to insurance fraud in the case of claims involving private insurers.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-1517015</wp:posOffset>
            </wp:positionV>
            <wp:extent cx="62230" cy="635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10" w:lineRule="exact"/>
        <w:rPr>
          <w:sz w:val="20"/>
          <w:szCs w:val="20"/>
          <w:color w:val="auto"/>
        </w:rPr>
      </w:pPr>
    </w:p>
    <w:p>
      <w:pPr>
        <w:ind w:firstLine="475"/>
        <w:spacing w:after="0" w:line="222" w:lineRule="exact"/>
        <w:rPr>
          <w:sz w:val="20"/>
          <w:szCs w:val="20"/>
          <w:color w:val="auto"/>
        </w:rPr>
      </w:pPr>
      <w:r>
        <w:rPr>
          <w:rFonts w:ascii="Arial" w:cs="Arial" w:eastAsia="Arial" w:hAnsi="Arial"/>
          <w:sz w:val="16"/>
          <w:szCs w:val="16"/>
          <w:b w:val="1"/>
          <w:bCs w:val="1"/>
          <w:color w:val="231F20"/>
        </w:rPr>
        <w:t>Because of the breadth of these laws and the narrowness of available statutory and regulatory exemptions or safe harbors, it is possible that some of our activities, such as stock-option compensation paid to physicians, could be subject to challenge under one or more of such laws. The growth of our business and sales organization and our expansion outside of the United States may increase the potential of violating these laws or our internal policies and procedures. Any action brought against us for violations of these laws or regulations, even successfully defended, could cause us to incur significant legal expenses and divert our management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s attention from the operation of our business. Also, we may be subject to private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qui tam</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actions brought by individual whistleblowers on behalf of the federal or state governments. If our operations are found to be in violation of any of the federal, state and foreign laws described above or any other current or future fraud and abuse or other healthcare laws and regulations that apply to us, we may be subject to penalties, including significant civil, criminal and administrative penalties, including damages, fines, disgorgement, imprisonment, exclusion from participation in government funded healthcare programs, such as Medicare and Medicaid, integrity oversight and reporting obligations, contractual damages, reputational harm, diminished profits and future earnings, injunctions, requests for recall, seizure of products, total or partial suspension of production, denial or withdrawal of product approvals or refusal to allow a firm to enter into supply contracts, including government contracts, and we could be required to curtail or cease our operations. Any of the foregoing consequences could seriously harm our business and our financial results.</w:t>
      </w:r>
    </w:p>
    <w:p>
      <w:pPr>
        <w:spacing w:after="0" w:line="361"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Coverage and Reimbursement</w:t>
      </w:r>
    </w:p>
    <w:p>
      <w:pPr>
        <w:spacing w:after="0" w:line="128" w:lineRule="exact"/>
        <w:rPr>
          <w:sz w:val="20"/>
          <w:szCs w:val="20"/>
          <w:color w:val="auto"/>
        </w:rPr>
      </w:pPr>
    </w:p>
    <w:p>
      <w:pPr>
        <w:ind w:firstLine="475"/>
        <w:spacing w:after="0" w:line="222" w:lineRule="exact"/>
        <w:rPr>
          <w:sz w:val="20"/>
          <w:szCs w:val="20"/>
          <w:color w:val="auto"/>
        </w:rPr>
      </w:pPr>
      <w:r>
        <w:rPr>
          <w:rFonts w:ascii="Arial" w:cs="Arial" w:eastAsia="Arial" w:hAnsi="Arial"/>
          <w:sz w:val="16"/>
          <w:szCs w:val="16"/>
          <w:b w:val="1"/>
          <w:bCs w:val="1"/>
          <w:color w:val="231F20"/>
        </w:rPr>
        <w:t>Significant uncertainty exists as to the coverage and reimbursement status of any product candidates for which we may obtain regulatory approval. In the United States and markets in other countries, sales of any products for which we receive regulatory approval for commercial sale will depend, in part, on the availability of coverage and adequate reimbursement from third-party payors. Third-party payors include government programs such as Medicare or Medicaid, managed care plans, private health insurers and other organizations. These third-party payors may deny coverage or reimbursement for a product or therapy in whole or in part if they determine that the product or therapy was not medically appropriate or necessary. Third-party payors may attempt to control costs by limiting coverage to specific drug products on an approved list, or formulary, which might not include all of the FDA-approved drug products for a particular indication, and by limiting the amount of reimbursement for particular procedures or drug treatments. Additionally, coverage and reimbursement for drug products can differ significantly from payor to payor. The Medicare and Medicaid programs are often used as models by private payors and other governmental payors to develop their coverage and reimbursement policies for drugs and biologics. However, one third-party payor</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decision to cover a particular drug product does not ensure that other payors will also provide coverage for the product or will provide coverage at an adequate reimbursement rate.</w:t>
      </w:r>
    </w:p>
    <w:p>
      <w:pPr>
        <w:spacing w:after="0" w:line="132" w:lineRule="exact"/>
        <w:rPr>
          <w:sz w:val="20"/>
          <w:szCs w:val="20"/>
          <w:color w:val="auto"/>
        </w:rPr>
      </w:pPr>
    </w:p>
    <w:p>
      <w:pPr>
        <w:ind w:right="40" w:firstLine="475"/>
        <w:spacing w:after="0" w:line="222" w:lineRule="exact"/>
        <w:rPr>
          <w:sz w:val="20"/>
          <w:szCs w:val="20"/>
          <w:color w:val="auto"/>
        </w:rPr>
      </w:pPr>
      <w:r>
        <w:rPr>
          <w:rFonts w:ascii="Arial" w:cs="Arial" w:eastAsia="Arial" w:hAnsi="Arial"/>
          <w:sz w:val="16"/>
          <w:szCs w:val="16"/>
          <w:b w:val="1"/>
          <w:bCs w:val="1"/>
          <w:color w:val="231F20"/>
        </w:rPr>
        <w:t>The cost of pharmaceuticals continues to generate substantial governmental and third-party payor interest. We expect that the pharmaceutical industry will experience pricing pressures due to the trend toward managed healthcare, the increasing influence of managed care organizations and additional legislative proposals. Third-party payors are increasingly challenging the price and examining the medical necessity and cost effectiveness of medical products and services, in addition to their safety and efficacy. We may need to conduct expensive pharmacoeconomic studies in order to demonstrate the medical necessity and cost-effectiveness of our products to obtain third-party payor coverage, in addition to the costs required to obtain the FDA approvals. Our product candidates may not be considered medically necessary or cost-effective. A payor</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ectPr>
          <w:pgSz w:w="12240" w:h="15840" w:orient="portrait"/>
          <w:cols w:equalWidth="0" w:num="1">
            <w:col w:w="10480"/>
          </w:cols>
          <w:pgMar w:left="880" w:top="1165" w:right="88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25</w:t>
      </w:r>
    </w:p>
    <w:p>
      <w:pPr>
        <w:sectPr>
          <w:pgSz w:w="12240" w:h="15840" w:orient="portrait"/>
          <w:cols w:equalWidth="0" w:num="1">
            <w:col w:w="10480"/>
          </w:cols>
          <w:pgMar w:left="880" w:top="1165" w:right="880" w:bottom="390" w:gutter="0" w:footer="0" w:header="0"/>
          <w:type w:val="continuous"/>
        </w:sectPr>
      </w:pPr>
    </w:p>
    <w:bookmarkStart w:id="33" w:name="page34"/>
    <w:bookmarkEnd w:id="33"/>
    <w:p>
      <w:pPr>
        <w:ind w:right="120" w:firstLine="475"/>
        <w:spacing w:after="0" w:line="223" w:lineRule="exact"/>
        <w:rPr>
          <w:sz w:val="20"/>
          <w:szCs w:val="20"/>
          <w:color w:val="auto"/>
        </w:rPr>
      </w:pPr>
      <w:r>
        <w:rPr>
          <w:rFonts w:ascii="Arial" w:cs="Arial" w:eastAsia="Arial" w:hAnsi="Arial"/>
          <w:sz w:val="17"/>
          <w:szCs w:val="17"/>
          <w:b w:val="1"/>
          <w:bCs w:val="1"/>
          <w:color w:val="231F20"/>
        </w:rPr>
        <w:t>Some third-party payors also require pre-approval of coverage for new or innovative drug therapies before they will reimburse healthcare providers who use such therapies. While we cannot predict whether any proposed cost-containment measures will be adopted or otherwise implemented in the future, these requirements or any announcement or adoption of such proposals could have a material adverse effect on our ability to obtain adequate prices for our product candidates and to operate profitably. In international markets, reimbursement and healthcare payment systems vary significantly by country, and many countries have instituted price ceilings on specific products and therapies. There can be no assurance that our products will be considered medically reasonable and necessary for a specific indication, that our products will be considered cost-effective by third-party payors, that coverage or an adequate level of reimbursement will be available or that third-party payors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reimbursement policies will not adversely affect our ability to sell our products profitably.</w:t>
      </w:r>
    </w:p>
    <w:p>
      <w:pPr>
        <w:spacing w:after="0" w:line="35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Other Healthcare Laws</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U.S. Healthcare Reform</w:t>
      </w:r>
    </w:p>
    <w:p>
      <w:pPr>
        <w:spacing w:after="0" w:line="125" w:lineRule="exact"/>
        <w:rPr>
          <w:sz w:val="20"/>
          <w:szCs w:val="20"/>
          <w:color w:val="auto"/>
        </w:rPr>
      </w:pPr>
    </w:p>
    <w:p>
      <w:pPr>
        <w:ind w:right="120" w:firstLine="475"/>
        <w:spacing w:after="0" w:line="278" w:lineRule="auto"/>
        <w:rPr>
          <w:sz w:val="20"/>
          <w:szCs w:val="20"/>
          <w:color w:val="auto"/>
        </w:rPr>
      </w:pPr>
      <w:r>
        <w:rPr>
          <w:rFonts w:ascii="Arial" w:cs="Arial" w:eastAsia="Arial" w:hAnsi="Arial"/>
          <w:sz w:val="17"/>
          <w:szCs w:val="17"/>
          <w:b w:val="1"/>
          <w:bCs w:val="1"/>
          <w:color w:val="231F20"/>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 care programs, and increased governmental control of drug pricing.</w:t>
      </w:r>
    </w:p>
    <w:p>
      <w:pPr>
        <w:spacing w:after="0" w:line="98" w:lineRule="exact"/>
        <w:rPr>
          <w:sz w:val="20"/>
          <w:szCs w:val="20"/>
          <w:color w:val="auto"/>
        </w:rPr>
      </w:pPr>
    </w:p>
    <w:p>
      <w:pPr>
        <w:ind w:right="20" w:firstLine="475"/>
        <w:spacing w:after="0" w:line="222" w:lineRule="exact"/>
        <w:rPr>
          <w:sz w:val="20"/>
          <w:szCs w:val="20"/>
          <w:color w:val="auto"/>
        </w:rPr>
      </w:pPr>
      <w:r>
        <w:rPr>
          <w:rFonts w:ascii="Arial" w:cs="Arial" w:eastAsia="Arial" w:hAnsi="Arial"/>
          <w:sz w:val="17"/>
          <w:szCs w:val="17"/>
          <w:b w:val="1"/>
          <w:bCs w:val="1"/>
          <w:color w:val="231F20"/>
        </w:rPr>
        <w:t>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 new licensure framework for follow on biologic products, and annual fees based on pharmaceutical companies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share of sales to federal health care programs.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w:t>
      </w:r>
    </w:p>
    <w:p>
      <w:pPr>
        <w:spacing w:after="0" w:line="133" w:lineRule="exact"/>
        <w:rPr>
          <w:sz w:val="20"/>
          <w:szCs w:val="20"/>
          <w:color w:val="auto"/>
        </w:rPr>
      </w:pPr>
    </w:p>
    <w:p>
      <w:pPr>
        <w:ind w:firstLine="475"/>
        <w:spacing w:after="0" w:line="222" w:lineRule="exact"/>
        <w:rPr>
          <w:sz w:val="20"/>
          <w:szCs w:val="20"/>
          <w:color w:val="auto"/>
        </w:rPr>
      </w:pPr>
      <w:r>
        <w:rPr>
          <w:rFonts w:ascii="Arial" w:cs="Arial" w:eastAsia="Arial" w:hAnsi="Arial"/>
          <w:sz w:val="16"/>
          <w:szCs w:val="16"/>
          <w:b w:val="1"/>
          <w:bCs w:val="1"/>
          <w:color w:val="231F20"/>
        </w:rPr>
        <w:t>The Bipartisan Budget Act of 2018, or BBA, among other things, amended the ACA, effective January 1, 2019, to close the coverage gap in most Medicare Part D drug plans. In December 2018, CMS published a new final rule permitting further collections and payments to and from certain ACA-qualified health plans and health insurance issuers under the ACA risk adjustment program in response to the outcome of federal district court litigation regarding the method CMS uses to determine this risk adjustment. However, on April 27, 2020, the U.S. Supreme Court reversed a Federal Circuit decision that previously upheld Congress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denial of $12 billion in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risk corridor</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funding. There have been legislative and judicial efforts to repeal, replace, or change some or all of the ACA, including measures taken during the Trump administration. In June 2021 the U.S. Supreme Court held that Texas and other challengers had no legal standing to challenge the ACA, dismissing the case on procedural grounds without specifically ruling on the constitutionality of the ACA. Thus, the ACA will remain in effect in its current form. It is possible that the ACA will be subject to judicial or Congressional challenges in the future. It is unclear how any such challenges and healthcare measures promulgated by the Trump administration will impact the ACA, our business, financial condition and results of operations.</w:t>
      </w:r>
    </w:p>
    <w:p>
      <w:pPr>
        <w:spacing w:after="0" w:line="135" w:lineRule="exact"/>
        <w:rPr>
          <w:sz w:val="20"/>
          <w:szCs w:val="20"/>
          <w:color w:val="auto"/>
        </w:rPr>
      </w:pPr>
    </w:p>
    <w:p>
      <w:pPr>
        <w:ind w:firstLine="475"/>
        <w:spacing w:after="0" w:line="293" w:lineRule="auto"/>
        <w:rPr>
          <w:sz w:val="20"/>
          <w:szCs w:val="20"/>
          <w:color w:val="auto"/>
        </w:rPr>
      </w:pPr>
      <w:r>
        <w:rPr>
          <w:rFonts w:ascii="Arial" w:cs="Arial" w:eastAsia="Arial" w:hAnsi="Arial"/>
          <w:sz w:val="16"/>
          <w:szCs w:val="16"/>
          <w:b w:val="1"/>
          <w:bCs w:val="1"/>
          <w:color w:val="231F20"/>
        </w:rPr>
        <w:t>Other legislative changes have been proposed and adopted since the ACA was enacted. These changes include aggregate reductions to Medicare payments to providers of up to 2% per fiscal year, effective April 1, 2013, which will stay in effect through 2032, unless additional congressional action is taken. 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to review the relationship between pricing and manufacturer patient programs, and to reform government program reimbursement methodologies for pharmaceutical products. For example, under the American Rescue Plan Act of 2021, Medicaid statutory rebates are no longer capped at 100% of the average manufacturer price. Elimination of this cap may require pharmaceutical manufacturers to pay more in rebates than it receives on the sale of products, which could have a material impact on our business.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high-expenditure single-source drugs that have been approved for at least seven years (11 years for single-source biologics) can qualify for negotiation, with the negotiated price taking effect two years after the selection year. For 2026, the first year in which negotiated prices become effective, CMS selected 10 high-cost Medicare Part D drugs in 2023, negotiations began in 2024, and the negotiated maximum fair price for each drug has been announced. CMS has selected 15 additional</w:t>
      </w:r>
    </w:p>
    <w:p>
      <w:pPr>
        <w:sectPr>
          <w:pgSz w:w="12240" w:h="15840" w:orient="portrait"/>
          <w:cols w:equalWidth="0" w:num="1">
            <w:col w:w="10460"/>
          </w:cols>
          <w:pgMar w:left="880" w:top="1165" w:right="900" w:bottom="390" w:gutter="0" w:footer="0" w:header="0"/>
        </w:sect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231F20"/>
        </w:rPr>
        <w:t>26</w:t>
      </w:r>
    </w:p>
    <w:p>
      <w:pPr>
        <w:sectPr>
          <w:pgSz w:w="12240" w:h="15840" w:orient="portrait"/>
          <w:cols w:equalWidth="0" w:num="1">
            <w:col w:w="10460"/>
          </w:cols>
          <w:pgMar w:left="880" w:top="1165" w:right="900" w:bottom="390" w:gutter="0" w:footer="0" w:header="0"/>
          <w:type w:val="continuous"/>
        </w:sectPr>
      </w:pPr>
    </w:p>
    <w:bookmarkStart w:id="34" w:name="page35"/>
    <w:bookmarkEnd w:id="34"/>
    <w:p>
      <w:pPr>
        <w:spacing w:after="0" w:line="223" w:lineRule="exact"/>
        <w:rPr>
          <w:sz w:val="20"/>
          <w:szCs w:val="20"/>
          <w:color w:val="auto"/>
        </w:rPr>
      </w:pPr>
      <w:r>
        <w:rPr>
          <w:rFonts w:ascii="Arial" w:cs="Arial" w:eastAsia="Arial" w:hAnsi="Arial"/>
          <w:sz w:val="16"/>
          <w:szCs w:val="16"/>
          <w:b w:val="1"/>
          <w:bCs w:val="1"/>
          <w:color w:val="231F20"/>
        </w:rPr>
        <w:t>Medicare Part D drugs for negotiated maximum fair pricing in 2027. For 2028, up to an additional 15 drugs, which may be covered under either Medicare Part B or Part D, will be selected, and for 2029 and subsequent years, up to 20 additional Part B or Part D drugs will be selected. The impact of these legislative, executive, and administrative actions and any future healthcare measures and agency rules implemented by the current U.S. presidential administration on us and the pharmaceutical industry as a whole is unclear. Various industry stakeholders have initiated lawsuits against the federal government asserting that the price negotiation provisions of the Inflation Reduction Act are unconstitutional. The impact of these judicial challenges and future regulations, healthcare measures and agency rules by the government on us and the pharmaceutical industry as a whole is currently unknown. The implementation of cost containment measures or other healthcare reforms may prevent us from being able to generate revenue, attain profitability, or commercialize our product candidates if approved. Complying with any new legislation and regulatory changes could be time-intensive and expensive, resulting in a material adverse effect on our business.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FDA has authorized the state of Florida to develop a drug importation program to import certain prescription drugs from Canada for a limited period to help reduce drug costs, provided that Florida</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Agency for Health Care Administration meets the requirements set forth by the FDA. Other states may follow Florida. We expect that additional state and federal healthcare reform measures will be adopted in the future, any of which could limit the amounts that federal and state governments will pay for healthcare products and services, which could affect the prices we may obtain for any of our product candidates for which we may obtain regulatory approval or the frequency with which any such product candidate, if approved, is prescribed or used.</w:t>
      </w: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Employees and Human Capital Resources</w:t>
      </w:r>
    </w:p>
    <w:p>
      <w:pPr>
        <w:spacing w:after="0" w:line="125" w:lineRule="exact"/>
        <w:rPr>
          <w:sz w:val="20"/>
          <w:szCs w:val="20"/>
          <w:color w:val="auto"/>
        </w:rPr>
      </w:pPr>
    </w:p>
    <w:p>
      <w:pPr>
        <w:ind w:right="20" w:firstLine="475"/>
        <w:spacing w:after="0" w:line="244" w:lineRule="auto"/>
        <w:rPr>
          <w:sz w:val="20"/>
          <w:szCs w:val="20"/>
          <w:color w:val="auto"/>
        </w:rPr>
      </w:pPr>
      <w:r>
        <w:rPr>
          <w:rFonts w:ascii="Arial" w:cs="Arial" w:eastAsia="Arial" w:hAnsi="Arial"/>
          <w:sz w:val="19"/>
          <w:szCs w:val="19"/>
          <w:b w:val="1"/>
          <w:bCs w:val="1"/>
          <w:color w:val="231F20"/>
        </w:rPr>
        <w:t>As of December 31, 2024, we had 80 employees, 30 of whom hold Ph.D. or M.D. degrees and 64 of whom were engaged in research and development activities. None of our employees are represented by a labor union and we believe we maintain good relations with our employees. We rely on skilled, innovative, and passionate employees to conduct our research, development and business activities. Our employees are united by our goal of developing therapies that help patients fight cancer. Developing a diverse, equitable and inclusive culture is essential to our success and we are committed to building a workplace where all individuals feel welcomed and valued.</w:t>
      </w:r>
    </w:p>
    <w:p>
      <w:pPr>
        <w:spacing w:after="0" w:line="124" w:lineRule="exact"/>
        <w:rPr>
          <w:sz w:val="20"/>
          <w:szCs w:val="20"/>
          <w:color w:val="auto"/>
        </w:rPr>
      </w:pPr>
    </w:p>
    <w:p>
      <w:pPr>
        <w:ind w:right="60" w:firstLine="475"/>
        <w:spacing w:after="0" w:line="296" w:lineRule="auto"/>
        <w:rPr>
          <w:sz w:val="20"/>
          <w:szCs w:val="20"/>
          <w:color w:val="auto"/>
        </w:rPr>
      </w:pPr>
      <w:r>
        <w:rPr>
          <w:rFonts w:ascii="Arial" w:cs="Arial" w:eastAsia="Arial" w:hAnsi="Arial"/>
          <w:sz w:val="16"/>
          <w:szCs w:val="16"/>
          <w:b w:val="1"/>
          <w:bCs w:val="1"/>
          <w:color w:val="231F20"/>
        </w:rPr>
        <w:t>The biopharmaceutical industry is highly competitive and recruiting and retaining employees is critical to the continued success of our business. 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 We also offer a collaborative work environment, flexible or remote work arrangements, ongoing professional development opportunities, career advancement opportunities, and a culture that values diversity and inclusion.</w:t>
      </w:r>
    </w:p>
    <w:p>
      <w:pPr>
        <w:spacing w:after="0" w:line="317"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Corporate Information</w:t>
      </w:r>
    </w:p>
    <w:p>
      <w:pPr>
        <w:spacing w:after="0" w:line="125" w:lineRule="exact"/>
        <w:rPr>
          <w:sz w:val="20"/>
          <w:szCs w:val="20"/>
          <w:color w:val="auto"/>
        </w:rPr>
      </w:pPr>
    </w:p>
    <w:p>
      <w:pPr>
        <w:ind w:right="100" w:firstLine="475"/>
        <w:spacing w:after="0" w:line="279" w:lineRule="auto"/>
        <w:rPr>
          <w:sz w:val="20"/>
          <w:szCs w:val="20"/>
          <w:color w:val="auto"/>
        </w:rPr>
      </w:pPr>
      <w:r>
        <w:rPr>
          <w:rFonts w:ascii="Arial" w:cs="Arial" w:eastAsia="Arial" w:hAnsi="Arial"/>
          <w:sz w:val="17"/>
          <w:szCs w:val="17"/>
          <w:b w:val="1"/>
          <w:bCs w:val="1"/>
          <w:color w:val="231F20"/>
        </w:rPr>
        <w:t>Our predecessor company, ALX Oncology Limited, an Irish private company limited by shares, was initially incorporated in Ireland on March 13, 2015 under the name Alexo Therapeutics Limited and changed its name to ALX Oncology Limited on October 11, 2018. We were then incorporated in Delaware on April 1, 2020 under the name ALX Oncology Holdings Inc. We present the information included in this Annual Report on Form 10-K as that of ALX Oncology Holdings Inc. unless such information refers to a date prior to April 1, 2020, in which case it reflects that of our predecessor company.</w:t>
      </w:r>
    </w:p>
    <w:p>
      <w:pPr>
        <w:spacing w:after="0" w:line="95" w:lineRule="exact"/>
        <w:rPr>
          <w:sz w:val="20"/>
          <w:szCs w:val="20"/>
          <w:color w:val="auto"/>
        </w:rPr>
      </w:pPr>
    </w:p>
    <w:p>
      <w:pPr>
        <w:ind w:right="440" w:firstLine="475"/>
        <w:spacing w:after="0" w:line="239" w:lineRule="auto"/>
        <w:rPr>
          <w:sz w:val="20"/>
          <w:szCs w:val="20"/>
          <w:color w:val="auto"/>
        </w:rPr>
      </w:pPr>
      <w:r>
        <w:rPr>
          <w:rFonts w:ascii="Arial" w:cs="Arial" w:eastAsia="Arial" w:hAnsi="Arial"/>
          <w:sz w:val="19"/>
          <w:szCs w:val="19"/>
          <w:b w:val="1"/>
          <w:bCs w:val="1"/>
          <w:color w:val="231F20"/>
        </w:rPr>
        <w:t>Our principal executive offices are located at 323 Allerton Avenue, South San Francisco, California, 94080. Our telephone number is 650-466-7125. Our website address is alxoncology.com.</w:t>
      </w:r>
    </w:p>
    <w:p>
      <w:pPr>
        <w:spacing w:after="0" w:line="129" w:lineRule="exact"/>
        <w:rPr>
          <w:sz w:val="20"/>
          <w:szCs w:val="20"/>
          <w:color w:val="auto"/>
        </w:rPr>
      </w:pPr>
    </w:p>
    <w:p>
      <w:pPr>
        <w:ind w:right="100" w:firstLine="475"/>
        <w:spacing w:after="0" w:line="221" w:lineRule="exact"/>
        <w:rPr>
          <w:sz w:val="20"/>
          <w:szCs w:val="20"/>
          <w:color w:val="auto"/>
        </w:rPr>
      </w:pPr>
      <w:r>
        <w:rPr>
          <w:rFonts w:ascii="Arial" w:cs="Arial" w:eastAsia="Arial" w:hAnsi="Arial"/>
          <w:sz w:val="18"/>
          <w:szCs w:val="18"/>
          <w:b w:val="1"/>
          <w:bCs w:val="1"/>
          <w:color w:val="231F20"/>
        </w:rPr>
        <w:t>We use ALX Oncology and other marks as trademarks in the United States and other countries. This Annual Report on Form 10-K contains references to our trademarks and service marks and to those belonging to other entities. Solely for convenience, trademarks and trade names referred to in this Annual Report on Form 10-K,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 trade names, trademarks or service marks to imply a relationship with, or endorsement or sponsorship of us by, any other entity.</w:t>
      </w:r>
    </w:p>
    <w:p>
      <w:pPr>
        <w:sectPr>
          <w:pgSz w:w="12240" w:h="15840" w:orient="portrait"/>
          <w:cols w:equalWidth="0" w:num="1">
            <w:col w:w="10460"/>
          </w:cols>
          <w:pgMar w:left="880" w:top="1165" w:right="90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231F20"/>
        </w:rPr>
        <w:t>27</w:t>
      </w:r>
    </w:p>
    <w:p>
      <w:pPr>
        <w:sectPr>
          <w:pgSz w:w="12240" w:h="15840" w:orient="portrait"/>
          <w:cols w:equalWidth="0" w:num="1">
            <w:col w:w="10460"/>
          </w:cols>
          <w:pgMar w:left="880" w:top="1165" w:right="900" w:bottom="390" w:gutter="0" w:footer="0" w:header="0"/>
          <w:type w:val="continuous"/>
        </w:sectPr>
      </w:pPr>
    </w:p>
    <w:bookmarkStart w:id="35" w:name="page36"/>
    <w:bookmarkEnd w:id="35"/>
    <w:p>
      <w:pPr>
        <w:spacing w:after="0"/>
        <w:rPr>
          <w:sz w:val="20"/>
          <w:szCs w:val="20"/>
          <w:color w:val="auto"/>
        </w:rPr>
      </w:pPr>
      <w:r>
        <w:rPr>
          <w:rFonts w:ascii="Arial" w:cs="Arial" w:eastAsia="Arial" w:hAnsi="Arial"/>
          <w:sz w:val="19"/>
          <w:szCs w:val="19"/>
          <w:b w:val="1"/>
          <w:bCs w:val="1"/>
          <w:color w:val="231F20"/>
        </w:rPr>
        <w:t>Available Information</w:t>
      </w:r>
    </w:p>
    <w:p>
      <w:pPr>
        <w:spacing w:after="0" w:line="128" w:lineRule="exact"/>
        <w:rPr>
          <w:sz w:val="20"/>
          <w:szCs w:val="20"/>
          <w:color w:val="auto"/>
        </w:rPr>
      </w:pPr>
    </w:p>
    <w:p>
      <w:pPr>
        <w:ind w:firstLine="475"/>
        <w:spacing w:after="0" w:line="222" w:lineRule="exact"/>
        <w:rPr>
          <w:sz w:val="20"/>
          <w:szCs w:val="20"/>
          <w:color w:val="auto"/>
        </w:rPr>
      </w:pPr>
      <w:r>
        <w:rPr>
          <w:rFonts w:ascii="Arial" w:cs="Arial" w:eastAsia="Arial" w:hAnsi="Arial"/>
          <w:sz w:val="16"/>
          <w:szCs w:val="16"/>
          <w:b w:val="1"/>
          <w:bCs w:val="1"/>
          <w:color w:val="231F20"/>
        </w:rPr>
        <w:t>Our Annual Reports on Form 10-K, Quarterly Reports on Form 10-Q, Current Reports on Form 8-K, proxy and information statements and amendments to reports filed pursuant to Sections 13(a), and 15(d) of the Securities Exchange Act of 1934, as amended (the Exchange Act) are filed with the U.S. Securities and Exchange Commission (SEC). We are subject to the informational requirements of the Exchange Act and file or furnish reports, proxy statements and other information with the SEC. The SEC maintains an Internet site that contains reports, proxy and information statements and other information regarding issuers that file electronically with the SEC at www.sec.gov. Such documents and other information filed by us with the SEC are available free of charge on the Investor section of our website (ir.alxoncology.com) when such reports are available on the SEC</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website.</w:t>
      </w:r>
    </w:p>
    <w:p>
      <w:pPr>
        <w:spacing w:after="0" w:line="126" w:lineRule="exact"/>
        <w:rPr>
          <w:sz w:val="20"/>
          <w:szCs w:val="20"/>
          <w:color w:val="auto"/>
        </w:rPr>
      </w:pPr>
    </w:p>
    <w:p>
      <w:pPr>
        <w:ind w:right="60" w:firstLine="475"/>
        <w:spacing w:after="0" w:line="261" w:lineRule="auto"/>
        <w:rPr>
          <w:sz w:val="20"/>
          <w:szCs w:val="20"/>
          <w:color w:val="auto"/>
        </w:rPr>
      </w:pPr>
      <w:r>
        <w:rPr>
          <w:rFonts w:ascii="Arial" w:cs="Arial" w:eastAsia="Arial" w:hAnsi="Arial"/>
          <w:sz w:val="18"/>
          <w:szCs w:val="18"/>
          <w:b w:val="1"/>
          <w:bCs w:val="1"/>
          <w:color w:val="231F20"/>
        </w:rPr>
        <w:t>Investors and others should note that we may announce material information to the public through filings with the SEC, our website (alxoncology.com), press releases, public conference calls, and public webcasts. We encourage our investors and others to review the information disclosed through such channels as such information could be deemed to be material information. Please note that this list may be updated from time to time.</w:t>
      </w:r>
    </w:p>
    <w:p>
      <w:pPr>
        <w:sectPr>
          <w:pgSz w:w="12240" w:h="15840" w:orient="portrait"/>
          <w:cols w:equalWidth="0" w:num="1">
            <w:col w:w="10400"/>
          </w:cols>
          <w:pgMar w:left="880" w:top="1160" w:right="96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231F20"/>
        </w:rPr>
        <w:t>28</w:t>
      </w:r>
    </w:p>
    <w:p>
      <w:pPr>
        <w:sectPr>
          <w:pgSz w:w="12240" w:h="15840" w:orient="portrait"/>
          <w:cols w:equalWidth="0" w:num="1">
            <w:col w:w="10400"/>
          </w:cols>
          <w:pgMar w:left="880" w:top="1160" w:right="960" w:bottom="390" w:gutter="0" w:footer="0" w:header="0"/>
          <w:type w:val="continuous"/>
        </w:sectPr>
      </w:pPr>
    </w:p>
    <w:bookmarkStart w:id="36" w:name="page37"/>
    <w:bookmarkEnd w:id="36"/>
    <w:p>
      <w:pPr>
        <w:spacing w:after="0"/>
        <w:rPr>
          <w:sz w:val="20"/>
          <w:szCs w:val="20"/>
          <w:color w:val="auto"/>
        </w:rPr>
      </w:pPr>
      <w:r>
        <w:rPr>
          <w:rFonts w:ascii="Arial" w:cs="Arial" w:eastAsia="Arial" w:hAnsi="Arial"/>
          <w:sz w:val="19"/>
          <w:szCs w:val="19"/>
          <w:b w:val="1"/>
          <w:bCs w:val="1"/>
          <w:color w:val="231F20"/>
        </w:rPr>
        <w:t>Item 1A. Risk Factors.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231F20"/>
        </w:rPr>
        <w:t>RISK FACTORS</w:t>
      </w:r>
    </w:p>
    <w:p>
      <w:pPr>
        <w:spacing w:after="0" w:line="243" w:lineRule="exact"/>
        <w:rPr>
          <w:sz w:val="20"/>
          <w:szCs w:val="20"/>
          <w:color w:val="auto"/>
        </w:rPr>
      </w:pPr>
    </w:p>
    <w:p>
      <w:pPr>
        <w:ind w:right="160"/>
        <w:spacing w:after="0" w:line="222" w:lineRule="exact"/>
        <w:rPr>
          <w:sz w:val="20"/>
          <w:szCs w:val="20"/>
          <w:color w:val="auto"/>
        </w:rPr>
      </w:pPr>
      <w:r>
        <w:rPr>
          <w:rFonts w:ascii="Arial" w:cs="Arial" w:eastAsia="Arial" w:hAnsi="Arial"/>
          <w:sz w:val="17"/>
          <w:szCs w:val="17"/>
          <w:b w:val="1"/>
          <w:bCs w:val="1"/>
          <w:color w:val="231F20"/>
        </w:rPr>
        <w:t xml:space="preserve">Investing in our common stock involves a high degree of risk. You should carefully consider the risks described below, together with the other information contained elsewhere in this Annual Report on Form 10-K, including our consolidated financial statements and the related notes, Part II, Item 7.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Management</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Discussion and Analysis of Financial Condition and Results of Operations,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and our other filings with the Securities and Exchange Commission, or SEC,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Risk Factors Summary</w:t>
      </w:r>
    </w:p>
    <w:p>
      <w:pPr>
        <w:spacing w:after="0" w:line="128" w:lineRule="exact"/>
        <w:rPr>
          <w:sz w:val="20"/>
          <w:szCs w:val="20"/>
          <w:color w:val="auto"/>
        </w:rPr>
      </w:pPr>
    </w:p>
    <w:p>
      <w:pPr>
        <w:ind w:right="80"/>
        <w:spacing w:after="0" w:line="239" w:lineRule="auto"/>
        <w:rPr>
          <w:sz w:val="20"/>
          <w:szCs w:val="20"/>
          <w:color w:val="auto"/>
        </w:rPr>
      </w:pPr>
      <w:r>
        <w:rPr>
          <w:rFonts w:ascii="Arial" w:cs="Arial" w:eastAsia="Arial" w:hAnsi="Arial"/>
          <w:sz w:val="19"/>
          <w:szCs w:val="19"/>
          <w:b w:val="1"/>
          <w:bCs w:val="1"/>
          <w:color w:val="231F20"/>
        </w:rPr>
        <w:t>Investing in our common stock involves a high degree of risk because our business is subject to numerous risks and uncertainties, as fully described below. These risks include, but are not limited to, the following:</w:t>
      </w:r>
    </w:p>
    <w:p>
      <w:pPr>
        <w:spacing w:after="0" w:line="127" w:lineRule="exact"/>
        <w:rPr>
          <w:sz w:val="20"/>
          <w:szCs w:val="20"/>
          <w:color w:val="auto"/>
        </w:rPr>
      </w:pPr>
    </w:p>
    <w:p>
      <w:pPr>
        <w:ind w:left="960" w:right="220"/>
        <w:spacing w:after="0" w:line="239" w:lineRule="auto"/>
        <w:rPr>
          <w:sz w:val="20"/>
          <w:szCs w:val="20"/>
          <w:color w:val="auto"/>
        </w:rPr>
      </w:pPr>
      <w:r>
        <w:rPr>
          <w:rFonts w:ascii="Arial" w:cs="Arial" w:eastAsia="Arial" w:hAnsi="Arial"/>
          <w:sz w:val="19"/>
          <w:szCs w:val="19"/>
          <w:b w:val="1"/>
          <w:bCs w:val="1"/>
          <w:color w:val="231F20"/>
        </w:rPr>
        <w:t>We have incurred significant net losses since our inception, and we expect to continue to incur significant net losses for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-242570</wp:posOffset>
            </wp:positionV>
            <wp:extent cx="62230" cy="635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9" w:lineRule="exact"/>
        <w:rPr>
          <w:sz w:val="20"/>
          <w:szCs w:val="20"/>
          <w:color w:val="auto"/>
        </w:rPr>
      </w:pPr>
    </w:p>
    <w:p>
      <w:pPr>
        <w:ind w:left="960" w:right="480"/>
        <w:spacing w:after="0" w:line="239" w:lineRule="auto"/>
        <w:rPr>
          <w:sz w:val="20"/>
          <w:szCs w:val="20"/>
          <w:color w:val="auto"/>
        </w:rPr>
      </w:pPr>
      <w:r>
        <w:rPr>
          <w:rFonts w:ascii="Arial" w:cs="Arial" w:eastAsia="Arial" w:hAnsi="Arial"/>
          <w:sz w:val="19"/>
          <w:szCs w:val="19"/>
          <w:b w:val="1"/>
          <w:bCs w:val="1"/>
          <w:color w:val="231F20"/>
        </w:rPr>
        <w:t>We will require substantial additional capital to finance our operations, such capital may not be available to us when needed or may only be available on terms that are unfavorable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-243840</wp:posOffset>
            </wp:positionV>
            <wp:extent cx="62230" cy="635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6" w:lineRule="exact"/>
        <w:rPr>
          <w:sz w:val="20"/>
          <w:szCs w:val="20"/>
          <w:color w:val="auto"/>
        </w:rPr>
      </w:pPr>
    </w:p>
    <w:p>
      <w:pPr>
        <w:ind w:left="960" w:right="60"/>
        <w:spacing w:after="0" w:line="239" w:lineRule="auto"/>
        <w:rPr>
          <w:sz w:val="20"/>
          <w:szCs w:val="20"/>
          <w:color w:val="auto"/>
        </w:rPr>
      </w:pPr>
      <w:r>
        <w:rPr>
          <w:rFonts w:ascii="Arial" w:cs="Arial" w:eastAsia="Arial" w:hAnsi="Arial"/>
          <w:sz w:val="19"/>
          <w:szCs w:val="19"/>
          <w:b w:val="1"/>
          <w:bCs w:val="1"/>
          <w:color w:val="231F20"/>
        </w:rPr>
        <w:t>We have a limited operating history, have no products approved for commercial sale, and have not generated any revenue from product sales, licenses or collaborations;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-242570</wp:posOffset>
            </wp:positionV>
            <wp:extent cx="62230" cy="635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6" w:lineRule="exact"/>
        <w:rPr>
          <w:sz w:val="20"/>
          <w:szCs w:val="20"/>
          <w:color w:val="auto"/>
        </w:rPr>
      </w:pPr>
    </w:p>
    <w:p>
      <w:pPr>
        <w:ind w:left="960" w:right="100"/>
        <w:spacing w:after="0" w:line="239" w:lineRule="auto"/>
        <w:rPr>
          <w:sz w:val="20"/>
          <w:szCs w:val="20"/>
          <w:color w:val="auto"/>
        </w:rPr>
      </w:pPr>
      <w:r>
        <w:rPr>
          <w:rFonts w:ascii="Arial" w:cs="Arial" w:eastAsia="Arial" w:hAnsi="Arial"/>
          <w:sz w:val="19"/>
          <w:szCs w:val="19"/>
          <w:b w:val="1"/>
          <w:bCs w:val="1"/>
          <w:color w:val="231F20"/>
        </w:rPr>
        <w:t>We are substantially dependent on the success of our lead product candidate, evorpacept, also known as ALX 148, which is in clinical development and which has not completed a pivotal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-242570</wp:posOffset>
            </wp:positionV>
            <wp:extent cx="62230" cy="635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9" w:lineRule="exact"/>
        <w:rPr>
          <w:sz w:val="20"/>
          <w:szCs w:val="20"/>
          <w:color w:val="auto"/>
        </w:rPr>
      </w:pPr>
    </w:p>
    <w:p>
      <w:pPr>
        <w:jc w:val="both"/>
        <w:ind w:left="960" w:right="120"/>
        <w:spacing w:after="0" w:line="242" w:lineRule="auto"/>
        <w:rPr>
          <w:sz w:val="20"/>
          <w:szCs w:val="20"/>
          <w:color w:val="auto"/>
        </w:rPr>
      </w:pPr>
      <w:r>
        <w:rPr>
          <w:rFonts w:ascii="Arial" w:cs="Arial" w:eastAsia="Arial" w:hAnsi="Arial"/>
          <w:sz w:val="19"/>
          <w:szCs w:val="19"/>
          <w:b w:val="1"/>
          <w:bCs w:val="1"/>
          <w:color w:val="231F20"/>
        </w:rPr>
        <w:t>The outcome of preclinical testing and early clinical trials may not be predictive of the success of later clinical trials, and the results of our clinical trials may not satisfy the requirements of the Food and Drug Administration, or FDA, or other comparable foreign regulatory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-387350</wp:posOffset>
            </wp:positionV>
            <wp:extent cx="62230" cy="635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4" w:lineRule="exact"/>
        <w:rPr>
          <w:sz w:val="20"/>
          <w:szCs w:val="20"/>
          <w:color w:val="auto"/>
        </w:rPr>
      </w:pPr>
    </w:p>
    <w:p>
      <w:pPr>
        <w:ind w:left="960"/>
        <w:spacing w:after="0" w:line="242" w:lineRule="auto"/>
        <w:rPr>
          <w:sz w:val="20"/>
          <w:szCs w:val="20"/>
          <w:color w:val="auto"/>
        </w:rPr>
      </w:pPr>
      <w:r>
        <w:rPr>
          <w:rFonts w:ascii="Arial" w:cs="Arial" w:eastAsia="Arial" w:hAnsi="Arial"/>
          <w:sz w:val="19"/>
          <w:szCs w:val="19"/>
          <w:b w:val="1"/>
          <w:bCs w:val="1"/>
          <w:color w:val="231F20"/>
        </w:rPr>
        <w:t>Clinical trials of our product candidates are expensive, time consuming and difficult to design and implement and may fail to demonstrate adequate safety, efficacy and potency of our product candidates or provide the basis for marketing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-386080</wp:posOffset>
            </wp:positionV>
            <wp:extent cx="62230" cy="635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6" w:lineRule="exact"/>
        <w:rPr>
          <w:sz w:val="20"/>
          <w:szCs w:val="20"/>
          <w:color w:val="auto"/>
        </w:rPr>
      </w:pPr>
    </w:p>
    <w:p>
      <w:pPr>
        <w:ind w:left="960" w:right="500"/>
        <w:spacing w:after="0" w:line="239" w:lineRule="auto"/>
        <w:rPr>
          <w:sz w:val="20"/>
          <w:szCs w:val="20"/>
          <w:color w:val="auto"/>
        </w:rPr>
      </w:pPr>
      <w:r>
        <w:rPr>
          <w:rFonts w:ascii="Arial" w:cs="Arial" w:eastAsia="Arial" w:hAnsi="Arial"/>
          <w:sz w:val="19"/>
          <w:szCs w:val="19"/>
          <w:b w:val="1"/>
          <w:bCs w:val="1"/>
          <w:color w:val="231F20"/>
        </w:rPr>
        <w:t>Our product candidates may cause significant adverse events or other undesirable side effects when used alone or in combination with other treatments;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-243840</wp:posOffset>
            </wp:positionV>
            <wp:extent cx="62230" cy="635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6" w:lineRule="exact"/>
        <w:rPr>
          <w:sz w:val="20"/>
          <w:szCs w:val="20"/>
          <w:color w:val="auto"/>
        </w:rPr>
      </w:pPr>
    </w:p>
    <w:p>
      <w:pPr>
        <w:ind w:left="960" w:right="40"/>
        <w:spacing w:after="0" w:line="266" w:lineRule="auto"/>
        <w:rPr>
          <w:sz w:val="20"/>
          <w:szCs w:val="20"/>
          <w:color w:val="auto"/>
        </w:rPr>
      </w:pPr>
      <w:r>
        <w:rPr>
          <w:rFonts w:ascii="Arial" w:cs="Arial" w:eastAsia="Arial" w:hAnsi="Arial"/>
          <w:sz w:val="18"/>
          <w:szCs w:val="18"/>
          <w:b w:val="1"/>
          <w:bCs w:val="1"/>
          <w:color w:val="231F20"/>
        </w:rPr>
        <w:t>The regulatory approval processes of the FDA and comparable foreign regulatory authorities are lengthy, time-consuming and inherently unpredictable, which could lead to our inability to generate product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-259080</wp:posOffset>
            </wp:positionV>
            <wp:extent cx="62230" cy="635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83" w:lineRule="exact"/>
        <w:rPr>
          <w:sz w:val="20"/>
          <w:szCs w:val="20"/>
          <w:color w:val="auto"/>
        </w:rPr>
      </w:pPr>
    </w:p>
    <w:p>
      <w:pPr>
        <w:ind w:left="960" w:right="800"/>
        <w:spacing w:after="0" w:line="239" w:lineRule="auto"/>
        <w:rPr>
          <w:sz w:val="20"/>
          <w:szCs w:val="20"/>
          <w:color w:val="auto"/>
        </w:rPr>
      </w:pPr>
      <w:r>
        <w:rPr>
          <w:rFonts w:ascii="Arial" w:cs="Arial" w:eastAsia="Arial" w:hAnsi="Arial"/>
          <w:sz w:val="19"/>
          <w:szCs w:val="19"/>
          <w:b w:val="1"/>
          <w:bCs w:val="1"/>
          <w:color w:val="231F20"/>
        </w:rPr>
        <w:t>If we are unable to obtain, maintain and enforce patent protection and other intellectual property for our product candidates and related technology, our business could be materially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-242570</wp:posOffset>
            </wp:positionV>
            <wp:extent cx="62230" cy="635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9" w:lineRule="exact"/>
        <w:rPr>
          <w:sz w:val="20"/>
          <w:szCs w:val="20"/>
          <w:color w:val="auto"/>
        </w:rPr>
      </w:pPr>
    </w:p>
    <w:p>
      <w:pPr>
        <w:ind w:left="960" w:right="60"/>
        <w:spacing w:after="0" w:line="266" w:lineRule="auto"/>
        <w:rPr>
          <w:sz w:val="20"/>
          <w:szCs w:val="20"/>
          <w:color w:val="auto"/>
        </w:rPr>
      </w:pPr>
      <w:r>
        <w:rPr>
          <w:rFonts w:ascii="Arial" w:cs="Arial" w:eastAsia="Arial" w:hAnsi="Arial"/>
          <w:sz w:val="18"/>
          <w:szCs w:val="18"/>
          <w:b w:val="1"/>
          <w:bCs w:val="1"/>
          <w:color w:val="231F20"/>
        </w:rPr>
        <w:t>We are highly dependent on our key personnel, and if we are not successful in attracting, motivating, and retaining highly qualified personnel, we may not be able to successfully implement our 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-259080</wp:posOffset>
            </wp:positionV>
            <wp:extent cx="62230" cy="635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78"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We rely on third-party manufacturers for clinical supplies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8" w:lineRule="exact"/>
        <w:rPr>
          <w:sz w:val="20"/>
          <w:szCs w:val="20"/>
          <w:color w:val="auto"/>
        </w:rPr>
      </w:pPr>
    </w:p>
    <w:p>
      <w:pPr>
        <w:ind w:left="960" w:right="580"/>
        <w:spacing w:after="0" w:line="239" w:lineRule="auto"/>
        <w:rPr>
          <w:sz w:val="20"/>
          <w:szCs w:val="20"/>
          <w:color w:val="auto"/>
        </w:rPr>
      </w:pPr>
      <w:r>
        <w:rPr>
          <w:rFonts w:ascii="Arial" w:cs="Arial" w:eastAsia="Arial" w:hAnsi="Arial"/>
          <w:sz w:val="19"/>
          <w:szCs w:val="19"/>
          <w:b w:val="1"/>
          <w:bCs w:val="1"/>
          <w:color w:val="231F20"/>
        </w:rPr>
        <w:t>The levels of our debt and compliance with the terms of our loan agreement could restrict our ability to operate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-243840</wp:posOffset>
            </wp:positionV>
            <wp:extent cx="62230" cy="635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7" w:lineRule="exact"/>
        <w:rPr>
          <w:sz w:val="20"/>
          <w:szCs w:val="20"/>
          <w:color w:val="auto"/>
        </w:rPr>
      </w:pPr>
    </w:p>
    <w:p>
      <w:pPr>
        <w:jc w:val="both"/>
        <w:ind w:left="960" w:right="220"/>
        <w:spacing w:after="0" w:line="220" w:lineRule="exact"/>
        <w:rPr>
          <w:sz w:val="20"/>
          <w:szCs w:val="20"/>
          <w:color w:val="auto"/>
        </w:rPr>
      </w:pPr>
      <w:r>
        <w:rPr>
          <w:rFonts w:ascii="Arial" w:cs="Arial" w:eastAsia="Arial" w:hAnsi="Arial"/>
          <w:sz w:val="19"/>
          <w:szCs w:val="19"/>
          <w:b w:val="1"/>
          <w:bCs w:val="1"/>
          <w:color w:val="231F20"/>
        </w:rPr>
        <w:t>The outbreaks or public health crises, such as the COVID-19 pandemic, geopolitical unrest related to Russia</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war with Ukraine, and war and instability in Israel and the surrounding region could adversely impact our business including our ongoing and planned clinical trials and preclinical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-384810</wp:posOffset>
            </wp:positionV>
            <wp:extent cx="62230" cy="635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1"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The price of our stock may be volatile, and you could lose all or part of your investment;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8" w:lineRule="exact"/>
        <w:rPr>
          <w:sz w:val="20"/>
          <w:szCs w:val="20"/>
          <w:color w:val="auto"/>
        </w:rPr>
      </w:pPr>
    </w:p>
    <w:p>
      <w:pPr>
        <w:ind w:left="960" w:right="40"/>
        <w:spacing w:after="0" w:line="242" w:lineRule="auto"/>
        <w:rPr>
          <w:sz w:val="20"/>
          <w:szCs w:val="20"/>
          <w:color w:val="auto"/>
        </w:rPr>
      </w:pPr>
      <w:r>
        <w:rPr>
          <w:rFonts w:ascii="Arial" w:cs="Arial" w:eastAsia="Arial" w:hAnsi="Arial"/>
          <w:sz w:val="19"/>
          <w:szCs w:val="19"/>
          <w:b w:val="1"/>
          <w:bCs w:val="1"/>
          <w:color w:val="231F20"/>
        </w:rPr>
        <w:t>In the past, we have identified material weaknesses in our internal control over financial reporting, and if we are unable to implement and maintain effective internal control over financial reporting in the future, investors may lose confidence in our financial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-387350</wp:posOffset>
            </wp:positionV>
            <wp:extent cx="62230" cy="635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ectPr>
          <w:pgSz w:w="12240" w:h="15840" w:orient="portrait"/>
          <w:cols w:equalWidth="0" w:num="1">
            <w:col w:w="10460"/>
          </w:cols>
          <w:pgMar w:left="880" w:top="1160" w:right="90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231F20"/>
        </w:rPr>
        <w:t>29</w:t>
      </w:r>
    </w:p>
    <w:p>
      <w:pPr>
        <w:sectPr>
          <w:pgSz w:w="12240" w:h="15840" w:orient="portrait"/>
          <w:cols w:equalWidth="0" w:num="1">
            <w:col w:w="10460"/>
          </w:cols>
          <w:pgMar w:left="880" w:top="1160" w:right="900" w:bottom="390" w:gutter="0" w:footer="0" w:header="0"/>
          <w:type w:val="continuous"/>
        </w:sectPr>
      </w:pPr>
    </w:p>
    <w:bookmarkStart w:id="37" w:name="page38"/>
    <w:bookmarkEnd w:id="37"/>
    <w:p>
      <w:pPr>
        <w:spacing w:after="0"/>
        <w:rPr>
          <w:sz w:val="20"/>
          <w:szCs w:val="20"/>
          <w:color w:val="auto"/>
        </w:rPr>
      </w:pPr>
      <w:r>
        <w:rPr>
          <w:rFonts w:ascii="Arial" w:cs="Arial" w:eastAsia="Arial" w:hAnsi="Arial"/>
          <w:sz w:val="19"/>
          <w:szCs w:val="19"/>
          <w:b w:val="1"/>
          <w:bCs w:val="1"/>
          <w:color w:val="231F20"/>
        </w:rPr>
        <w:t>Risks Related to Our Financial Position and Need for Additional Capital</w:t>
      </w:r>
    </w:p>
    <w:p>
      <w:pPr>
        <w:spacing w:after="0" w:line="128" w:lineRule="exact"/>
        <w:rPr>
          <w:sz w:val="20"/>
          <w:szCs w:val="20"/>
          <w:color w:val="auto"/>
        </w:rPr>
      </w:pPr>
    </w:p>
    <w:p>
      <w:pPr>
        <w:ind w:right="620"/>
        <w:spacing w:after="0" w:line="239" w:lineRule="auto"/>
        <w:rPr>
          <w:sz w:val="20"/>
          <w:szCs w:val="20"/>
          <w:color w:val="auto"/>
        </w:rPr>
      </w:pPr>
      <w:r>
        <w:rPr>
          <w:rFonts w:ascii="Arial" w:cs="Arial" w:eastAsia="Arial" w:hAnsi="Arial"/>
          <w:sz w:val="19"/>
          <w:szCs w:val="19"/>
          <w:b w:val="1"/>
          <w:bCs w:val="1"/>
          <w:color w:val="231F20"/>
        </w:rPr>
        <w:t>We have incurred significant net losses since our inception, and we expect to continue to incur significant net losses for the foreseeable future.</w:t>
      </w:r>
    </w:p>
    <w:p>
      <w:pPr>
        <w:spacing w:after="0" w:line="244" w:lineRule="exact"/>
        <w:rPr>
          <w:sz w:val="20"/>
          <w:szCs w:val="20"/>
          <w:color w:val="auto"/>
        </w:rPr>
      </w:pPr>
    </w:p>
    <w:p>
      <w:pPr>
        <w:ind w:firstLine="475"/>
        <w:spacing w:after="0" w:line="276" w:lineRule="auto"/>
        <w:rPr>
          <w:sz w:val="20"/>
          <w:szCs w:val="20"/>
          <w:color w:val="auto"/>
        </w:rPr>
      </w:pPr>
      <w:r>
        <w:rPr>
          <w:rFonts w:ascii="Arial" w:cs="Arial" w:eastAsia="Arial" w:hAnsi="Arial"/>
          <w:sz w:val="17"/>
          <w:szCs w:val="17"/>
          <w:b w:val="1"/>
          <w:bCs w:val="1"/>
          <w:color w:val="231F20"/>
        </w:rPr>
        <w:t>We have incurred significant net losses in each reporting period since our inception, have not generated any revenue from product sales, licenses or collaborations to date and have financed our operations principally through public offerings of our common stock and private placements of our convertible preferred stock. Our net losses were $134.9 million, $160.8 million and $123.5 million for the years ended December 31, 2024, 2023 and 2022, respectively. As of December 31, 2024, we had an accumulated deficit of $621.1 million. We have devoted substantially all of our resources and efforts to research and development. Our lead product candidate, evorpacept, is in early-stage clinical trials. Our other programs are in preclinical discovery and research stages.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99" w:lineRule="exact"/>
        <w:rPr>
          <w:sz w:val="20"/>
          <w:szCs w:val="20"/>
          <w:color w:val="auto"/>
        </w:rPr>
      </w:pPr>
    </w:p>
    <w:p>
      <w:pPr>
        <w:ind w:right="60" w:firstLine="475"/>
        <w:spacing w:after="0" w:line="278" w:lineRule="auto"/>
        <w:rPr>
          <w:sz w:val="20"/>
          <w:szCs w:val="20"/>
          <w:color w:val="auto"/>
        </w:rPr>
      </w:pPr>
      <w:r>
        <w:rPr>
          <w:rFonts w:ascii="Arial" w:cs="Arial" w:eastAsia="Arial" w:hAnsi="Arial"/>
          <w:sz w:val="17"/>
          <w:szCs w:val="17"/>
          <w:b w:val="1"/>
          <w:bCs w:val="1"/>
          <w:color w:val="231F20"/>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96" w:lineRule="exact"/>
        <w:rPr>
          <w:sz w:val="20"/>
          <w:szCs w:val="20"/>
          <w:color w:val="auto"/>
        </w:rPr>
      </w:pPr>
    </w:p>
    <w:p>
      <w:pPr>
        <w:jc w:val="both"/>
        <w:ind w:right="60"/>
        <w:spacing w:after="0" w:line="242" w:lineRule="auto"/>
        <w:rPr>
          <w:sz w:val="20"/>
          <w:szCs w:val="20"/>
          <w:color w:val="auto"/>
        </w:rPr>
      </w:pPr>
      <w:r>
        <w:rPr>
          <w:rFonts w:ascii="Arial" w:cs="Arial" w:eastAsia="Arial" w:hAnsi="Arial"/>
          <w:sz w:val="19"/>
          <w:szCs w:val="19"/>
          <w:b w:val="1"/>
          <w:bCs w:val="1"/>
          <w:color w:val="231F20"/>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24" w:lineRule="exact"/>
        <w:rPr>
          <w:sz w:val="20"/>
          <w:szCs w:val="20"/>
          <w:color w:val="auto"/>
        </w:rPr>
      </w:pPr>
    </w:p>
    <w:p>
      <w:pPr>
        <w:ind w:right="60" w:firstLine="475"/>
        <w:spacing w:after="0" w:line="275" w:lineRule="auto"/>
        <w:rPr>
          <w:sz w:val="20"/>
          <w:szCs w:val="20"/>
          <w:color w:val="auto"/>
        </w:rPr>
      </w:pPr>
      <w:r>
        <w:rPr>
          <w:rFonts w:ascii="Arial" w:cs="Arial" w:eastAsia="Arial" w:hAnsi="Arial"/>
          <w:sz w:val="17"/>
          <w:szCs w:val="17"/>
          <w:b w:val="1"/>
          <w:bCs w:val="1"/>
          <w:color w:val="231F20"/>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evorpacept and advance our other programs. In addition, if we obtain marketing approval for any of our product candidates, we expect to incur significant commercialization expenses related to drug sales, marketing, manufacturing and distribution activities. Our expenses could increase beyond expectations if we are required by the FDA, the European Medicines Agency, or EMA, or other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We have incurred and expect to continue to incur additional costs associated with operating as a public company and compliance with legal, accounting and other regulatory requirements. Accordingly, we will need to obtain substantial additional funding in order to maintain our continuing operations. If we are unable to raise capital when needed or on acceptable terms, we may be forced to delay, reduce and/or eliminate one or more of our research and drug development programs or future commercialization efforts. Further, any decline in our stock price or perceived potential decline in our stock price that may be associated with stock market volatility generally, may negatively impact our ability to raise capital.</w:t>
      </w:r>
    </w:p>
    <w:p>
      <w:pPr>
        <w:spacing w:after="0" w:line="103" w:lineRule="exact"/>
        <w:rPr>
          <w:sz w:val="20"/>
          <w:szCs w:val="20"/>
          <w:color w:val="auto"/>
        </w:rPr>
      </w:pPr>
    </w:p>
    <w:p>
      <w:pPr>
        <w:ind w:right="120" w:firstLine="475"/>
        <w:spacing w:after="0" w:line="297" w:lineRule="auto"/>
        <w:rPr>
          <w:sz w:val="20"/>
          <w:szCs w:val="20"/>
          <w:color w:val="auto"/>
        </w:rPr>
      </w:pPr>
      <w:r>
        <w:rPr>
          <w:rFonts w:ascii="Arial" w:cs="Arial" w:eastAsia="Arial" w:hAnsi="Arial"/>
          <w:sz w:val="16"/>
          <w:szCs w:val="16"/>
          <w:b w:val="1"/>
          <w:bCs w:val="1"/>
          <w:color w:val="231F20"/>
        </w:rPr>
        <w:t>As of December 31, 2024, we had cash, cash equivalents and investments of $131.3 million. Based on our current operating plan, we believe that our existing cash, cash equivalents, and investments will be sufficient to fund our operations into the fourth quarter of 2026. Our estimate as to how long we expect our existing cash, cash equivalents, investments and funds available from our term loan will be sufficient to continue to fund our operations is based on assumptions that may prove to be wrong, and we could use our available capital resources sooner than we currently expect. Changing circumstances, some of which may be beyond our control, such as periods of a rising rate of inflation or economic downturns, could cause us to consume capital significantly faster than we currently anticipate, and we may need to seek additional funds sooner than planned.</w:t>
      </w:r>
    </w:p>
    <w:p>
      <w:pPr>
        <w:spacing w:after="0" w:line="84" w:lineRule="exact"/>
        <w:rPr>
          <w:sz w:val="20"/>
          <w:szCs w:val="20"/>
          <w:color w:val="auto"/>
        </w:rPr>
      </w:pPr>
    </w:p>
    <w:p>
      <w:pPr>
        <w:ind w:right="240" w:firstLine="475"/>
        <w:spacing w:after="0" w:line="298" w:lineRule="auto"/>
        <w:rPr>
          <w:sz w:val="20"/>
          <w:szCs w:val="20"/>
          <w:color w:val="auto"/>
        </w:rPr>
      </w:pPr>
      <w:r>
        <w:rPr>
          <w:rFonts w:ascii="Arial" w:cs="Arial" w:eastAsia="Arial" w:hAnsi="Arial"/>
          <w:sz w:val="16"/>
          <w:szCs w:val="16"/>
          <w:b w:val="1"/>
          <w:bCs w:val="1"/>
          <w:color w:val="231F20"/>
        </w:rPr>
        <w:t>We plan to use our cash, cash equivalents and investments to advance the clinical development of evorpacept, as well as for working capital and other general corporate purposes. This may include additional preclinical research, clinical development, hiring additional personnel, capital expenditures, the potential acquisition of businesses or assets and the costs of operating as a public company, as well as for working capital and other general corporate purposes. Advancing the development of evorpacept and our other programs will require a significant amount of capital. Our current cash, cash equivalents and investments on hand, may not be sufficient to fund all of the actions that are necessary to complete the development of evorpacept or our other programs.</w:t>
      </w:r>
    </w:p>
    <w:p>
      <w:pPr>
        <w:sectPr>
          <w:pgSz w:w="12240" w:h="15840" w:orient="portrait"/>
          <w:cols w:equalWidth="0" w:num="1">
            <w:col w:w="10480"/>
          </w:cols>
          <w:pgMar w:left="880" w:top="1160" w:right="88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30</w:t>
      </w:r>
    </w:p>
    <w:p>
      <w:pPr>
        <w:sectPr>
          <w:pgSz w:w="12240" w:h="15840" w:orient="portrait"/>
          <w:cols w:equalWidth="0" w:num="1">
            <w:col w:w="10480"/>
          </w:cols>
          <w:pgMar w:left="880" w:top="1160" w:right="880" w:bottom="390" w:gutter="0" w:footer="0" w:header="0"/>
          <w:type w:val="continuous"/>
        </w:sectPr>
      </w:pPr>
    </w:p>
    <w:bookmarkStart w:id="38" w:name="page39"/>
    <w:bookmarkEnd w:id="38"/>
    <w:p>
      <w:pPr>
        <w:ind w:firstLine="475"/>
        <w:spacing w:after="0" w:line="223" w:lineRule="exact"/>
        <w:rPr>
          <w:sz w:val="20"/>
          <w:szCs w:val="20"/>
          <w:color w:val="auto"/>
        </w:rPr>
      </w:pPr>
      <w:r>
        <w:rPr>
          <w:rFonts w:ascii="Arial" w:cs="Arial" w:eastAsia="Arial" w:hAnsi="Arial"/>
          <w:sz w:val="16"/>
          <w:szCs w:val="16"/>
          <w:b w:val="1"/>
          <w:bCs w:val="1"/>
          <w:color w:val="231F20"/>
        </w:rPr>
        <w:t>We will be required to obtain further funding through public or private equity offerings, debt financings, collaborations and licensing arrangements or other sources, which may dilute our stockholders or restrict our operating activities. Other than the loan and security agreement, or Loan Agreement, we entered into with Oxford Finance LLC, Oxford Finance Credit Fund II LP and Silicon Valley Bank, or SVB, collectively, the Lenders, in the fourth quarter of 2022 and most recently amended in December 2023, we do not have any committed external source of funds. Under the Loan Agreement, $25.0 million is available for us to draw down at the Lenders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sole discretion as of December 31, 2024. SVB was closed in March 2023, and the FDIC was appointed as receiver to SVB. The FDIC created Silicon Valley Bridge Bank, or SVBB, as successor to SVB, which was acquired by First Citizens Bank, and is now operated as a division of First Citizens Bank, or SVB-First Citizens. Adequate additional financing may not be available to us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Debt financing may result in imposition of debt covenants, increased fixed payment obligations or other restrictions that may affect our business. For example, our Loan Agreement restricts our ability to incur additional indebtedness without the consent of the Lenders.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30" w:lineRule="exact"/>
        <w:rPr>
          <w:sz w:val="20"/>
          <w:szCs w:val="20"/>
          <w:color w:val="auto"/>
        </w:rPr>
      </w:pPr>
    </w:p>
    <w:p>
      <w:pPr>
        <w:ind w:right="180" w:firstLine="475"/>
        <w:spacing w:after="0" w:line="242" w:lineRule="auto"/>
        <w:rPr>
          <w:sz w:val="20"/>
          <w:szCs w:val="20"/>
          <w:color w:val="auto"/>
        </w:rPr>
      </w:pPr>
      <w:r>
        <w:rPr>
          <w:rFonts w:ascii="Arial" w:cs="Arial" w:eastAsia="Arial" w:hAnsi="Arial"/>
          <w:sz w:val="19"/>
          <w:szCs w:val="19"/>
          <w:b w:val="1"/>
          <w:bCs w:val="1"/>
          <w:color w:val="231F20"/>
        </w:rPr>
        <w:t>Our failure to raise capital as and when needed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124" w:lineRule="exact"/>
        <w:rPr>
          <w:sz w:val="20"/>
          <w:szCs w:val="20"/>
          <w:color w:val="auto"/>
        </w:rPr>
      </w:pPr>
    </w:p>
    <w:p>
      <w:pPr>
        <w:ind w:right="320"/>
        <w:spacing w:after="0" w:line="239" w:lineRule="auto"/>
        <w:rPr>
          <w:sz w:val="20"/>
          <w:szCs w:val="20"/>
          <w:color w:val="auto"/>
        </w:rPr>
      </w:pPr>
      <w:r>
        <w:rPr>
          <w:rFonts w:ascii="Arial" w:cs="Arial" w:eastAsia="Arial" w:hAnsi="Arial"/>
          <w:sz w:val="19"/>
          <w:szCs w:val="19"/>
          <w:b w:val="1"/>
          <w:bCs w:val="1"/>
          <w:color w:val="231F20"/>
        </w:rPr>
        <w:t>We have a limited operating history and have no products approved for commercial sale, which may make it difficult for you to evaluate our current business and likelihood of success and viability.</w:t>
      </w:r>
    </w:p>
    <w:p>
      <w:pPr>
        <w:spacing w:after="0" w:line="129" w:lineRule="exact"/>
        <w:rPr>
          <w:sz w:val="20"/>
          <w:szCs w:val="20"/>
          <w:color w:val="auto"/>
        </w:rPr>
      </w:pPr>
    </w:p>
    <w:p>
      <w:pPr>
        <w:ind w:right="20" w:firstLine="475"/>
        <w:spacing w:after="0" w:line="293" w:lineRule="auto"/>
        <w:rPr>
          <w:sz w:val="20"/>
          <w:szCs w:val="20"/>
          <w:color w:val="auto"/>
        </w:rPr>
      </w:pPr>
      <w:r>
        <w:rPr>
          <w:rFonts w:ascii="Arial" w:cs="Arial" w:eastAsia="Arial" w:hAnsi="Arial"/>
          <w:sz w:val="16"/>
          <w:szCs w:val="16"/>
          <w:b w:val="1"/>
          <w:bCs w:val="1"/>
          <w:color w:val="231F20"/>
        </w:rPr>
        <w:t>We are a clinical-stage biopharmaceutical company with a limited operating history upon which you can evaluate our business and prospects. We were incorporated and commenced operations in 2015, have no products approved for commercial sale and have not generated any revenue from product sales, licenses or collaborations. Drug development is a highly uncertain undertaking and involves a substantial degree of risk. Our operations to date have been limited to organizing and staffing our company, business planning, raising capital, identifying and developing potential product candidates and conducting preclinical and clinical trials of our product candidates, including Phase 1 and Phase 2 clinical trials of evorpacept. We have not yet demonstrated our ability to successfully complete any large-scale, pivotal clinical trials, obtain marketing approvals, manufacture a commercial-scale drug or arrange for a third party to do so on our behalf or conduct sales and marketing activities. As a result, it may be more difficult for you to accurately predict our likelihood of success and viability than it could be if we had a longer operating history. In addition, as a business with a limited operating history, we may encounter unforeseen expenses, difficulties, complications, delays and other known and unknown factors and risks frequently experienced by early-stage biopharmaceutical companies in rapidly evolving fields. We also may need to transition from a company with a research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95" w:lineRule="exact"/>
        <w:rPr>
          <w:sz w:val="20"/>
          <w:szCs w:val="20"/>
          <w:color w:val="auto"/>
        </w:rPr>
      </w:pPr>
    </w:p>
    <w:p>
      <w:pPr>
        <w:ind w:right="160"/>
        <w:spacing w:after="0" w:line="239" w:lineRule="auto"/>
        <w:rPr>
          <w:sz w:val="20"/>
          <w:szCs w:val="20"/>
          <w:color w:val="auto"/>
        </w:rPr>
      </w:pPr>
      <w:r>
        <w:rPr>
          <w:rFonts w:ascii="Arial" w:cs="Arial" w:eastAsia="Arial" w:hAnsi="Arial"/>
          <w:sz w:val="19"/>
          <w:szCs w:val="19"/>
          <w:b w:val="1"/>
          <w:bCs w:val="1"/>
          <w:color w:val="231F20"/>
        </w:rPr>
        <w:t>Our ability to generate revenue and achieve profitability depends significantly on our ability to achieve several objectives relating to the discovery, development and commercialization of our product candidates.</w:t>
      </w:r>
    </w:p>
    <w:p>
      <w:pPr>
        <w:spacing w:after="0" w:line="126" w:lineRule="exact"/>
        <w:rPr>
          <w:sz w:val="20"/>
          <w:szCs w:val="20"/>
          <w:color w:val="auto"/>
        </w:rPr>
      </w:pPr>
    </w:p>
    <w:p>
      <w:pPr>
        <w:ind w:right="100" w:firstLine="475"/>
        <w:spacing w:after="0" w:line="279" w:lineRule="auto"/>
        <w:rPr>
          <w:sz w:val="20"/>
          <w:szCs w:val="20"/>
          <w:color w:val="auto"/>
        </w:rPr>
      </w:pPr>
      <w:r>
        <w:rPr>
          <w:rFonts w:ascii="Arial" w:cs="Arial" w:eastAsia="Arial" w:hAnsi="Arial"/>
          <w:sz w:val="17"/>
          <w:szCs w:val="17"/>
          <w:b w:val="1"/>
          <w:bCs w:val="1"/>
          <w:color w:val="231F20"/>
        </w:rPr>
        <w:t>Our business depends entirely on the successful development and commercialization of our product candidates. We currently generate no revenue from any product sales, licenses or collaborations and do not expect to generate any revenue from the sale of product candidates in the foreseeable future. We have no products approved for commercial sale and do not anticipate generating any revenue from product sales for the next several years, if ever. Our ability to generate revenue and achieve profitability depends significantly on our ability to achieve a number of objectives, including:</w:t>
      </w:r>
    </w:p>
    <w:p>
      <w:pPr>
        <w:spacing w:after="0" w:line="95" w:lineRule="exact"/>
        <w:rPr>
          <w:sz w:val="20"/>
          <w:szCs w:val="20"/>
          <w:color w:val="auto"/>
        </w:rPr>
      </w:pPr>
    </w:p>
    <w:p>
      <w:pPr>
        <w:ind w:left="960" w:right="200"/>
        <w:spacing w:after="0" w:line="239" w:lineRule="auto"/>
        <w:rPr>
          <w:sz w:val="20"/>
          <w:szCs w:val="20"/>
          <w:color w:val="auto"/>
        </w:rPr>
      </w:pPr>
      <w:r>
        <w:rPr>
          <w:rFonts w:ascii="Arial" w:cs="Arial" w:eastAsia="Arial" w:hAnsi="Arial"/>
          <w:sz w:val="19"/>
          <w:szCs w:val="19"/>
          <w:b w:val="1"/>
          <w:bCs w:val="1"/>
          <w:color w:val="231F20"/>
        </w:rPr>
        <w:t>successful and timely completion of preclinical and clinical development of our lead product candidate, evorpacept, and our other future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-242570</wp:posOffset>
            </wp:positionV>
            <wp:extent cx="62230" cy="635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9" w:lineRule="exact"/>
        <w:rPr>
          <w:sz w:val="20"/>
          <w:szCs w:val="20"/>
          <w:color w:val="auto"/>
        </w:rPr>
      </w:pPr>
    </w:p>
    <w:p>
      <w:pPr>
        <w:ind w:left="960" w:right="40"/>
        <w:spacing w:after="0" w:line="239" w:lineRule="auto"/>
        <w:rPr>
          <w:sz w:val="20"/>
          <w:szCs w:val="20"/>
          <w:color w:val="auto"/>
        </w:rPr>
      </w:pPr>
      <w:r>
        <w:rPr>
          <w:rFonts w:ascii="Arial" w:cs="Arial" w:eastAsia="Arial" w:hAnsi="Arial"/>
          <w:sz w:val="19"/>
          <w:szCs w:val="19"/>
          <w:b w:val="1"/>
          <w:bCs w:val="1"/>
          <w:color w:val="231F20"/>
        </w:rPr>
        <w:t>establishing and maintaining relationships with contract research organizations, or CROs, and clinical sites for the clinical development of evorpacept and our other future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-243840</wp:posOffset>
            </wp:positionV>
            <wp:extent cx="62230" cy="635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6" w:lineRule="exact"/>
        <w:rPr>
          <w:sz w:val="20"/>
          <w:szCs w:val="20"/>
          <w:color w:val="auto"/>
        </w:rPr>
      </w:pPr>
    </w:p>
    <w:p>
      <w:pPr>
        <w:ind w:left="960" w:right="420"/>
        <w:spacing w:after="0" w:line="239" w:lineRule="auto"/>
        <w:rPr>
          <w:sz w:val="20"/>
          <w:szCs w:val="20"/>
          <w:color w:val="auto"/>
        </w:rPr>
      </w:pPr>
      <w:r>
        <w:rPr>
          <w:rFonts w:ascii="Arial" w:cs="Arial" w:eastAsia="Arial" w:hAnsi="Arial"/>
          <w:sz w:val="19"/>
          <w:szCs w:val="19"/>
          <w:b w:val="1"/>
          <w:bCs w:val="1"/>
          <w:color w:val="231F20"/>
        </w:rPr>
        <w:t>timely receipt of marketing approvals from applicable regulatory authorities for any product candidates for which we successfully complete 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-242570</wp:posOffset>
            </wp:positionV>
            <wp:extent cx="62230" cy="635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4"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the extent of any required post-marketing approval commitments to applicable regulatory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5" w:lineRule="exact"/>
        <w:rPr>
          <w:sz w:val="20"/>
          <w:szCs w:val="20"/>
          <w:color w:val="auto"/>
        </w:rPr>
      </w:pPr>
    </w:p>
    <w:p>
      <w:pPr>
        <w:ind w:left="960" w:right="220"/>
        <w:spacing w:after="0" w:line="242" w:lineRule="auto"/>
        <w:rPr>
          <w:sz w:val="20"/>
          <w:szCs w:val="20"/>
          <w:color w:val="auto"/>
        </w:rPr>
      </w:pPr>
      <w:r>
        <w:rPr>
          <w:rFonts w:ascii="Arial" w:cs="Arial" w:eastAsia="Arial" w:hAnsi="Arial"/>
          <w:sz w:val="19"/>
          <w:szCs w:val="19"/>
          <w:b w:val="1"/>
          <w:bCs w:val="1"/>
          <w:color w:val="231F20"/>
        </w:rPr>
        <w:t>developing an efficient and scalable manufacturing process for evorpacept and any future product candidates, including establishing and maintaining commercially viable supply and manufacturing relationships with third parties to obtain finished products that are appropriately packaged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-386080</wp:posOffset>
            </wp:positionV>
            <wp:extent cx="62230" cy="635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ectPr>
          <w:pgSz w:w="12240" w:h="15840" w:orient="portrait"/>
          <w:cols w:equalWidth="0" w:num="1">
            <w:col w:w="10460"/>
          </w:cols>
          <w:pgMar w:left="880" w:top="1165" w:right="90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231F20"/>
        </w:rPr>
        <w:t>31</w:t>
      </w:r>
    </w:p>
    <w:p>
      <w:pPr>
        <w:sectPr>
          <w:pgSz w:w="12240" w:h="15840" w:orient="portrait"/>
          <w:cols w:equalWidth="0" w:num="1">
            <w:col w:w="10460"/>
          </w:cols>
          <w:pgMar w:left="880" w:top="1165" w:right="900" w:bottom="390" w:gutter="0" w:footer="0" w:header="0"/>
          <w:type w:val="continuous"/>
        </w:sectPr>
      </w:pPr>
    </w:p>
    <w:bookmarkStart w:id="39" w:name="page40"/>
    <w:bookmarkEnd w:id="39"/>
    <w:p>
      <w:pPr>
        <w:ind w:left="960" w:right="100"/>
        <w:spacing w:after="0" w:line="242" w:lineRule="auto"/>
        <w:rPr>
          <w:sz w:val="20"/>
          <w:szCs w:val="20"/>
          <w:color w:val="auto"/>
        </w:rPr>
      </w:pPr>
      <w:r>
        <w:rPr>
          <w:rFonts w:ascii="Arial" w:cs="Arial" w:eastAsia="Arial" w:hAnsi="Arial"/>
          <w:sz w:val="19"/>
          <w:szCs w:val="19"/>
          <w:b w:val="1"/>
          <w:bCs w:val="1"/>
          <w:color w:val="231F20"/>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-385445</wp:posOffset>
            </wp:positionV>
            <wp:extent cx="62230" cy="635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6" w:lineRule="exact"/>
        <w:rPr>
          <w:sz w:val="20"/>
          <w:szCs w:val="20"/>
          <w:color w:val="auto"/>
        </w:rPr>
      </w:pPr>
    </w:p>
    <w:p>
      <w:pPr>
        <w:ind w:left="960" w:right="1000"/>
        <w:spacing w:after="0" w:line="239" w:lineRule="auto"/>
        <w:rPr>
          <w:sz w:val="20"/>
          <w:szCs w:val="20"/>
          <w:color w:val="auto"/>
        </w:rPr>
      </w:pPr>
      <w:r>
        <w:rPr>
          <w:rFonts w:ascii="Arial" w:cs="Arial" w:eastAsia="Arial" w:hAnsi="Arial"/>
          <w:sz w:val="19"/>
          <w:szCs w:val="19"/>
          <w:b w:val="1"/>
          <w:bCs w:val="1"/>
          <w:color w:val="231F20"/>
        </w:rPr>
        <w:t>successful commercial launch following any marketing approval, including the development of a commercial infrastructure, whether in-house or with one or more collaborators;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-243840</wp:posOffset>
            </wp:positionV>
            <wp:extent cx="62230" cy="635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1"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a continued acceptable safety profile following any marketing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8" w:lineRule="exact"/>
        <w:rPr>
          <w:sz w:val="20"/>
          <w:szCs w:val="20"/>
          <w:color w:val="auto"/>
        </w:rPr>
      </w:pPr>
    </w:p>
    <w:p>
      <w:pPr>
        <w:ind w:left="960" w:right="540"/>
        <w:spacing w:after="0" w:line="239" w:lineRule="auto"/>
        <w:rPr>
          <w:sz w:val="20"/>
          <w:szCs w:val="20"/>
          <w:color w:val="auto"/>
        </w:rPr>
      </w:pPr>
      <w:r>
        <w:rPr>
          <w:rFonts w:ascii="Arial" w:cs="Arial" w:eastAsia="Arial" w:hAnsi="Arial"/>
          <w:sz w:val="19"/>
          <w:szCs w:val="19"/>
          <w:b w:val="1"/>
          <w:bCs w:val="1"/>
          <w:color w:val="231F20"/>
        </w:rPr>
        <w:t>commercial acceptance of evorpacept and any future product candidates as viable treatment options by patients, the medical community and third-party payors;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-243840</wp:posOffset>
            </wp:positionV>
            <wp:extent cx="62230" cy="635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7" w:lineRule="exact"/>
        <w:rPr>
          <w:sz w:val="20"/>
          <w:szCs w:val="20"/>
          <w:color w:val="auto"/>
        </w:rPr>
      </w:pPr>
    </w:p>
    <w:p>
      <w:pPr>
        <w:ind w:left="960" w:right="1140"/>
        <w:spacing w:after="0" w:line="370" w:lineRule="auto"/>
        <w:rPr>
          <w:sz w:val="20"/>
          <w:szCs w:val="20"/>
          <w:color w:val="auto"/>
        </w:rPr>
      </w:pPr>
      <w:r>
        <w:rPr>
          <w:rFonts w:ascii="Arial" w:cs="Arial" w:eastAsia="Arial" w:hAnsi="Arial"/>
          <w:sz w:val="19"/>
          <w:szCs w:val="19"/>
          <w:b w:val="1"/>
          <w:bCs w:val="1"/>
          <w:color w:val="231F20"/>
        </w:rPr>
        <w:t>obtaining favorable coverage and adequate reimbursement by third-party payors for our product candidates; addressing any competing therapies and technological and market developments; identifying, assessing, acquiring and developing new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-607695</wp:posOffset>
            </wp:positionV>
            <wp:extent cx="62230" cy="635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2230" cy="63500"/>
                    </a:xfrm>
                    <a:prstGeom prst="rect">
                      <a:avLst/>
                    </a:prstGeom>
                    <a:noFill/>
                  </pic:spPr>
                </pic:pic>
              </a:graphicData>
            </a:graphic>
          </wp:anchor>
        </w:drawing>
        <w:drawing>
          <wp:anchor simplePos="0" relativeHeight="251657728" behindDoc="1" locked="0" layoutInCell="0" allowOverlap="1">
            <wp:simplePos x="0" y="0"/>
            <wp:positionH relativeFrom="column">
              <wp:posOffset>300355</wp:posOffset>
            </wp:positionH>
            <wp:positionV relativeFrom="paragraph">
              <wp:posOffset>-393065</wp:posOffset>
            </wp:positionV>
            <wp:extent cx="62230" cy="635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2230" cy="63500"/>
                    </a:xfrm>
                    <a:prstGeom prst="rect">
                      <a:avLst/>
                    </a:prstGeom>
                    <a:noFill/>
                  </pic:spPr>
                </pic:pic>
              </a:graphicData>
            </a:graphic>
          </wp:anchor>
        </w:drawing>
        <w:drawing>
          <wp:anchor simplePos="0" relativeHeight="251657728" behindDoc="1" locked="0" layoutInCell="0" allowOverlap="1">
            <wp:simplePos x="0" y="0"/>
            <wp:positionH relativeFrom="column">
              <wp:posOffset>300355</wp:posOffset>
            </wp:positionH>
            <wp:positionV relativeFrom="paragraph">
              <wp:posOffset>-177800</wp:posOffset>
            </wp:positionV>
            <wp:extent cx="62230" cy="635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ind w:left="960" w:right="380"/>
        <w:spacing w:after="0" w:line="239" w:lineRule="auto"/>
        <w:rPr>
          <w:sz w:val="20"/>
          <w:szCs w:val="20"/>
          <w:color w:val="auto"/>
        </w:rPr>
      </w:pPr>
      <w:r>
        <w:rPr>
          <w:rFonts w:ascii="Arial" w:cs="Arial" w:eastAsia="Arial" w:hAnsi="Arial"/>
          <w:sz w:val="19"/>
          <w:szCs w:val="19"/>
          <w:b w:val="1"/>
          <w:bCs w:val="1"/>
          <w:color w:val="231F20"/>
        </w:rPr>
        <w:t>obtaining, maintaining and expanding patent protection, trade secret protection and regulatory exclusivity, both in the United States and internationally;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-242570</wp:posOffset>
            </wp:positionV>
            <wp:extent cx="62230" cy="635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9" w:lineRule="exact"/>
        <w:rPr>
          <w:sz w:val="20"/>
          <w:szCs w:val="20"/>
          <w:color w:val="auto"/>
        </w:rPr>
      </w:pPr>
    </w:p>
    <w:p>
      <w:pPr>
        <w:ind w:left="960" w:right="1580"/>
        <w:spacing w:after="0" w:line="393" w:lineRule="auto"/>
        <w:rPr>
          <w:sz w:val="20"/>
          <w:szCs w:val="20"/>
          <w:color w:val="auto"/>
        </w:rPr>
      </w:pPr>
      <w:r>
        <w:rPr>
          <w:rFonts w:ascii="Arial" w:cs="Arial" w:eastAsia="Arial" w:hAnsi="Arial"/>
          <w:sz w:val="18"/>
          <w:szCs w:val="18"/>
          <w:b w:val="1"/>
          <w:bCs w:val="1"/>
          <w:color w:val="231F20"/>
        </w:rPr>
        <w:t>protecting our rights in our intellectual property portfolio, including our licensed intellectual property; defending against third-party interference or infringement claims,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-398145</wp:posOffset>
            </wp:positionV>
            <wp:extent cx="62230" cy="635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2230" cy="63500"/>
                    </a:xfrm>
                    <a:prstGeom prst="rect">
                      <a:avLst/>
                    </a:prstGeom>
                    <a:noFill/>
                  </pic:spPr>
                </pic:pic>
              </a:graphicData>
            </a:graphic>
          </wp:anchor>
        </w:drawing>
        <w:drawing>
          <wp:anchor simplePos="0" relativeHeight="251657728" behindDoc="1" locked="0" layoutInCell="0" allowOverlap="1">
            <wp:simplePos x="0" y="0"/>
            <wp:positionH relativeFrom="column">
              <wp:posOffset>300355</wp:posOffset>
            </wp:positionH>
            <wp:positionV relativeFrom="paragraph">
              <wp:posOffset>-181610</wp:posOffset>
            </wp:positionV>
            <wp:extent cx="62230" cy="635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ind w:left="960" w:right="60"/>
        <w:spacing w:after="0" w:line="239" w:lineRule="auto"/>
        <w:rPr>
          <w:sz w:val="20"/>
          <w:szCs w:val="20"/>
          <w:color w:val="auto"/>
        </w:rPr>
      </w:pPr>
      <w:r>
        <w:rPr>
          <w:rFonts w:ascii="Arial" w:cs="Arial" w:eastAsia="Arial" w:hAnsi="Arial"/>
          <w:sz w:val="19"/>
          <w:szCs w:val="19"/>
          <w:b w:val="1"/>
          <w:bCs w:val="1"/>
          <w:color w:val="231F20"/>
        </w:rPr>
        <w:t>entering into, on favorable terms, any collaboration, licensing or other arrangements that may be necessary or desirable to develop, manufacture or commercialize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-243840</wp:posOffset>
            </wp:positionV>
            <wp:extent cx="62230" cy="635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6" w:lineRule="exact"/>
        <w:rPr>
          <w:sz w:val="20"/>
          <w:szCs w:val="20"/>
          <w:color w:val="auto"/>
        </w:rPr>
      </w:pPr>
    </w:p>
    <w:p>
      <w:pPr>
        <w:ind w:left="960" w:right="560"/>
        <w:spacing w:after="0" w:line="239" w:lineRule="auto"/>
        <w:rPr>
          <w:sz w:val="20"/>
          <w:szCs w:val="20"/>
          <w:color w:val="auto"/>
        </w:rPr>
      </w:pPr>
      <w:r>
        <w:rPr>
          <w:rFonts w:ascii="Arial" w:cs="Arial" w:eastAsia="Arial" w:hAnsi="Arial"/>
          <w:sz w:val="19"/>
          <w:szCs w:val="19"/>
          <w:b w:val="1"/>
          <w:bCs w:val="1"/>
          <w:color w:val="231F20"/>
        </w:rPr>
        <w:t>negotiating favorable terms in any collaboration, licensing or other arrangements that may be necessary to develop, manufacture or commercialize our product candidate;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-242570</wp:posOffset>
            </wp:positionV>
            <wp:extent cx="62230" cy="635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1"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attracting, hiring and retaining qualified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8" w:lineRule="exact"/>
        <w:rPr>
          <w:sz w:val="20"/>
          <w:szCs w:val="20"/>
          <w:color w:val="auto"/>
        </w:rPr>
      </w:pPr>
    </w:p>
    <w:p>
      <w:pPr>
        <w:ind w:firstLine="475"/>
        <w:spacing w:after="0" w:line="243" w:lineRule="auto"/>
        <w:rPr>
          <w:sz w:val="20"/>
          <w:szCs w:val="20"/>
          <w:color w:val="auto"/>
        </w:rPr>
      </w:pPr>
      <w:r>
        <w:rPr>
          <w:rFonts w:ascii="Arial" w:cs="Arial" w:eastAsia="Arial" w:hAnsi="Arial"/>
          <w:sz w:val="19"/>
          <w:szCs w:val="19"/>
          <w:b w:val="1"/>
          <w:bCs w:val="1"/>
          <w:color w:val="231F20"/>
        </w:rPr>
        <w:t>We may never be successful in achieving our objectives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and/or continue our operations.</w:t>
      </w:r>
    </w:p>
    <w:p>
      <w:pPr>
        <w:spacing w:after="0" w:line="125" w:lineRule="exact"/>
        <w:rPr>
          <w:sz w:val="20"/>
          <w:szCs w:val="20"/>
          <w:color w:val="auto"/>
        </w:rPr>
      </w:pPr>
    </w:p>
    <w:p>
      <w:pPr>
        <w:spacing w:after="0" w:line="239" w:lineRule="auto"/>
        <w:rPr>
          <w:sz w:val="20"/>
          <w:szCs w:val="20"/>
          <w:color w:val="auto"/>
        </w:rPr>
      </w:pPr>
      <w:r>
        <w:rPr>
          <w:rFonts w:ascii="Arial" w:cs="Arial" w:eastAsia="Arial" w:hAnsi="Arial"/>
          <w:sz w:val="19"/>
          <w:szCs w:val="19"/>
          <w:b w:val="1"/>
          <w:bCs w:val="1"/>
          <w:color w:val="231F20"/>
        </w:rPr>
        <w:t>The terms of our Loan Agreement require us to meet certain operating and financial covenants, place restrictions on our operating and financial flexibility, and may subject us to default.</w:t>
      </w:r>
    </w:p>
    <w:p>
      <w:pPr>
        <w:spacing w:after="0" w:line="129" w:lineRule="exact"/>
        <w:rPr>
          <w:sz w:val="20"/>
          <w:szCs w:val="20"/>
          <w:color w:val="auto"/>
        </w:rPr>
      </w:pPr>
    </w:p>
    <w:p>
      <w:pPr>
        <w:ind w:right="160" w:firstLine="475"/>
        <w:spacing w:after="0" w:line="219" w:lineRule="exact"/>
        <w:rPr>
          <w:sz w:val="20"/>
          <w:szCs w:val="20"/>
          <w:color w:val="auto"/>
        </w:rPr>
      </w:pPr>
      <w:r>
        <w:rPr>
          <w:rFonts w:ascii="Arial" w:cs="Arial" w:eastAsia="Arial" w:hAnsi="Arial"/>
          <w:sz w:val="16"/>
          <w:szCs w:val="16"/>
          <w:b w:val="1"/>
          <w:bCs w:val="1"/>
          <w:color w:val="231F20"/>
        </w:rPr>
        <w:t>In October 2022, we entered into the Loan Agreement, most recently amended in December 2023, under which we have borrowed $10.0 million. Under the Loan Agreement, $25.0 million is available for us to draw at the Lenders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sole discretion as of December 31, 2024. The proceeds of the loans may be used by us for working capital and to fund our general business requirements.</w:t>
      </w:r>
    </w:p>
    <w:p>
      <w:pPr>
        <w:spacing w:after="0" w:line="129" w:lineRule="exact"/>
        <w:rPr>
          <w:sz w:val="20"/>
          <w:szCs w:val="20"/>
          <w:color w:val="auto"/>
        </w:rPr>
      </w:pPr>
    </w:p>
    <w:p>
      <w:pPr>
        <w:ind w:right="160" w:firstLine="475"/>
        <w:spacing w:after="0" w:line="296" w:lineRule="auto"/>
        <w:rPr>
          <w:sz w:val="20"/>
          <w:szCs w:val="20"/>
          <w:color w:val="auto"/>
        </w:rPr>
      </w:pPr>
      <w:r>
        <w:rPr>
          <w:rFonts w:ascii="Arial" w:cs="Arial" w:eastAsia="Arial" w:hAnsi="Arial"/>
          <w:sz w:val="16"/>
          <w:szCs w:val="16"/>
          <w:b w:val="1"/>
          <w:bCs w:val="1"/>
          <w:color w:val="231F20"/>
        </w:rPr>
        <w:t>The term loans under the Loan Agreement mature on October 1, 2027. We will begin to make principal payments in equal monthly installments beginning on December 1, 2025, and if either of the milestone related tranche term loans are funded, then we will begin to make principal payments in equal monthly installments beginning on December 1, 2026. The term loans accrue interest at a floating rate as described elsewhere in this report, and interest is payable monthly in arrears. The term loans once repaid or prepaid may not be reborrowed. The term loans may be prepaid in full or in part in increments of $10.0 million, with various prepayment premiums. Upon the earlier of prepayment or maturity of any term loan, we are required to pay a fee of 6.0% of the original principal amount of such funded term loan, and a contingency fee may apply in connection with a prepayment of such term loan under certain circumstances. We are also obligated to pay other customary fees for a loan facility of this type and size.</w:t>
      </w:r>
    </w:p>
    <w:p>
      <w:pPr>
        <w:spacing w:after="0" w:line="85" w:lineRule="exact"/>
        <w:rPr>
          <w:sz w:val="20"/>
          <w:szCs w:val="20"/>
          <w:color w:val="auto"/>
        </w:rPr>
      </w:pPr>
    </w:p>
    <w:p>
      <w:pPr>
        <w:ind w:right="120" w:firstLine="475"/>
        <w:spacing w:after="0" w:line="295" w:lineRule="auto"/>
        <w:rPr>
          <w:sz w:val="20"/>
          <w:szCs w:val="20"/>
          <w:color w:val="auto"/>
        </w:rPr>
      </w:pPr>
      <w:r>
        <w:rPr>
          <w:rFonts w:ascii="Arial" w:cs="Arial" w:eastAsia="Arial" w:hAnsi="Arial"/>
          <w:sz w:val="17"/>
          <w:szCs w:val="17"/>
          <w:b w:val="1"/>
          <w:bCs w:val="1"/>
          <w:color w:val="231F20"/>
        </w:rPr>
        <w:t>The term loans under the Loan Agreement are secured by substantially all of our assets, except our intellectual property, which is the subject of a negative pledge, and will be guaranteed by our future subsidiaries, subject to certain limitations.</w:t>
      </w:r>
    </w:p>
    <w:p>
      <w:pPr>
        <w:spacing w:after="0" w:line="81" w:lineRule="exact"/>
        <w:rPr>
          <w:sz w:val="20"/>
          <w:szCs w:val="20"/>
          <w:color w:val="auto"/>
        </w:rPr>
      </w:pPr>
    </w:p>
    <w:p>
      <w:pPr>
        <w:ind w:firstLine="475"/>
        <w:spacing w:after="0" w:line="243" w:lineRule="auto"/>
        <w:rPr>
          <w:sz w:val="20"/>
          <w:szCs w:val="20"/>
          <w:color w:val="auto"/>
        </w:rPr>
      </w:pPr>
      <w:r>
        <w:rPr>
          <w:rFonts w:ascii="Arial" w:cs="Arial" w:eastAsia="Arial" w:hAnsi="Arial"/>
          <w:sz w:val="19"/>
          <w:szCs w:val="19"/>
          <w:b w:val="1"/>
          <w:bCs w:val="1"/>
          <w:color w:val="231F20"/>
        </w:rPr>
        <w:t>The Loan Agreement contains customary affirmative and negative covenants, including covenants limiting our ability to, among other things, dispose of assets, effect certain mergers, incur debt, grant liens, pay dividends and distributions on our capital stock, make investments and acquisitions, and enter into transactions with affiliates, in each case subject to customary exceptions for a loan facility of this size and type.</w:t>
      </w:r>
    </w:p>
    <w:p>
      <w:pPr>
        <w:sectPr>
          <w:pgSz w:w="12240" w:h="15840" w:orient="portrait"/>
          <w:cols w:equalWidth="0" w:num="1">
            <w:col w:w="10460"/>
          </w:cols>
          <w:pgMar w:left="880" w:top="1165" w:right="90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231F20"/>
        </w:rPr>
        <w:t>32</w:t>
      </w:r>
    </w:p>
    <w:p>
      <w:pPr>
        <w:sectPr>
          <w:pgSz w:w="12240" w:h="15840" w:orient="portrait"/>
          <w:cols w:equalWidth="0" w:num="1">
            <w:col w:w="10460"/>
          </w:cols>
          <w:pgMar w:left="880" w:top="1165" w:right="900" w:bottom="390" w:gutter="0" w:footer="0" w:header="0"/>
          <w:type w:val="continuous"/>
        </w:sectPr>
      </w:pPr>
    </w:p>
    <w:bookmarkStart w:id="40" w:name="page41"/>
    <w:bookmarkEnd w:id="40"/>
    <w:p>
      <w:pPr>
        <w:ind w:firstLine="475"/>
        <w:spacing w:after="0" w:line="222" w:lineRule="exact"/>
        <w:rPr>
          <w:sz w:val="20"/>
          <w:szCs w:val="20"/>
          <w:color w:val="auto"/>
        </w:rPr>
      </w:pPr>
      <w:r>
        <w:rPr>
          <w:rFonts w:ascii="Arial" w:cs="Arial" w:eastAsia="Arial" w:hAnsi="Arial"/>
          <w:sz w:val="16"/>
          <w:szCs w:val="16"/>
          <w:b w:val="1"/>
          <w:bCs w:val="1"/>
          <w:color w:val="231F20"/>
        </w:rPr>
        <w:t>If we default under the Loan Agreement, the Lenders will be able to declare all obligations immediately due and payable and take control of our pledged assets, potentially requiring us to renegotiate our agreement on terms less favorable to us or to immediately cease operations. The events of default under the Loan Agreement include, among others, payment defaults, material misrepresentations, breaches of covenants, cross defaults with certain other material indebtedness, bankruptcy and insolvency events, and judgment defaults. The occurrence of an event of default could result in the acceleration of our obligations under the Loan Agreement, the termination of the Lenders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commitments, a 5.0% increase in the applicable rate of interest and the exercise by the Lender of other rights and remedies provided for under the Loan Agreement. Any declaration by the Lenders of an event of default could significantly harm our business and prospects and could cause the price of our common stock to decline.</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Risks Related to the Discovery, Development and Commercialization of Our Product Candidates</w:t>
      </w:r>
    </w:p>
    <w:p>
      <w:pPr>
        <w:spacing w:after="0" w:line="125"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b w:val="1"/>
          <w:bCs w:val="1"/>
          <w:color w:val="231F20"/>
        </w:rPr>
        <w:t>We are substantially dependent on the success of our lead product candidate, evorpacept, which is in clinical development and which has not completed a pivotal trial. If we do not obtain regulatory approval for and successfully commercialize evorpacept in one or more indications, or we experience significant delays in doing so, we may never generate any revenue or become profitable.</w:t>
      </w:r>
    </w:p>
    <w:p>
      <w:pPr>
        <w:spacing w:after="0" w:line="74" w:lineRule="exact"/>
        <w:rPr>
          <w:sz w:val="20"/>
          <w:szCs w:val="20"/>
          <w:color w:val="auto"/>
        </w:rPr>
      </w:pPr>
    </w:p>
    <w:p>
      <w:pPr>
        <w:ind w:right="20" w:firstLine="475"/>
        <w:spacing w:after="0" w:line="275" w:lineRule="auto"/>
        <w:rPr>
          <w:sz w:val="20"/>
          <w:szCs w:val="20"/>
          <w:color w:val="auto"/>
        </w:rPr>
      </w:pPr>
      <w:r>
        <w:rPr>
          <w:rFonts w:ascii="Arial" w:cs="Arial" w:eastAsia="Arial" w:hAnsi="Arial"/>
          <w:sz w:val="17"/>
          <w:szCs w:val="17"/>
          <w:b w:val="1"/>
          <w:bCs w:val="1"/>
          <w:color w:val="231F20"/>
        </w:rPr>
        <w:t>We do not have any products that have received regulatory approval and may never be able to develop marketable product candidates. We expect that a substantial portion of our efforts and expenses over the next several years will be devoted to the development of our lead product candidate, evorpacept, in our ongoing clinical trials. As a result, our business currently depends heavily on the successful development, regulatory approval and, if approved, commercialization of evorpacept in one or more of these indications, such as head and neck squamous cell carcinoma, or HNSCC, gastric/gastroesophageal junction, or GEJ, carcinoma, urothelial cancer, breast cancer, NHL, multiple myeloma, or colorectal cancer. We cannot be certain that evorpacept will receive regulatory approval or will be successfully commercialized even if it receives regulatory approval. The research, testing, manufacturing, safety, efficacy and potency, labeling, approval, sale, marketing and distribution of evorpacept is, and will remain, subject to comprehensive regulation by the FDA and comparable foreign regulatory authorities. Our failure to timely complete clinical trials, obtain regulatory approval or, if approved, commercialize evorpacept or any of our future product candidates, would materially harm our business, financial condition and results of operations. We are not permitted to market or promote evorpacept, or any other product candidate, before we receive marketing approval from the FDA and comparable foreign regulatory authorities, and we may never receive such marketing approvals. If we do not receive marketing approvals for evorpacept, we may not be able to continue our operations.</w:t>
      </w:r>
    </w:p>
    <w:p>
      <w:pPr>
        <w:spacing w:after="0" w:line="104" w:lineRule="exact"/>
        <w:rPr>
          <w:sz w:val="20"/>
          <w:szCs w:val="20"/>
          <w:color w:val="auto"/>
        </w:rPr>
      </w:pPr>
    </w:p>
    <w:p>
      <w:pPr>
        <w:ind w:right="200"/>
        <w:spacing w:after="0" w:line="242" w:lineRule="auto"/>
        <w:rPr>
          <w:sz w:val="20"/>
          <w:szCs w:val="20"/>
          <w:color w:val="auto"/>
        </w:rPr>
      </w:pPr>
      <w:r>
        <w:rPr>
          <w:rFonts w:ascii="Arial" w:cs="Arial" w:eastAsia="Arial" w:hAnsi="Arial"/>
          <w:sz w:val="19"/>
          <w:szCs w:val="19"/>
          <w:b w:val="1"/>
          <w:bCs w:val="1"/>
          <w:color w:val="231F20"/>
        </w:rPr>
        <w:t>The outcome of preclinical testing and early clinical trials may not be predictive of the success of later clinical trials, and the results of our clinical trials may not satisfy the requirements of the FDA or other comparable foreign regulatory authorities. The clinical trials of our product candidates may not produce positive results or demonstrate adequate safety, purity and efficacy and potency to the satisfaction of regulatory authorities.</w:t>
      </w:r>
    </w:p>
    <w:p>
      <w:pPr>
        <w:spacing w:after="0" w:line="127" w:lineRule="exact"/>
        <w:rPr>
          <w:sz w:val="20"/>
          <w:szCs w:val="20"/>
          <w:color w:val="auto"/>
        </w:rPr>
      </w:pPr>
    </w:p>
    <w:p>
      <w:pPr>
        <w:ind w:right="40" w:firstLine="475"/>
        <w:spacing w:after="0" w:line="297" w:lineRule="auto"/>
        <w:rPr>
          <w:sz w:val="20"/>
          <w:szCs w:val="20"/>
          <w:color w:val="auto"/>
        </w:rPr>
      </w:pPr>
      <w:r>
        <w:rPr>
          <w:rFonts w:ascii="Arial" w:cs="Arial" w:eastAsia="Arial" w:hAnsi="Arial"/>
          <w:sz w:val="16"/>
          <w:szCs w:val="16"/>
          <w:b w:val="1"/>
          <w:bCs w:val="1"/>
          <w:color w:val="231F20"/>
        </w:rPr>
        <w:t>Before obtaining marketing approval from regulatory authorities for the sale of our product candidates, we must complete preclinical development and then conduct extensive clinical trials to demonstrate the safety and efficacy/potency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approval of their drugs.</w:t>
      </w:r>
    </w:p>
    <w:p>
      <w:pPr>
        <w:spacing w:after="0" w:line="84" w:lineRule="exact"/>
        <w:rPr>
          <w:sz w:val="20"/>
          <w:szCs w:val="20"/>
          <w:color w:val="auto"/>
        </w:rPr>
      </w:pPr>
    </w:p>
    <w:p>
      <w:pPr>
        <w:ind w:right="40" w:firstLine="475"/>
        <w:spacing w:after="0" w:line="293" w:lineRule="auto"/>
        <w:rPr>
          <w:sz w:val="20"/>
          <w:szCs w:val="20"/>
          <w:color w:val="auto"/>
        </w:rPr>
      </w:pPr>
      <w:r>
        <w:rPr>
          <w:rFonts w:ascii="Arial" w:cs="Arial" w:eastAsia="Arial" w:hAnsi="Arial"/>
          <w:sz w:val="16"/>
          <w:szCs w:val="16"/>
          <w:b w:val="1"/>
          <w:bCs w:val="1"/>
          <w:color w:val="231F20"/>
        </w:rPr>
        <w:t>Positive or timely results from preclinical or early-stage trials do not ensure positive or timely results in future clinical trials or registrational clinical trials because product candidates in later-stage clinical trials may fail to demonstrate sufficient safety, purity and efficacy and potency to the satisfaction of the FDA or comparable international regulatory authorities, despite having progressed through preclinical studies or initial clinical trials. In addition, the FDA or any comparable international regulatory authorities may conclude that the results from our clinical trials are insufficient to support any accelerated approval that we may seek with respect to evorpacept or any of our future product candidates in general or with respect to any specific indications. Product candidates that have shown promising results in early clinical trials may still suffer significant setbacks in subsequent clinical trials or registration clinical trials. For example, a number of companies in the pharmaceutical industry, including those with greater resources and experience than us, have suffered significant setbacks in advanced clinical trials, even after obtaining promising results in earlier clinical trials. Additionally, in March 2023, the FDA issued a draft guidance on clinical trial considerations for supporting accelerated approval of oncology therapeutics, noting that although single-arm trials have been commonly used to support accelerated approval, a randomized controlled trial is the preferred approach for providing a more robust efficacy and safety assessment, among other recommendations. To the extent the FDA requires us to collect additional data or to conduct additional clinical trials in accordance with the new guidance, our clinical timelines may be delayed.</w:t>
      </w:r>
    </w:p>
    <w:p>
      <w:pPr>
        <w:sectPr>
          <w:pgSz w:w="12240" w:h="15840" w:orient="portrait"/>
          <w:cols w:equalWidth="0" w:num="1">
            <w:col w:w="10480"/>
          </w:cols>
          <w:pgMar w:left="880" w:top="1165" w:right="88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33</w:t>
      </w:r>
    </w:p>
    <w:p>
      <w:pPr>
        <w:sectPr>
          <w:pgSz w:w="12240" w:h="15840" w:orient="portrait"/>
          <w:cols w:equalWidth="0" w:num="1">
            <w:col w:w="10480"/>
          </w:cols>
          <w:pgMar w:left="880" w:top="1165" w:right="880" w:bottom="390" w:gutter="0" w:footer="0" w:header="0"/>
          <w:type w:val="continuous"/>
        </w:sectPr>
      </w:pPr>
    </w:p>
    <w:bookmarkStart w:id="41" w:name="page42"/>
    <w:bookmarkEnd w:id="41"/>
    <w:p>
      <w:pPr>
        <w:ind w:right="480"/>
        <w:spacing w:after="0" w:line="242" w:lineRule="auto"/>
        <w:rPr>
          <w:sz w:val="20"/>
          <w:szCs w:val="20"/>
          <w:color w:val="auto"/>
        </w:rPr>
      </w:pPr>
      <w:r>
        <w:rPr>
          <w:rFonts w:ascii="Arial" w:cs="Arial" w:eastAsia="Arial" w:hAnsi="Arial"/>
          <w:sz w:val="19"/>
          <w:szCs w:val="19"/>
          <w:b w:val="1"/>
          <w:bCs w:val="1"/>
          <w:color w:val="231F20"/>
        </w:rPr>
        <w:t>Clinical trials of our product candidates are expensive, time consuming and difficult to design and implement and may fail to demonstrate adequate safety, purity and efficacy and potency of our product candidates or provide the basis for marketing approval.</w:t>
      </w:r>
    </w:p>
    <w:p>
      <w:pPr>
        <w:spacing w:after="0" w:line="126" w:lineRule="exact"/>
        <w:rPr>
          <w:sz w:val="20"/>
          <w:szCs w:val="20"/>
          <w:color w:val="auto"/>
        </w:rPr>
      </w:pPr>
    </w:p>
    <w:p>
      <w:pPr>
        <w:ind w:firstLine="475"/>
        <w:spacing w:after="0" w:line="276" w:lineRule="auto"/>
        <w:rPr>
          <w:sz w:val="20"/>
          <w:szCs w:val="20"/>
          <w:color w:val="auto"/>
        </w:rPr>
      </w:pPr>
      <w:r>
        <w:rPr>
          <w:rFonts w:ascii="Arial" w:cs="Arial" w:eastAsia="Arial" w:hAnsi="Arial"/>
          <w:sz w:val="17"/>
          <w:szCs w:val="17"/>
          <w:b w:val="1"/>
          <w:bCs w:val="1"/>
          <w:color w:val="231F20"/>
        </w:rPr>
        <w:t>Before obtaining marketing approval from regulatory authorities for the sale of our product candidates, we must conduct preclinical development and then extensive clinical trials (including initiation of a pediatric study) to demonstrate their safety, purity and efficacy and potency. Clinical trials are expensive and difficult to design and implement. Clinical trials can take many years to complete, and their ultimate outcome is uncertain. A failure of one or more clinical trials can occur at any stage of the process. We will be required to demonstrate with substantial evidence through well-controlled clinical trials that our product candidates are safe, pure and effective or potent for use in a diverse patient population before we can seek regulatory approvals for their commercial sale. Our clinical trials may produce negative or inconclusive results and we may decide, or regulators may require us, to conduct additional and expansive preclinical or clinical testing.</w:t>
      </w:r>
    </w:p>
    <w:p>
      <w:pPr>
        <w:spacing w:after="0" w:line="102" w:lineRule="exact"/>
        <w:rPr>
          <w:sz w:val="20"/>
          <w:szCs w:val="20"/>
          <w:color w:val="auto"/>
        </w:rPr>
      </w:pPr>
    </w:p>
    <w:p>
      <w:pPr>
        <w:ind w:right="40" w:firstLine="475"/>
        <w:spacing w:after="0" w:line="329" w:lineRule="auto"/>
        <w:rPr>
          <w:sz w:val="20"/>
          <w:szCs w:val="20"/>
          <w:color w:val="auto"/>
        </w:rPr>
      </w:pPr>
      <w:r>
        <w:rPr>
          <w:rFonts w:ascii="Arial" w:cs="Arial" w:eastAsia="Arial" w:hAnsi="Arial"/>
          <w:sz w:val="16"/>
          <w:szCs w:val="16"/>
          <w:b w:val="1"/>
          <w:bCs w:val="1"/>
          <w:color w:val="231F20"/>
        </w:rPr>
        <w:t>We do not know whether our future clinical trials will begin or enroll subjects on time or whether our ongoing and/or future clinical trials will be completed on schedule or at all. Clinical trials can be delayed for a variety of reasons, including delays related to:</w:t>
      </w:r>
    </w:p>
    <w:p>
      <w:pPr>
        <w:spacing w:after="0" w:line="52"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obtaining approval to commence a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2"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reaching agreement on acceptable terms with prospective CROs and clinical trial 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0"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obtaining institutional review board approval at each clinical trial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2"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adding necessary new clinical trial 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0"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recruiting suitable subjects to participate in a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2"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noncompliance with clinical trial protocols;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5" w:lineRule="exact"/>
        <w:rPr>
          <w:sz w:val="20"/>
          <w:szCs w:val="20"/>
          <w:color w:val="auto"/>
        </w:rPr>
      </w:pPr>
    </w:p>
    <w:p>
      <w:pPr>
        <w:ind w:left="960"/>
        <w:spacing w:after="0"/>
        <w:rPr>
          <w:sz w:val="20"/>
          <w:szCs w:val="20"/>
          <w:color w:val="auto"/>
        </w:rPr>
      </w:pPr>
      <w:r>
        <w:rPr>
          <w:rFonts w:ascii="Arial" w:cs="Arial" w:eastAsia="Arial" w:hAnsi="Arial"/>
          <w:sz w:val="17"/>
          <w:szCs w:val="17"/>
          <w:b w:val="1"/>
          <w:bCs w:val="1"/>
          <w:color w:val="231F20"/>
        </w:rPr>
        <w:t>investigational site or trial subjects withdrawing or dropping out of clinical trials at a higher rate than anticipated;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-91440</wp:posOffset>
            </wp:positionV>
            <wp:extent cx="62230" cy="635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18"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manufacturing sufficient quantities of product candidate for use in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8" w:lineRule="exact"/>
        <w:rPr>
          <w:sz w:val="20"/>
          <w:szCs w:val="20"/>
          <w:color w:val="auto"/>
        </w:rPr>
      </w:pPr>
    </w:p>
    <w:p>
      <w:pPr>
        <w:ind w:right="340" w:firstLine="475"/>
        <w:spacing w:after="0" w:line="239" w:lineRule="auto"/>
        <w:rPr>
          <w:sz w:val="20"/>
          <w:szCs w:val="20"/>
          <w:color w:val="auto"/>
        </w:rPr>
      </w:pPr>
      <w:r>
        <w:rPr>
          <w:rFonts w:ascii="Arial" w:cs="Arial" w:eastAsia="Arial" w:hAnsi="Arial"/>
          <w:sz w:val="19"/>
          <w:szCs w:val="19"/>
          <w:b w:val="1"/>
          <w:bCs w:val="1"/>
          <w:color w:val="231F20"/>
        </w:rPr>
        <w:t>We may experience numerous unforeseen events during, or as a result of, clinical trials that could delay or prevent receipt of marketing approval or our ability to commercialize our product candidates, including:</w:t>
      </w:r>
    </w:p>
    <w:p>
      <w:pPr>
        <w:spacing w:after="0" w:line="121"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receipt of feedback from regulatory authorities that requires us to modify the design of our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8" w:lineRule="exact"/>
        <w:rPr>
          <w:sz w:val="20"/>
          <w:szCs w:val="20"/>
          <w:color w:val="auto"/>
        </w:rPr>
      </w:pPr>
    </w:p>
    <w:p>
      <w:pPr>
        <w:ind w:left="960" w:right="300"/>
        <w:spacing w:after="0" w:line="329" w:lineRule="auto"/>
        <w:rPr>
          <w:sz w:val="20"/>
          <w:szCs w:val="20"/>
          <w:color w:val="auto"/>
        </w:rPr>
      </w:pPr>
      <w:r>
        <w:rPr>
          <w:rFonts w:ascii="Arial" w:cs="Arial" w:eastAsia="Arial" w:hAnsi="Arial"/>
          <w:sz w:val="16"/>
          <w:szCs w:val="16"/>
          <w:b w:val="1"/>
          <w:bCs w:val="1"/>
          <w:color w:val="231F20"/>
        </w:rPr>
        <w:t>negative or inconclusive clinical trial results or interval changes to standards of care for the treatment of specific tumor types that may require us to conduct additional clinical trials or abandon certain drug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-287655</wp:posOffset>
            </wp:positionV>
            <wp:extent cx="62230" cy="635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37" w:lineRule="exact"/>
        <w:rPr>
          <w:sz w:val="20"/>
          <w:szCs w:val="20"/>
          <w:color w:val="auto"/>
        </w:rPr>
      </w:pPr>
    </w:p>
    <w:p>
      <w:pPr>
        <w:ind w:left="960" w:right="20"/>
        <w:spacing w:after="0" w:line="265" w:lineRule="auto"/>
        <w:rPr>
          <w:sz w:val="20"/>
          <w:szCs w:val="20"/>
          <w:color w:val="auto"/>
        </w:rPr>
      </w:pPr>
      <w:r>
        <w:rPr>
          <w:rFonts w:ascii="Arial" w:cs="Arial" w:eastAsia="Arial" w:hAnsi="Arial"/>
          <w:sz w:val="18"/>
          <w:szCs w:val="18"/>
          <w:b w:val="1"/>
          <w:bCs w:val="1"/>
          <w:color w:val="231F20"/>
        </w:rPr>
        <w:t>the number of subjects required for clinical trials is larger than anticipated, enrollment in these clinical trials is slower than anticipated or subjects dropping out of these clinical trials at a higher rate than anticipated;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-256540</wp:posOffset>
            </wp:positionV>
            <wp:extent cx="62230" cy="635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87" w:lineRule="exact"/>
        <w:rPr>
          <w:sz w:val="20"/>
          <w:szCs w:val="20"/>
          <w:color w:val="auto"/>
        </w:rPr>
      </w:pPr>
    </w:p>
    <w:p>
      <w:pPr>
        <w:ind w:left="960" w:right="300"/>
        <w:spacing w:after="0" w:line="238" w:lineRule="auto"/>
        <w:rPr>
          <w:sz w:val="20"/>
          <w:szCs w:val="20"/>
          <w:color w:val="auto"/>
        </w:rPr>
      </w:pPr>
      <w:r>
        <w:rPr>
          <w:rFonts w:ascii="Arial" w:cs="Arial" w:eastAsia="Arial" w:hAnsi="Arial"/>
          <w:sz w:val="19"/>
          <w:szCs w:val="19"/>
          <w:b w:val="1"/>
          <w:bCs w:val="1"/>
          <w:color w:val="231F20"/>
        </w:rPr>
        <w:t>delays in clinical trials due to outbreaks or public health crises, such as the COVID-19 pandemic, that impact both trial site operations, subject selection and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-242570</wp:posOffset>
            </wp:positionV>
            <wp:extent cx="62230" cy="635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8" w:lineRule="exact"/>
        <w:rPr>
          <w:sz w:val="20"/>
          <w:szCs w:val="20"/>
          <w:color w:val="auto"/>
        </w:rPr>
      </w:pPr>
    </w:p>
    <w:p>
      <w:pPr>
        <w:ind w:left="960" w:right="480"/>
        <w:spacing w:after="0" w:line="239" w:lineRule="auto"/>
        <w:rPr>
          <w:sz w:val="20"/>
          <w:szCs w:val="20"/>
          <w:color w:val="auto"/>
        </w:rPr>
      </w:pPr>
      <w:r>
        <w:rPr>
          <w:rFonts w:ascii="Arial" w:cs="Arial" w:eastAsia="Arial" w:hAnsi="Arial"/>
          <w:sz w:val="19"/>
          <w:szCs w:val="19"/>
          <w:b w:val="1"/>
          <w:bCs w:val="1"/>
          <w:color w:val="231F20"/>
        </w:rPr>
        <w:t>third-party contractors failing to comply with regulatory requirements or meet their contractual obligations to us in a timely manner,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-243840</wp:posOffset>
            </wp:positionV>
            <wp:extent cx="62230" cy="635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6" w:lineRule="exact"/>
        <w:rPr>
          <w:sz w:val="20"/>
          <w:szCs w:val="20"/>
          <w:color w:val="auto"/>
        </w:rPr>
      </w:pPr>
    </w:p>
    <w:p>
      <w:pPr>
        <w:ind w:left="960" w:right="320"/>
        <w:spacing w:after="0" w:line="242" w:lineRule="auto"/>
        <w:rPr>
          <w:sz w:val="20"/>
          <w:szCs w:val="20"/>
          <w:color w:val="auto"/>
        </w:rPr>
      </w:pPr>
      <w:r>
        <w:rPr>
          <w:rFonts w:ascii="Arial" w:cs="Arial" w:eastAsia="Arial" w:hAnsi="Arial"/>
          <w:sz w:val="19"/>
          <w:szCs w:val="19"/>
          <w:b w:val="1"/>
          <w:bCs w:val="1"/>
          <w:color w:val="231F20"/>
        </w:rPr>
        <w:t>the suspension or termination of our clinical trials for various reasons, including non-compliance with regulatory requirements, a finding that our product candidates have undesirable side effects or other unexpected characteristics or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-386080</wp:posOffset>
            </wp:positionV>
            <wp:extent cx="62230" cy="635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1"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the cost of clinical trials of our product candidates are greater than anticipated;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5" w:lineRule="exact"/>
        <w:rPr>
          <w:sz w:val="20"/>
          <w:szCs w:val="20"/>
          <w:color w:val="auto"/>
        </w:rPr>
      </w:pPr>
    </w:p>
    <w:p>
      <w:pPr>
        <w:ind w:left="960" w:right="600"/>
        <w:spacing w:after="0" w:line="239" w:lineRule="auto"/>
        <w:rPr>
          <w:sz w:val="20"/>
          <w:szCs w:val="20"/>
          <w:color w:val="auto"/>
        </w:rPr>
      </w:pPr>
      <w:r>
        <w:rPr>
          <w:rFonts w:ascii="Arial" w:cs="Arial" w:eastAsia="Arial" w:hAnsi="Arial"/>
          <w:sz w:val="19"/>
          <w:szCs w:val="19"/>
          <w:b w:val="1"/>
          <w:bCs w:val="1"/>
          <w:color w:val="231F20"/>
        </w:rPr>
        <w:t>the supply or quality of our product candidates or other materials necessary to conduct clinical trials of our product candidates being insufficient or inadequate;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-242570</wp:posOffset>
            </wp:positionV>
            <wp:extent cx="62230" cy="635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4"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regulators revising the requirements for approving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5" w:lineRule="exact"/>
        <w:rPr>
          <w:sz w:val="20"/>
          <w:szCs w:val="20"/>
          <w:color w:val="auto"/>
        </w:rPr>
      </w:pPr>
    </w:p>
    <w:p>
      <w:pPr>
        <w:ind w:right="220" w:firstLine="475"/>
        <w:spacing w:after="0" w:line="262" w:lineRule="auto"/>
        <w:rPr>
          <w:sz w:val="20"/>
          <w:szCs w:val="20"/>
          <w:color w:val="auto"/>
        </w:rPr>
      </w:pPr>
      <w:r>
        <w:rPr>
          <w:rFonts w:ascii="Arial" w:cs="Arial" w:eastAsia="Arial" w:hAnsi="Arial"/>
          <w:sz w:val="18"/>
          <w:szCs w:val="18"/>
          <w:b w:val="1"/>
          <w:bCs w:val="1"/>
          <w:color w:val="231F20"/>
        </w:rPr>
        <w:t>As a result of any of these delays or other circumstances, we may incur unplanned costs, not obtain or be delayed in obtaining marketing approval, receive more limited or restrictive marketing approval, be subject to additional post-marketing testing requirements or have our drug removed from the market after obtaining marketing approval.</w:t>
      </w:r>
    </w:p>
    <w:p>
      <w:pPr>
        <w:spacing w:after="0" w:line="107" w:lineRule="exact"/>
        <w:rPr>
          <w:sz w:val="20"/>
          <w:szCs w:val="20"/>
          <w:color w:val="auto"/>
        </w:rPr>
      </w:pPr>
    </w:p>
    <w:p>
      <w:pPr>
        <w:ind w:right="700" w:firstLine="475"/>
        <w:spacing w:after="0" w:line="329" w:lineRule="auto"/>
        <w:rPr>
          <w:sz w:val="20"/>
          <w:szCs w:val="20"/>
          <w:color w:val="auto"/>
        </w:rPr>
      </w:pPr>
      <w:r>
        <w:rPr>
          <w:rFonts w:ascii="Arial" w:cs="Arial" w:eastAsia="Arial" w:hAnsi="Arial"/>
          <w:sz w:val="16"/>
          <w:szCs w:val="16"/>
          <w:b w:val="1"/>
          <w:bCs w:val="1"/>
          <w:color w:val="231F20"/>
        </w:rPr>
        <w:t>We do not know whether any clinical trials we may conduct will demonstrate consistent or adequate safety and efficacy sufficient to obtain marketing approval of our product candidates or to market our drugs after any such approval.</w:t>
      </w:r>
    </w:p>
    <w:p>
      <w:pPr>
        <w:sectPr>
          <w:pgSz w:w="12240" w:h="15840" w:orient="portrait"/>
          <w:cols w:equalWidth="0" w:num="1">
            <w:col w:w="10480"/>
          </w:cols>
          <w:pgMar w:left="880" w:top="1165" w:right="88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34</w:t>
      </w:r>
    </w:p>
    <w:p>
      <w:pPr>
        <w:sectPr>
          <w:pgSz w:w="12240" w:h="15840" w:orient="portrait"/>
          <w:cols w:equalWidth="0" w:num="1">
            <w:col w:w="10480"/>
          </w:cols>
          <w:pgMar w:left="880" w:top="1165" w:right="880" w:bottom="390" w:gutter="0" w:footer="0" w:header="0"/>
          <w:type w:val="continuous"/>
        </w:sectPr>
      </w:pPr>
    </w:p>
    <w:bookmarkStart w:id="42" w:name="page43"/>
    <w:bookmarkEnd w:id="42"/>
    <w:p>
      <w:pPr>
        <w:jc w:val="both"/>
        <w:ind w:right="160"/>
        <w:spacing w:after="0" w:line="242" w:lineRule="auto"/>
        <w:rPr>
          <w:sz w:val="20"/>
          <w:szCs w:val="20"/>
          <w:color w:val="auto"/>
        </w:rPr>
      </w:pPr>
      <w:r>
        <w:rPr>
          <w:rFonts w:ascii="Arial" w:cs="Arial" w:eastAsia="Arial" w:hAnsi="Arial"/>
          <w:sz w:val="19"/>
          <w:szCs w:val="19"/>
          <w:b w:val="1"/>
          <w:bCs w:val="1"/>
          <w:color w:val="231F20"/>
        </w:rPr>
        <w:t>We have experienced and, if we continue to experience delays or difficulties in the enrollment of subjects in clinical trials and/or retention of subjects in clinical trials in the future, our regulatory submissions or receipt of necessary marketing approvals could be delayed or prevented.</w:t>
      </w:r>
    </w:p>
    <w:p>
      <w:pPr>
        <w:spacing w:after="0" w:line="126" w:lineRule="exact"/>
        <w:rPr>
          <w:sz w:val="20"/>
          <w:szCs w:val="20"/>
          <w:color w:val="auto"/>
        </w:rPr>
      </w:pPr>
    </w:p>
    <w:p>
      <w:pPr>
        <w:ind w:right="160" w:firstLine="475"/>
        <w:spacing w:after="0" w:line="260" w:lineRule="auto"/>
        <w:rPr>
          <w:sz w:val="20"/>
          <w:szCs w:val="20"/>
          <w:color w:val="auto"/>
        </w:rPr>
      </w:pPr>
      <w:r>
        <w:rPr>
          <w:rFonts w:ascii="Arial" w:cs="Arial" w:eastAsia="Arial" w:hAnsi="Arial"/>
          <w:sz w:val="18"/>
          <w:szCs w:val="18"/>
          <w:b w:val="1"/>
          <w:bCs w:val="1"/>
          <w:color w:val="231F20"/>
        </w:rPr>
        <w:t>We may not be able to initiate or continue clinical trials for our product candidates if we are unable to locate and enroll a sufficient number of eligible subjects to participate in these trials as required by the FDA or comparable international regulatory authorities. Subject enrollment is a significant factor in the timing of clinical trials. In particular, because certain of our clinical trials of evorpacept are focused on indications with small patient populations, our ability to enroll eligible subjects may be limited or may result in slower enrollment than we anticipate.</w:t>
      </w:r>
    </w:p>
    <w:p>
      <w:pPr>
        <w:spacing w:after="0" w:line="110" w:lineRule="exact"/>
        <w:rPr>
          <w:sz w:val="20"/>
          <w:szCs w:val="20"/>
          <w:color w:val="auto"/>
        </w:rPr>
      </w:pPr>
    </w:p>
    <w:p>
      <w:pPr>
        <w:ind w:right="100" w:firstLine="475"/>
        <w:spacing w:after="0" w:line="278" w:lineRule="auto"/>
        <w:rPr>
          <w:sz w:val="20"/>
          <w:szCs w:val="20"/>
          <w:color w:val="auto"/>
        </w:rPr>
      </w:pPr>
      <w:r>
        <w:rPr>
          <w:rFonts w:ascii="Arial" w:cs="Arial" w:eastAsia="Arial" w:hAnsi="Arial"/>
          <w:sz w:val="17"/>
          <w:szCs w:val="17"/>
          <w:b w:val="1"/>
          <w:bCs w:val="1"/>
          <w:color w:val="231F20"/>
        </w:rPr>
        <w:t>In the past, clinical trial enrollment and data collection has been adversely impacted by staff shortages, site closures, travel limitations and physical distancing requirements and personal safety concerns resulting from and associated with the COVID-19 pandemic. Going forward we expect to continue to experience some of these clinical trial enrollment difficulties associated with the pandemic. For example, subjects who enroll in our clinical trials and then become infected with the COVID-19 virus may complicate the clinical trial data, procedures and analysis, which could delay the anticipated readouts from our clinical trials and our regulatory submissions and increase the costs associated with clinical trials.</w:t>
      </w:r>
    </w:p>
    <w:p>
      <w:pPr>
        <w:spacing w:after="0" w:line="96" w:lineRule="exact"/>
        <w:rPr>
          <w:sz w:val="20"/>
          <w:szCs w:val="20"/>
          <w:color w:val="auto"/>
        </w:rPr>
      </w:pPr>
    </w:p>
    <w:p>
      <w:pPr>
        <w:ind w:firstLine="475"/>
        <w:spacing w:after="0" w:line="222" w:lineRule="exact"/>
        <w:rPr>
          <w:sz w:val="20"/>
          <w:szCs w:val="20"/>
          <w:color w:val="auto"/>
        </w:rPr>
      </w:pPr>
      <w:r>
        <w:rPr>
          <w:rFonts w:ascii="Arial" w:cs="Arial" w:eastAsia="Arial" w:hAnsi="Arial"/>
          <w:sz w:val="16"/>
          <w:szCs w:val="16"/>
          <w:b w:val="1"/>
          <w:bCs w:val="1"/>
          <w:color w:val="231F20"/>
        </w:rPr>
        <w:t>Subject enrollment may also be affected if new standards of care become widely available or our competitors have ongoing competing clinical trials for product candidates that are under development for the same indications as our product candidates, and patients who would otherwise be eligible for our clinical trials instead enroll in clinical trials of our competitors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product candidates. In addition, regulatory requirements governing clinical trials have changed and may continue to change in the future. The timing of our clinical trials depends on our ability to recruit subjects to participate in our studies and changes to regulatory requirements, if any, governing clinical trials may impede our ability to enroll subjects. Subject enrollment may also be affected by other factors, including:</w:t>
      </w:r>
    </w:p>
    <w:p>
      <w:pPr>
        <w:spacing w:after="0" w:line="122"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size and nature of the patient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2"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severity of the disease under investigation;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5" w:lineRule="exact"/>
        <w:rPr>
          <w:sz w:val="20"/>
          <w:szCs w:val="20"/>
          <w:color w:val="auto"/>
        </w:rPr>
      </w:pPr>
    </w:p>
    <w:p>
      <w:pPr>
        <w:ind w:left="960" w:right="460"/>
        <w:spacing w:after="0" w:line="242" w:lineRule="auto"/>
        <w:rPr>
          <w:sz w:val="20"/>
          <w:szCs w:val="20"/>
          <w:color w:val="auto"/>
        </w:rPr>
      </w:pPr>
      <w:r>
        <w:rPr>
          <w:rFonts w:ascii="Arial" w:cs="Arial" w:eastAsia="Arial" w:hAnsi="Arial"/>
          <w:sz w:val="19"/>
          <w:szCs w:val="19"/>
          <w:b w:val="1"/>
          <w:bCs w:val="1"/>
          <w:color w:val="231F20"/>
        </w:rPr>
        <w:t>availability and efficacy or potency of current or newly approved drugs for the disease under investigation and other changes in standard of care that could make our clinical trials less attractive, including the drugs or other product candidates we use in our combination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-386080</wp:posOffset>
            </wp:positionV>
            <wp:extent cx="62230" cy="635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1"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patient eligibility criteria for the trial in question;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0"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perceived risks and benefits of the product candidate under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2"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efforts to facilitate timely enrollment in clinical trials by us and the clinical trial 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0"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patient referral practices of physicians;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0"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the ability to monitor subjects adequately during and after the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2"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proximity of clinical trial sites to prospective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0"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risk of subjects enrolled in clinical trials dropping out before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8" w:lineRule="exact"/>
        <w:rPr>
          <w:sz w:val="20"/>
          <w:szCs w:val="20"/>
          <w:color w:val="auto"/>
        </w:rPr>
      </w:pPr>
    </w:p>
    <w:p>
      <w:pPr>
        <w:ind w:left="960" w:right="140"/>
        <w:spacing w:after="0" w:line="239" w:lineRule="auto"/>
        <w:rPr>
          <w:sz w:val="20"/>
          <w:szCs w:val="20"/>
          <w:color w:val="auto"/>
        </w:rPr>
      </w:pPr>
      <w:r>
        <w:rPr>
          <w:rFonts w:ascii="Arial" w:cs="Arial" w:eastAsia="Arial" w:hAnsi="Arial"/>
          <w:sz w:val="19"/>
          <w:szCs w:val="19"/>
          <w:b w:val="1"/>
          <w:bCs w:val="1"/>
          <w:color w:val="231F20"/>
        </w:rPr>
        <w:t>inability or delay in enrollment of subjects due to a variety of reasons, including outbreaks and public health crises, such as the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-243840</wp:posOffset>
            </wp:positionV>
            <wp:extent cx="62230" cy="635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6" w:lineRule="exact"/>
        <w:rPr>
          <w:sz w:val="20"/>
          <w:szCs w:val="20"/>
          <w:color w:val="auto"/>
        </w:rPr>
      </w:pPr>
    </w:p>
    <w:p>
      <w:pPr>
        <w:ind w:left="960" w:right="60"/>
        <w:spacing w:after="0" w:line="239" w:lineRule="auto"/>
        <w:rPr>
          <w:sz w:val="20"/>
          <w:szCs w:val="20"/>
          <w:color w:val="auto"/>
        </w:rPr>
      </w:pPr>
      <w:r>
        <w:rPr>
          <w:rFonts w:ascii="Arial" w:cs="Arial" w:eastAsia="Arial" w:hAnsi="Arial"/>
          <w:sz w:val="19"/>
          <w:szCs w:val="19"/>
          <w:b w:val="1"/>
          <w:bCs w:val="1"/>
          <w:color w:val="231F20"/>
        </w:rPr>
        <w:t>an inability to appropriately enroll an ethnically and racially diverse patient population representative of the target patient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-242570</wp:posOffset>
            </wp:positionV>
            <wp:extent cx="62230" cy="635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4"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non-compliance with regulatory requirements;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0"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subjects experiencing severe or unexpected adverse effects related to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8" w:lineRule="exact"/>
        <w:rPr>
          <w:sz w:val="20"/>
          <w:szCs w:val="20"/>
          <w:color w:val="auto"/>
        </w:rPr>
      </w:pPr>
    </w:p>
    <w:p>
      <w:pPr>
        <w:ind w:right="20" w:firstLine="475"/>
        <w:spacing w:after="0" w:line="283" w:lineRule="auto"/>
        <w:rPr>
          <w:sz w:val="20"/>
          <w:szCs w:val="20"/>
          <w:color w:val="auto"/>
        </w:rPr>
      </w:pPr>
      <w:r>
        <w:rPr>
          <w:rFonts w:ascii="Arial" w:cs="Arial" w:eastAsia="Arial" w:hAnsi="Arial"/>
          <w:sz w:val="17"/>
          <w:szCs w:val="17"/>
          <w:b w:val="1"/>
          <w:bCs w:val="1"/>
          <w:color w:val="231F20"/>
        </w:rPr>
        <w:t>Our inability to enroll a sufficient number of subjects in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drugs.</w:t>
      </w:r>
    </w:p>
    <w:p>
      <w:pPr>
        <w:sectPr>
          <w:pgSz w:w="12240" w:h="15840" w:orient="portrait"/>
          <w:cols w:equalWidth="0" w:num="1">
            <w:col w:w="10440"/>
          </w:cols>
          <w:pgMar w:left="880" w:top="1165" w:right="92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231F20"/>
        </w:rPr>
        <w:t>35</w:t>
      </w:r>
    </w:p>
    <w:p>
      <w:pPr>
        <w:sectPr>
          <w:pgSz w:w="12240" w:h="15840" w:orient="portrait"/>
          <w:cols w:equalWidth="0" w:num="1">
            <w:col w:w="10440"/>
          </w:cols>
          <w:pgMar w:left="880" w:top="1165" w:right="920" w:bottom="390" w:gutter="0" w:footer="0" w:header="0"/>
          <w:type w:val="continuous"/>
        </w:sectPr>
      </w:pPr>
    </w:p>
    <w:bookmarkStart w:id="43" w:name="page44"/>
    <w:bookmarkEnd w:id="43"/>
    <w:p>
      <w:pPr>
        <w:ind w:right="20"/>
        <w:spacing w:after="0" w:line="242" w:lineRule="auto"/>
        <w:rPr>
          <w:sz w:val="20"/>
          <w:szCs w:val="20"/>
          <w:color w:val="auto"/>
        </w:rPr>
      </w:pPr>
      <w:r>
        <w:rPr>
          <w:rFonts w:ascii="Arial" w:cs="Arial" w:eastAsia="Arial" w:hAnsi="Arial"/>
          <w:sz w:val="19"/>
          <w:szCs w:val="19"/>
          <w:b w:val="1"/>
          <w:bCs w:val="1"/>
          <w:color w:val="231F20"/>
        </w:rPr>
        <w:t>Interim, topline and preliminary data from our clinical trials that we announce or publish from time to time may change as more subject data become available and are subject to audit and verification procedures that could result in material changes in the final data.</w:t>
      </w:r>
    </w:p>
    <w:p>
      <w:pPr>
        <w:spacing w:after="0" w:line="126" w:lineRule="exact"/>
        <w:rPr>
          <w:sz w:val="20"/>
          <w:szCs w:val="20"/>
          <w:color w:val="auto"/>
        </w:rPr>
      </w:pPr>
    </w:p>
    <w:p>
      <w:pPr>
        <w:ind w:firstLine="475"/>
        <w:spacing w:after="0" w:line="275" w:lineRule="auto"/>
        <w:rPr>
          <w:sz w:val="20"/>
          <w:szCs w:val="20"/>
          <w:color w:val="auto"/>
        </w:rPr>
      </w:pPr>
      <w:r>
        <w:rPr>
          <w:rFonts w:ascii="Arial" w:cs="Arial" w:eastAsia="Arial" w:hAnsi="Arial"/>
          <w:sz w:val="17"/>
          <w:szCs w:val="17"/>
          <w:b w:val="1"/>
          <w:bCs w:val="1"/>
          <w:color w:val="231F20"/>
        </w:rPr>
        <w:t>From time to time, we may publicly disclose preliminary, interim or topline data from our clinical trials such as our topline Phase 2 ASPEN-06 clinical trial results of evorpacept for the treatment of advanced HER2-Positive gastric cancer announced in July 2024 and the updated data from a December 2024 data cutoff announced in January 2025. These interim updates are based on a preliminary analysis of then-available data, and the results and related findings and conclusions are subject to change following a more comprehensive review of the data related to the particular study or trial. Further, interim, topline and preliminary data include certain assumptions, estimations, calculations and conclusions as part of our analyses of data available at that time, and we may not have received or had the opportunity to evaluate all data fully and carefully. As a result, the topline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Interim data from clinical trials that we may complete are subject to the risk that one or more of the clinical outcomes may materially change as subject enrollment continues and more subject data become available. Adverse changes between interim data and final data could significantly harm our business and prospects. Further, additional disclosure of interim data by us or by our competitors in the future could result in volatility in the price of our common stock. Some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product candidates may be harmed, which could harm our business, financial condition, results of operations and prospects.</w:t>
      </w:r>
    </w:p>
    <w:p>
      <w:pPr>
        <w:spacing w:after="0" w:line="98" w:lineRule="exact"/>
        <w:rPr>
          <w:sz w:val="20"/>
          <w:szCs w:val="20"/>
          <w:color w:val="auto"/>
        </w:rPr>
      </w:pPr>
    </w:p>
    <w:p>
      <w:pPr>
        <w:ind w:right="300"/>
        <w:spacing w:after="0" w:line="310" w:lineRule="auto"/>
        <w:rPr>
          <w:sz w:val="20"/>
          <w:szCs w:val="20"/>
          <w:color w:val="auto"/>
        </w:rPr>
      </w:pPr>
      <w:r>
        <w:rPr>
          <w:rFonts w:ascii="Arial" w:cs="Arial" w:eastAsia="Arial" w:hAnsi="Arial"/>
          <w:sz w:val="16"/>
          <w:szCs w:val="16"/>
          <w:b w:val="1"/>
          <w:bCs w:val="1"/>
          <w:color w:val="231F20"/>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74" w:lineRule="exact"/>
        <w:rPr>
          <w:sz w:val="20"/>
          <w:szCs w:val="20"/>
          <w:color w:val="auto"/>
        </w:rPr>
      </w:pPr>
    </w:p>
    <w:p>
      <w:pPr>
        <w:ind w:right="20" w:firstLine="475"/>
        <w:spacing w:after="0" w:line="274" w:lineRule="auto"/>
        <w:rPr>
          <w:sz w:val="20"/>
          <w:szCs w:val="20"/>
          <w:color w:val="auto"/>
        </w:rPr>
      </w:pPr>
      <w:r>
        <w:rPr>
          <w:rFonts w:ascii="Arial" w:cs="Arial" w:eastAsia="Arial" w:hAnsi="Arial"/>
          <w:sz w:val="17"/>
          <w:szCs w:val="17"/>
          <w:b w:val="1"/>
          <w:bCs w:val="1"/>
          <w:color w:val="231F20"/>
        </w:rPr>
        <w:t xml:space="preserve">If evorpacept or any of our other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For example, in ALX-Oncology-sponsored clinical trials, the most common adverse events of any grade associated with evorpacept (frequency </w:t>
      </w:r>
      <w:r>
        <w:rPr>
          <w:sz w:val="1"/>
          <w:szCs w:val="1"/>
          <w:color w:val="auto"/>
        </w:rPr>
        <w:drawing>
          <wp:inline distT="0" distB="0" distL="0" distR="0">
            <wp:extent cx="90805" cy="10922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90805" cy="109220"/>
                    </a:xfrm>
                    <a:prstGeom prst="rect">
                      <a:avLst/>
                    </a:prstGeom>
                    <a:noFill/>
                    <a:ln>
                      <a:noFill/>
                    </a:ln>
                  </pic:spPr>
                </pic:pic>
              </a:graphicData>
            </a:graphic>
          </wp:inline>
        </w:drawing>
      </w:r>
      <w:r>
        <w:rPr>
          <w:rFonts w:ascii="Arial" w:cs="Arial" w:eastAsia="Arial" w:hAnsi="Arial"/>
          <w:sz w:val="17"/>
          <w:szCs w:val="17"/>
          <w:b w:val="1"/>
          <w:bCs w:val="1"/>
          <w:color w:val="231F20"/>
        </w:rPr>
        <w:t>20%) are fatigue, anemia, nausea, diarrhea, constipation, and neutrophil count decrease. These events have been reported across the program in patients administered evorpacept as a single agent, in combination with pembrolizumab, trastuzumab, rituximab, or azacitidine and as a multiproduct regimen in combination with pembrolizumab, platinum, and 5 FU, or in combination with trastuzumab, ramucirumab, and paclitaxel, or in combination with azacitidine + venetoclax. Such side effects could also affect subject recruitment or the ability of enrolled subjects to complete the trial or result in potential product liability claims. Any adverse events as a result of evorpacept or any of our future product candidates, including in combination with therapy, may prevent us from achieving or maintaining market acceptance of the affected product candidate and may harm our business, financial condition and prospects significantly.</w:t>
      </w:r>
    </w:p>
    <w:p>
      <w:pPr>
        <w:spacing w:after="0" w:line="103" w:lineRule="exact"/>
        <w:rPr>
          <w:sz w:val="20"/>
          <w:szCs w:val="20"/>
          <w:color w:val="auto"/>
        </w:rPr>
      </w:pPr>
    </w:p>
    <w:p>
      <w:pPr>
        <w:ind w:right="260"/>
        <w:spacing w:after="0" w:line="238" w:lineRule="auto"/>
        <w:rPr>
          <w:sz w:val="20"/>
          <w:szCs w:val="20"/>
          <w:color w:val="auto"/>
        </w:rPr>
      </w:pPr>
      <w:r>
        <w:rPr>
          <w:rFonts w:ascii="Arial" w:cs="Arial" w:eastAsia="Arial" w:hAnsi="Arial"/>
          <w:sz w:val="19"/>
          <w:szCs w:val="19"/>
          <w:b w:val="1"/>
          <w:bCs w:val="1"/>
          <w:color w:val="231F20"/>
        </w:rPr>
        <w:t>We face substantial competition which may result in others discovering, developing or commercializing products before or more successfully than we do.</w:t>
      </w:r>
    </w:p>
    <w:p>
      <w:pPr>
        <w:spacing w:after="0" w:line="128" w:lineRule="exact"/>
        <w:rPr>
          <w:sz w:val="20"/>
          <w:szCs w:val="20"/>
          <w:color w:val="auto"/>
        </w:rPr>
      </w:pPr>
    </w:p>
    <w:p>
      <w:pPr>
        <w:ind w:right="20" w:firstLine="475"/>
        <w:spacing w:after="0" w:line="295" w:lineRule="auto"/>
        <w:rPr>
          <w:sz w:val="20"/>
          <w:szCs w:val="20"/>
          <w:color w:val="auto"/>
        </w:rPr>
      </w:pPr>
      <w:r>
        <w:rPr>
          <w:rFonts w:ascii="Arial" w:cs="Arial" w:eastAsia="Arial" w:hAnsi="Arial"/>
          <w:sz w:val="16"/>
          <w:szCs w:val="16"/>
          <w:b w:val="1"/>
          <w:bCs w:val="1"/>
          <w:color w:val="231F20"/>
        </w:rPr>
        <w:t>The development and commercialization of new product candidates is highly competitive. We face competition with respect to evorpacept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immuno-oncology therapies for the treatment of cancer. There are other companies working to develop immuno-oncology therapies for the treatment of cancer including divisions of large pharmaceutical and biotechnology companies of various sizes. The large pharmaceutical and biotechnology companies that have commercialized and/or are developing immuno-oncology treatments for cancer include, but are not limited to, AstraZeneca, Bristol Myers Squibb, Coherus BioSciences, Gilead Sciences, Merck, Merck KGaA, Novartis, Pfizer, Regeneron Pharmaceuticals and Roche/Genentech. Newly approved therapeutics could change the treatment paradigm or standard of care, which could negatively impact the design of our clinical trials and the prospects of our product candidates.</w:t>
      </w:r>
    </w:p>
    <w:p>
      <w:pPr>
        <w:sectPr>
          <w:pgSz w:w="12240" w:h="15840" w:orient="portrait"/>
          <w:cols w:equalWidth="0" w:num="1">
            <w:col w:w="10480"/>
          </w:cols>
          <w:pgMar w:left="880" w:top="1165" w:right="88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36</w:t>
      </w:r>
    </w:p>
    <w:p>
      <w:pPr>
        <w:sectPr>
          <w:pgSz w:w="12240" w:h="15840" w:orient="portrait"/>
          <w:cols w:equalWidth="0" w:num="1">
            <w:col w:w="10480"/>
          </w:cols>
          <w:pgMar w:left="880" w:top="1165" w:right="880" w:bottom="390" w:gutter="0" w:footer="0" w:header="0"/>
          <w:type w:val="continuous"/>
        </w:sectPr>
      </w:pPr>
    </w:p>
    <w:bookmarkStart w:id="44" w:name="page45"/>
    <w:bookmarkEnd w:id="44"/>
    <w:p>
      <w:pPr>
        <w:ind w:right="60" w:firstLine="475"/>
        <w:spacing w:after="0" w:line="276" w:lineRule="auto"/>
        <w:rPr>
          <w:sz w:val="20"/>
          <w:szCs w:val="20"/>
          <w:color w:val="auto"/>
        </w:rPr>
      </w:pPr>
      <w:r>
        <w:rPr>
          <w:rFonts w:ascii="Arial" w:cs="Arial" w:eastAsia="Arial" w:hAnsi="Arial"/>
          <w:sz w:val="17"/>
          <w:szCs w:val="17"/>
          <w:b w:val="1"/>
          <w:bCs w:val="1"/>
          <w:color w:val="231F20"/>
        </w:rPr>
        <w:t>Some of these competitive products and therapies are based on scientific approaches that are the same as or similar to our approach, including with respect to the targeting of the CD47 pathway and others are based on entirely different approaches. We are aware that Adagene, Akesobio, Bio-Thera Solutions, Boehringer Ingelheim, Bristol Myers Squibb, Byondis, Centessa, Conjupro Biotherapeutics, CTTQ (SinoBiological), Daiichi Sankyo, Exelixis, GenSci, Gilead Sciences (through its acquisition of Forty Seven), Hanchor Bio, Hisun, Hutchmed, I-Mab, Ichnos, ImmuneOncia Therapeutics, ImmuneOnco Biopharma, Innovent, Kahr, LaNova, Lightchain Bioscience, Mabwell Therapeutics, Mabworks, Novimmune, OSE Immunotherapeutics, Pfizer (through its acquisition of Trillium Therapeutics), Phanes, Pyxis Oncology (through its acquisition of Apexigen), Shandong New Time, Shattuck Labs, Sorrento Therapeutics, Sumgen, SunHo Pharmaceutical, TG Therapeutics, Waterstone, and Zai Lab, among others, are developing or have begun development of drugs targeting the CD47 pathway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96" w:lineRule="exact"/>
        <w:rPr>
          <w:sz w:val="20"/>
          <w:szCs w:val="20"/>
          <w:color w:val="auto"/>
        </w:rPr>
      </w:pPr>
    </w:p>
    <w:p>
      <w:pPr>
        <w:ind w:right="40" w:firstLine="475"/>
        <w:spacing w:after="0" w:line="259" w:lineRule="auto"/>
        <w:rPr>
          <w:sz w:val="20"/>
          <w:szCs w:val="20"/>
          <w:color w:val="auto"/>
        </w:rPr>
      </w:pPr>
      <w:r>
        <w:rPr>
          <w:rFonts w:ascii="Arial" w:cs="Arial" w:eastAsia="Arial" w:hAnsi="Arial"/>
          <w:sz w:val="18"/>
          <w:szCs w:val="18"/>
          <w:b w:val="1"/>
          <w:bCs w:val="1"/>
          <w:color w:val="231F20"/>
        </w:rPr>
        <w:t>There are already a variety of available drug therapies marketed for cancer and some of the currently approved drug therapies are branded and subject to patent protection and others are available on a generic basis. Many of these approved drugs are well established therapies and are widely accepted by physicians, patients and third-party payors. Insurers and other third-party payors may also encourage the use of generic products. We expect that if evorpacept and/or any of our other future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w:t>
      </w:r>
    </w:p>
    <w:p>
      <w:pPr>
        <w:spacing w:after="0" w:line="114" w:lineRule="exact"/>
        <w:rPr>
          <w:sz w:val="20"/>
          <w:szCs w:val="20"/>
          <w:color w:val="auto"/>
        </w:rPr>
      </w:pPr>
    </w:p>
    <w:p>
      <w:pPr>
        <w:ind w:right="80" w:firstLine="475"/>
        <w:spacing w:after="0" w:line="277" w:lineRule="auto"/>
        <w:rPr>
          <w:sz w:val="20"/>
          <w:szCs w:val="20"/>
          <w:color w:val="auto"/>
        </w:rPr>
      </w:pPr>
      <w:r>
        <w:rPr>
          <w:rFonts w:ascii="Arial" w:cs="Arial" w:eastAsia="Arial" w:hAnsi="Arial"/>
          <w:sz w:val="17"/>
          <w:szCs w:val="17"/>
          <w:b w:val="1"/>
          <w:bCs w:val="1"/>
          <w:color w:val="231F20"/>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98" w:lineRule="exact"/>
        <w:rPr>
          <w:sz w:val="20"/>
          <w:szCs w:val="20"/>
          <w:color w:val="auto"/>
        </w:rPr>
      </w:pPr>
    </w:p>
    <w:p>
      <w:pPr>
        <w:ind w:right="20" w:firstLine="475"/>
        <w:spacing w:after="0" w:line="259" w:lineRule="auto"/>
        <w:rPr>
          <w:sz w:val="20"/>
          <w:szCs w:val="20"/>
          <w:color w:val="auto"/>
        </w:rPr>
      </w:pPr>
      <w:r>
        <w:rPr>
          <w:rFonts w:ascii="Arial" w:cs="Arial" w:eastAsia="Arial" w:hAnsi="Arial"/>
          <w:sz w:val="18"/>
          <w:szCs w:val="18"/>
          <w:b w:val="1"/>
          <w:bCs w:val="1"/>
          <w:color w:val="231F20"/>
        </w:rPr>
        <w:t>We could see a reduction or elimination of our commercial opportunity if our competitors develop and commercialize products that are safer, more effective, more convenient or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price, the level of biosimilar or generic competition and the availability of reimbursement from government and other third-party payors. The inability to compete with existing or subsequently introduced drugs would harm our business, financial condition and results of operations.</w:t>
      </w:r>
    </w:p>
    <w:p>
      <w:pPr>
        <w:spacing w:after="0" w:line="114" w:lineRule="exact"/>
        <w:rPr>
          <w:sz w:val="20"/>
          <w:szCs w:val="20"/>
          <w:color w:val="auto"/>
        </w:rPr>
      </w:pPr>
    </w:p>
    <w:p>
      <w:pPr>
        <w:ind w:right="920"/>
        <w:spacing w:after="0" w:line="239" w:lineRule="auto"/>
        <w:rPr>
          <w:sz w:val="20"/>
          <w:szCs w:val="20"/>
          <w:color w:val="auto"/>
        </w:rPr>
      </w:pPr>
      <w:r>
        <w:rPr>
          <w:rFonts w:ascii="Arial" w:cs="Arial" w:eastAsia="Arial" w:hAnsi="Arial"/>
          <w:sz w:val="19"/>
          <w:szCs w:val="19"/>
          <w:b w:val="1"/>
          <w:bCs w:val="1"/>
          <w:color w:val="231F20"/>
        </w:rPr>
        <w:t>Even if our product candidates receive regulatory approval, they will be subject to significant post-marketing regulatory requirements and oversight.</w:t>
      </w:r>
    </w:p>
    <w:p>
      <w:pPr>
        <w:spacing w:after="0" w:line="126" w:lineRule="exact"/>
        <w:rPr>
          <w:sz w:val="20"/>
          <w:szCs w:val="20"/>
          <w:color w:val="auto"/>
        </w:rPr>
      </w:pPr>
    </w:p>
    <w:p>
      <w:pPr>
        <w:ind w:right="280" w:firstLine="475"/>
        <w:spacing w:after="0" w:line="295" w:lineRule="auto"/>
        <w:rPr>
          <w:sz w:val="20"/>
          <w:szCs w:val="20"/>
          <w:color w:val="auto"/>
        </w:rPr>
      </w:pPr>
      <w:r>
        <w:rPr>
          <w:rFonts w:ascii="Arial" w:cs="Arial" w:eastAsia="Arial" w:hAnsi="Arial"/>
          <w:sz w:val="16"/>
          <w:szCs w:val="16"/>
          <w:b w:val="1"/>
          <w:bCs w:val="1"/>
          <w:color w:val="231F20"/>
        </w:rPr>
        <w:t>Even after approval, our manufacturing processes, labeling, packaging, distribution, adverse event reporting, storage, advertising, promotion, import, export and recordkeeping for our approved products will be subject to extensive and ongoing regulatory requirements. These requirements include submissions of safety and other post-marketing information and reports, registration, as well as on-going compliance with current good manufacturing practices, or cGMPs, and current good clinical practices, or cGCPs, for any clinical trials that we conduct post-approval. Regulatory approvals may contain significant limitations related to use restrictions for specific target population subsets, e.g., age groups, warnings, precautions or contraindications, or may include costly and burdensome post-approval study or risk management requirements and regulatory inspection. For example, the FDA may require a risk evaluation and mitigation strategy, or REMS, as a condition for approval of our product candidates, which could entail requirements for a medication guide, physician training and communication plans or additional elements to ensure safe use, such as restricted distribution methods, patient registries and other risk mitigation tools.</w:t>
      </w:r>
    </w:p>
    <w:p>
      <w:pPr>
        <w:spacing w:after="0" w:line="86" w:lineRule="exact"/>
        <w:rPr>
          <w:sz w:val="20"/>
          <w:szCs w:val="20"/>
          <w:color w:val="auto"/>
        </w:rPr>
      </w:pPr>
    </w:p>
    <w:p>
      <w:pPr>
        <w:ind w:firstLine="475"/>
        <w:spacing w:after="0" w:line="297" w:lineRule="auto"/>
        <w:rPr>
          <w:sz w:val="20"/>
          <w:szCs w:val="20"/>
          <w:color w:val="auto"/>
        </w:rPr>
      </w:pPr>
      <w:r>
        <w:rPr>
          <w:rFonts w:ascii="Arial" w:cs="Arial" w:eastAsia="Arial" w:hAnsi="Arial"/>
          <w:sz w:val="16"/>
          <w:szCs w:val="16"/>
          <w:b w:val="1"/>
          <w:bCs w:val="1"/>
          <w:color w:val="231F20"/>
        </w:rPr>
        <w:t>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a contract supplier, vendor, or facility where the product is manufactured or processed, a regulatory agency may impose restrictions on that product, the manufacturing facility or contractor,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or enforcement actions, including:</w:t>
      </w:r>
    </w:p>
    <w:p>
      <w:pPr>
        <w:spacing w:after="0" w:line="79"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delays in or the rejection of product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ectPr>
          <w:pgSz w:w="12240" w:h="15840" w:orient="portrait"/>
          <w:cols w:equalWidth="0" w:num="1">
            <w:col w:w="10480"/>
          </w:cols>
          <w:pgMar w:left="880" w:top="1165" w:right="880" w:bottom="39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37</w:t>
      </w:r>
    </w:p>
    <w:p>
      <w:pPr>
        <w:sectPr>
          <w:pgSz w:w="12240" w:h="15840" w:orient="portrait"/>
          <w:cols w:equalWidth="0" w:num="1">
            <w:col w:w="10480"/>
          </w:cols>
          <w:pgMar w:left="880" w:top="1165" w:right="880" w:bottom="390" w:gutter="0" w:footer="0" w:header="0"/>
          <w:type w:val="continuous"/>
        </w:sectPr>
      </w:pPr>
    </w:p>
    <w:bookmarkStart w:id="45" w:name="page46"/>
    <w:bookmarkEnd w:id="45"/>
    <w:p>
      <w:pPr>
        <w:ind w:left="960"/>
        <w:spacing w:after="0"/>
        <w:rPr>
          <w:sz w:val="20"/>
          <w:szCs w:val="20"/>
          <w:color w:val="auto"/>
        </w:rPr>
      </w:pPr>
      <w:r>
        <w:rPr>
          <w:rFonts w:ascii="Arial" w:cs="Arial" w:eastAsia="Arial" w:hAnsi="Arial"/>
          <w:sz w:val="17"/>
          <w:szCs w:val="17"/>
          <w:b w:val="1"/>
          <w:bCs w:val="1"/>
          <w:color w:val="231F20"/>
        </w:rPr>
        <w:t>restrictions on our ability to conduct clinical trials, including full or partial clinical holds on ongoing or planned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-90170</wp:posOffset>
            </wp:positionV>
            <wp:extent cx="62230" cy="635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20"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restrictions on the products, manufacturers or manufacturing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0"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warning or untitled letters;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2"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civil and criminal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0"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injunctions;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2"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suspension or withdrawal of regulatory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0"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product seizures, detentions or import bans;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2"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voluntary or mandatory product recalls and publicity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0"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total or partial suspension of production;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0"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imposition of restrictions on operations, including costly new manufacturing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8" w:lineRule="exact"/>
        <w:rPr>
          <w:sz w:val="20"/>
          <w:szCs w:val="20"/>
          <w:color w:val="auto"/>
        </w:rPr>
      </w:pPr>
    </w:p>
    <w:p>
      <w:pPr>
        <w:ind w:right="920" w:firstLine="475"/>
        <w:spacing w:after="0" w:line="239" w:lineRule="auto"/>
        <w:rPr>
          <w:sz w:val="20"/>
          <w:szCs w:val="20"/>
          <w:color w:val="auto"/>
        </w:rPr>
      </w:pPr>
      <w:r>
        <w:rPr>
          <w:rFonts w:ascii="Arial" w:cs="Arial" w:eastAsia="Arial" w:hAnsi="Arial"/>
          <w:sz w:val="19"/>
          <w:szCs w:val="19"/>
          <w:b w:val="1"/>
          <w:bCs w:val="1"/>
          <w:color w:val="231F20"/>
        </w:rPr>
        <w:t>The occurrence of any of these sanctions, enforcement actions or penalties described above may inhibit our ability to commercialize our product candidates, even if approved, and generate revenue.</w:t>
      </w:r>
    </w:p>
    <w:p>
      <w:pPr>
        <w:spacing w:after="0" w:line="127" w:lineRule="exact"/>
        <w:rPr>
          <w:sz w:val="20"/>
          <w:szCs w:val="20"/>
          <w:color w:val="auto"/>
        </w:rPr>
      </w:pPr>
    </w:p>
    <w:p>
      <w:pPr>
        <w:ind w:right="140"/>
        <w:spacing w:after="0" w:line="243" w:lineRule="auto"/>
        <w:rPr>
          <w:sz w:val="20"/>
          <w:szCs w:val="20"/>
          <w:color w:val="auto"/>
        </w:rPr>
      </w:pPr>
      <w:r>
        <w:rPr>
          <w:rFonts w:ascii="Arial" w:cs="Arial" w:eastAsia="Arial" w:hAnsi="Arial"/>
          <w:sz w:val="19"/>
          <w:szCs w:val="19"/>
          <w:b w:val="1"/>
          <w:bCs w:val="1"/>
          <w:color w:val="231F20"/>
        </w:rPr>
        <w:t>We previously relied on Tallac Therapeutics Inc., a third-party service provider, to conduct substantially all of our preclinical research activities for evorpacept. If we are unable to successfully transition preclinical research activities in-house or identify an alternative provider as needed, there may be disruptions or delays to our evorpacept development pipeline and our business could be harmed.</w:t>
      </w:r>
    </w:p>
    <w:p>
      <w:pPr>
        <w:spacing w:after="0" w:line="126" w:lineRule="exact"/>
        <w:rPr>
          <w:sz w:val="20"/>
          <w:szCs w:val="20"/>
          <w:color w:val="auto"/>
        </w:rPr>
      </w:pPr>
    </w:p>
    <w:p>
      <w:pPr>
        <w:ind w:right="20" w:firstLine="475"/>
        <w:spacing w:after="0" w:line="277" w:lineRule="auto"/>
        <w:rPr>
          <w:sz w:val="20"/>
          <w:szCs w:val="20"/>
          <w:color w:val="auto"/>
        </w:rPr>
      </w:pPr>
      <w:r>
        <w:rPr>
          <w:rFonts w:ascii="Arial" w:cs="Arial" w:eastAsia="Arial" w:hAnsi="Arial"/>
          <w:sz w:val="17"/>
          <w:szCs w:val="17"/>
          <w:b w:val="1"/>
          <w:bCs w:val="1"/>
          <w:color w:val="231F20"/>
        </w:rPr>
        <w:t>We have the ability to independently conduct our preclinical research activities but we previously relied on a third-party service provider to conduct all of our preclinical research activities for evorpacept. Effective as of July 1, 2020, we transferred our preclinical research capabilities at such time and nine of our employees, including a former Chief Scientific Officer, to Tallac Therapeutics Inc., a third-party service provider, formerly known as Tollnine, Inc., or Tallac Therapeutics, and entered into a research and development services agreement, or the Tallac Services Agreement, with Tallac Therapeutics. Under the terms of the Tallac Services Agreement, Tallac Therapeutics provided preclinical research services to us for the cost of these services plus a mark-up equal to 10.0% of such costs. The Tallac Services Agreement terminated on July 1, 2024.</w:t>
      </w:r>
    </w:p>
    <w:p>
      <w:pPr>
        <w:spacing w:after="0" w:line="98" w:lineRule="exact"/>
        <w:rPr>
          <w:sz w:val="20"/>
          <w:szCs w:val="20"/>
          <w:color w:val="auto"/>
        </w:rPr>
      </w:pPr>
    </w:p>
    <w:p>
      <w:pPr>
        <w:ind w:right="80" w:firstLine="475"/>
        <w:spacing w:after="0" w:line="281" w:lineRule="auto"/>
        <w:rPr>
          <w:sz w:val="20"/>
          <w:szCs w:val="20"/>
          <w:color w:val="auto"/>
        </w:rPr>
      </w:pPr>
      <w:r>
        <w:rPr>
          <w:rFonts w:ascii="Arial" w:cs="Arial" w:eastAsia="Arial" w:hAnsi="Arial"/>
          <w:sz w:val="17"/>
          <w:szCs w:val="17"/>
          <w:b w:val="1"/>
          <w:bCs w:val="1"/>
          <w:color w:val="231F20"/>
        </w:rPr>
        <w:t>If we are unable to successfully transition preclinical research activities in-house, or identify an alternative provider as needed, our preclinical research efforts and studies may be extended or delayed, and there may be disruptions or delays to our evorpacept development pipeline. As a result, our evorpacept product candidate research and development efforts may be delayed or harmed, and our costs could increase and our future ability to generate revenues could be delayed.</w:t>
      </w:r>
    </w:p>
    <w:p>
      <w:pPr>
        <w:spacing w:after="0" w:line="92" w:lineRule="exact"/>
        <w:rPr>
          <w:sz w:val="20"/>
          <w:szCs w:val="20"/>
          <w:color w:val="auto"/>
        </w:rPr>
      </w:pPr>
    </w:p>
    <w:p>
      <w:pPr>
        <w:ind w:right="220" w:firstLine="475"/>
        <w:spacing w:after="0" w:line="220" w:lineRule="exact"/>
        <w:rPr>
          <w:sz w:val="20"/>
          <w:szCs w:val="20"/>
          <w:color w:val="auto"/>
        </w:rPr>
      </w:pPr>
      <w:r>
        <w:rPr>
          <w:rFonts w:ascii="Arial" w:cs="Arial" w:eastAsia="Arial" w:hAnsi="Arial"/>
          <w:sz w:val="18"/>
          <w:szCs w:val="18"/>
          <w:b w:val="1"/>
          <w:bCs w:val="1"/>
          <w:color w:val="231F20"/>
        </w:rPr>
        <w:t>Hiring additional internal research and development employees will involve additional efforts and costs and could divert management</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time and focus. In addition, there is a natural transition period to train new employees. As a result, delays may occur, which can materially impact our ability to meet our desired preclinical timelines.</w:t>
      </w:r>
    </w:p>
    <w:p>
      <w:pPr>
        <w:spacing w:after="0" w:line="126" w:lineRule="exact"/>
        <w:rPr>
          <w:sz w:val="20"/>
          <w:szCs w:val="20"/>
          <w:color w:val="auto"/>
        </w:rPr>
      </w:pPr>
    </w:p>
    <w:p>
      <w:pPr>
        <w:ind w:firstLine="475"/>
        <w:spacing w:after="0" w:line="276" w:lineRule="auto"/>
        <w:rPr>
          <w:sz w:val="20"/>
          <w:szCs w:val="20"/>
          <w:color w:val="auto"/>
        </w:rPr>
      </w:pPr>
      <w:r>
        <w:rPr>
          <w:rFonts w:ascii="Arial" w:cs="Arial" w:eastAsia="Arial" w:hAnsi="Arial"/>
          <w:sz w:val="17"/>
          <w:szCs w:val="17"/>
          <w:b w:val="1"/>
          <w:bCs w:val="1"/>
          <w:color w:val="231F20"/>
        </w:rPr>
        <w:t>Our commercial success depends, in part, on our ability to conduct our research and develop our product pipeline without infringing the intellectual property and other proprietary rights of third parties. If we ever become involved in any dispute with Tallac Therapeutics over ownership of intellectual property or proprietary rights in the future because of the access that Tallac Therapeutics had to our intellectual property, including trade secrets, we may need to negotiate or engage in litigation to preserve our intellectual property rights, which may be time-consuming, expensive and ultimately unsuccessful. In addition, our former employees who are now employees of Tallac Therapeutics may possess our proprietary information. Although these former employees have signed confidentiality and invention assignment agreements with us, we cannot guarantee that they will not breach these agreements in the future. If these former employees disclose our proprietary information to Tallac Therapeutics or other third parties, we may not be able to obtain adequate remedies for such breaches.</w:t>
      </w:r>
    </w:p>
    <w:p>
      <w:pPr>
        <w:sectPr>
          <w:pgSz w:w="12240" w:h="15840" w:orient="portrait"/>
          <w:cols w:equalWidth="0" w:num="1">
            <w:col w:w="10480"/>
          </w:cols>
          <w:pgMar w:left="880" w:top="1165" w:right="88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38</w:t>
      </w:r>
    </w:p>
    <w:p>
      <w:pPr>
        <w:sectPr>
          <w:pgSz w:w="12240" w:h="15840" w:orient="portrait"/>
          <w:cols w:equalWidth="0" w:num="1">
            <w:col w:w="10480"/>
          </w:cols>
          <w:pgMar w:left="880" w:top="1165" w:right="880" w:bottom="390" w:gutter="0" w:footer="0" w:header="0"/>
          <w:type w:val="continuous"/>
        </w:sectPr>
      </w:pPr>
    </w:p>
    <w:bookmarkStart w:id="46" w:name="page47"/>
    <w:bookmarkEnd w:id="46"/>
    <w:p>
      <w:pPr>
        <w:ind w:right="240"/>
        <w:spacing w:after="0" w:line="243" w:lineRule="auto"/>
        <w:rPr>
          <w:sz w:val="20"/>
          <w:szCs w:val="20"/>
          <w:color w:val="auto"/>
        </w:rPr>
      </w:pPr>
      <w:r>
        <w:rPr>
          <w:rFonts w:ascii="Arial" w:cs="Arial" w:eastAsia="Arial" w:hAnsi="Arial"/>
          <w:sz w:val="19"/>
          <w:szCs w:val="19"/>
          <w:b w:val="1"/>
          <w:bCs w:val="1"/>
          <w:color w:val="231F20"/>
        </w:rPr>
        <w:t>We contract with third parties for the manufacture of our product candidates for preclinical development and clinical trials, and we expect to continue to do so for commercialization. This reliance on third parties increases the risk that we will not have sufficient quantities of our product candidates or drugs or such quantities at an acceptable cost or quality, which could delay, prevent or impair our development or commercialization efforts.</w:t>
      </w:r>
    </w:p>
    <w:p>
      <w:pPr>
        <w:spacing w:after="0" w:line="126" w:lineRule="exact"/>
        <w:rPr>
          <w:sz w:val="20"/>
          <w:szCs w:val="20"/>
          <w:color w:val="auto"/>
        </w:rPr>
      </w:pPr>
    </w:p>
    <w:p>
      <w:pPr>
        <w:ind w:firstLine="475"/>
        <w:spacing w:after="0" w:line="275" w:lineRule="auto"/>
        <w:rPr>
          <w:sz w:val="20"/>
          <w:szCs w:val="20"/>
          <w:color w:val="auto"/>
        </w:rPr>
      </w:pPr>
      <w:r>
        <w:rPr>
          <w:rFonts w:ascii="Arial" w:cs="Arial" w:eastAsia="Arial" w:hAnsi="Arial"/>
          <w:sz w:val="17"/>
          <w:szCs w:val="17"/>
          <w:b w:val="1"/>
          <w:bCs w:val="1"/>
          <w:color w:val="231F20"/>
        </w:rPr>
        <w:t>We do not currently own or operate, nor do we have any plans to establish in the future, any manufacturing facilities or personnel. We rely, and expect to continue to rely, on third parties for the manufacture of our product candidates for preclinical development and clinical testing, as well as for the commercial manufacture of our drugs if any of our product candidates receive marketing approval. No assurance can be given that long-term, scalable manufacturers can be identified or that they can make clinical and commercial supplies of our product candidates that meet the product specifications of previously manufactured batches, or are of a sufficient quality, or at an appropriate scale and cost to make it commercially feasible. Such third-party manufacturers may also be subject to delays due to circumstances outside of their control for a variety of reasons, including outbreaks and public health crises, such as the COVID-19 pandemic, that could shut down or cause limited staffing of their facilities. Our reliance on third parties increases the risk that we will not have sufficient quantities of our product candidates or drugs or such quantities at an acceptable cost or quality, which could delay, prevent or impair our development or commercialization efforts. If they are unable to do so, it could have a material adverse impact on our business.</w:t>
      </w:r>
    </w:p>
    <w:p>
      <w:pPr>
        <w:spacing w:after="0" w:line="107" w:lineRule="exact"/>
        <w:rPr>
          <w:sz w:val="20"/>
          <w:szCs w:val="20"/>
          <w:color w:val="auto"/>
        </w:rPr>
      </w:pPr>
    </w:p>
    <w:p>
      <w:pPr>
        <w:ind w:right="120" w:firstLine="475"/>
        <w:spacing w:after="0" w:line="275" w:lineRule="auto"/>
        <w:rPr>
          <w:sz w:val="20"/>
          <w:szCs w:val="20"/>
          <w:color w:val="auto"/>
        </w:rPr>
      </w:pPr>
      <w:r>
        <w:rPr>
          <w:rFonts w:ascii="Arial" w:cs="Arial" w:eastAsia="Arial" w:hAnsi="Arial"/>
          <w:sz w:val="17"/>
          <w:szCs w:val="17"/>
          <w:b w:val="1"/>
          <w:bCs w:val="1"/>
          <w:color w:val="231F20"/>
        </w:rPr>
        <w:t>The facilities used by contract manufacturers to manufacture our product candidates must be approved by the FDA or any applicable foreign regulatory authority pursuant to inspections that may be conducted after we submit our marketing applications to the FDA or any such foreign regulatory authority.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any applicable foreign regulatory authority does not approve these facilities for the manufacture of our product candidates or if it withdraws any such approval in the future, we may need to find alternative manufacturing facilities, which would significantly impact, including causing substantial delay in, our ability to develop, obtain regulatory approval for or market our product candidates.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operating restrictions and criminal prosecutions, any of which could significantly and adversely affect our business and supplies of our product candidates.</w:t>
      </w:r>
    </w:p>
    <w:p>
      <w:pPr>
        <w:spacing w:after="0" w:line="101" w:lineRule="exact"/>
        <w:rPr>
          <w:sz w:val="20"/>
          <w:szCs w:val="20"/>
          <w:color w:val="auto"/>
        </w:rPr>
      </w:pPr>
    </w:p>
    <w:p>
      <w:pPr>
        <w:ind w:right="100" w:firstLine="475"/>
        <w:spacing w:after="0" w:line="242" w:lineRule="auto"/>
        <w:rPr>
          <w:sz w:val="20"/>
          <w:szCs w:val="20"/>
          <w:color w:val="auto"/>
        </w:rPr>
      </w:pPr>
      <w:r>
        <w:rPr>
          <w:rFonts w:ascii="Arial" w:cs="Arial" w:eastAsia="Arial" w:hAnsi="Arial"/>
          <w:sz w:val="19"/>
          <w:szCs w:val="19"/>
          <w:b w:val="1"/>
          <w:bCs w:val="1"/>
          <w:color w:val="231F20"/>
        </w:rPr>
        <w:t>Our product candidates and any drugs that we may develop may compete with other product candidates and approved drugs for access to manufacturing facilities. There are a limited number of manufacturers that operate under cGMP regulations and that might be capable of manufacturing for us.</w:t>
      </w:r>
    </w:p>
    <w:p>
      <w:pPr>
        <w:spacing w:after="0" w:line="126" w:lineRule="exact"/>
        <w:rPr>
          <w:sz w:val="20"/>
          <w:szCs w:val="20"/>
          <w:color w:val="auto"/>
        </w:rPr>
      </w:pPr>
    </w:p>
    <w:p>
      <w:pPr>
        <w:jc w:val="both"/>
        <w:ind w:right="300" w:firstLine="475"/>
        <w:spacing w:after="0" w:line="310" w:lineRule="auto"/>
        <w:rPr>
          <w:sz w:val="20"/>
          <w:szCs w:val="20"/>
          <w:color w:val="auto"/>
        </w:rPr>
      </w:pPr>
      <w:r>
        <w:rPr>
          <w:rFonts w:ascii="Arial" w:cs="Arial" w:eastAsia="Arial" w:hAnsi="Arial"/>
          <w:sz w:val="16"/>
          <w:szCs w:val="16"/>
          <w:b w:val="1"/>
          <w:bCs w:val="1"/>
          <w:color w:val="231F20"/>
        </w:rPr>
        <w:t>We also expect to rely on other third parties to label, package, store and distribute product candidate supplies for our clinical trials. Any performance failure on the part of our distributors could delay clinical development or marketing approval of any future product candidates or commercialization of our products, producing additional losses and depriving us of potential drug revenue.</w:t>
      </w:r>
    </w:p>
    <w:p>
      <w:pPr>
        <w:spacing w:after="0" w:line="72" w:lineRule="exact"/>
        <w:rPr>
          <w:sz w:val="20"/>
          <w:szCs w:val="20"/>
          <w:color w:val="auto"/>
        </w:rPr>
      </w:pPr>
    </w:p>
    <w:p>
      <w:pPr>
        <w:ind w:firstLine="475"/>
        <w:spacing w:after="0" w:line="310" w:lineRule="auto"/>
        <w:rPr>
          <w:sz w:val="20"/>
          <w:szCs w:val="20"/>
          <w:color w:val="auto"/>
        </w:rPr>
      </w:pPr>
      <w:r>
        <w:rPr>
          <w:rFonts w:ascii="Arial" w:cs="Arial" w:eastAsia="Arial" w:hAnsi="Arial"/>
          <w:sz w:val="16"/>
          <w:szCs w:val="16"/>
          <w:b w:val="1"/>
          <w:bCs w:val="1"/>
          <w:color w:val="231F20"/>
        </w:rPr>
        <w:t>Any performance failure on the part of our existing or future manufacturers could delay clinical development, marketing approval or commercial drug supply after marketing approval. If our current contract manufacturers cannot perform as agreed, we may be required to replace such manufacturers causing additional costs and delays in identifying and qualifying any such replacement.</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Material modifications in the methods of product candidate manufacturing or formulation may result in additional costs or delay.</w:t>
      </w:r>
    </w:p>
    <w:p>
      <w:pPr>
        <w:spacing w:after="0" w:line="145" w:lineRule="exact"/>
        <w:rPr>
          <w:sz w:val="20"/>
          <w:szCs w:val="20"/>
          <w:color w:val="auto"/>
        </w:rPr>
      </w:pPr>
    </w:p>
    <w:p>
      <w:pPr>
        <w:ind w:right="140" w:firstLine="475"/>
        <w:spacing w:after="0" w:line="294" w:lineRule="auto"/>
        <w:rPr>
          <w:sz w:val="20"/>
          <w:szCs w:val="20"/>
          <w:color w:val="auto"/>
        </w:rPr>
      </w:pPr>
      <w:r>
        <w:rPr>
          <w:rFonts w:ascii="Arial" w:cs="Arial" w:eastAsia="Arial" w:hAnsi="Arial"/>
          <w:sz w:val="16"/>
          <w:szCs w:val="16"/>
          <w:b w:val="1"/>
          <w:bCs w:val="1"/>
          <w:color w:val="231F20"/>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 We have previously encountered challenges in the production of a drug substance batch, and as a result incurred additional costs to address and rectify the manufacturing process. Also, as product candidates progress through preclinical and clinical trials to marketing approval and commercialization, it is common that various aspects of the development program, such as manufacturing, suppliers and formulation, are altered in an effort to optimize yield and manufacturing batch size, minimize costs and achieve consistent quality and results. Any of these changes could cause our product candidates to perform differently and affect the results of planned clinical trials or other future clinical trials conducted with the modified manufacturing, materials or process. This could delay completion of clinical trials, require the conduct of additional clinical trials, such as bridging studies to demonstrate the product is substantially equivalent to product used during earlier clinical trials or the repetition of one or more clinical trials, increase clinical trial costs, delay approval of our product candidates and jeopardize our ability to commercialize our product candidates, if approved, and generate revenue.</w:t>
      </w:r>
    </w:p>
    <w:p>
      <w:pPr>
        <w:sectPr>
          <w:pgSz w:w="12240" w:h="15840" w:orient="portrait"/>
          <w:cols w:equalWidth="0" w:num="1">
            <w:col w:w="10480"/>
          </w:cols>
          <w:pgMar w:left="880" w:top="1165" w:right="88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39</w:t>
      </w:r>
    </w:p>
    <w:p>
      <w:pPr>
        <w:sectPr>
          <w:pgSz w:w="12240" w:h="15840" w:orient="portrait"/>
          <w:cols w:equalWidth="0" w:num="1">
            <w:col w:w="10480"/>
          </w:cols>
          <w:pgMar w:left="880" w:top="1165" w:right="880" w:bottom="390" w:gutter="0" w:footer="0" w:header="0"/>
          <w:type w:val="continuous"/>
        </w:sectPr>
      </w:pPr>
    </w:p>
    <w:bookmarkStart w:id="47" w:name="page48"/>
    <w:bookmarkEnd w:id="47"/>
    <w:p>
      <w:pPr>
        <w:ind w:right="280"/>
        <w:spacing w:after="0" w:line="239" w:lineRule="auto"/>
        <w:rPr>
          <w:sz w:val="20"/>
          <w:szCs w:val="20"/>
          <w:color w:val="auto"/>
        </w:rPr>
      </w:pPr>
      <w:r>
        <w:rPr>
          <w:rFonts w:ascii="Arial" w:cs="Arial" w:eastAsia="Arial" w:hAnsi="Arial"/>
          <w:sz w:val="19"/>
          <w:szCs w:val="19"/>
          <w:b w:val="1"/>
          <w:bCs w:val="1"/>
          <w:color w:val="231F20"/>
        </w:rPr>
        <w:t>Development of product candidates in combination with other therapies could expose us to additional risks. Lack of third-party combination drugs may materially and adversely affect demand for our product candidates.</w:t>
      </w:r>
    </w:p>
    <w:p>
      <w:pPr>
        <w:spacing w:after="0" w:line="129" w:lineRule="exact"/>
        <w:rPr>
          <w:sz w:val="20"/>
          <w:szCs w:val="20"/>
          <w:color w:val="auto"/>
        </w:rPr>
      </w:pPr>
    </w:p>
    <w:p>
      <w:pPr>
        <w:ind w:firstLine="475"/>
        <w:spacing w:after="0" w:line="275" w:lineRule="auto"/>
        <w:rPr>
          <w:sz w:val="20"/>
          <w:szCs w:val="20"/>
          <w:color w:val="auto"/>
        </w:rPr>
      </w:pPr>
      <w:r>
        <w:rPr>
          <w:rFonts w:ascii="Arial" w:cs="Arial" w:eastAsia="Arial" w:hAnsi="Arial"/>
          <w:sz w:val="17"/>
          <w:szCs w:val="17"/>
          <w:b w:val="1"/>
          <w:bCs w:val="1"/>
          <w:color w:val="231F20"/>
        </w:rPr>
        <w:t>Even if any of our product candidates were to receive marketing approval or be commercialized for use in combination with other existing therapies, we would continue to be subject to the risks that the FDA, EMA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less successful commercially. We may also evaluate our product candidates in combination with one or more other cancer therapies that have not yet been approved for marketing by the FDA, EMA or comparable foreign regulatory authorities. We will not be able to market and sell any product candidate in combination with any such unapproved cancer therapies that do not ultimately obtain marketing approval. If the FDA, EMA or other comparable foreign regulatory authorities do not approve or revoke their approval of these other therapies, or if safety, efficacy, commercial adoption, manufacturing or supply issues arise with the therapies we choose to evaluate in combination with any other product candidate, we may be unable to obtain approval of or successfully market any one or all of the product candidates we develop.</w:t>
      </w:r>
    </w:p>
    <w:p>
      <w:pPr>
        <w:spacing w:after="0" w:line="105" w:lineRule="exact"/>
        <w:rPr>
          <w:sz w:val="20"/>
          <w:szCs w:val="20"/>
          <w:color w:val="auto"/>
        </w:rPr>
      </w:pPr>
    </w:p>
    <w:p>
      <w:pPr>
        <w:ind w:right="100" w:firstLine="475"/>
        <w:spacing w:after="0" w:line="296" w:lineRule="auto"/>
        <w:rPr>
          <w:sz w:val="20"/>
          <w:szCs w:val="20"/>
          <w:color w:val="auto"/>
        </w:rPr>
      </w:pPr>
      <w:r>
        <w:rPr>
          <w:rFonts w:ascii="Arial" w:cs="Arial" w:eastAsia="Arial" w:hAnsi="Arial"/>
          <w:sz w:val="16"/>
          <w:szCs w:val="16"/>
          <w:b w:val="1"/>
          <w:bCs w:val="1"/>
          <w:color w:val="231F20"/>
        </w:rPr>
        <w:t>Further, to the extent the regulatory authorities require concurrent updates to the drug labeling of an approved drug product to include the combination use to allow approval of one of our product candidates, we will need to coordinate with the third-party manufacturer regarding such combination labeling changes, which could delay or impact the approval of our product candidate. Changes in standard of care and treatment paradigm can materially and adversely affect our business and results of operations, including the design of our clinical trials. 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85" w:lineRule="exact"/>
        <w:rPr>
          <w:sz w:val="20"/>
          <w:szCs w:val="20"/>
          <w:color w:val="auto"/>
        </w:rPr>
      </w:pPr>
    </w:p>
    <w:p>
      <w:pPr>
        <w:ind w:right="20" w:firstLine="475"/>
        <w:spacing w:after="0" w:line="294" w:lineRule="auto"/>
        <w:rPr>
          <w:sz w:val="20"/>
          <w:szCs w:val="20"/>
          <w:color w:val="auto"/>
        </w:rPr>
      </w:pPr>
      <w:r>
        <w:rPr>
          <w:rFonts w:ascii="Arial" w:cs="Arial" w:eastAsia="Arial" w:hAnsi="Arial"/>
          <w:sz w:val="16"/>
          <w:szCs w:val="16"/>
          <w:b w:val="1"/>
          <w:bCs w:val="1"/>
          <w:color w:val="231F20"/>
        </w:rPr>
        <w:t>Our product candidates may be administered in combination with drugs of other pharmaceutical companies as one regimen. In addition, we currently use, and plan to use in the future, third-party drugs in our development and clinical trials as controls for our studies, such as conducting Phase 2 and Phase 2/3 clinical trials of evorpacept in combination with pembrolizumab for HNSCC and trastuzumab for gastric/GEJ carcinoma, respectively. As a result, both the results of our clinical trials and the sales of our drugs may be affected by the availability of these third-party drugs. For instance, we entered into clinical trial collaboration and supply agreements with Merck, Eli Lilly and Jazz, pursuant to which our collaboration counterparties will supply doses of pembrolizumab, ramucirumab, and zanidatamab, respectively, for use in certain clinical trials. If the agreements with Merck and Eli Lilly are terminated before the trials are completed, we may need to find another source of pembrolizumab and ramucirumab, respectively, in order to continue our trials. Zanidatamab is not approved for commercial use by the FDA or any comparable regulatory authority, and as a result, no alternative source of zanidatamab exists. As such, if the agreement with Jazz is terminated before the trials are completed, our ability to continue the trials with zanidatamab would be limited.</w:t>
      </w:r>
    </w:p>
    <w:p>
      <w:pPr>
        <w:spacing w:after="0" w:line="91" w:lineRule="exact"/>
        <w:rPr>
          <w:sz w:val="20"/>
          <w:szCs w:val="20"/>
          <w:color w:val="auto"/>
        </w:rPr>
      </w:pPr>
    </w:p>
    <w:p>
      <w:pPr>
        <w:ind w:right="260" w:firstLine="475"/>
        <w:spacing w:after="0" w:line="259" w:lineRule="auto"/>
        <w:rPr>
          <w:sz w:val="20"/>
          <w:szCs w:val="20"/>
          <w:color w:val="auto"/>
        </w:rPr>
      </w:pPr>
      <w:r>
        <w:rPr>
          <w:rFonts w:ascii="Arial" w:cs="Arial" w:eastAsia="Arial" w:hAnsi="Arial"/>
          <w:sz w:val="18"/>
          <w:szCs w:val="18"/>
          <w:b w:val="1"/>
          <w:bCs w:val="1"/>
          <w:color w:val="231F20"/>
        </w:rPr>
        <w:t>If other pharmaceutical companies discontinue these drugs for combination therapies in the future, regimens that use these combination drugs may no longer be prescribed, and we may not be able to introduce or find an alternative drug to be used in combination with our drugs at all or in a timely manner and on a cost-effective basis. Use of new combination drugs with our approved product candidates will require further regulatory approval before we can promote such new combination therapies. As a result, demand for our product candidates may be lowered, which would in turn materially and adversely affect our business and results of operations.</w:t>
      </w:r>
    </w:p>
    <w:p>
      <w:pPr>
        <w:sectPr>
          <w:pgSz w:w="12240" w:h="15840" w:orient="portrait"/>
          <w:cols w:equalWidth="0" w:num="1">
            <w:col w:w="10420"/>
          </w:cols>
          <w:pgMar w:left="880" w:top="1165" w:right="9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231F20"/>
        </w:rPr>
        <w:t>40</w:t>
      </w:r>
    </w:p>
    <w:p>
      <w:pPr>
        <w:sectPr>
          <w:pgSz w:w="12240" w:h="15840" w:orient="portrait"/>
          <w:cols w:equalWidth="0" w:num="1">
            <w:col w:w="10420"/>
          </w:cols>
          <w:pgMar w:left="880" w:top="1165" w:right="940" w:bottom="390" w:gutter="0" w:footer="0" w:header="0"/>
          <w:type w:val="continuous"/>
        </w:sectPr>
      </w:pPr>
    </w:p>
    <w:bookmarkStart w:id="48" w:name="page49"/>
    <w:bookmarkEnd w:id="48"/>
    <w:p>
      <w:pPr>
        <w:ind w:right="140"/>
        <w:spacing w:after="0" w:line="303" w:lineRule="auto"/>
        <w:rPr>
          <w:sz w:val="20"/>
          <w:szCs w:val="20"/>
          <w:color w:val="auto"/>
        </w:rPr>
      </w:pPr>
      <w:r>
        <w:rPr>
          <w:rFonts w:ascii="Arial" w:cs="Arial" w:eastAsia="Arial" w:hAnsi="Arial"/>
          <w:sz w:val="16"/>
          <w:szCs w:val="16"/>
          <w:b w:val="1"/>
          <w:bCs w:val="1"/>
          <w:color w:val="231F20"/>
        </w:rPr>
        <w:t>We may not be able to obtain regulatory approval for our product candidates or commercialize any product candidates that may result from our development efforts, or may miss expected deadlines, if we are not able to maintain or secure agreements with the third parties that conduct the activities related to our clinical trials on acceptable terms, if these third parties do not perform their services as contractually required, or if these third parties fail to timely transfer any regulatory information held by them to us.</w:t>
      </w:r>
    </w:p>
    <w:p>
      <w:pPr>
        <w:spacing w:after="0" w:line="81" w:lineRule="exact"/>
        <w:rPr>
          <w:sz w:val="20"/>
          <w:szCs w:val="20"/>
          <w:color w:val="auto"/>
        </w:rPr>
      </w:pPr>
    </w:p>
    <w:p>
      <w:pPr>
        <w:ind w:firstLine="475"/>
        <w:spacing w:after="0" w:line="293" w:lineRule="auto"/>
        <w:rPr>
          <w:sz w:val="20"/>
          <w:szCs w:val="20"/>
          <w:color w:val="auto"/>
        </w:rPr>
      </w:pPr>
      <w:r>
        <w:rPr>
          <w:rFonts w:ascii="Arial" w:cs="Arial" w:eastAsia="Arial" w:hAnsi="Arial"/>
          <w:sz w:val="16"/>
          <w:szCs w:val="16"/>
          <w:b w:val="1"/>
          <w:bCs w:val="1"/>
          <w:color w:val="231F20"/>
        </w:rPr>
        <w:t>We rely on entities outside of our control, which may include academic institutions, CROs, hospitals, clinics and other third-party strategic partners, to monitor, support, conduct and oversee preclinical studies and clinical trials of our current and future product candidates. As a result, we have less control over the timing and cost of these studies and the ability to recruit trial subjects than if we conducted these trials with our own personnel. If we are unable to maintain or enter into agreements with these third parties on acceptable terms, or if any such engagement is terminated prematurely, we may be unable to enroll subjects on a timely basis or otherwise conduct our clinical trials as planned. In addition, there is no guarantee that these third parties will devote adequate time and resources to our clinical trials or perform as required by our contract or in accordance with regulatory requirements, including maintenance of clinical trial information regarding our product candidates. For example, these third parties may be adversely impacted by outbreaks and public health crises, such as the COVID-19 pandemic.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or delayed with additional costs incurred, or our data may be rejected by the FDA or other regulatory agencies. Ultimately, we are responsible for ensuring that each of our clinical trials is conducted in accordance with the applicable protocol, legal, regulatory and scientific standards, and our reliance on third parties does not relieve us of our regulatory responsibilities.</w:t>
      </w:r>
    </w:p>
    <w:p>
      <w:pPr>
        <w:spacing w:after="0" w:line="92" w:lineRule="exact"/>
        <w:rPr>
          <w:sz w:val="20"/>
          <w:szCs w:val="20"/>
          <w:color w:val="auto"/>
        </w:rPr>
      </w:pPr>
    </w:p>
    <w:p>
      <w:pPr>
        <w:ind w:right="40" w:firstLine="475"/>
        <w:spacing w:after="0" w:line="277" w:lineRule="auto"/>
        <w:rPr>
          <w:sz w:val="20"/>
          <w:szCs w:val="20"/>
          <w:color w:val="auto"/>
        </w:rPr>
      </w:pPr>
      <w:r>
        <w:rPr>
          <w:rFonts w:ascii="Arial" w:cs="Arial" w:eastAsia="Arial" w:hAnsi="Arial"/>
          <w:sz w:val="17"/>
          <w:szCs w:val="17"/>
          <w:b w:val="1"/>
          <w:bCs w:val="1"/>
          <w:color w:val="231F20"/>
        </w:rPr>
        <w:t>We and our CROs are required to comply with cGCPs, regulations and guidelines enforced by the FDA and comparable foreign regulatory authorities for products in clinical development. Regulatory authorities enforce these cGCPs through periodic inspections of clinical trial sponsors, principal investigators and clinical trial sites. If we or any of our CROs fail to comply with applicable cGCPs, the clinical data generated in our clinical trials may be deemed unreliable and our submission of marketing applications may be delayed, or the FDA or foreign regulatory authority may require us to perform additional clinical trials before approving our marketing applications. Upon inspection, the FDA or foreign regulatory authority could determine that any of our clinical trials fail or have failed to comply with applicable cGCPs.</w:t>
      </w:r>
    </w:p>
    <w:p>
      <w:pPr>
        <w:spacing w:after="0" w:line="101" w:lineRule="exact"/>
        <w:rPr>
          <w:sz w:val="20"/>
          <w:szCs w:val="20"/>
          <w:color w:val="auto"/>
        </w:rPr>
      </w:pPr>
    </w:p>
    <w:p>
      <w:pPr>
        <w:ind w:right="640" w:firstLine="475"/>
        <w:spacing w:after="0" w:line="239" w:lineRule="auto"/>
        <w:rPr>
          <w:sz w:val="20"/>
          <w:szCs w:val="20"/>
          <w:color w:val="auto"/>
        </w:rPr>
      </w:pPr>
      <w:r>
        <w:rPr>
          <w:rFonts w:ascii="Arial" w:cs="Arial" w:eastAsia="Arial" w:hAnsi="Arial"/>
          <w:sz w:val="19"/>
          <w:szCs w:val="19"/>
          <w:b w:val="1"/>
          <w:bCs w:val="1"/>
          <w:color w:val="231F20"/>
        </w:rPr>
        <w:t>Our business also may be implicated if any of our CROs violates fraud and abuse or false claims laws and regulations or healthcare privacy and security laws.</w:t>
      </w:r>
    </w:p>
    <w:p>
      <w:pPr>
        <w:spacing w:after="0" w:line="126" w:lineRule="exact"/>
        <w:rPr>
          <w:sz w:val="20"/>
          <w:szCs w:val="20"/>
          <w:color w:val="auto"/>
        </w:rPr>
      </w:pPr>
    </w:p>
    <w:p>
      <w:pPr>
        <w:ind w:right="40" w:firstLine="475"/>
        <w:spacing w:after="0" w:line="275" w:lineRule="auto"/>
        <w:rPr>
          <w:sz w:val="20"/>
          <w:szCs w:val="20"/>
          <w:color w:val="auto"/>
        </w:rPr>
      </w:pPr>
      <w:r>
        <w:rPr>
          <w:rFonts w:ascii="Arial" w:cs="Arial" w:eastAsia="Arial" w:hAnsi="Arial"/>
          <w:sz w:val="17"/>
          <w:szCs w:val="17"/>
          <w:b w:val="1"/>
          <w:bCs w:val="1"/>
          <w:color w:val="231F20"/>
        </w:rPr>
        <w:t>If any of our third-party clinical trial sites terminate for any reason, we may experience the loss of follow-up information on subjects enrolled in our ongoing clinical trials unless we are able to transfer the care of those subjects to another qualified clinical trial site. Further, our CROs are not required to work indefinitely or exclusively with us. Our existing agreements with our CROs may be subject to termination by the counterparty upon the occurrence of certain circumstances. If any CRO terminates its agreement with us, the research and development of the relevant product candidate would be suspended, and our ability to research, develop and license future product candidates would be impaired. We may be required to devote additional resources to the development of our product candidates or seek a new CRO partner, and the terms of any additional arrangements that we establish may not be favorable to us. Switching or adding CROs or other service providers can involve substantial cost and require extensive management time and focus. In addition, there is a natural transition period when a new CRO or service provider commences work. As a result, delays may occur, which can materially impact our ability to meet our desired clinical development timelines. If we are required to seek alternative arrangements, the resulting delays and potential inability to find suitable replacements could materially and adversely impact our business.</w:t>
      </w:r>
    </w:p>
    <w:p>
      <w:pPr>
        <w:spacing w:after="0" w:line="106"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b w:val="1"/>
          <w:bCs w:val="1"/>
          <w:color w:val="231F20"/>
        </w:rPr>
        <w:t>Even if we receive marketing approval for any of our product candidates, we may not achieve market acceptance, which would limit the revenue that we can generate from sales of any of our approved product candidates.</w:t>
      </w:r>
    </w:p>
    <w:p>
      <w:pPr>
        <w:spacing w:after="0" w:line="103" w:lineRule="exact"/>
        <w:rPr>
          <w:sz w:val="20"/>
          <w:szCs w:val="20"/>
          <w:color w:val="auto"/>
        </w:rPr>
      </w:pPr>
    </w:p>
    <w:p>
      <w:pPr>
        <w:ind w:right="40" w:firstLine="475"/>
        <w:spacing w:after="0" w:line="260" w:lineRule="auto"/>
        <w:rPr>
          <w:sz w:val="20"/>
          <w:szCs w:val="20"/>
          <w:color w:val="auto"/>
        </w:rPr>
      </w:pPr>
      <w:r>
        <w:rPr>
          <w:rFonts w:ascii="Arial" w:cs="Arial" w:eastAsia="Arial" w:hAnsi="Arial"/>
          <w:sz w:val="18"/>
          <w:szCs w:val="18"/>
          <w:b w:val="1"/>
          <w:bCs w:val="1"/>
          <w:color w:val="231F20"/>
        </w:rPr>
        <w:t>Even if the FDA and applicable foreign regulatory authorities approve the marketing of any product candidates that we develop, physicians, patients, third-party payors or the medical community may not accept or use our product candidates. Efforts to educate the medical community and third-party payors on the benefits of our product candidates may require significant resources and may not be successful. Market acceptance of evorpacept and any other product candidates, if any are approved, will depend on a number of factors, including, among others:</w:t>
      </w:r>
    </w:p>
    <w:p>
      <w:pPr>
        <w:spacing w:after="0" w:line="112" w:lineRule="exact"/>
        <w:rPr>
          <w:sz w:val="20"/>
          <w:szCs w:val="20"/>
          <w:color w:val="auto"/>
        </w:rPr>
      </w:pPr>
    </w:p>
    <w:p>
      <w:pPr>
        <w:ind w:left="960" w:right="760"/>
        <w:spacing w:after="0" w:line="239" w:lineRule="auto"/>
        <w:rPr>
          <w:sz w:val="20"/>
          <w:szCs w:val="20"/>
          <w:color w:val="auto"/>
        </w:rPr>
      </w:pPr>
      <w:r>
        <w:rPr>
          <w:rFonts w:ascii="Arial" w:cs="Arial" w:eastAsia="Arial" w:hAnsi="Arial"/>
          <w:sz w:val="19"/>
          <w:szCs w:val="19"/>
          <w:b w:val="1"/>
          <w:bCs w:val="1"/>
          <w:color w:val="231F20"/>
        </w:rPr>
        <w:t>the ability of evorpacept and our other product candidates to treat cancer or other applicable targeted diseases, as compared with other available drugs, treatments or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-243840</wp:posOffset>
            </wp:positionV>
            <wp:extent cx="62230" cy="635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1"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the timing of market introduction of the product candidate as well as competitive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0"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the clinical indications for which a product candidate is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2"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the approval of other new therapies for the same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5"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231F20"/>
        </w:rPr>
        <w:t>the prevalence and severity of any adverse side effects associated with evorpacept and our other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-83185</wp:posOffset>
            </wp:positionV>
            <wp:extent cx="62230" cy="635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ectPr>
          <w:pgSz w:w="12240" w:h="15840" w:orient="portrait"/>
          <w:cols w:equalWidth="0" w:num="1">
            <w:col w:w="10460"/>
          </w:cols>
          <w:pgMar w:left="880" w:top="1165" w:right="900" w:bottom="39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231F20"/>
        </w:rPr>
        <w:t>41</w:t>
      </w:r>
    </w:p>
    <w:p>
      <w:pPr>
        <w:sectPr>
          <w:pgSz w:w="12240" w:h="15840" w:orient="portrait"/>
          <w:cols w:equalWidth="0" w:num="1">
            <w:col w:w="10460"/>
          </w:cols>
          <w:pgMar w:left="880" w:top="1165" w:right="900" w:bottom="390" w:gutter="0" w:footer="0" w:header="0"/>
          <w:type w:val="continuous"/>
        </w:sectPr>
      </w:pPr>
    </w:p>
    <w:bookmarkStart w:id="49" w:name="page50"/>
    <w:bookmarkEnd w:id="49"/>
    <w:p>
      <w:pPr>
        <w:ind w:left="960" w:right="180"/>
        <w:spacing w:after="0" w:line="239" w:lineRule="auto"/>
        <w:rPr>
          <w:sz w:val="20"/>
          <w:szCs w:val="20"/>
          <w:color w:val="auto"/>
        </w:rPr>
      </w:pPr>
      <w:r>
        <w:rPr>
          <w:rFonts w:ascii="Arial" w:cs="Arial" w:eastAsia="Arial" w:hAnsi="Arial"/>
          <w:sz w:val="19"/>
          <w:szCs w:val="19"/>
          <w:b w:val="1"/>
          <w:bCs w:val="1"/>
          <w:color w:val="231F20"/>
        </w:rPr>
        <w:t>limitations or warnings contained in the labeling approved for evorpacept or our other product candidates by the FDA or foreign regulatory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-242570</wp:posOffset>
            </wp:positionV>
            <wp:extent cx="62230" cy="635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9" w:lineRule="exact"/>
        <w:rPr>
          <w:sz w:val="20"/>
          <w:szCs w:val="20"/>
          <w:color w:val="auto"/>
        </w:rPr>
      </w:pPr>
    </w:p>
    <w:p>
      <w:pPr>
        <w:ind w:left="960" w:right="40"/>
        <w:spacing w:after="0" w:line="239" w:lineRule="auto"/>
        <w:rPr>
          <w:sz w:val="20"/>
          <w:szCs w:val="20"/>
          <w:color w:val="auto"/>
        </w:rPr>
      </w:pPr>
      <w:r>
        <w:rPr>
          <w:rFonts w:ascii="Arial" w:cs="Arial" w:eastAsia="Arial" w:hAnsi="Arial"/>
          <w:sz w:val="19"/>
          <w:szCs w:val="19"/>
          <w:b w:val="1"/>
          <w:bCs w:val="1"/>
          <w:color w:val="231F20"/>
        </w:rPr>
        <w:t>availability of alternative treatments and the potential and perceived advantages of our product candidates over alternative treatments;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-243840</wp:posOffset>
            </wp:positionV>
            <wp:extent cx="62230" cy="635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7" w:lineRule="exact"/>
        <w:rPr>
          <w:sz w:val="20"/>
          <w:szCs w:val="20"/>
          <w:color w:val="auto"/>
        </w:rPr>
      </w:pPr>
    </w:p>
    <w:p>
      <w:pPr>
        <w:ind w:left="960" w:right="380"/>
        <w:spacing w:after="0" w:line="239" w:lineRule="auto"/>
        <w:rPr>
          <w:sz w:val="20"/>
          <w:szCs w:val="20"/>
          <w:color w:val="auto"/>
        </w:rPr>
      </w:pPr>
      <w:r>
        <w:rPr>
          <w:rFonts w:ascii="Arial" w:cs="Arial" w:eastAsia="Arial" w:hAnsi="Arial"/>
          <w:sz w:val="19"/>
          <w:szCs w:val="19"/>
          <w:b w:val="1"/>
          <w:bCs w:val="1"/>
          <w:color w:val="231F20"/>
        </w:rPr>
        <w:t>the size of the target patient population and the willingness of the target patient population to try new therapies and of physicians to prescribe these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-242570</wp:posOffset>
            </wp:positionV>
            <wp:extent cx="62230" cy="635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9" w:lineRule="exact"/>
        <w:rPr>
          <w:sz w:val="20"/>
          <w:szCs w:val="20"/>
          <w:color w:val="auto"/>
        </w:rPr>
      </w:pPr>
    </w:p>
    <w:p>
      <w:pPr>
        <w:ind w:left="960" w:right="420"/>
        <w:spacing w:after="0" w:line="239" w:lineRule="auto"/>
        <w:rPr>
          <w:sz w:val="20"/>
          <w:szCs w:val="20"/>
          <w:color w:val="auto"/>
        </w:rPr>
      </w:pPr>
      <w:r>
        <w:rPr>
          <w:rFonts w:ascii="Arial" w:cs="Arial" w:eastAsia="Arial" w:hAnsi="Arial"/>
          <w:sz w:val="19"/>
          <w:szCs w:val="19"/>
          <w:b w:val="1"/>
          <w:bCs w:val="1"/>
          <w:color w:val="231F20"/>
        </w:rPr>
        <w:t>the strength and effectiveness of marketing and distribution support and timing of market introduction of competitive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-243840</wp:posOffset>
            </wp:positionV>
            <wp:extent cx="62230" cy="635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7" w:lineRule="exact"/>
        <w:rPr>
          <w:sz w:val="20"/>
          <w:szCs w:val="20"/>
          <w:color w:val="auto"/>
        </w:rPr>
      </w:pPr>
    </w:p>
    <w:p>
      <w:pPr>
        <w:ind w:left="960" w:right="3600"/>
        <w:spacing w:after="0" w:line="393" w:lineRule="auto"/>
        <w:rPr>
          <w:sz w:val="20"/>
          <w:szCs w:val="20"/>
          <w:color w:val="auto"/>
        </w:rPr>
      </w:pPr>
      <w:r>
        <w:rPr>
          <w:rFonts w:ascii="Arial" w:cs="Arial" w:eastAsia="Arial" w:hAnsi="Arial"/>
          <w:sz w:val="18"/>
          <w:szCs w:val="18"/>
          <w:b w:val="1"/>
          <w:bCs w:val="1"/>
          <w:color w:val="231F20"/>
        </w:rPr>
        <w:t>publicity for our product candidates and competing products and treatments; pricing and cost-effectiveness in relation to alternative treatments; relative convenience and ease of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-611505</wp:posOffset>
            </wp:positionV>
            <wp:extent cx="62230" cy="635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2230" cy="63500"/>
                    </a:xfrm>
                    <a:prstGeom prst="rect">
                      <a:avLst/>
                    </a:prstGeom>
                    <a:noFill/>
                  </pic:spPr>
                </pic:pic>
              </a:graphicData>
            </a:graphic>
          </wp:anchor>
        </w:drawing>
        <w:drawing>
          <wp:anchor simplePos="0" relativeHeight="251657728" behindDoc="1" locked="0" layoutInCell="0" allowOverlap="1">
            <wp:simplePos x="0" y="0"/>
            <wp:positionH relativeFrom="column">
              <wp:posOffset>300355</wp:posOffset>
            </wp:positionH>
            <wp:positionV relativeFrom="paragraph">
              <wp:posOffset>-396875</wp:posOffset>
            </wp:positionV>
            <wp:extent cx="62230" cy="635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2230" cy="63500"/>
                    </a:xfrm>
                    <a:prstGeom prst="rect">
                      <a:avLst/>
                    </a:prstGeom>
                    <a:noFill/>
                  </pic:spPr>
                </pic:pic>
              </a:graphicData>
            </a:graphic>
          </wp:anchor>
        </w:drawing>
        <w:drawing>
          <wp:anchor simplePos="0" relativeHeight="251657728" behindDoc="1" locked="0" layoutInCell="0" allowOverlap="1">
            <wp:simplePos x="0" y="0"/>
            <wp:positionH relativeFrom="column">
              <wp:posOffset>300355</wp:posOffset>
            </wp:positionH>
            <wp:positionV relativeFrom="paragraph">
              <wp:posOffset>-182245</wp:posOffset>
            </wp:positionV>
            <wp:extent cx="62230" cy="635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ind w:left="960" w:right="60"/>
        <w:spacing w:after="0" w:line="239" w:lineRule="auto"/>
        <w:rPr>
          <w:sz w:val="20"/>
          <w:szCs w:val="20"/>
          <w:color w:val="auto"/>
        </w:rPr>
      </w:pPr>
      <w:r>
        <w:rPr>
          <w:rFonts w:ascii="Arial" w:cs="Arial" w:eastAsia="Arial" w:hAnsi="Arial"/>
          <w:sz w:val="19"/>
          <w:szCs w:val="19"/>
          <w:b w:val="1"/>
          <w:bCs w:val="1"/>
          <w:color w:val="231F20"/>
        </w:rPr>
        <w:t>our ability to obtain sufficient third-party coverage or reimbursement, and the willingness of patients to pay out-of-pocket in the absence of third-party coverage;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-242570</wp:posOffset>
            </wp:positionV>
            <wp:extent cx="62230" cy="635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9" w:lineRule="exact"/>
        <w:rPr>
          <w:sz w:val="20"/>
          <w:szCs w:val="20"/>
          <w:color w:val="auto"/>
        </w:rPr>
      </w:pPr>
    </w:p>
    <w:p>
      <w:pPr>
        <w:ind w:left="960" w:right="740"/>
        <w:spacing w:after="0" w:line="265" w:lineRule="auto"/>
        <w:rPr>
          <w:sz w:val="20"/>
          <w:szCs w:val="20"/>
          <w:color w:val="auto"/>
        </w:rPr>
      </w:pPr>
      <w:r>
        <w:rPr>
          <w:rFonts w:ascii="Arial" w:cs="Arial" w:eastAsia="Arial" w:hAnsi="Arial"/>
          <w:sz w:val="18"/>
          <w:szCs w:val="18"/>
          <w:b w:val="1"/>
          <w:bCs w:val="1"/>
          <w:color w:val="231F20"/>
        </w:rPr>
        <w:t>the likelihood that the FDA or any foreign regulatory authority may impose additional requirements that limit the promotion, advertising, distribution or sales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-257810</wp:posOffset>
            </wp:positionV>
            <wp:extent cx="62230" cy="635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84" w:lineRule="exact"/>
        <w:rPr>
          <w:sz w:val="20"/>
          <w:szCs w:val="20"/>
          <w:color w:val="auto"/>
        </w:rPr>
      </w:pPr>
    </w:p>
    <w:p>
      <w:pPr>
        <w:ind w:right="20" w:firstLine="475"/>
        <w:spacing w:after="0" w:line="278" w:lineRule="auto"/>
        <w:rPr>
          <w:sz w:val="20"/>
          <w:szCs w:val="20"/>
          <w:color w:val="auto"/>
        </w:rPr>
      </w:pPr>
      <w:r>
        <w:rPr>
          <w:rFonts w:ascii="Arial" w:cs="Arial" w:eastAsia="Arial" w:hAnsi="Arial"/>
          <w:sz w:val="17"/>
          <w:szCs w:val="17"/>
          <w:b w:val="1"/>
          <w:bCs w:val="1"/>
          <w:color w:val="231F20"/>
        </w:rPr>
        <w:t>Adverse events in clinical trials for our product candidates or in clinical trials of others developing similar products and the resulting publicity, as well as any other adverse events in the field of immuno-oncology that may occur in the future, could result in a decrease in demand for evorpacept or any other product candidate that we may develop. If public perception is influenced by claims that the use of cancer immunotherapies is unsafe, whether related to our therapies or those of our competitors, our products may not be accepted by the general public or the medical community. Future adverse events in immuno-oncology or the biopharmaceutical industry generally could also result in greater governmental regulation and stricter labeling requirements.</w:t>
      </w:r>
    </w:p>
    <w:p>
      <w:pPr>
        <w:spacing w:after="0" w:line="96" w:lineRule="exact"/>
        <w:rPr>
          <w:sz w:val="20"/>
          <w:szCs w:val="20"/>
          <w:color w:val="auto"/>
        </w:rPr>
      </w:pPr>
    </w:p>
    <w:p>
      <w:pPr>
        <w:ind w:right="80" w:firstLine="475"/>
        <w:spacing w:after="0" w:line="329" w:lineRule="auto"/>
        <w:rPr>
          <w:sz w:val="20"/>
          <w:szCs w:val="20"/>
          <w:color w:val="auto"/>
        </w:rPr>
      </w:pPr>
      <w:r>
        <w:rPr>
          <w:rFonts w:ascii="Arial" w:cs="Arial" w:eastAsia="Arial" w:hAnsi="Arial"/>
          <w:sz w:val="16"/>
          <w:szCs w:val="16"/>
          <w:b w:val="1"/>
          <w:bCs w:val="1"/>
          <w:color w:val="231F20"/>
        </w:rPr>
        <w:t>If any of our product candidates is approved but does not achieve an adequate level of acceptance by patients, physicians and/or third-party payors, we may not generate sufficient revenue to become or remain profitable and our business may be harmed.</w:t>
      </w:r>
    </w:p>
    <w:p>
      <w:pPr>
        <w:spacing w:after="0" w:line="60" w:lineRule="exact"/>
        <w:rPr>
          <w:sz w:val="20"/>
          <w:szCs w:val="20"/>
          <w:color w:val="auto"/>
        </w:rPr>
      </w:pPr>
    </w:p>
    <w:p>
      <w:pPr>
        <w:ind w:right="860"/>
        <w:spacing w:after="0" w:line="239" w:lineRule="auto"/>
        <w:rPr>
          <w:sz w:val="20"/>
          <w:szCs w:val="20"/>
          <w:color w:val="auto"/>
        </w:rPr>
      </w:pPr>
      <w:r>
        <w:rPr>
          <w:rFonts w:ascii="Arial" w:cs="Arial" w:eastAsia="Arial" w:hAnsi="Arial"/>
          <w:sz w:val="19"/>
          <w:szCs w:val="19"/>
          <w:b w:val="1"/>
          <w:bCs w:val="1"/>
          <w:color w:val="231F20"/>
        </w:rPr>
        <w:t>We have never commercialized a product candidate and we may lack the necessary expertise, personnel and resources to successfully commercialize any of our products that receive regulatory approval.</w:t>
      </w:r>
    </w:p>
    <w:p>
      <w:pPr>
        <w:spacing w:after="0" w:line="126" w:lineRule="exact"/>
        <w:rPr>
          <w:sz w:val="20"/>
          <w:szCs w:val="20"/>
          <w:color w:val="auto"/>
        </w:rPr>
      </w:pPr>
    </w:p>
    <w:p>
      <w:pPr>
        <w:ind w:right="100" w:firstLine="475"/>
        <w:spacing w:after="0" w:line="242" w:lineRule="auto"/>
        <w:rPr>
          <w:sz w:val="20"/>
          <w:szCs w:val="20"/>
          <w:color w:val="auto"/>
        </w:rPr>
      </w:pPr>
      <w:r>
        <w:rPr>
          <w:rFonts w:ascii="Arial" w:cs="Arial" w:eastAsia="Arial" w:hAnsi="Arial"/>
          <w:sz w:val="19"/>
          <w:szCs w:val="19"/>
          <w:b w:val="1"/>
          <w:bCs w:val="1"/>
          <w:color w:val="231F20"/>
        </w:rPr>
        <w:t>We currently have no marketing and sales organization and we have never commercialized a product candidate. To achieve commercial success of our product candidates, if any are approved, we will have to develop our own medical affairs, sales, marketing and supply capabilities or outsource these activities to a third party.</w:t>
      </w:r>
    </w:p>
    <w:p>
      <w:pPr>
        <w:spacing w:after="0" w:line="126" w:lineRule="exact"/>
        <w:rPr>
          <w:sz w:val="20"/>
          <w:szCs w:val="20"/>
          <w:color w:val="auto"/>
        </w:rPr>
      </w:pPr>
    </w:p>
    <w:p>
      <w:pPr>
        <w:ind w:right="80" w:firstLine="475"/>
        <w:spacing w:after="0" w:line="294" w:lineRule="auto"/>
        <w:rPr>
          <w:sz w:val="20"/>
          <w:szCs w:val="20"/>
          <w:color w:val="auto"/>
        </w:rPr>
      </w:pPr>
      <w:r>
        <w:rPr>
          <w:rFonts w:ascii="Arial" w:cs="Arial" w:eastAsia="Arial" w:hAnsi="Arial"/>
          <w:sz w:val="16"/>
          <w:szCs w:val="16"/>
          <w:b w:val="1"/>
          <w:bCs w:val="1"/>
          <w:color w:val="231F20"/>
        </w:rPr>
        <w:t>If any of our product candidates ultimately receives regulatory approval, we may choose to establish an internal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the European Union or other key global markets. If we are unable to build our own distribution and marketing capabilities or to find suitable partners for the commercialization of our product candidates, we may have difficulties generating revenue from them.</w:t>
      </w:r>
    </w:p>
    <w:p>
      <w:pPr>
        <w:spacing w:after="0" w:line="89" w:lineRule="exact"/>
        <w:rPr>
          <w:sz w:val="20"/>
          <w:szCs w:val="20"/>
          <w:color w:val="auto"/>
        </w:rPr>
      </w:pPr>
    </w:p>
    <w:p>
      <w:pPr>
        <w:ind w:firstLine="475"/>
        <w:spacing w:after="0" w:line="276" w:lineRule="auto"/>
        <w:rPr>
          <w:sz w:val="20"/>
          <w:szCs w:val="20"/>
          <w:color w:val="auto"/>
        </w:rPr>
      </w:pPr>
      <w:r>
        <w:rPr>
          <w:rFonts w:ascii="Arial" w:cs="Arial" w:eastAsia="Arial" w:hAnsi="Arial"/>
          <w:sz w:val="17"/>
          <w:szCs w:val="17"/>
          <w:b w:val="1"/>
          <w:bCs w:val="1"/>
          <w:color w:val="231F20"/>
        </w:rPr>
        <w:t>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 We have no internal sales, marketing or distribution capabilities.</w:t>
      </w:r>
    </w:p>
    <w:p>
      <w:pPr>
        <w:sectPr>
          <w:pgSz w:w="12240" w:h="15840" w:orient="portrait"/>
          <w:cols w:equalWidth="0" w:num="1">
            <w:col w:w="10480"/>
          </w:cols>
          <w:pgMar w:left="880" w:top="1165" w:right="88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42</w:t>
      </w:r>
    </w:p>
    <w:p>
      <w:pPr>
        <w:sectPr>
          <w:pgSz w:w="12240" w:h="15840" w:orient="portrait"/>
          <w:cols w:equalWidth="0" w:num="1">
            <w:col w:w="10480"/>
          </w:cols>
          <w:pgMar w:left="880" w:top="1165" w:right="880" w:bottom="390" w:gutter="0" w:footer="0" w:header="0"/>
          <w:type w:val="continuous"/>
        </w:sectPr>
      </w:pPr>
    </w:p>
    <w:bookmarkStart w:id="50" w:name="page51"/>
    <w:bookmarkEnd w:id="50"/>
    <w:p>
      <w:pPr>
        <w:spacing w:after="0"/>
        <w:rPr>
          <w:sz w:val="20"/>
          <w:szCs w:val="20"/>
          <w:color w:val="auto"/>
        </w:rPr>
      </w:pPr>
      <w:r>
        <w:rPr>
          <w:rFonts w:ascii="Arial" w:cs="Arial" w:eastAsia="Arial" w:hAnsi="Arial"/>
          <w:sz w:val="17"/>
          <w:szCs w:val="17"/>
          <w:b w:val="1"/>
          <w:bCs w:val="1"/>
          <w:color w:val="231F20"/>
        </w:rPr>
        <w:t>The market opportunities for the product candidates we develop, if approved, may be limited to certain smaller patient subsets.</w:t>
      </w:r>
    </w:p>
    <w:p>
      <w:pPr>
        <w:spacing w:after="0" w:line="145" w:lineRule="exact"/>
        <w:rPr>
          <w:sz w:val="20"/>
          <w:szCs w:val="20"/>
          <w:color w:val="auto"/>
        </w:rPr>
      </w:pPr>
    </w:p>
    <w:p>
      <w:pPr>
        <w:jc w:val="both"/>
        <w:ind w:right="60" w:firstLine="475"/>
        <w:spacing w:after="0" w:line="303" w:lineRule="auto"/>
        <w:rPr>
          <w:sz w:val="20"/>
          <w:szCs w:val="20"/>
          <w:color w:val="auto"/>
        </w:rPr>
      </w:pPr>
      <w:r>
        <w:rPr>
          <w:rFonts w:ascii="Arial" w:cs="Arial" w:eastAsia="Arial" w:hAnsi="Arial"/>
          <w:sz w:val="16"/>
          <w:szCs w:val="16"/>
          <w:b w:val="1"/>
          <w:bCs w:val="1"/>
          <w:color w:val="231F20"/>
        </w:rPr>
        <w:t>There is no guarantee that the product candidates we develop, even if approved, would be approved for the currently proposed indications. We may have to conduct additional clinical trials that may be costly, time-consuming and subject to risk. Regulators, like the FDA, may require us to narrow our indications to smaller patient subsets, and the number of patients in such subsets may turn out to be lower than expected. If this were to occur, it could have a material adverse effect on our business.</w:t>
      </w:r>
    </w:p>
    <w:p>
      <w:pPr>
        <w:spacing w:after="0" w:line="7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231F20"/>
        </w:rPr>
        <w:t>Our current and future product candidates may have undesirable side effects that may delay or prevent marketing approval or, if approval is received, require them to be taken off the market, require them to include new safety warnings, contraindications or precautions, or otherwise limit their sales. No regulatory agency has made a determination that any of our product candidates are safe, pure, potent or effective for use by the target patient population for any indication.</w:t>
      </w:r>
    </w:p>
    <w:p>
      <w:pPr>
        <w:spacing w:after="0" w:line="108" w:lineRule="exact"/>
        <w:rPr>
          <w:sz w:val="20"/>
          <w:szCs w:val="20"/>
          <w:color w:val="auto"/>
        </w:rPr>
      </w:pPr>
    </w:p>
    <w:p>
      <w:pPr>
        <w:ind w:firstLine="475"/>
        <w:spacing w:after="0" w:line="296" w:lineRule="auto"/>
        <w:rPr>
          <w:sz w:val="20"/>
          <w:szCs w:val="20"/>
          <w:color w:val="auto"/>
        </w:rPr>
      </w:pPr>
      <w:r>
        <w:rPr>
          <w:rFonts w:ascii="Arial" w:cs="Arial" w:eastAsia="Arial" w:hAnsi="Arial"/>
          <w:sz w:val="16"/>
          <w:szCs w:val="16"/>
          <w:b w:val="1"/>
          <w:bCs w:val="1"/>
          <w:color w:val="231F20"/>
        </w:rPr>
        <w:t>Our lead product candidate, evorpacept, is at an early stage of clinical development and not all adverse effects can be predicted or anticipated. Unforeseen side effects from evorpacept or any of our future product candidates may arise at any time during clinical development or, if approved by regulatory authorities, after the approved drug product has been marketed. Any undesirable or unacceptable side effects of evorpacept or our future product candidates could interrupt, delay or halt clinical trials, and result in delay of, or failure to obtain, marketing approval from the FDA or comparable international regulatory authorities, or result in marketing approval from the FDA or comparable international regulatory authorities with restrictive label warnings or for limited patient populations. Ultimately, such side effects could result in product liability claims. No regulatory agency has made any determination that any of our product candidates or discovery programs is safe or effective for use by the general public for any indication.</w:t>
      </w:r>
    </w:p>
    <w:p>
      <w:pPr>
        <w:spacing w:after="0" w:line="88" w:lineRule="exact"/>
        <w:rPr>
          <w:sz w:val="20"/>
          <w:szCs w:val="20"/>
          <w:color w:val="auto"/>
        </w:rPr>
      </w:pPr>
    </w:p>
    <w:p>
      <w:pPr>
        <w:ind w:right="40" w:firstLine="475"/>
        <w:spacing w:after="0" w:line="239" w:lineRule="auto"/>
        <w:rPr>
          <w:sz w:val="20"/>
          <w:szCs w:val="20"/>
          <w:color w:val="auto"/>
        </w:rPr>
      </w:pPr>
      <w:r>
        <w:rPr>
          <w:rFonts w:ascii="Arial" w:cs="Arial" w:eastAsia="Arial" w:hAnsi="Arial"/>
          <w:sz w:val="19"/>
          <w:szCs w:val="19"/>
          <w:b w:val="1"/>
          <w:bCs w:val="1"/>
          <w:color w:val="231F20"/>
        </w:rPr>
        <w:t>Even if any of our product candidates receive marketing approval, if we or others later identify undesirable or unacceptable side effects caused by such products:</w:t>
      </w:r>
    </w:p>
    <w:p>
      <w:pPr>
        <w:spacing w:after="0" w:line="121"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regulatory authorities may require us to take our approved product off the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5" w:lineRule="exact"/>
        <w:rPr>
          <w:sz w:val="20"/>
          <w:szCs w:val="20"/>
          <w:color w:val="auto"/>
        </w:rPr>
      </w:pPr>
    </w:p>
    <w:p>
      <w:pPr>
        <w:ind w:left="960" w:right="180"/>
        <w:spacing w:after="0" w:line="239" w:lineRule="auto"/>
        <w:rPr>
          <w:sz w:val="20"/>
          <w:szCs w:val="20"/>
          <w:color w:val="auto"/>
        </w:rPr>
      </w:pPr>
      <w:r>
        <w:rPr>
          <w:rFonts w:ascii="Arial" w:cs="Arial" w:eastAsia="Arial" w:hAnsi="Arial"/>
          <w:sz w:val="19"/>
          <w:szCs w:val="19"/>
          <w:b w:val="1"/>
          <w:bCs w:val="1"/>
          <w:color w:val="231F20"/>
        </w:rPr>
        <w:t>regulatory authorities may require the addition of labeling statements, specific warnings, contraindication, precaution or field alerts to physicians and pharmacies;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-242570</wp:posOffset>
            </wp:positionV>
            <wp:extent cx="62230" cy="635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9" w:lineRule="exact"/>
        <w:rPr>
          <w:sz w:val="20"/>
          <w:szCs w:val="20"/>
          <w:color w:val="auto"/>
        </w:rPr>
      </w:pPr>
    </w:p>
    <w:p>
      <w:pPr>
        <w:ind w:left="960" w:right="580"/>
        <w:spacing w:after="0" w:line="329" w:lineRule="auto"/>
        <w:rPr>
          <w:sz w:val="20"/>
          <w:szCs w:val="20"/>
          <w:color w:val="auto"/>
        </w:rPr>
      </w:pPr>
      <w:r>
        <w:rPr>
          <w:rFonts w:ascii="Arial" w:cs="Arial" w:eastAsia="Arial" w:hAnsi="Arial"/>
          <w:sz w:val="16"/>
          <w:szCs w:val="16"/>
          <w:b w:val="1"/>
          <w:bCs w:val="1"/>
          <w:color w:val="231F20"/>
        </w:rPr>
        <w:t>we may be required to change the way the product is administered, including changing the dose and/or schedule of administration, limit the patient population who can use the product or conduct additional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-288290</wp:posOffset>
            </wp:positionV>
            <wp:extent cx="62230" cy="635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we may be subject to limitations on how we may promote the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2"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sales of the product may decrease significantly;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0"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we may be subject to litigation or product liability claims;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2"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our reputation may suffer.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5" w:lineRule="exact"/>
        <w:rPr>
          <w:sz w:val="20"/>
          <w:szCs w:val="20"/>
          <w:color w:val="auto"/>
        </w:rPr>
      </w:pPr>
    </w:p>
    <w:p>
      <w:pPr>
        <w:ind w:right="240" w:firstLine="475"/>
        <w:spacing w:after="0" w:line="242" w:lineRule="auto"/>
        <w:rPr>
          <w:sz w:val="20"/>
          <w:szCs w:val="20"/>
          <w:color w:val="auto"/>
        </w:rPr>
      </w:pPr>
      <w:r>
        <w:rPr>
          <w:rFonts w:ascii="Arial" w:cs="Arial" w:eastAsia="Arial" w:hAnsi="Arial"/>
          <w:sz w:val="19"/>
          <w:szCs w:val="19"/>
          <w:b w:val="1"/>
          <w:bCs w:val="1"/>
          <w:color w:val="231F20"/>
        </w:rPr>
        <w:t>Any of these events could prevent us from achieving or maintaining market acceptance of the affected product or could substantially increase commercialization costs and expenses, which in turn could delay or prevent us from generating revenue from the sale of any future product candidates.</w:t>
      </w:r>
    </w:p>
    <w:p>
      <w:pPr>
        <w:spacing w:after="0" w:line="124" w:lineRule="exact"/>
        <w:rPr>
          <w:sz w:val="20"/>
          <w:szCs w:val="20"/>
          <w:color w:val="auto"/>
        </w:rPr>
      </w:pPr>
    </w:p>
    <w:p>
      <w:pPr>
        <w:ind w:right="500"/>
        <w:spacing w:after="0" w:line="239" w:lineRule="auto"/>
        <w:rPr>
          <w:sz w:val="20"/>
          <w:szCs w:val="20"/>
          <w:color w:val="auto"/>
        </w:rPr>
      </w:pPr>
      <w:r>
        <w:rPr>
          <w:rFonts w:ascii="Arial" w:cs="Arial" w:eastAsia="Arial" w:hAnsi="Arial"/>
          <w:sz w:val="19"/>
          <w:szCs w:val="19"/>
          <w:b w:val="1"/>
          <w:bCs w:val="1"/>
          <w:color w:val="231F20"/>
        </w:rPr>
        <w:t>Failure to obtain or maintain adequate coverage and reimbursement for our product candidates, if approved, could limit our ability to market those products and decrease our ability to generate revenue.</w:t>
      </w:r>
    </w:p>
    <w:p>
      <w:pPr>
        <w:spacing w:after="0" w:line="129" w:lineRule="exact"/>
        <w:rPr>
          <w:sz w:val="20"/>
          <w:szCs w:val="20"/>
          <w:color w:val="auto"/>
        </w:rPr>
      </w:pPr>
    </w:p>
    <w:p>
      <w:pPr>
        <w:ind w:right="40" w:firstLine="475"/>
        <w:spacing w:after="0" w:line="295" w:lineRule="auto"/>
        <w:rPr>
          <w:sz w:val="20"/>
          <w:szCs w:val="20"/>
          <w:color w:val="auto"/>
        </w:rPr>
      </w:pPr>
      <w:r>
        <w:rPr>
          <w:rFonts w:ascii="Arial" w:cs="Arial" w:eastAsia="Arial" w:hAnsi="Arial"/>
          <w:sz w:val="16"/>
          <w:szCs w:val="16"/>
          <w:b w:val="1"/>
          <w:bCs w:val="1"/>
          <w:color w:val="231F20"/>
        </w:rPr>
        <w:t>The availability and adequacy of coverage and reimbursement by governmental healthcare programs such as Medicare and Medicaid, private health insurers and other third-party payors are essential for most patients to be able to afford products such as our product candidates, if approved. Our ability to achieve and maintain acceptable levels of coverage and reimbursement for products by governmental authorities, private health insurers and other organizations will have an effect on our ability to successfully commercialize our product candidates. Coverage under certain government programs, such as Medicare, Medicaid and TRICARE, may not be available for certain of our product candidates. Assuming we obtain coverage for a given product by a third-party payor, the resulting reimbursement payment rates may not be adequate or may require co-payments that patients find unacceptably high. We cannot be sure that coverage and reimbursement in the United States, the European Union or elsewhere will be available for any product that we may develop, and any reimbursement that may become available may be decreased or eliminated in the future.</w:t>
      </w:r>
    </w:p>
    <w:p>
      <w:pPr>
        <w:spacing w:after="0" w:line="89" w:lineRule="exact"/>
        <w:rPr>
          <w:sz w:val="20"/>
          <w:szCs w:val="20"/>
          <w:color w:val="auto"/>
        </w:rPr>
      </w:pPr>
    </w:p>
    <w:p>
      <w:pPr>
        <w:ind w:firstLine="475"/>
        <w:spacing w:after="0" w:line="295" w:lineRule="auto"/>
        <w:rPr>
          <w:sz w:val="20"/>
          <w:szCs w:val="20"/>
          <w:color w:val="auto"/>
        </w:rPr>
      </w:pPr>
      <w:r>
        <w:rPr>
          <w:rFonts w:ascii="Arial" w:cs="Arial" w:eastAsia="Arial" w:hAnsi="Arial"/>
          <w:sz w:val="16"/>
          <w:szCs w:val="16"/>
          <w:b w:val="1"/>
          <w:bCs w:val="1"/>
          <w:color w:val="231F20"/>
        </w:rPr>
        <w:t>Third-party payors increasingly are challenging prices charged for pharmaceutical products and services, and many third-party payors may refuse to provide coverage and reimbursement for particular drugs when an equivalent generic drug, biosimilar or a less expensive therapy is available. It is possible that a third-party payor may consider our product candidates and other therapies as substitutable and only offer to reimburse patients for the less expensive product. Even if we show improved efficacy and potency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 candidates and may not be able to obtain a satisfactory financial return on products that we may develop.</w:t>
      </w:r>
    </w:p>
    <w:p>
      <w:pPr>
        <w:sectPr>
          <w:pgSz w:w="12240" w:h="15840" w:orient="portrait"/>
          <w:cols w:equalWidth="0" w:num="1">
            <w:col w:w="10440"/>
          </w:cols>
          <w:pgMar w:left="880" w:top="1165" w:right="920" w:bottom="390" w:gutter="0" w:footer="0" w:header="0"/>
        </w:sect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231F20"/>
        </w:rPr>
        <w:t>43</w:t>
      </w:r>
    </w:p>
    <w:p>
      <w:pPr>
        <w:sectPr>
          <w:pgSz w:w="12240" w:h="15840" w:orient="portrait"/>
          <w:cols w:equalWidth="0" w:num="1">
            <w:col w:w="10440"/>
          </w:cols>
          <w:pgMar w:left="880" w:top="1165" w:right="920" w:bottom="390" w:gutter="0" w:footer="0" w:header="0"/>
          <w:type w:val="continuous"/>
        </w:sectPr>
      </w:pPr>
    </w:p>
    <w:bookmarkStart w:id="51" w:name="page52"/>
    <w:bookmarkEnd w:id="51"/>
    <w:p>
      <w:pPr>
        <w:ind w:firstLine="475"/>
        <w:spacing w:after="0" w:line="260" w:lineRule="auto"/>
        <w:rPr>
          <w:sz w:val="20"/>
          <w:szCs w:val="20"/>
          <w:color w:val="auto"/>
        </w:rPr>
      </w:pPr>
      <w:r>
        <w:rPr>
          <w:rFonts w:ascii="Arial" w:cs="Arial" w:eastAsia="Arial" w:hAnsi="Arial"/>
          <w:sz w:val="18"/>
          <w:szCs w:val="18"/>
          <w:b w:val="1"/>
          <w:bCs w:val="1"/>
          <w:color w:val="231F20"/>
        </w:rPr>
        <w:t>Obtaining and maintaining reimbursement status is time-consuming and costly.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10" w:lineRule="exact"/>
        <w:rPr>
          <w:sz w:val="20"/>
          <w:szCs w:val="20"/>
          <w:color w:val="auto"/>
        </w:rPr>
      </w:pPr>
    </w:p>
    <w:p>
      <w:pPr>
        <w:ind w:firstLine="475"/>
        <w:spacing w:after="0" w:line="276" w:lineRule="auto"/>
        <w:rPr>
          <w:sz w:val="20"/>
          <w:szCs w:val="20"/>
          <w:color w:val="auto"/>
        </w:rPr>
      </w:pPr>
      <w:r>
        <w:rPr>
          <w:rFonts w:ascii="Arial" w:cs="Arial" w:eastAsia="Arial" w:hAnsi="Arial"/>
          <w:sz w:val="17"/>
          <w:szCs w:val="17"/>
          <w:b w:val="1"/>
          <w:bCs w:val="1"/>
          <w:color w:val="231F20"/>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has become very intense. As a result, increasingly high barriers are being erected to the entry of new products. The continuing efforts of the government, insurance companies, managed care organizations and other payors of health care services to contain or reduce costs of health care may adversely affect:</w:t>
      </w:r>
    </w:p>
    <w:p>
      <w:pPr>
        <w:spacing w:after="0" w:line="97"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the demand for any products for which we may obtain regulatory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0"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our ability to set a price that we believe is fair for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2"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our ability to obtain and maintain coverage and adequate reimbursement for a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5" w:lineRule="exact"/>
        <w:rPr>
          <w:sz w:val="20"/>
          <w:szCs w:val="20"/>
          <w:color w:val="auto"/>
        </w:rPr>
      </w:pPr>
    </w:p>
    <w:p>
      <w:pPr>
        <w:ind w:left="960" w:right="3860"/>
        <w:spacing w:after="0" w:line="366" w:lineRule="auto"/>
        <w:rPr>
          <w:sz w:val="20"/>
          <w:szCs w:val="20"/>
          <w:color w:val="auto"/>
        </w:rPr>
      </w:pPr>
      <w:r>
        <w:rPr>
          <w:rFonts w:ascii="Arial" w:cs="Arial" w:eastAsia="Arial" w:hAnsi="Arial"/>
          <w:sz w:val="19"/>
          <w:szCs w:val="19"/>
          <w:b w:val="1"/>
          <w:bCs w:val="1"/>
          <w:color w:val="231F20"/>
        </w:rPr>
        <w:t>our ability to generate revenue and achieve or maintain profitability; and the level of taxes that we are required to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-389255</wp:posOffset>
            </wp:positionV>
            <wp:extent cx="62230" cy="635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2230" cy="63500"/>
                    </a:xfrm>
                    <a:prstGeom prst="rect">
                      <a:avLst/>
                    </a:prstGeom>
                    <a:noFill/>
                  </pic:spPr>
                </pic:pic>
              </a:graphicData>
            </a:graphic>
          </wp:anchor>
        </w:drawing>
        <w:drawing>
          <wp:anchor simplePos="0" relativeHeight="251657728" behindDoc="1" locked="0" layoutInCell="0" allowOverlap="1">
            <wp:simplePos x="0" y="0"/>
            <wp:positionH relativeFrom="column">
              <wp:posOffset>300355</wp:posOffset>
            </wp:positionH>
            <wp:positionV relativeFrom="paragraph">
              <wp:posOffset>-174625</wp:posOffset>
            </wp:positionV>
            <wp:extent cx="62230" cy="635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231F20"/>
        </w:rPr>
        <w:t>The FDA and other regulatory agencies actively enforce the laws and regulations prohibiting the promotion of off-label uses.</w:t>
      </w:r>
    </w:p>
    <w:p>
      <w:pPr>
        <w:spacing w:after="0" w:line="143" w:lineRule="exact"/>
        <w:rPr>
          <w:sz w:val="20"/>
          <w:szCs w:val="20"/>
          <w:color w:val="auto"/>
        </w:rPr>
      </w:pPr>
    </w:p>
    <w:p>
      <w:pPr>
        <w:ind w:right="80" w:firstLine="475"/>
        <w:spacing w:after="0" w:line="222" w:lineRule="exact"/>
        <w:rPr>
          <w:sz w:val="20"/>
          <w:szCs w:val="20"/>
          <w:color w:val="auto"/>
        </w:rPr>
      </w:pPr>
      <w:r>
        <w:rPr>
          <w:rFonts w:ascii="Arial" w:cs="Arial" w:eastAsia="Arial" w:hAnsi="Arial"/>
          <w:sz w:val="18"/>
          <w:szCs w:val="18"/>
          <w:b w:val="1"/>
          <w:bCs w:val="1"/>
          <w:color w:val="231F20"/>
        </w:rPr>
        <w:t>The FDA strictly regulates manufacturers</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 promotional claims of drug products. In particular, a product may not be promoted for uses that are not approved by the FDA as reflected in the FDA-approved labeling. The FDA, the Department of Justice, the Inspector General of the Department of Health and Human Services, or HHS, among other government agencies, actively enforce the laws and regulations prohibiting the promotion of off-label uses, and a company that is found to have improperly promoted off-label uses may be subject to significant liability, including large civil and criminal fines, penalties and enforcement actions. The FDA has also imposed consent decrees or permanent injunctions under which specified promotional conduct is changed or curtailed for companies that engaged in such prohibited activities. If we cannot successfully manage the promotion of our approved product candidates, we could become subject to significant liability, which would materially adversely affect our business and financial condition.</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Risks Related to Government Regulation</w:t>
      </w:r>
    </w:p>
    <w:p>
      <w:pPr>
        <w:spacing w:after="0" w:line="125" w:lineRule="exact"/>
        <w:rPr>
          <w:sz w:val="20"/>
          <w:szCs w:val="20"/>
          <w:color w:val="auto"/>
        </w:rPr>
      </w:pPr>
    </w:p>
    <w:p>
      <w:pPr>
        <w:ind w:right="240"/>
        <w:spacing w:after="0" w:line="329" w:lineRule="auto"/>
        <w:rPr>
          <w:sz w:val="20"/>
          <w:szCs w:val="20"/>
          <w:color w:val="auto"/>
        </w:rPr>
      </w:pPr>
      <w:r>
        <w:rPr>
          <w:rFonts w:ascii="Arial" w:cs="Arial" w:eastAsia="Arial" w:hAnsi="Arial"/>
          <w:sz w:val="16"/>
          <w:szCs w:val="16"/>
          <w:b w:val="1"/>
          <w:bCs w:val="1"/>
          <w:color w:val="231F20"/>
        </w:rPr>
        <w:t>Even if we receive regulatory approval to commercialize any of our product candidates, we will be subject to ongoing regulatory obligations and continued regulatory review with respect to our drugs, which will result in significant additional expense.</w:t>
      </w:r>
    </w:p>
    <w:p>
      <w:pPr>
        <w:spacing w:after="0" w:line="60" w:lineRule="exact"/>
        <w:rPr>
          <w:sz w:val="20"/>
          <w:szCs w:val="20"/>
          <w:color w:val="auto"/>
        </w:rPr>
      </w:pPr>
    </w:p>
    <w:p>
      <w:pPr>
        <w:ind w:right="20" w:firstLine="475"/>
        <w:spacing w:after="0" w:line="295" w:lineRule="auto"/>
        <w:rPr>
          <w:sz w:val="20"/>
          <w:szCs w:val="20"/>
          <w:color w:val="auto"/>
        </w:rPr>
      </w:pPr>
      <w:r>
        <w:rPr>
          <w:rFonts w:ascii="Arial" w:cs="Arial" w:eastAsia="Arial" w:hAnsi="Arial"/>
          <w:sz w:val="16"/>
          <w:szCs w:val="16"/>
          <w:b w:val="1"/>
          <w:bCs w:val="1"/>
          <w:color w:val="231F20"/>
        </w:rPr>
        <w:t>Any regulatory approvals that we receive for our product candidates may be subject to limitations on the approved indicated uses for which the product may be marketed, or subject to certain conditions of approval and may contain requirements for potentially costly post-approval trials and surveillance to monitor the safety, purity and efficacy/potency of the marketed product. For any approved drug, we will be subject to ongoing regulatory obligations and extensive oversight by regulatory authorities, including with respect to manufacturing processes, labeling, packaging, distribution, adverse event reporting, storage, advertising, promotion and recordkeeping for the product. These requirements include submissions of safety and other post-approval information and reports, as well as continued compliance with cGMPs and cGCPs for any clinical trials that we conduct post-approval. Later discovery of previously unknown problems with a drug, including adverse events of unanticipated severity or frequency, or with third-party manufacturers or manufacturing processes, or failure to comply with regulatory requirements, may result in, among other things:</w:t>
      </w:r>
    </w:p>
    <w:p>
      <w:pPr>
        <w:spacing w:after="0" w:line="83"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restrictions on the marketing or manufacturing of the drug;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0"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withdrawal of the drug from the market or voluntary or mandatory product recalls;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2"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adverse publicity, fines, warning letters or holds on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5" w:lineRule="exact"/>
        <w:rPr>
          <w:sz w:val="20"/>
          <w:szCs w:val="20"/>
          <w:color w:val="auto"/>
        </w:rPr>
      </w:pPr>
    </w:p>
    <w:p>
      <w:pPr>
        <w:ind w:left="960" w:right="620"/>
        <w:spacing w:after="0" w:line="295" w:lineRule="auto"/>
        <w:rPr>
          <w:sz w:val="20"/>
          <w:szCs w:val="20"/>
          <w:color w:val="auto"/>
        </w:rPr>
      </w:pPr>
      <w:r>
        <w:rPr>
          <w:rFonts w:ascii="Arial" w:cs="Arial" w:eastAsia="Arial" w:hAnsi="Arial"/>
          <w:sz w:val="17"/>
          <w:szCs w:val="17"/>
          <w:b w:val="1"/>
          <w:bCs w:val="1"/>
          <w:color w:val="231F20"/>
        </w:rPr>
        <w:t>refusal by the FDA or any other applicable regulatory authority to approve pending applications or supplements to approved applications filed by us, or suspension or revocation of product license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-271145</wp:posOffset>
            </wp:positionV>
            <wp:extent cx="62230" cy="635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63" w:lineRule="exact"/>
        <w:rPr>
          <w:sz w:val="20"/>
          <w:szCs w:val="20"/>
          <w:color w:val="auto"/>
        </w:rPr>
      </w:pPr>
    </w:p>
    <w:p>
      <w:pPr>
        <w:ind w:left="960" w:right="1620"/>
        <w:spacing w:after="0" w:line="365" w:lineRule="auto"/>
        <w:rPr>
          <w:sz w:val="20"/>
          <w:szCs w:val="20"/>
          <w:color w:val="auto"/>
        </w:rPr>
      </w:pPr>
      <w:r>
        <w:rPr>
          <w:rFonts w:ascii="Arial" w:cs="Arial" w:eastAsia="Arial" w:hAnsi="Arial"/>
          <w:sz w:val="19"/>
          <w:szCs w:val="19"/>
          <w:b w:val="1"/>
          <w:bCs w:val="1"/>
          <w:color w:val="231F20"/>
        </w:rPr>
        <w:t>drug product seizure or detention, or refusal to permit the import or export of product candidates; and injunctions or the imposition of civil or criminal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-389890</wp:posOffset>
            </wp:positionV>
            <wp:extent cx="62230" cy="635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2230" cy="63500"/>
                    </a:xfrm>
                    <a:prstGeom prst="rect">
                      <a:avLst/>
                    </a:prstGeom>
                    <a:noFill/>
                  </pic:spPr>
                </pic:pic>
              </a:graphicData>
            </a:graphic>
          </wp:anchor>
        </w:drawing>
        <w:drawing>
          <wp:anchor simplePos="0" relativeHeight="251657728" behindDoc="1" locked="0" layoutInCell="0" allowOverlap="1">
            <wp:simplePos x="0" y="0"/>
            <wp:positionH relativeFrom="column">
              <wp:posOffset>300355</wp:posOffset>
            </wp:positionH>
            <wp:positionV relativeFrom="paragraph">
              <wp:posOffset>-173355</wp:posOffset>
            </wp:positionV>
            <wp:extent cx="62230" cy="635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ectPr>
          <w:pgSz w:w="12240" w:h="15840" w:orient="portrait"/>
          <w:cols w:equalWidth="0" w:num="1">
            <w:col w:w="10440"/>
          </w:cols>
          <w:pgMar w:left="880" w:top="1165" w:right="920" w:bottom="390" w:gutter="0" w:footer="0" w:header="0"/>
        </w:sect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231F20"/>
        </w:rPr>
        <w:t>44</w:t>
      </w:r>
    </w:p>
    <w:p>
      <w:pPr>
        <w:sectPr>
          <w:pgSz w:w="12240" w:h="15840" w:orient="portrait"/>
          <w:cols w:equalWidth="0" w:num="1">
            <w:col w:w="10440"/>
          </w:cols>
          <w:pgMar w:left="880" w:top="1165" w:right="920" w:bottom="390" w:gutter="0" w:footer="0" w:header="0"/>
          <w:type w:val="continuous"/>
        </w:sectPr>
      </w:pPr>
    </w:p>
    <w:bookmarkStart w:id="52" w:name="page53"/>
    <w:bookmarkEnd w:id="52"/>
    <w:p>
      <w:pPr>
        <w:ind w:right="40" w:firstLine="475"/>
        <w:spacing w:after="0" w:line="222" w:lineRule="exact"/>
        <w:rPr>
          <w:sz w:val="20"/>
          <w:szCs w:val="20"/>
          <w:color w:val="auto"/>
        </w:rPr>
      </w:pPr>
      <w:r>
        <w:rPr>
          <w:rFonts w:ascii="Arial" w:cs="Arial" w:eastAsia="Arial" w:hAnsi="Arial"/>
          <w:sz w:val="16"/>
          <w:szCs w:val="16"/>
          <w:b w:val="1"/>
          <w:bCs w:val="1"/>
          <w:color w:val="231F20"/>
        </w:rPr>
        <w:t>The occurrence of any of the foregoing could have a material and adverse effect on our business and results of operations. Further, the policies of the FDA or other comparable foreign regulatory authorities may change, and additional government regulations may be enacted that could prevent, limit or delay regulatory approval of our product candidates or impact any already approved drugs. In June 2024, the U.S. Supreme Court overruled the Chevron doctrine, which gives deference to regulatory agencies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including FDA</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s statutory interpretations of market exclusivities and the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substantial evidence</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requirements for drug approvals, which could undermine the FDA</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authority, lead to uncertainties in the industry, and disrupt the FDA</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normal operations, any of which could delay the FDA</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review of our regulatory submissions. Further, changes in the leadership of the FDA and other federal agencies under the current U.S. presidential administration may lead to new policies and changes in the regulations that can increase our compliance costs or delay our clinical development and timelines.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generate revenue or achieve or sustain profitability.</w:t>
      </w:r>
    </w:p>
    <w:p>
      <w:pPr>
        <w:spacing w:after="0" w:line="134" w:lineRule="exact"/>
        <w:rPr>
          <w:sz w:val="20"/>
          <w:szCs w:val="20"/>
          <w:color w:val="auto"/>
        </w:rPr>
      </w:pPr>
    </w:p>
    <w:p>
      <w:pPr>
        <w:ind w:right="40"/>
        <w:spacing w:after="0" w:line="243" w:lineRule="auto"/>
        <w:rPr>
          <w:sz w:val="20"/>
          <w:szCs w:val="20"/>
          <w:color w:val="auto"/>
        </w:rPr>
      </w:pPr>
      <w:r>
        <w:rPr>
          <w:rFonts w:ascii="Arial" w:cs="Arial" w:eastAsia="Arial" w:hAnsi="Arial"/>
          <w:sz w:val="19"/>
          <w:szCs w:val="19"/>
          <w:b w:val="1"/>
          <w:bCs w:val="1"/>
          <w:color w:val="231F20"/>
        </w:rPr>
        <w:t>The regulatory approval processes of the FDA and comparable foreign regulatory authorities are lengthy, time-consuming and inherently unpredictable, which could lead to our inability to generate product revenue. Even if we obtain FDA approval of any of our product candidates, we may never obtain approval or commercialize such products outside of the United States, which would limit our ability to realize their full market potential.</w:t>
      </w:r>
    </w:p>
    <w:p>
      <w:pPr>
        <w:spacing w:after="0" w:line="125" w:lineRule="exact"/>
        <w:rPr>
          <w:sz w:val="20"/>
          <w:szCs w:val="20"/>
          <w:color w:val="auto"/>
        </w:rPr>
      </w:pPr>
    </w:p>
    <w:p>
      <w:pPr>
        <w:ind w:firstLine="475"/>
        <w:spacing w:after="0" w:line="222" w:lineRule="exact"/>
        <w:rPr>
          <w:sz w:val="20"/>
          <w:szCs w:val="20"/>
          <w:color w:val="auto"/>
        </w:rPr>
      </w:pPr>
      <w:r>
        <w:rPr>
          <w:rFonts w:ascii="Arial" w:cs="Arial" w:eastAsia="Arial" w:hAnsi="Arial"/>
          <w:sz w:val="16"/>
          <w:szCs w:val="16"/>
          <w:b w:val="1"/>
          <w:bCs w:val="1"/>
          <w:color w:val="231F20"/>
        </w:rPr>
        <w:t>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 candidates in those countries. In addition, approval policies, regulations or the type and amount of clinical data necessary to gain approval may change during the course of a product candidate</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clinical development and may vary among jurisdictions, which may cause delays in the approval or the decision not to approve an application. For example, the FDA</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Oncology Center of Excellence initiated Project Optimus to reform the dose optimization and dose selection paradigm in oncology drug development and Project FrontRunner to help develop and implement strategies to support approvals in the early clinical setting, among other goals. How the FDA plans to implement these goals and their impact on specific clinical programs and the industry are unclear. Regulatory authorities have substantial discretion in the approval process and may refuse to accept any application or may decide that our data are insufficient for approval and require additional preclinical, clinical or other data. Satisfying these and other regulatory requirements is costly, time consuming, uncertain and subject to unanticipated delays. Our failure to obtain regulatory approval in any country may delay or have negative effects on the process for regulatory approval in other countries. Even if we eventually complete clinical testing and receive approval of any regulatory filing for our product candidates, the FDA and comparable foreign regulatory authorities may approve our product candidates for a more limited indication or a narrower patient population than we originally requested. We have not submitted for or obtained regulatory approval for any product candidate and it is possible that we may never obtain regulatory approval for evorpacept, or any other product candidates we seek to develop in the future. If we fail to comply with regulatory requirements in international markets or to obtain and maintain required approvals, our target market will be reduced and our ability to realize the full market potential of our product candidates will be harmed.</w:t>
      </w:r>
    </w:p>
    <w:p>
      <w:pPr>
        <w:spacing w:after="0" w:line="140" w:lineRule="exact"/>
        <w:rPr>
          <w:sz w:val="20"/>
          <w:szCs w:val="20"/>
          <w:color w:val="auto"/>
        </w:rPr>
      </w:pPr>
    </w:p>
    <w:p>
      <w:pPr>
        <w:ind w:right="100" w:firstLine="475"/>
        <w:spacing w:after="0" w:line="239" w:lineRule="auto"/>
        <w:rPr>
          <w:sz w:val="20"/>
          <w:szCs w:val="20"/>
          <w:color w:val="auto"/>
        </w:rPr>
      </w:pPr>
      <w:r>
        <w:rPr>
          <w:rFonts w:ascii="Arial" w:cs="Arial" w:eastAsia="Arial" w:hAnsi="Arial"/>
          <w:sz w:val="19"/>
          <w:szCs w:val="19"/>
          <w:b w:val="1"/>
          <w:bCs w:val="1"/>
          <w:color w:val="231F20"/>
        </w:rPr>
        <w:t>Applications for our product candidates could fail to receive regulatory approval for many reasons, including but not limited to the following:</w:t>
      </w:r>
    </w:p>
    <w:p>
      <w:pPr>
        <w:spacing w:after="0" w:line="127" w:lineRule="exact"/>
        <w:rPr>
          <w:sz w:val="20"/>
          <w:szCs w:val="20"/>
          <w:color w:val="auto"/>
        </w:rPr>
      </w:pPr>
    </w:p>
    <w:p>
      <w:pPr>
        <w:ind w:left="960"/>
        <w:spacing w:after="0" w:line="239" w:lineRule="auto"/>
        <w:rPr>
          <w:sz w:val="20"/>
          <w:szCs w:val="20"/>
          <w:color w:val="auto"/>
        </w:rPr>
      </w:pPr>
      <w:r>
        <w:rPr>
          <w:rFonts w:ascii="Arial" w:cs="Arial" w:eastAsia="Arial" w:hAnsi="Arial"/>
          <w:sz w:val="19"/>
          <w:szCs w:val="19"/>
          <w:b w:val="1"/>
          <w:bCs w:val="1"/>
          <w:color w:val="231F20"/>
        </w:rPr>
        <w:t>the FDA or comparable international regulatory authorities may disagree with the design, implementation or results of our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-242570</wp:posOffset>
            </wp:positionV>
            <wp:extent cx="62230" cy="635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9" w:lineRule="exact"/>
        <w:rPr>
          <w:sz w:val="20"/>
          <w:szCs w:val="20"/>
          <w:color w:val="auto"/>
        </w:rPr>
      </w:pPr>
    </w:p>
    <w:p>
      <w:pPr>
        <w:ind w:left="960" w:right="140"/>
        <w:spacing w:after="0" w:line="262" w:lineRule="auto"/>
        <w:rPr>
          <w:sz w:val="20"/>
          <w:szCs w:val="20"/>
          <w:color w:val="auto"/>
        </w:rPr>
      </w:pPr>
      <w:r>
        <w:rPr>
          <w:rFonts w:ascii="Arial" w:cs="Arial" w:eastAsia="Arial" w:hAnsi="Arial"/>
          <w:sz w:val="18"/>
          <w:szCs w:val="18"/>
          <w:b w:val="1"/>
          <w:bCs w:val="1"/>
          <w:color w:val="231F20"/>
        </w:rPr>
        <w:t>the FDA or comparable international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-398145</wp:posOffset>
            </wp:positionV>
            <wp:extent cx="62230" cy="635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87" w:lineRule="exact"/>
        <w:rPr>
          <w:sz w:val="20"/>
          <w:szCs w:val="20"/>
          <w:color w:val="auto"/>
        </w:rPr>
      </w:pPr>
    </w:p>
    <w:p>
      <w:pPr>
        <w:ind w:left="960" w:right="540"/>
        <w:spacing w:after="0" w:line="239" w:lineRule="auto"/>
        <w:rPr>
          <w:sz w:val="20"/>
          <w:szCs w:val="20"/>
          <w:color w:val="auto"/>
        </w:rPr>
      </w:pPr>
      <w:r>
        <w:rPr>
          <w:rFonts w:ascii="Arial" w:cs="Arial" w:eastAsia="Arial" w:hAnsi="Arial"/>
          <w:sz w:val="19"/>
          <w:szCs w:val="19"/>
          <w:b w:val="1"/>
          <w:bCs w:val="1"/>
          <w:color w:val="231F20"/>
        </w:rPr>
        <w:t>the population studied in the clinical program may not be sufficiently broad or representative to assure efficacy and potency and safety in the full population for which we seek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-242570</wp:posOffset>
            </wp:positionV>
            <wp:extent cx="62230" cy="635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9" w:lineRule="exact"/>
        <w:rPr>
          <w:sz w:val="20"/>
          <w:szCs w:val="20"/>
          <w:color w:val="auto"/>
        </w:rPr>
      </w:pPr>
    </w:p>
    <w:p>
      <w:pPr>
        <w:ind w:left="960" w:right="160"/>
        <w:spacing w:after="0" w:line="239" w:lineRule="auto"/>
        <w:rPr>
          <w:sz w:val="20"/>
          <w:szCs w:val="20"/>
          <w:color w:val="auto"/>
        </w:rPr>
      </w:pPr>
      <w:r>
        <w:rPr>
          <w:rFonts w:ascii="Arial" w:cs="Arial" w:eastAsia="Arial" w:hAnsi="Arial"/>
          <w:sz w:val="19"/>
          <w:szCs w:val="19"/>
          <w:b w:val="1"/>
          <w:bCs w:val="1"/>
          <w:color w:val="231F20"/>
        </w:rPr>
        <w:t>the FDA or comparable international regulatory authorities may disagree with our interpretation of data from preclinical studies or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-243840</wp:posOffset>
            </wp:positionV>
            <wp:extent cx="62230" cy="635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6" w:lineRule="exact"/>
        <w:rPr>
          <w:sz w:val="20"/>
          <w:szCs w:val="20"/>
          <w:color w:val="auto"/>
        </w:rPr>
      </w:pPr>
    </w:p>
    <w:p>
      <w:pPr>
        <w:ind w:left="960" w:right="100"/>
        <w:spacing w:after="0" w:line="242" w:lineRule="auto"/>
        <w:rPr>
          <w:sz w:val="20"/>
          <w:szCs w:val="20"/>
          <w:color w:val="auto"/>
        </w:rPr>
      </w:pPr>
      <w:r>
        <w:rPr>
          <w:rFonts w:ascii="Arial" w:cs="Arial" w:eastAsia="Arial" w:hAnsi="Arial"/>
          <w:sz w:val="19"/>
          <w:szCs w:val="19"/>
          <w:b w:val="1"/>
          <w:bCs w:val="1"/>
          <w:color w:val="231F20"/>
        </w:rPr>
        <w:t>the data collected from clinical trials of our product candidates may not be sufficient to support the submission of a Biologics License Application, New Drug Application or other submission or to obtain regulatory approval in the United States or elsewhere;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-387350</wp:posOffset>
            </wp:positionV>
            <wp:extent cx="62230" cy="635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ectPr>
          <w:pgSz w:w="12240" w:h="15840" w:orient="portrait"/>
          <w:cols w:equalWidth="0" w:num="1">
            <w:col w:w="10440"/>
          </w:cols>
          <w:pgMar w:left="880" w:top="1165" w:right="92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231F20"/>
        </w:rPr>
        <w:t>45</w:t>
      </w:r>
    </w:p>
    <w:p>
      <w:pPr>
        <w:sectPr>
          <w:pgSz w:w="12240" w:h="15840" w:orient="portrait"/>
          <w:cols w:equalWidth="0" w:num="1">
            <w:col w:w="10440"/>
          </w:cols>
          <w:pgMar w:left="880" w:top="1165" w:right="920" w:bottom="390" w:gutter="0" w:footer="0" w:header="0"/>
          <w:type w:val="continuous"/>
        </w:sectPr>
      </w:pPr>
    </w:p>
    <w:bookmarkStart w:id="53" w:name="page54"/>
    <w:bookmarkEnd w:id="53"/>
    <w:p>
      <w:pPr>
        <w:ind w:left="960" w:right="40"/>
        <w:spacing w:after="0" w:line="218" w:lineRule="exact"/>
        <w:rPr>
          <w:sz w:val="20"/>
          <w:szCs w:val="20"/>
          <w:color w:val="auto"/>
        </w:rPr>
      </w:pPr>
      <w:r>
        <w:rPr>
          <w:rFonts w:ascii="Arial" w:cs="Arial" w:eastAsia="Arial" w:hAnsi="Arial"/>
          <w:sz w:val="19"/>
          <w:szCs w:val="19"/>
          <w:b w:val="1"/>
          <w:bCs w:val="1"/>
          <w:color w:val="231F20"/>
        </w:rPr>
        <w:t>we may be unable to demonstrate to the FDA or comparable international regulatory authorities that a product candidate</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risk-benefit ratio for its proposed indication is acceptable;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-242570</wp:posOffset>
            </wp:positionV>
            <wp:extent cx="62230" cy="635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8" w:lineRule="exact"/>
        <w:rPr>
          <w:sz w:val="20"/>
          <w:szCs w:val="20"/>
          <w:color w:val="auto"/>
        </w:rPr>
      </w:pPr>
    </w:p>
    <w:p>
      <w:pPr>
        <w:ind w:left="960"/>
        <w:spacing w:after="0" w:line="242" w:lineRule="auto"/>
        <w:rPr>
          <w:sz w:val="20"/>
          <w:szCs w:val="20"/>
          <w:color w:val="auto"/>
        </w:rPr>
      </w:pPr>
      <w:r>
        <w:rPr>
          <w:rFonts w:ascii="Arial" w:cs="Arial" w:eastAsia="Arial" w:hAnsi="Arial"/>
          <w:sz w:val="19"/>
          <w:szCs w:val="19"/>
          <w:b w:val="1"/>
          <w:bCs w:val="1"/>
          <w:color w:val="231F20"/>
        </w:rPr>
        <w:t>the FDA or comparable international regulatory authorities may fail to approve the manufacturing processes, test procedures and specifications or facilities of third-party manufacturers with which we contract for clinical and commercial supplies;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-387350</wp:posOffset>
            </wp:positionV>
            <wp:extent cx="62230" cy="635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4" w:lineRule="exact"/>
        <w:rPr>
          <w:sz w:val="20"/>
          <w:szCs w:val="20"/>
          <w:color w:val="auto"/>
        </w:rPr>
      </w:pPr>
    </w:p>
    <w:p>
      <w:pPr>
        <w:ind w:left="960" w:right="100"/>
        <w:spacing w:after="0" w:line="239" w:lineRule="auto"/>
        <w:rPr>
          <w:sz w:val="20"/>
          <w:szCs w:val="20"/>
          <w:color w:val="auto"/>
        </w:rPr>
      </w:pPr>
      <w:r>
        <w:rPr>
          <w:rFonts w:ascii="Arial" w:cs="Arial" w:eastAsia="Arial" w:hAnsi="Arial"/>
          <w:sz w:val="19"/>
          <w:szCs w:val="19"/>
          <w:b w:val="1"/>
          <w:bCs w:val="1"/>
          <w:color w:val="231F20"/>
        </w:rPr>
        <w:t>the approval policies or regulations of the FDA or international foreign regulatory authorities may significantly change in a manner rendering our clinical data insufficient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-242570</wp:posOffset>
            </wp:positionV>
            <wp:extent cx="62230" cy="635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9" w:lineRule="exact"/>
        <w:rPr>
          <w:sz w:val="20"/>
          <w:szCs w:val="20"/>
          <w:color w:val="auto"/>
        </w:rPr>
      </w:pPr>
    </w:p>
    <w:p>
      <w:pPr>
        <w:ind w:right="280" w:firstLine="475"/>
        <w:spacing w:after="0" w:line="280" w:lineRule="auto"/>
        <w:rPr>
          <w:sz w:val="20"/>
          <w:szCs w:val="20"/>
          <w:color w:val="auto"/>
        </w:rPr>
      </w:pPr>
      <w:r>
        <w:rPr>
          <w:rFonts w:ascii="Arial" w:cs="Arial" w:eastAsia="Arial" w:hAnsi="Arial"/>
          <w:sz w:val="17"/>
          <w:szCs w:val="17"/>
          <w:b w:val="1"/>
          <w:bCs w:val="1"/>
          <w:color w:val="231F20"/>
        </w:rPr>
        <w:t>In order to market any product candidates outside of the United States, we must establish and comply with numerous and varying regulatory requirements of other countries regarding safety and efficacy and potency and approval standards. Clinical trials conducted in one country may not be accepted by regulatory authorities in other countries, and regulatory approval in one country does not mean that regulatory approval will be obtained in any other country.</w:t>
      </w:r>
    </w:p>
    <w:p>
      <w:pPr>
        <w:spacing w:after="0" w:line="96" w:lineRule="exact"/>
        <w:rPr>
          <w:sz w:val="20"/>
          <w:szCs w:val="20"/>
          <w:color w:val="auto"/>
        </w:rPr>
      </w:pPr>
    </w:p>
    <w:p>
      <w:pPr>
        <w:ind w:firstLine="475"/>
        <w:spacing w:after="0" w:line="277" w:lineRule="auto"/>
        <w:rPr>
          <w:sz w:val="20"/>
          <w:szCs w:val="20"/>
          <w:color w:val="auto"/>
        </w:rPr>
      </w:pPr>
      <w:r>
        <w:rPr>
          <w:rFonts w:ascii="Arial" w:cs="Arial" w:eastAsia="Arial" w:hAnsi="Arial"/>
          <w:sz w:val="17"/>
          <w:szCs w:val="17"/>
          <w:b w:val="1"/>
          <w:bCs w:val="1"/>
          <w:color w:val="231F20"/>
        </w:rPr>
        <w:t>The ability of the FDA to review and approve new products can be affected by a variety of factors, including government budget and funding levels, ability to hire and retain key personnel and accept the payment of user fees, government shutdowns, return-to-office policy and other policies and executive actions under the current U.S. presidential administration, including as a result of budget delays or other circumstances like the COVID-19 pandemic, and statutory, regulatory and policy changes. Average review times at the agency have fluctuated in recent years as a result. 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98" w:lineRule="exact"/>
        <w:rPr>
          <w:sz w:val="20"/>
          <w:szCs w:val="20"/>
          <w:color w:val="auto"/>
        </w:rPr>
      </w:pPr>
    </w:p>
    <w:p>
      <w:pPr>
        <w:ind w:right="160"/>
        <w:spacing w:after="0" w:line="329" w:lineRule="auto"/>
        <w:rPr>
          <w:sz w:val="20"/>
          <w:szCs w:val="20"/>
          <w:color w:val="auto"/>
        </w:rPr>
      </w:pPr>
      <w:r>
        <w:rPr>
          <w:rFonts w:ascii="Arial" w:cs="Arial" w:eastAsia="Arial" w:hAnsi="Arial"/>
          <w:sz w:val="16"/>
          <w:szCs w:val="16"/>
          <w:b w:val="1"/>
          <w:bCs w:val="1"/>
          <w:color w:val="231F20"/>
        </w:rPr>
        <w:t>While we have received certain FDA Fast Track designations, such Fast Track designations may not lead to a faster development or regulatory review or approval process, and do not increase the likelihood that the drug will receive marketing approval.</w:t>
      </w:r>
    </w:p>
    <w:p>
      <w:pPr>
        <w:spacing w:after="0" w:line="57" w:lineRule="exact"/>
        <w:rPr>
          <w:sz w:val="20"/>
          <w:szCs w:val="20"/>
          <w:color w:val="auto"/>
        </w:rPr>
      </w:pPr>
    </w:p>
    <w:p>
      <w:pPr>
        <w:ind w:firstLine="475"/>
        <w:spacing w:after="0" w:line="222" w:lineRule="exact"/>
        <w:rPr>
          <w:sz w:val="20"/>
          <w:szCs w:val="20"/>
          <w:color w:val="auto"/>
        </w:rPr>
      </w:pPr>
      <w:r>
        <w:rPr>
          <w:rFonts w:ascii="Arial" w:cs="Arial" w:eastAsia="Arial" w:hAnsi="Arial"/>
          <w:sz w:val="17"/>
          <w:szCs w:val="17"/>
          <w:b w:val="1"/>
          <w:bCs w:val="1"/>
          <w:color w:val="231F20"/>
        </w:rPr>
        <w:t>The FDA granted Fast Track designation for evorpacept in combination with pembrolizumab, platinum, and fluorouracil for the first-line treatment of adult patients with metastatic or unresectable, recurrent HNSCC in February 2020, for evorpacept in combination with trastuzumab, ramucirumab and paclitaxel for the treatment of patients with HER2-overexpressing advanced gastric or GEJ adenocarcinoma with disease progression on or after prior trastuzumab, and fluoropyrimidine or platinum-containing chemotherapy in January 2020, and for evorpacept in combination with pembrolizumab for first-line treatment of adult patients with metastatic or unresectable, recurrent HNSCC whose tumors express PD-L1 in July 2022. If a product candidate is intended for the treatment of a serious condition and preclinical or clinical data demonstrate the potential to address unmet medical need for such condition, a sponsor may apply for FDA Fast Track designation. Even though we received these Fast Track designations for evorpacept,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priority review procedures.</w:t>
      </w:r>
    </w:p>
    <w:p>
      <w:pPr>
        <w:sectPr>
          <w:pgSz w:w="12240" w:h="15840" w:orient="portrait"/>
          <w:cols w:equalWidth="0" w:num="1">
            <w:col w:w="10480"/>
          </w:cols>
          <w:pgMar w:left="880" w:top="1165" w:right="88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46</w:t>
      </w:r>
    </w:p>
    <w:p>
      <w:pPr>
        <w:sectPr>
          <w:pgSz w:w="12240" w:h="15840" w:orient="portrait"/>
          <w:cols w:equalWidth="0" w:num="1">
            <w:col w:w="10480"/>
          </w:cols>
          <w:pgMar w:left="880" w:top="1165" w:right="880" w:bottom="390" w:gutter="0" w:footer="0" w:header="0"/>
          <w:type w:val="continuous"/>
        </w:sectPr>
      </w:pPr>
    </w:p>
    <w:bookmarkStart w:id="54" w:name="page55"/>
    <w:bookmarkEnd w:id="54"/>
    <w:p>
      <w:pPr>
        <w:ind w:right="220"/>
        <w:spacing w:after="0" w:line="242" w:lineRule="auto"/>
        <w:rPr>
          <w:sz w:val="20"/>
          <w:szCs w:val="20"/>
          <w:color w:val="auto"/>
        </w:rPr>
      </w:pPr>
      <w:r>
        <w:rPr>
          <w:rFonts w:ascii="Arial" w:cs="Arial" w:eastAsia="Arial" w:hAnsi="Arial"/>
          <w:sz w:val="19"/>
          <w:szCs w:val="19"/>
          <w:b w:val="1"/>
          <w:bCs w:val="1"/>
          <w:color w:val="231F20"/>
        </w:rPr>
        <w:t>While we have received certain orphan drug designations from the FDA and the European Commission, we may be unable to maintain the benefits associated with such orphan drug designation. If we decide to seek orphan drug designation for additional indications for our product candidates in the future, we may be unsuccessful.</w:t>
      </w:r>
    </w:p>
    <w:p>
      <w:pPr>
        <w:spacing w:after="0" w:line="126" w:lineRule="exact"/>
        <w:rPr>
          <w:sz w:val="20"/>
          <w:szCs w:val="20"/>
          <w:color w:val="auto"/>
        </w:rPr>
      </w:pPr>
    </w:p>
    <w:p>
      <w:pPr>
        <w:ind w:firstLine="475"/>
        <w:spacing w:after="0" w:line="225" w:lineRule="exact"/>
        <w:rPr>
          <w:sz w:val="20"/>
          <w:szCs w:val="20"/>
          <w:color w:val="auto"/>
        </w:rPr>
      </w:pPr>
      <w:r>
        <w:rPr>
          <w:rFonts w:ascii="Arial" w:cs="Arial" w:eastAsia="Arial" w:hAnsi="Arial"/>
          <w:sz w:val="16"/>
          <w:szCs w:val="16"/>
          <w:b w:val="1"/>
          <w:bCs w:val="1"/>
          <w:color w:val="231F20"/>
        </w:rPr>
        <w:t>Under the Orphan Drug Act, the FDA may designate a product candidate as an orphan drug if it is a drug intended to treat a rare disease or condition, which is generally defined as a patient population of fewer than 200,000 individuals annually in the United States. In January 2022, the FDA</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Office of Orphan Products Development granted Orphan Drug Designation, ODD, to evorpacept for treatment for gastric/GEJ cancer. We may seek ODD for certain additional indications for our product candidates in the future. ODD neither shortens the development time or regulatory review time of a product candidate nor gives the product candidate any advantage in the regulatory review or approval process. Generally, if a product candidate with ODD subsequently receives the first marketing approval for the indication for which it has such designation, the drug is entitled to a period of marketing exclusivity that precludes the FDA from approving another marketing application for the same drug for the same indication for seven years. Therefore, if our competitors are able to obtain orphan product exclusivity for their product candidates in the same indications we are pursuing, we may not be able to have competing product candidates approved in those indications by the FDA for a significant period of time. There are also limited circumstances where the FDA may reduce the seven-year exclusivity for a product candidate with an orphan drug designation where other product candidates show clinical superiority to the product with orphan exclusivity or if the FDA finds that the holder of the orphan exclusivity has not shown that it can assure the availability of sufficient quantities of the orphan product to meet the needs of patients with the disease or condition for which the drug was designated. However, even if one of our product candidates receives orphan exclusivity, the FDA can still approve other drugs that have a different active ingredient for use in treating the same indication or disease. Furthermore, the FDA can waive orphan exclusivity if we are unable to manufacture a sufficient supply of our product. In response to recent litigation, the FDA clarified in a January 2023 notice that the FDA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 Further, in view of the overturn of the Chevron doctrine, this landmark Supreme Court decision may invite various stakeholders to bring lawsuits against the FDA to challenge longstanding decisions and policies, which could lead to uncertainties in the industry. Changes in the leadership of the FDA and other federal agencies under the current U.S. presidential administration may also lead to new policies and changes in the regulations and operations of the FDA, which may impact our clinical development plans.</w:t>
      </w:r>
    </w:p>
    <w:p>
      <w:pPr>
        <w:spacing w:after="0" w:line="308" w:lineRule="exact"/>
        <w:rPr>
          <w:sz w:val="20"/>
          <w:szCs w:val="20"/>
          <w:color w:val="auto"/>
        </w:rPr>
      </w:pPr>
    </w:p>
    <w:p>
      <w:pPr>
        <w:ind w:right="140" w:firstLine="475"/>
        <w:spacing w:after="0" w:line="296" w:lineRule="auto"/>
        <w:rPr>
          <w:sz w:val="20"/>
          <w:szCs w:val="20"/>
          <w:color w:val="auto"/>
        </w:rPr>
      </w:pPr>
      <w:r>
        <w:rPr>
          <w:rFonts w:ascii="Arial" w:cs="Arial" w:eastAsia="Arial" w:hAnsi="Arial"/>
          <w:sz w:val="16"/>
          <w:szCs w:val="16"/>
          <w:b w:val="1"/>
          <w:bCs w:val="1"/>
          <w:color w:val="231F20"/>
        </w:rPr>
        <w:t>In June 2023, the European Commission granted ODD to evorpacept for the treatment of patients with gastric/GEJ cancer. In the European Union approved orphan medicines are granted 10 years of market exclusivity, which can be extended to 12 years if a pediatric investigation plan is completed. The market exclusivity period can be shortened if the approved orphan drug becomes commercially successful. An orphan designation can also be revoked if, for example, the prevalence of the condition increased to more than 5 per 10,000 individuals of the total population, if additional therapies are introduced after the initial designation and have improved the morbidity or mortality of a condition so that it is no longer chronically debilitating and/or life-threatening, or if we are unable to demonstrate significant benefit over existing authorized products. We can provide no assurance that we will be able to maintain all the benefits associated with the designation or that we will be successful in commercializing our product if approved.</w:t>
      </w:r>
    </w:p>
    <w:p>
      <w:pPr>
        <w:spacing w:after="0" w:line="8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231F20"/>
        </w:rPr>
        <w:t>Current and future legislation may increase the difficulty and cost for us to commercialize our products, if approved, and affect the prices we may obtain. We may face difficulties from changes to current regulations and future legislation.</w:t>
      </w:r>
    </w:p>
    <w:p>
      <w:pPr>
        <w:spacing w:after="0" w:line="105" w:lineRule="exact"/>
        <w:rPr>
          <w:sz w:val="20"/>
          <w:szCs w:val="20"/>
          <w:color w:val="auto"/>
        </w:rPr>
      </w:pPr>
    </w:p>
    <w:p>
      <w:pPr>
        <w:ind w:right="60" w:firstLine="475"/>
        <w:spacing w:after="0" w:line="222" w:lineRule="exact"/>
        <w:rPr>
          <w:sz w:val="20"/>
          <w:szCs w:val="20"/>
          <w:color w:val="auto"/>
        </w:rPr>
      </w:pPr>
      <w:r>
        <w:rPr>
          <w:rFonts w:ascii="Arial" w:cs="Arial" w:eastAsia="Arial" w:hAnsi="Arial"/>
          <w:sz w:val="16"/>
          <w:szCs w:val="16"/>
          <w:b w:val="1"/>
          <w:bCs w:val="1"/>
          <w:color w:val="231F20"/>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In June 2024, the U.S. Supreme Court overruled the Chevron doctrine, which may invite more companies and other stakeholders to bring lawsuits against the FDA to challenge longstanding decisions and policies of the FDA and other federal agencies, which could lead to uncertainties in the industry and disrupt the FDA</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normal operations, any of which could delay the FDA</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review of our regulatory submissions. We cannot predict the full impact of this decision, future judicial challenges brought against the FDA, or the nature or extent of government regulation that may arise from future legislation or administrative action.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35" w:lineRule="exact"/>
        <w:rPr>
          <w:sz w:val="20"/>
          <w:szCs w:val="20"/>
          <w:color w:val="auto"/>
        </w:rPr>
      </w:pPr>
    </w:p>
    <w:p>
      <w:pPr>
        <w:ind w:right="20" w:firstLine="475"/>
        <w:spacing w:after="0" w:line="259" w:lineRule="auto"/>
        <w:rPr>
          <w:sz w:val="20"/>
          <w:szCs w:val="20"/>
          <w:color w:val="auto"/>
        </w:rPr>
      </w:pPr>
      <w:r>
        <w:rPr>
          <w:rFonts w:ascii="Arial" w:cs="Arial" w:eastAsia="Arial" w:hAnsi="Arial"/>
          <w:sz w:val="18"/>
          <w:szCs w:val="18"/>
          <w:b w:val="1"/>
          <w:bCs w:val="1"/>
          <w:color w:val="231F20"/>
        </w:rPr>
        <w:t>Third-party payors, whether domestic or foreign, or governmental or commercial, are developing increasingly sophisticated methods of controlling healthcare costs. In both the United States and certain foreign jurisdictions, 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09"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the demand for our drugs, if we obtain regulatory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ectPr>
          <w:pgSz w:w="12240" w:h="15840" w:orient="portrait"/>
          <w:cols w:equalWidth="0" w:num="1">
            <w:col w:w="10460"/>
          </w:cols>
          <w:pgMar w:left="880" w:top="1165" w:right="900" w:bottom="39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231F20"/>
        </w:rPr>
        <w:t>47</w:t>
      </w:r>
    </w:p>
    <w:p>
      <w:pPr>
        <w:sectPr>
          <w:pgSz w:w="12240" w:h="15840" w:orient="portrait"/>
          <w:cols w:equalWidth="0" w:num="1">
            <w:col w:w="10460"/>
          </w:cols>
          <w:pgMar w:left="880" w:top="1165" w:right="900" w:bottom="390" w:gutter="0" w:footer="0" w:header="0"/>
          <w:type w:val="continuous"/>
        </w:sectPr>
      </w:pPr>
    </w:p>
    <w:bookmarkStart w:id="55" w:name="page56"/>
    <w:bookmarkEnd w:id="55"/>
    <w:p>
      <w:pPr>
        <w:ind w:left="960" w:right="4040"/>
        <w:spacing w:after="0" w:line="371" w:lineRule="auto"/>
        <w:rPr>
          <w:sz w:val="20"/>
          <w:szCs w:val="20"/>
          <w:color w:val="auto"/>
        </w:rPr>
      </w:pPr>
      <w:r>
        <w:rPr>
          <w:rFonts w:ascii="Arial" w:cs="Arial" w:eastAsia="Arial" w:hAnsi="Arial"/>
          <w:sz w:val="19"/>
          <w:szCs w:val="19"/>
          <w:b w:val="1"/>
          <w:bCs w:val="1"/>
          <w:color w:val="231F20"/>
        </w:rPr>
        <w:t>our ability to receive or set a price that we believe is fair for our drugs; our ability to generate revenue and achieve or maintain profitability; the level of taxes that we are required to pay; and the availability of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-824230</wp:posOffset>
            </wp:positionV>
            <wp:extent cx="62230" cy="635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2230" cy="63500"/>
                    </a:xfrm>
                    <a:prstGeom prst="rect">
                      <a:avLst/>
                    </a:prstGeom>
                    <a:noFill/>
                  </pic:spPr>
                </pic:pic>
              </a:graphicData>
            </a:graphic>
          </wp:anchor>
        </w:drawing>
        <w:drawing>
          <wp:anchor simplePos="0" relativeHeight="251657728" behindDoc="1" locked="0" layoutInCell="0" allowOverlap="1">
            <wp:simplePos x="0" y="0"/>
            <wp:positionH relativeFrom="column">
              <wp:posOffset>300355</wp:posOffset>
            </wp:positionH>
            <wp:positionV relativeFrom="paragraph">
              <wp:posOffset>-608965</wp:posOffset>
            </wp:positionV>
            <wp:extent cx="62230" cy="635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2230" cy="63500"/>
                    </a:xfrm>
                    <a:prstGeom prst="rect">
                      <a:avLst/>
                    </a:prstGeom>
                    <a:noFill/>
                  </pic:spPr>
                </pic:pic>
              </a:graphicData>
            </a:graphic>
          </wp:anchor>
        </w:drawing>
        <w:drawing>
          <wp:anchor simplePos="0" relativeHeight="251657728" behindDoc="1" locked="0" layoutInCell="0" allowOverlap="1">
            <wp:simplePos x="0" y="0"/>
            <wp:positionH relativeFrom="column">
              <wp:posOffset>300355</wp:posOffset>
            </wp:positionH>
            <wp:positionV relativeFrom="paragraph">
              <wp:posOffset>-392430</wp:posOffset>
            </wp:positionV>
            <wp:extent cx="62230" cy="635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2230" cy="63500"/>
                    </a:xfrm>
                    <a:prstGeom prst="rect">
                      <a:avLst/>
                    </a:prstGeom>
                    <a:noFill/>
                  </pic:spPr>
                </pic:pic>
              </a:graphicData>
            </a:graphic>
          </wp:anchor>
        </w:drawing>
        <w:drawing>
          <wp:anchor simplePos="0" relativeHeight="251657728" behindDoc="1" locked="0" layoutInCell="0" allowOverlap="1">
            <wp:simplePos x="0" y="0"/>
            <wp:positionH relativeFrom="column">
              <wp:posOffset>300355</wp:posOffset>
            </wp:positionH>
            <wp:positionV relativeFrom="paragraph">
              <wp:posOffset>-177800</wp:posOffset>
            </wp:positionV>
            <wp:extent cx="62230" cy="635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ind w:right="40" w:firstLine="475"/>
        <w:spacing w:after="0" w:line="295" w:lineRule="auto"/>
        <w:rPr>
          <w:sz w:val="20"/>
          <w:szCs w:val="20"/>
          <w:color w:val="auto"/>
        </w:rPr>
      </w:pPr>
      <w:r>
        <w:rPr>
          <w:rFonts w:ascii="Arial" w:cs="Arial" w:eastAsia="Arial" w:hAnsi="Arial"/>
          <w:sz w:val="16"/>
          <w:szCs w:val="16"/>
          <w:b w:val="1"/>
          <w:bCs w:val="1"/>
          <w:color w:val="231F20"/>
        </w:rPr>
        <w:t>The Patient Protection and Affordable Care Act, as amended by the Health Care and Education Reconciliation Act, or collectively ACA, was enacted in 2010 and includes measures that have significantly changed the way healthcare is financed by both governmental and private insurers. The ACA continues to impact the U.S. pharmaceutical industry. Since its enactment, there have been judicial, executive and Congressional challenges to certain aspects of the ACA. In June 2021, the United States Supreme Court held that Texas and other challengers had no legal standing to challenge the ACA, dismissing the case without specifically ruling on the constitutionality of the ACA. Accordingly, the ACA remains in effect in its current form. It is possible that the ACA will be subject to judicial or Congressional challenges in the future. It is unclear how additional challenges and healthcare reform measures of the current U.S. presidential administration will impact the ACA. Complying with any new legislation or reversing changes implemented under the ACA could be time-intensive and expensive, resulting in a material adverse effect on our business.</w:t>
      </w:r>
    </w:p>
    <w:p>
      <w:pPr>
        <w:spacing w:after="0" w:line="89" w:lineRule="exact"/>
        <w:rPr>
          <w:sz w:val="20"/>
          <w:szCs w:val="20"/>
          <w:color w:val="auto"/>
        </w:rPr>
      </w:pPr>
    </w:p>
    <w:p>
      <w:pPr>
        <w:ind w:firstLine="475"/>
        <w:spacing w:after="0" w:line="310" w:lineRule="auto"/>
        <w:rPr>
          <w:sz w:val="20"/>
          <w:szCs w:val="20"/>
          <w:color w:val="auto"/>
        </w:rPr>
      </w:pPr>
      <w:r>
        <w:rPr>
          <w:rFonts w:ascii="Arial" w:cs="Arial" w:eastAsia="Arial" w:hAnsi="Arial"/>
          <w:sz w:val="16"/>
          <w:szCs w:val="16"/>
          <w:b w:val="1"/>
          <w:bCs w:val="1"/>
          <w:color w:val="231F20"/>
        </w:rPr>
        <w:t>In addition, other legislative changes have been proposed and adopted since the ACA was enacted. These changes include aggregate reductions to Medicare payments to providers of up to 2% per fiscal year pursuant to the Budget Control Act of 2011, which began in 2013 and will remain in effect through 2032, with the exception of temporary suspension under COVID-19 relief legislation.</w:t>
      </w:r>
    </w:p>
    <w:p>
      <w:pPr>
        <w:spacing w:after="0" w:line="74" w:lineRule="exact"/>
        <w:rPr>
          <w:sz w:val="20"/>
          <w:szCs w:val="20"/>
          <w:color w:val="auto"/>
        </w:rPr>
      </w:pPr>
    </w:p>
    <w:p>
      <w:pPr>
        <w:ind w:right="20" w:firstLine="475"/>
        <w:spacing w:after="0" w:line="223" w:lineRule="exact"/>
        <w:rPr>
          <w:sz w:val="20"/>
          <w:szCs w:val="20"/>
          <w:color w:val="auto"/>
        </w:rPr>
      </w:pPr>
      <w:r>
        <w:rPr>
          <w:rFonts w:ascii="Arial" w:cs="Arial" w:eastAsia="Arial" w:hAnsi="Arial"/>
          <w:sz w:val="16"/>
          <w:szCs w:val="16"/>
          <w:b w:val="1"/>
          <w:bCs w:val="1"/>
          <w:color w:val="231F20"/>
        </w:rPr>
        <w:t xml:space="preserve">There also has recently been heightened governmental scrutiny over the manner in which drug manufacturers set prices for their drugs,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under the American Rescue Plan Act of 2021, effective January 1, 2024, the statutory cap on Medicaid Drug Rebate Programs rebates that manufacturers pay to state Medicaid programs was eliminated. Elimination of this cap may require pharmaceutical manufacturers to pay more in rebates than it receives on the sale of products, which could have material impact on our business. Further, in July 2021, the Biden administration released an executive order,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Promoting Competition in the American Economy,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with multiple provisions aimed at increasing competition for prescription drugs. Congress is considering legislation that, if passed, could have significant impact on prices of prescription drugs covered by Medicare, including limitations on drug price increases.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high-expenditure single-source drugs that have been approved for at least seven years (11 years for single-source biologics) can qualify for negotiation, with the negotiated price taking effect two years after the selection year. For 2026, CMS selected 10 high-cost Medicare Part D drugs in 2023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Part B or Part D drugs will be selected. Various industry stakeholders, including the U.S. Chamber of Commerce, the National Infusion Center Association, the Global Colon Cancer Association, and the Pharmaceutical Research and Manufacturers of America, have initiated lawsuits against the federal government asserting that the price negotiation provisions of the Inflation Reduction Act are unconstitutional. The impact of these judicial challenges as well as future judicial challenges in view of the U.S. Supreme Court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overturn of the Chevron doctrine, and other legislative, executive, and administrative actions and agency rules implemented by the current U.S. presidential administration on us and the pharmaceutical industry as a whole is unclear. The implementation of cost containment measures or other healthcare reforms may prevent us from being able to generate revenue, attain profitability, or commercialize our product candidates if approved.</w:t>
      </w:r>
    </w:p>
    <w:p>
      <w:pPr>
        <w:spacing w:after="0" w:line="135" w:lineRule="exact"/>
        <w:rPr>
          <w:sz w:val="20"/>
          <w:szCs w:val="20"/>
          <w:color w:val="auto"/>
        </w:rPr>
      </w:pPr>
    </w:p>
    <w:p>
      <w:pPr>
        <w:ind w:right="80" w:firstLine="475"/>
        <w:spacing w:after="0" w:line="222" w:lineRule="exact"/>
        <w:rPr>
          <w:sz w:val="20"/>
          <w:szCs w:val="20"/>
          <w:color w:val="auto"/>
        </w:rPr>
      </w:pPr>
      <w:r>
        <w:rPr>
          <w:rFonts w:ascii="Arial" w:cs="Arial" w:eastAsia="Arial" w:hAnsi="Arial"/>
          <w:sz w:val="17"/>
          <w:szCs w:val="17"/>
          <w:b w:val="1"/>
          <w:bCs w:val="1"/>
          <w:color w:val="231F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a number of states are considering or have recently enacted state drug price transparency and reporting laws that could substantially increase our compliance burdens and expose us to greater liability under such state laws once we begin commercialization. FDA has authorized the state of Florida to develop Section 804 Importation Programs to import certain prescription drugs from Canada for a limited period to help reduce drug costs, provided that Florida</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Agency for Health Care Administration meets the requirements set forth by the FDA. Other states may follow Florida.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ectPr>
          <w:pgSz w:w="12240" w:h="15840" w:orient="portrait"/>
          <w:cols w:equalWidth="0" w:num="1">
            <w:col w:w="10480"/>
          </w:cols>
          <w:pgMar w:left="880" w:top="1165" w:right="880" w:bottom="39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48</w:t>
      </w:r>
    </w:p>
    <w:p>
      <w:pPr>
        <w:sectPr>
          <w:pgSz w:w="12240" w:h="15840" w:orient="portrait"/>
          <w:cols w:equalWidth="0" w:num="1">
            <w:col w:w="10480"/>
          </w:cols>
          <w:pgMar w:left="880" w:top="1165" w:right="880" w:bottom="390" w:gutter="0" w:footer="0" w:header="0"/>
          <w:type w:val="continuous"/>
        </w:sectPr>
      </w:pPr>
    </w:p>
    <w:bookmarkStart w:id="56" w:name="page57"/>
    <w:bookmarkEnd w:id="56"/>
    <w:p>
      <w:pPr>
        <w:ind w:right="140" w:firstLine="475"/>
        <w:spacing w:after="0" w:line="260" w:lineRule="auto"/>
        <w:rPr>
          <w:sz w:val="20"/>
          <w:szCs w:val="20"/>
          <w:color w:val="auto"/>
        </w:rPr>
      </w:pPr>
      <w:r>
        <w:rPr>
          <w:rFonts w:ascii="Arial" w:cs="Arial" w:eastAsia="Arial" w:hAnsi="Arial"/>
          <w:sz w:val="18"/>
          <w:szCs w:val="18"/>
          <w:b w:val="1"/>
          <w:bCs w:val="1"/>
          <w:color w:val="231F20"/>
        </w:rPr>
        <w:t>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drug product. Any denial in coverage or reduction in reimbursement from Medicare or other government funded programs may result in a similar denial or reduction in payments from private payors, which may prevent us from being able to generate sufficient revenue, attain profitability or commercialize our product candidates, if approved.</w:t>
      </w:r>
    </w:p>
    <w:p>
      <w:pPr>
        <w:spacing w:after="0" w:line="111" w:lineRule="exact"/>
        <w:rPr>
          <w:sz w:val="20"/>
          <w:szCs w:val="20"/>
          <w:color w:val="auto"/>
        </w:rPr>
      </w:pPr>
    </w:p>
    <w:p>
      <w:pPr>
        <w:ind w:right="80" w:firstLine="475"/>
        <w:spacing w:after="0" w:line="222" w:lineRule="exact"/>
        <w:rPr>
          <w:sz w:val="20"/>
          <w:szCs w:val="20"/>
          <w:color w:val="auto"/>
        </w:rPr>
      </w:pPr>
      <w:r>
        <w:rPr>
          <w:rFonts w:ascii="Arial" w:cs="Arial" w:eastAsia="Arial" w:hAnsi="Arial"/>
          <w:sz w:val="16"/>
          <w:szCs w:val="16"/>
          <w:b w:val="1"/>
          <w:bCs w:val="1"/>
          <w:color w:val="231F20"/>
        </w:rPr>
        <w:t>In the European Union, similar political, economic and regulatory developments may affect our ability to profitably commercialize our current or any future product candidates. In addition to continuing pressure on prices, price controls and cost containment measures, legislative developments at the European Union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products and therapies. Our future product candidates, if any, might not be considered medically reasonable and necessary for a specific indication or cost-effective by third-party payors, an adequate level of reimbursement might not be available for such product candidates and third-party payors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reimbursement policies might adversely affect our ability to sell any future product candidates profitably.</w:t>
      </w:r>
    </w:p>
    <w:p>
      <w:pPr>
        <w:spacing w:after="0" w:line="129" w:lineRule="exact"/>
        <w:rPr>
          <w:sz w:val="20"/>
          <w:szCs w:val="20"/>
          <w:color w:val="auto"/>
        </w:rPr>
      </w:pPr>
    </w:p>
    <w:p>
      <w:pPr>
        <w:ind w:right="40" w:firstLine="475"/>
        <w:spacing w:after="0" w:line="296" w:lineRule="auto"/>
        <w:rPr>
          <w:sz w:val="20"/>
          <w:szCs w:val="20"/>
          <w:color w:val="auto"/>
        </w:rPr>
      </w:pPr>
      <w:r>
        <w:rPr>
          <w:rFonts w:ascii="Arial" w:cs="Arial" w:eastAsia="Arial" w:hAnsi="Arial"/>
          <w:sz w:val="16"/>
          <w:szCs w:val="16"/>
          <w:b w:val="1"/>
          <w:bCs w:val="1"/>
          <w:color w:val="231F20"/>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the commercial launch of the product candidate, possibly for lengthy time periods, and negatively impact the revenue that are generated from the sale of the product in that country. If reimbursement of such product candidates is unavailable or limited in scope or amount, or if pricing is set at unsatisfactory levels, or if there is competition from lower-priced cross-border sales, our profitability will be negatively affected.</w:t>
      </w:r>
    </w:p>
    <w:p>
      <w:pPr>
        <w:spacing w:after="0" w:line="89" w:lineRule="exact"/>
        <w:rPr>
          <w:sz w:val="20"/>
          <w:szCs w:val="20"/>
          <w:color w:val="auto"/>
        </w:rPr>
      </w:pPr>
    </w:p>
    <w:p>
      <w:pPr>
        <w:ind w:firstLine="475"/>
        <w:spacing w:after="0" w:line="243" w:lineRule="auto"/>
        <w:rPr>
          <w:sz w:val="20"/>
          <w:szCs w:val="20"/>
          <w:color w:val="auto"/>
        </w:rPr>
      </w:pPr>
      <w:r>
        <w:rPr>
          <w:rFonts w:ascii="Arial" w:cs="Arial" w:eastAsia="Arial" w:hAnsi="Arial"/>
          <w:sz w:val="19"/>
          <w:szCs w:val="19"/>
          <w:b w:val="1"/>
          <w:bCs w:val="1"/>
          <w:color w:val="231F20"/>
        </w:rPr>
        <w:t>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w:t>
      </w:r>
    </w:p>
    <w:p>
      <w:pPr>
        <w:spacing w:after="0" w:line="12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231F20"/>
        </w:rPr>
        <w:t>Our business operations and current and future relationships with investigators, health care professionals, consultants, third-party payors and customers will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108" w:lineRule="exact"/>
        <w:rPr>
          <w:sz w:val="20"/>
          <w:szCs w:val="20"/>
          <w:color w:val="auto"/>
        </w:rPr>
      </w:pPr>
    </w:p>
    <w:p>
      <w:pPr>
        <w:ind w:firstLine="475"/>
        <w:spacing w:after="0" w:line="294" w:lineRule="auto"/>
        <w:rPr>
          <w:sz w:val="20"/>
          <w:szCs w:val="20"/>
          <w:color w:val="auto"/>
        </w:rPr>
      </w:pPr>
      <w:r>
        <w:rPr>
          <w:rFonts w:ascii="Arial" w:cs="Arial" w:eastAsia="Arial" w:hAnsi="Arial"/>
          <w:sz w:val="16"/>
          <w:szCs w:val="16"/>
          <w:b w:val="1"/>
          <w:bCs w:val="1"/>
          <w:color w:val="231F20"/>
        </w:rPr>
        <w:t>Although we do not currently have any products on the market, our operations may be directly, or indirectly through our prescribers, consultants, customers and third-party payors, subject to various U.S. federal and state healthcare laws and regulations, including, without limitation, the U.S. federal Anti-Kickback Statute, the U.S. federal civil and criminal false claims laws and the Physician Payments Sunshine Act and regulations. Healthcare providers and others play a primary role in the recommendation and prescription of any products for which we obtain marketing approval. These laws may impact, among other things, our current business operations, including our clinical research activities and proposed sales, marketing and education programs and constrain the business of financial arrangements and relationships with healthcare providers, physicians and other parties through which we market, sell and distribute our products for which we obtain marketing approval. In addition, we may be subject to patient data privacy and security regulation by both the U.S. federal government and the states in which we conduct our business. Finally, we may be subject to additional healthcare, statutory and regulatory requirements and enforcement by foreign regulatory authorities in jurisdictions in which we conduct our business. The laws that may affect our ability to operate are described in the following paragraphs:</w:t>
      </w:r>
    </w:p>
    <w:p>
      <w:pPr>
        <w:spacing w:after="0" w:line="91" w:lineRule="exact"/>
        <w:rPr>
          <w:sz w:val="20"/>
          <w:szCs w:val="20"/>
          <w:color w:val="auto"/>
        </w:rPr>
      </w:pPr>
    </w:p>
    <w:p>
      <w:pPr>
        <w:ind w:left="960" w:right="260"/>
        <w:spacing w:after="0" w:line="277" w:lineRule="auto"/>
        <w:rPr>
          <w:sz w:val="20"/>
          <w:szCs w:val="20"/>
          <w:color w:val="auto"/>
        </w:rPr>
      </w:pPr>
      <w:r>
        <w:rPr>
          <w:rFonts w:ascii="Arial" w:cs="Arial" w:eastAsia="Arial" w:hAnsi="Arial"/>
          <w:sz w:val="17"/>
          <w:szCs w:val="17"/>
          <w:b w:val="1"/>
          <w:bCs w:val="1"/>
          <w:color w:val="231F20"/>
        </w:rPr>
        <w:t>The U.S. federal Anti-Kickback Statute prohibits, among other things, persons or entities from knowingly and willfully soliciting, offering, receiving or paying any remuneration (including any kickback, bribe or certain rebates),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 Moreover, the ACA provides that the government may assert that a violation of the federal Anti-Kickback Statute also constitutes a false or fraudulent claim for purposes of the civil False Claims Act, or FCA.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-969010</wp:posOffset>
            </wp:positionV>
            <wp:extent cx="62230" cy="635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81" w:lineRule="exact"/>
        <w:rPr>
          <w:sz w:val="20"/>
          <w:szCs w:val="20"/>
          <w:color w:val="auto"/>
        </w:rPr>
      </w:pPr>
    </w:p>
    <w:p>
      <w:pPr>
        <w:ind w:left="960" w:right="140"/>
        <w:spacing w:after="0" w:line="259" w:lineRule="auto"/>
        <w:rPr>
          <w:sz w:val="20"/>
          <w:szCs w:val="20"/>
          <w:color w:val="auto"/>
        </w:rPr>
      </w:pPr>
      <w:r>
        <w:rPr>
          <w:rFonts w:ascii="Arial" w:cs="Arial" w:eastAsia="Arial" w:hAnsi="Arial"/>
          <w:sz w:val="18"/>
          <w:szCs w:val="18"/>
          <w:b w:val="1"/>
          <w:bCs w:val="1"/>
          <w:color w:val="231F20"/>
        </w:rPr>
        <w:t>The federal civil and criminal false claims, including the civil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No specific intent to defraud is required under the civil FCA. The criminal FCA provides for criminal penalties for submitting false claims, including imprisonment and criminal fines.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-818515</wp:posOffset>
            </wp:positionV>
            <wp:extent cx="62230" cy="635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ectPr>
          <w:pgSz w:w="12240" w:h="15840" w:orient="portrait"/>
          <w:cols w:equalWidth="0" w:num="1">
            <w:col w:w="10480"/>
          </w:cols>
          <w:pgMar w:left="880" w:top="1165" w:right="88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49</w:t>
      </w:r>
    </w:p>
    <w:p>
      <w:pPr>
        <w:sectPr>
          <w:pgSz w:w="12240" w:h="15840" w:orient="portrait"/>
          <w:cols w:equalWidth="0" w:num="1">
            <w:col w:w="10480"/>
          </w:cols>
          <w:pgMar w:left="880" w:top="1165" w:right="880" w:bottom="390" w:gutter="0" w:footer="0" w:header="0"/>
          <w:type w:val="continuous"/>
        </w:sectPr>
      </w:pPr>
    </w:p>
    <w:bookmarkStart w:id="57" w:name="page58"/>
    <w:bookmarkEnd w:id="57"/>
    <w:p>
      <w:pPr>
        <w:ind w:left="400"/>
        <w:spacing w:after="0" w:line="222" w:lineRule="exact"/>
        <w:rPr>
          <w:sz w:val="20"/>
          <w:szCs w:val="20"/>
          <w:color w:val="auto"/>
        </w:rPr>
      </w:pPr>
      <w:r>
        <w:rPr>
          <w:rFonts w:ascii="Arial" w:cs="Arial" w:eastAsia="Arial" w:hAnsi="Arial"/>
          <w:sz w:val="18"/>
          <w:szCs w:val="18"/>
          <w:b w:val="1"/>
          <w:bCs w:val="1"/>
          <w:color w:val="231F20"/>
        </w:rPr>
        <w:t>The Civil Monetary Penalty Act of 1981 and implementing regulations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decision to order or receive items or services reimbursable by the government from a particular provider or supplier.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-808355</wp:posOffset>
            </wp:positionV>
            <wp:extent cx="62230" cy="635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11" w:lineRule="exact"/>
        <w:rPr>
          <w:sz w:val="20"/>
          <w:szCs w:val="20"/>
          <w:color w:val="auto"/>
        </w:rPr>
      </w:pPr>
    </w:p>
    <w:p>
      <w:pPr>
        <w:jc w:val="both"/>
        <w:ind w:left="400" w:right="40"/>
        <w:spacing w:after="0" w:line="259" w:lineRule="auto"/>
        <w:rPr>
          <w:sz w:val="20"/>
          <w:szCs w:val="20"/>
          <w:color w:val="auto"/>
        </w:rPr>
      </w:pPr>
      <w:r>
        <w:rPr>
          <w:rFonts w:ascii="Arial" w:cs="Arial" w:eastAsia="Arial" w:hAnsi="Arial"/>
          <w:sz w:val="18"/>
          <w:szCs w:val="18"/>
          <w:b w:val="1"/>
          <w:bCs w:val="1"/>
          <w:color w:val="231F20"/>
        </w:rPr>
        <w:t>The Health Insurance Portability and Accountability Act, or 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-818515</wp:posOffset>
            </wp:positionV>
            <wp:extent cx="62230" cy="635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94" w:lineRule="exact"/>
        <w:rPr>
          <w:sz w:val="20"/>
          <w:szCs w:val="20"/>
          <w:color w:val="auto"/>
        </w:rPr>
      </w:pPr>
    </w:p>
    <w:p>
      <w:pPr>
        <w:ind w:left="400" w:right="60"/>
        <w:spacing w:after="0" w:line="276" w:lineRule="auto"/>
        <w:rPr>
          <w:sz w:val="20"/>
          <w:szCs w:val="20"/>
          <w:color w:val="auto"/>
        </w:rPr>
      </w:pPr>
      <w:r>
        <w:rPr>
          <w:rFonts w:ascii="Arial" w:cs="Arial" w:eastAsia="Arial" w:hAnsi="Arial"/>
          <w:sz w:val="17"/>
          <w:szCs w:val="17"/>
          <w:b w:val="1"/>
          <w:bCs w:val="1"/>
          <w:color w:val="231F20"/>
        </w:rPr>
        <w:t>HIPAA, as amended by the Health Information Technology for Economic and Clinical Health Act of 2009, or HITECH, and its implementing regulations, as amended again by the Modifications to the HIPAA Privacy, Security, Enforcement and Breach Notification Rules Under HITECH and the Genetic Information Nondiscrimination Act and Other Modifications to the HIPAA Rules, commonly referred to as the Final HIPAA Omnibus Rule, published in January 2013, impose certain obligations, including mandatory contractual terms, on covered entities subject to the Final HIPAA Omnibus Rule, i.e., health plans, healthcare clearinghouses and healthcare providers, and their business associates that perform certain services for or on their behalf involving the use or disclosure of individually identifiable health information as well as their covered subcontractors with respect to safeguarding the privacy, security and transmission of individually identifiable health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-1252220</wp:posOffset>
            </wp:positionV>
            <wp:extent cx="62230" cy="635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81" w:lineRule="exact"/>
        <w:rPr>
          <w:sz w:val="20"/>
          <w:szCs w:val="20"/>
          <w:color w:val="auto"/>
        </w:rPr>
      </w:pPr>
    </w:p>
    <w:p>
      <w:pPr>
        <w:ind w:left="400" w:right="180"/>
        <w:spacing w:after="0" w:line="239" w:lineRule="auto"/>
        <w:rPr>
          <w:sz w:val="20"/>
          <w:szCs w:val="20"/>
          <w:color w:val="auto"/>
        </w:rPr>
      </w:pPr>
      <w:r>
        <w:rPr>
          <w:rFonts w:ascii="Arial" w:cs="Arial" w:eastAsia="Arial" w:hAnsi="Arial"/>
          <w:sz w:val="19"/>
          <w:szCs w:val="19"/>
          <w:b w:val="1"/>
          <w:bCs w:val="1"/>
          <w:color w:val="231F20"/>
        </w:rPr>
        <w:t>The U.S. Federal Food, Drug and Cosmetic Act prohibits, among other things, the adulteration or misbranding of drugs, biologics and medical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-243840</wp:posOffset>
            </wp:positionV>
            <wp:extent cx="62230" cy="635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7" w:lineRule="exact"/>
        <w:rPr>
          <w:sz w:val="20"/>
          <w:szCs w:val="20"/>
          <w:color w:val="auto"/>
        </w:rPr>
      </w:pPr>
    </w:p>
    <w:p>
      <w:pPr>
        <w:ind w:left="400" w:right="20"/>
        <w:spacing w:after="0" w:line="222" w:lineRule="exact"/>
        <w:rPr>
          <w:sz w:val="20"/>
          <w:szCs w:val="20"/>
          <w:color w:val="auto"/>
        </w:rPr>
      </w:pPr>
      <w:r>
        <w:rPr>
          <w:rFonts w:ascii="Arial" w:cs="Arial" w:eastAsia="Arial" w:hAnsi="Arial"/>
          <w:sz w:val="16"/>
          <w:szCs w:val="16"/>
          <w:b w:val="1"/>
          <w:bCs w:val="1"/>
          <w:color w:val="231F20"/>
        </w:rPr>
        <w:t>The federal Physician Payments Sunshine Act requires applicable manufacturers of covered drugs, medical devices, biologics and medical supplies for which payment is available under Medicare, Medicaid or the Children</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Health Insurance Program, with specific exceptions, to annually report to Centers for Medicare &amp; Medicaid Services, or CMS, information regarding payments and other transfers of value made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-951865</wp:posOffset>
            </wp:positionV>
            <wp:extent cx="62230" cy="635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6" w:lineRule="exact"/>
        <w:rPr>
          <w:sz w:val="20"/>
          <w:szCs w:val="20"/>
          <w:color w:val="auto"/>
        </w:rPr>
      </w:pPr>
    </w:p>
    <w:p>
      <w:pPr>
        <w:ind w:left="400" w:right="100"/>
        <w:spacing w:after="0" w:line="277" w:lineRule="auto"/>
        <w:rPr>
          <w:sz w:val="20"/>
          <w:szCs w:val="20"/>
          <w:color w:val="auto"/>
        </w:rPr>
      </w:pPr>
      <w:r>
        <w:rPr>
          <w:rFonts w:ascii="Arial" w:cs="Arial" w:eastAsia="Arial" w:hAnsi="Arial"/>
          <w:sz w:val="17"/>
          <w:szCs w:val="17"/>
          <w:b w:val="1"/>
          <w:bCs w:val="1"/>
          <w:color w:val="231F20"/>
        </w:rPr>
        <w:t>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Manufacturing, sales, promotion and other activities also are potentially subject to federal and state consumer protection and unfair competition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-969010</wp:posOffset>
            </wp:positionV>
            <wp:extent cx="62230" cy="635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81" w:lineRule="exact"/>
        <w:rPr>
          <w:sz w:val="20"/>
          <w:szCs w:val="20"/>
          <w:color w:val="auto"/>
        </w:rPr>
      </w:pPr>
    </w:p>
    <w:p>
      <w:pPr>
        <w:ind w:left="400" w:right="60"/>
        <w:spacing w:after="0" w:line="222" w:lineRule="exact"/>
        <w:rPr>
          <w:sz w:val="20"/>
          <w:szCs w:val="20"/>
          <w:color w:val="auto"/>
        </w:rPr>
      </w:pPr>
      <w:r>
        <w:rPr>
          <w:rFonts w:ascii="Arial" w:cs="Arial" w:eastAsia="Arial" w:hAnsi="Arial"/>
          <w:sz w:val="16"/>
          <w:szCs w:val="16"/>
          <w:b w:val="1"/>
          <w:bCs w:val="1"/>
          <w:color w:val="231F20"/>
        </w:rPr>
        <w:t>Analogous state laws and regulations impose additional obligations,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state and local laws requiring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-1517650</wp:posOffset>
            </wp:positionV>
            <wp:extent cx="62230" cy="635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10" w:lineRule="exact"/>
        <w:rPr>
          <w:sz w:val="20"/>
          <w:szCs w:val="20"/>
          <w:color w:val="auto"/>
        </w:rPr>
      </w:pPr>
    </w:p>
    <w:p>
      <w:pPr>
        <w:ind w:left="400" w:right="560"/>
        <w:spacing w:after="0" w:line="239" w:lineRule="auto"/>
        <w:rPr>
          <w:sz w:val="20"/>
          <w:szCs w:val="20"/>
          <w:color w:val="auto"/>
        </w:rPr>
      </w:pPr>
      <w:r>
        <w:rPr>
          <w:rFonts w:ascii="Arial" w:cs="Arial" w:eastAsia="Arial" w:hAnsi="Arial"/>
          <w:sz w:val="19"/>
          <w:szCs w:val="19"/>
          <w:b w:val="1"/>
          <w:bCs w:val="1"/>
          <w:color w:val="231F20"/>
        </w:rPr>
        <w:t>European and other foreign law equivalents of each of the laws also impose legal requirements, including reporting requirements detailing interactions with and payments to healthcare providers.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-243840</wp:posOffset>
            </wp:positionV>
            <wp:extent cx="62230" cy="635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ectPr>
          <w:pgSz w:w="12240" w:h="15840" w:orient="portrait"/>
          <w:cols w:equalWidth="0" w:num="1">
            <w:col w:w="9900"/>
          </w:cols>
          <w:pgMar w:left="1440" w:top="1165" w:right="90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580"/>
        <w:spacing w:after="0"/>
        <w:rPr>
          <w:sz w:val="20"/>
          <w:szCs w:val="20"/>
          <w:color w:val="auto"/>
        </w:rPr>
      </w:pPr>
      <w:r>
        <w:rPr>
          <w:rFonts w:ascii="Arial" w:cs="Arial" w:eastAsia="Arial" w:hAnsi="Arial"/>
          <w:sz w:val="17"/>
          <w:szCs w:val="17"/>
          <w:b w:val="1"/>
          <w:bCs w:val="1"/>
          <w:color w:val="231F20"/>
        </w:rPr>
        <w:t>50</w:t>
      </w:r>
    </w:p>
    <w:p>
      <w:pPr>
        <w:sectPr>
          <w:pgSz w:w="12240" w:h="15840" w:orient="portrait"/>
          <w:cols w:equalWidth="0" w:num="1">
            <w:col w:w="9900"/>
          </w:cols>
          <w:pgMar w:left="1440" w:top="1165" w:right="900" w:bottom="390" w:gutter="0" w:footer="0" w:header="0"/>
          <w:type w:val="continuous"/>
        </w:sectPr>
      </w:pPr>
    </w:p>
    <w:bookmarkStart w:id="58" w:name="page59"/>
    <w:bookmarkEnd w:id="58"/>
    <w:p>
      <w:pPr>
        <w:ind w:right="20" w:firstLine="475"/>
        <w:spacing w:after="0" w:line="294" w:lineRule="auto"/>
        <w:rPr>
          <w:sz w:val="20"/>
          <w:szCs w:val="20"/>
          <w:color w:val="auto"/>
        </w:rPr>
      </w:pPr>
      <w:r>
        <w:rPr>
          <w:rFonts w:ascii="Arial" w:cs="Arial" w:eastAsia="Arial" w:hAnsi="Arial"/>
          <w:sz w:val="16"/>
          <w:szCs w:val="16"/>
          <w:b w:val="1"/>
          <w:bCs w:val="1"/>
          <w:color w:val="231F20"/>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imprisonment, contractual damages, reputational harm, diminished profits, additional reporting requirements and oversight, and the delay, reduction, termination or restructuring of our operations.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not to be in compliance with applicable laws, they may be subject to significant criminal, civil or administrative sanctions, including exclusions from government funded healthcare programs and imprisonment. If any of the above occur, it could adversely affect our ability to operate our business and our results of operations.</w:t>
      </w:r>
    </w:p>
    <w:p>
      <w:pPr>
        <w:spacing w:after="0" w:line="85" w:lineRule="exact"/>
        <w:rPr>
          <w:sz w:val="20"/>
          <w:szCs w:val="20"/>
          <w:color w:val="auto"/>
        </w:rPr>
      </w:pPr>
    </w:p>
    <w:p>
      <w:pPr>
        <w:jc w:val="both"/>
        <w:ind w:right="140"/>
        <w:spacing w:after="0" w:line="242" w:lineRule="auto"/>
        <w:rPr>
          <w:sz w:val="20"/>
          <w:szCs w:val="20"/>
          <w:color w:val="auto"/>
        </w:rPr>
      </w:pPr>
      <w:r>
        <w:rPr>
          <w:rFonts w:ascii="Arial" w:cs="Arial" w:eastAsia="Arial" w:hAnsi="Arial"/>
          <w:sz w:val="19"/>
          <w:szCs w:val="19"/>
          <w:b w:val="1"/>
          <w:bCs w:val="1"/>
          <w:color w:val="231F20"/>
        </w:rPr>
        <w:t>If we, our employees, independent contractors, principal investigators, consultants, vendors or agents acting on our behalf fail to comply with healthcare laws and regulatory requirements, we could be subject to fines, penalties or enforcement actions, or incur costs that could have a material adverse effect on our business.</w:t>
      </w:r>
    </w:p>
    <w:p>
      <w:pPr>
        <w:spacing w:after="0" w:line="126" w:lineRule="exact"/>
        <w:rPr>
          <w:sz w:val="20"/>
          <w:szCs w:val="20"/>
          <w:color w:val="auto"/>
        </w:rPr>
      </w:pPr>
    </w:p>
    <w:p>
      <w:pPr>
        <w:ind w:firstLine="475"/>
        <w:spacing w:after="0" w:line="293" w:lineRule="auto"/>
        <w:rPr>
          <w:sz w:val="20"/>
          <w:szCs w:val="20"/>
          <w:color w:val="auto"/>
        </w:rPr>
      </w:pPr>
      <w:r>
        <w:rPr>
          <w:rFonts w:ascii="Arial" w:cs="Arial" w:eastAsia="Arial" w:hAnsi="Arial"/>
          <w:sz w:val="16"/>
          <w:szCs w:val="16"/>
          <w:b w:val="1"/>
          <w:bCs w:val="1"/>
          <w:color w:val="231F20"/>
        </w:rPr>
        <w:t>We are exposed to the risk of employee fraud or other misconduct as well as risks of noncompliance by contractors or agents acting on our behalf. Misconduct by employees and independent contractors, such as principal investigators, consultants and vendors, could include intentional failures to comply with FDA regulations, to provide accurate information to the FDA, to comply with health care fraud and abuse laws, to report financial information or data accurately or to disclose unauthorized activities to us. In particular, research, sales, marketing and business arrangements in the health care industry are subject to extensive laws intended to prevent fraud, misconduct, kickbacks, self-dealing and other abusive practices. These laws may restrict or prohibit a wide range of research, pricing, discounting, marketing and promotion, sales commission, customer incentive programs and other business arrangements. Employee and independent contractor misconduct could also involve the improper use of information obtained in the course of clinical trials, which could result in regulatory sanctions and serious harm to our reputation. We have adopted a written code of business conduct and ethics, but it is not always possible to identify and deter employee or independent contractor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exclusion from participation in government-funded healthcare programs, or other sanctions.</w:t>
      </w:r>
    </w:p>
    <w:p>
      <w:pPr>
        <w:spacing w:after="0" w:line="92" w:lineRule="exact"/>
        <w:rPr>
          <w:sz w:val="20"/>
          <w:szCs w:val="20"/>
          <w:color w:val="auto"/>
        </w:rPr>
      </w:pPr>
    </w:p>
    <w:p>
      <w:pPr>
        <w:ind w:right="280"/>
        <w:spacing w:after="0" w:line="239" w:lineRule="auto"/>
        <w:rPr>
          <w:sz w:val="20"/>
          <w:szCs w:val="20"/>
          <w:color w:val="auto"/>
        </w:rPr>
      </w:pPr>
      <w:r>
        <w:rPr>
          <w:rFonts w:ascii="Arial" w:cs="Arial" w:eastAsia="Arial" w:hAnsi="Arial"/>
          <w:sz w:val="19"/>
          <w:szCs w:val="19"/>
          <w:b w:val="1"/>
          <w:bCs w:val="1"/>
          <w:color w:val="231F20"/>
        </w:rPr>
        <w:t>If we do not comply with laws regulating the protection of the environment and health and human safety, our business could be adversely affected.</w:t>
      </w:r>
    </w:p>
    <w:p>
      <w:pPr>
        <w:spacing w:after="0" w:line="129" w:lineRule="exact"/>
        <w:rPr>
          <w:sz w:val="20"/>
          <w:szCs w:val="20"/>
          <w:color w:val="auto"/>
        </w:rPr>
      </w:pPr>
    </w:p>
    <w:p>
      <w:pPr>
        <w:ind w:right="100" w:firstLine="475"/>
        <w:spacing w:after="0" w:line="222" w:lineRule="exact"/>
        <w:rPr>
          <w:sz w:val="20"/>
          <w:szCs w:val="20"/>
          <w:color w:val="auto"/>
        </w:rPr>
      </w:pPr>
      <w:r>
        <w:rPr>
          <w:rFonts w:ascii="Arial" w:cs="Arial" w:eastAsia="Arial" w:hAnsi="Arial"/>
          <w:sz w:val="16"/>
          <w:szCs w:val="16"/>
          <w:b w:val="1"/>
          <w:bCs w:val="1"/>
          <w:color w:val="231F20"/>
        </w:rPr>
        <w:t>We are subject to numerous environmental, health and safety laws and regulations, including those governing laboratory procedures and the handling, use, storage, treatment and disposal of hazardous materials and wastes. Our research and development involve,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compensation insurance as prescribed by the State of California to cover us for costs and expenses, we may incur costs and expenses due to injuries to our employees resulting from the use of these materials, as this insurance may not provide adequate coverage against potential liabilities. We do not maintain insurance for environmental liability or toxic tort claims that may be asserted against us. Additional laws and regulations affecting our operations may be adopted in the future. Current or future laws and regulations may impair our research, development or commercialization efforts. We may incur substantial costs to comply with, and substantial fines or penalties if we violate, any of these laws or regulations.</w:t>
      </w:r>
    </w:p>
    <w:p>
      <w:pPr>
        <w:sectPr>
          <w:pgSz w:w="12240" w:h="15840" w:orient="portrait"/>
          <w:cols w:equalWidth="0" w:num="1">
            <w:col w:w="10480"/>
          </w:cols>
          <w:pgMar w:left="880" w:top="1165" w:right="88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51</w:t>
      </w:r>
    </w:p>
    <w:p>
      <w:pPr>
        <w:sectPr>
          <w:pgSz w:w="12240" w:h="15840" w:orient="portrait"/>
          <w:cols w:equalWidth="0" w:num="1">
            <w:col w:w="10480"/>
          </w:cols>
          <w:pgMar w:left="880" w:top="1165" w:right="880" w:bottom="390" w:gutter="0" w:footer="0" w:header="0"/>
          <w:type w:val="continuous"/>
        </w:sectPr>
      </w:pPr>
    </w:p>
    <w:bookmarkStart w:id="59" w:name="page60"/>
    <w:bookmarkEnd w:id="59"/>
    <w:p>
      <w:pPr>
        <w:ind w:right="140"/>
        <w:spacing w:after="0" w:line="261" w:lineRule="auto"/>
        <w:rPr>
          <w:sz w:val="20"/>
          <w:szCs w:val="20"/>
          <w:color w:val="auto"/>
        </w:rPr>
      </w:pPr>
      <w:r>
        <w:rPr>
          <w:rFonts w:ascii="Arial" w:cs="Arial" w:eastAsia="Arial" w:hAnsi="Arial"/>
          <w:sz w:val="18"/>
          <w:szCs w:val="18"/>
          <w:b w:val="1"/>
          <w:bCs w:val="1"/>
          <w:color w:val="231F20"/>
        </w:rPr>
        <w:t>Disruptions at the FDA, SEC or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10" w:lineRule="exact"/>
        <w:rPr>
          <w:sz w:val="20"/>
          <w:szCs w:val="20"/>
          <w:color w:val="auto"/>
        </w:rPr>
      </w:pPr>
    </w:p>
    <w:p>
      <w:pPr>
        <w:ind w:firstLine="475"/>
        <w:spacing w:after="0" w:line="294" w:lineRule="auto"/>
        <w:rPr>
          <w:sz w:val="20"/>
          <w:szCs w:val="20"/>
          <w:color w:val="auto"/>
        </w:rPr>
      </w:pPr>
      <w:r>
        <w:rPr>
          <w:rFonts w:ascii="Arial" w:cs="Arial" w:eastAsia="Arial" w:hAnsi="Arial"/>
          <w:sz w:val="16"/>
          <w:szCs w:val="16"/>
          <w:b w:val="1"/>
          <w:bCs w:val="1"/>
          <w:color w:val="231F20"/>
        </w:rPr>
        <w:t>The ability of the FDA to review and approve new products can be affected by a variety of factors, including government budget and funding levels, the ability to hire and retain key personnel, return-to-office policies and other executive actions by the current U.S. presidential administration, and changes in the leadership and operations of the FDA.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For example, the U.S. government has shut down in the past, forcing regulatory authorities such as the FDA and SEC to furlough employees, and in response to the COVID-19 pandemic, the FDA has postponed certain inspections. If global health concerns or other causes continue to prevent the FDA or other regulatory authorities from conducting their normal operations, such as regular inspections, reviews, or other regulatory activities in a timely manner, or if the FDA and other agencies experience other delays, backlogs or disruptions, it could significantly impact the ability of the FDA or other regulatory authorities to timely review and process our regulatory submissions, which could have a material adverse effect on our business.</w:t>
      </w:r>
    </w:p>
    <w:p>
      <w:pPr>
        <w:spacing w:after="0" w:line="91" w:lineRule="exact"/>
        <w:rPr>
          <w:sz w:val="20"/>
          <w:szCs w:val="20"/>
          <w:color w:val="auto"/>
        </w:rPr>
      </w:pPr>
    </w:p>
    <w:p>
      <w:pPr>
        <w:ind w:right="220"/>
        <w:spacing w:after="0" w:line="242" w:lineRule="auto"/>
        <w:rPr>
          <w:sz w:val="20"/>
          <w:szCs w:val="20"/>
          <w:color w:val="auto"/>
        </w:rPr>
      </w:pPr>
      <w:r>
        <w:rPr>
          <w:rFonts w:ascii="Arial" w:cs="Arial" w:eastAsia="Arial" w:hAnsi="Arial"/>
          <w:sz w:val="19"/>
          <w:szCs w:val="19"/>
          <w:b w:val="1"/>
          <w:bCs w:val="1"/>
          <w:color w:val="231F20"/>
        </w:rPr>
        <w:t>Our business activities may be subject to the Foreign Corrupt Practices Act and similar anti-bribery and anti-corruption laws, as well as U.S. and certain foreign export controls, trade sanctions and import laws and regulations, all of which can subject us to criminal liability and other serious consequences for violations.</w:t>
      </w:r>
    </w:p>
    <w:p>
      <w:pPr>
        <w:spacing w:after="0" w:line="124" w:lineRule="exact"/>
        <w:rPr>
          <w:sz w:val="20"/>
          <w:szCs w:val="20"/>
          <w:color w:val="auto"/>
        </w:rPr>
      </w:pPr>
    </w:p>
    <w:p>
      <w:pPr>
        <w:ind w:right="20" w:firstLine="475"/>
        <w:spacing w:after="0" w:line="296" w:lineRule="auto"/>
        <w:rPr>
          <w:sz w:val="20"/>
          <w:szCs w:val="20"/>
          <w:color w:val="auto"/>
        </w:rPr>
      </w:pPr>
      <w:r>
        <w:rPr>
          <w:rFonts w:ascii="Arial" w:cs="Arial" w:eastAsia="Arial" w:hAnsi="Arial"/>
          <w:sz w:val="16"/>
          <w:szCs w:val="16"/>
          <w:b w:val="1"/>
          <w:bCs w:val="1"/>
          <w:color w:val="231F20"/>
        </w:rPr>
        <w:t>Our business activities may be subject to the Foreign Corrupt Practices Act, or FCPA, and similar anti-bribery or anti-corruption laws, regulations or rules of other countries in which we operate. These laws generally prohibit companies and their employees and third party business partners, representatives and agents from engaging in corruption and bribery, including offering, promising, giving or authorizing the provision of anything of value, either directly or indirectly, to a government official or commercial party in order to influence official action, direct business to any person, gain any improper advantage, or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government officials, including officials of non-U.S. governments.</w:t>
      </w:r>
    </w:p>
    <w:p>
      <w:pPr>
        <w:spacing w:after="0" w:line="85" w:lineRule="exact"/>
        <w:rPr>
          <w:sz w:val="20"/>
          <w:szCs w:val="20"/>
          <w:color w:val="auto"/>
        </w:rPr>
      </w:pPr>
    </w:p>
    <w:p>
      <w:pPr>
        <w:ind w:right="40" w:firstLine="475"/>
        <w:spacing w:after="0" w:line="223" w:lineRule="exact"/>
        <w:rPr>
          <w:sz w:val="20"/>
          <w:szCs w:val="20"/>
          <w:color w:val="auto"/>
        </w:rPr>
      </w:pPr>
      <w:r>
        <w:rPr>
          <w:rFonts w:ascii="Arial" w:cs="Arial" w:eastAsia="Arial" w:hAnsi="Arial"/>
          <w:sz w:val="16"/>
          <w:szCs w:val="16"/>
          <w:b w:val="1"/>
          <w:bCs w:val="1"/>
          <w:color w:val="231F20"/>
        </w:rPr>
        <w:t xml:space="preserve">Additionally, in many countries, healthcare providers are employed by the government, and the purchasers of biopharmaceuticals are government entities. As a result, our dealings with these providers and purchasers are subject to regulation and such healthcare providers and employees of such purchasers may be considered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foreign officials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as defined in the FCPA. Recently, the SEC and Department of Justice have increased their FCPA enforcement activities with respect to biotechnology companies. In addition to our own employees, we leverage third parties to conduct our business abroad, such as obtaining government licenses and approvals. We and our third-party business partners, representatives and agents may have direct or indirect interactions with officials and employees of government agencies, state-owned or affiliated entities and we may be held liable for the corrupt or other illegal activities of our employees, our third-party business partners, representatives and agents, even if we do not explicitly authorize such activities. There is no certainty that our employees or the employees of our third-party business partners, representatives and agents will comply with all applicable laws and regulations, particularly given the high level of complexity of these laws. Violations of these laws and regulations could result in whistleblower complaints, adverse media coverage, investigations, loss of export privileges, debarment from U.S. government contracts, substantial diversion of management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attention, significant legal fees and fines, severe criminal or civil sanctions against us, our officers or our employees, disgorgement and other penalties and remedial measures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financial condition and stock price.</w:t>
      </w:r>
    </w:p>
    <w:p>
      <w:pPr>
        <w:spacing w:after="0" w:line="130" w:lineRule="exact"/>
        <w:rPr>
          <w:sz w:val="20"/>
          <w:szCs w:val="20"/>
          <w:color w:val="auto"/>
        </w:rPr>
      </w:pPr>
    </w:p>
    <w:p>
      <w:pPr>
        <w:ind w:right="20" w:firstLine="475"/>
        <w:spacing w:after="0" w:line="298" w:lineRule="auto"/>
        <w:rPr>
          <w:sz w:val="20"/>
          <w:szCs w:val="20"/>
          <w:color w:val="auto"/>
        </w:rPr>
      </w:pPr>
      <w:r>
        <w:rPr>
          <w:rFonts w:ascii="Arial" w:cs="Arial" w:eastAsia="Arial" w:hAnsi="Arial"/>
          <w:sz w:val="16"/>
          <w:szCs w:val="16"/>
          <w:b w:val="1"/>
          <w:bCs w:val="1"/>
          <w:color w:val="231F20"/>
        </w:rPr>
        <w:t>In addition, our products may be subject to U.S. and foreign export controls, trade sanctions and import laws and regulations, including increased tariffs. Governmental regulation of the import or export of our products, including the potential negative impact of tariff increases, or our failure to obtain any required import or export authorization for our products, when applicable, could harm our business. Furthermore, U.S. export control laws and economic sanctions prohibit the provision of certain products and services to countries, governments and persons targeted by U.S. sanctions. If we fail to comply with export and import regulations and such economic sanctions, penalties could be imposed, including fines and/or denial of certain export privileges.</w:t>
      </w:r>
    </w:p>
    <w:p>
      <w:pPr>
        <w:spacing w:after="0" w:line="84" w:lineRule="exact"/>
        <w:rPr>
          <w:sz w:val="20"/>
          <w:szCs w:val="20"/>
          <w:color w:val="auto"/>
        </w:rPr>
      </w:pPr>
    </w:p>
    <w:p>
      <w:pPr>
        <w:jc w:val="both"/>
        <w:spacing w:after="0" w:line="242" w:lineRule="auto"/>
        <w:rPr>
          <w:sz w:val="20"/>
          <w:szCs w:val="20"/>
          <w:color w:val="auto"/>
        </w:rPr>
      </w:pPr>
      <w:r>
        <w:rPr>
          <w:rFonts w:ascii="Arial" w:cs="Arial" w:eastAsia="Arial" w:hAnsi="Arial"/>
          <w:sz w:val="19"/>
          <w:szCs w:val="19"/>
          <w:b w:val="1"/>
          <w:bCs w:val="1"/>
          <w:color w:val="231F20"/>
        </w:rPr>
        <w:t>Data collection under European and U.S. laws is governed by restrictive regulations addressing the collection, use, processing and, in the case of Europe, cross-border transfer, of personal information (i.e., information that relates to an identified or identifiable individual).</w:t>
      </w:r>
    </w:p>
    <w:p>
      <w:pPr>
        <w:spacing w:after="0" w:line="124" w:lineRule="exact"/>
        <w:rPr>
          <w:sz w:val="20"/>
          <w:szCs w:val="20"/>
          <w:color w:val="auto"/>
        </w:rPr>
      </w:pPr>
    </w:p>
    <w:p>
      <w:pPr>
        <w:ind w:right="20" w:firstLine="475"/>
        <w:spacing w:after="0" w:line="242" w:lineRule="auto"/>
        <w:rPr>
          <w:sz w:val="20"/>
          <w:szCs w:val="20"/>
          <w:color w:val="auto"/>
        </w:rPr>
      </w:pPr>
      <w:r>
        <w:rPr>
          <w:rFonts w:ascii="Arial" w:cs="Arial" w:eastAsia="Arial" w:hAnsi="Arial"/>
          <w:sz w:val="19"/>
          <w:szCs w:val="19"/>
          <w:b w:val="1"/>
          <w:bCs w:val="1"/>
          <w:color w:val="231F20"/>
        </w:rPr>
        <w:t>We may collect, process, use or transfer personal information from individuals located in the European Economic Area, or EEA, Switzerland and the United Kingdom in connection with our business, including in connection with conducting clinical trials in these regions.</w:t>
      </w:r>
    </w:p>
    <w:p>
      <w:pPr>
        <w:sectPr>
          <w:pgSz w:w="12240" w:h="15840" w:orient="portrait"/>
          <w:cols w:equalWidth="0" w:num="1">
            <w:col w:w="10480"/>
          </w:cols>
          <w:pgMar w:left="880" w:top="1165" w:right="88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52</w:t>
      </w:r>
    </w:p>
    <w:p>
      <w:pPr>
        <w:sectPr>
          <w:pgSz w:w="12240" w:h="15840" w:orient="portrait"/>
          <w:cols w:equalWidth="0" w:num="1">
            <w:col w:w="10480"/>
          </w:cols>
          <w:pgMar w:left="880" w:top="1165" w:right="880" w:bottom="390" w:gutter="0" w:footer="0" w:header="0"/>
          <w:type w:val="continuous"/>
        </w:sectPr>
      </w:pPr>
    </w:p>
    <w:bookmarkStart w:id="60" w:name="page61"/>
    <w:bookmarkEnd w:id="60"/>
    <w:p>
      <w:pPr>
        <w:ind w:right="40" w:firstLine="475"/>
        <w:spacing w:after="0" w:line="222" w:lineRule="exact"/>
        <w:rPr>
          <w:sz w:val="20"/>
          <w:szCs w:val="20"/>
          <w:color w:val="auto"/>
        </w:rPr>
      </w:pPr>
      <w:r>
        <w:rPr>
          <w:rFonts w:ascii="Arial" w:cs="Arial" w:eastAsia="Arial" w:hAnsi="Arial"/>
          <w:sz w:val="16"/>
          <w:szCs w:val="16"/>
          <w:b w:val="1"/>
          <w:bCs w:val="1"/>
          <w:color w:val="231F20"/>
        </w:rPr>
        <w:t>Additionally, if any of our product candidates are approved, we may seek to commercialize those products in the EEA or the United Kingdom or Switzerland. The collection and use of personal information (which includes health data) in the EEA is governed, in part, by the provisions of the General Data Protection Regulation (EU) 2016/679, or the GDPR, or its UK equivalent, the UK GDPR, or the new Swiss Federal Act on Data Protection, or FADP. These regulations impose requirements relating to having a legal basis for processing personal information and transferring such information outside of the EEA, the United Kingdom and Switzerland, respectively, as applicable, including to the United States, informing concerned individuals about the processing of their personal information, keeping personal information secure, having data processing agreements with third parties who process personal information on our behalf, responding to individuals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requests to exercise their rights in respect of their personal information, reporting security breaches involving personal information to the competent national data protection authority and affected individuals, appointing data protection officers, conducting data protection impact assessments and record-keeping.</w:t>
      </w:r>
    </w:p>
    <w:p>
      <w:pPr>
        <w:spacing w:after="0" w:line="128" w:lineRule="exact"/>
        <w:rPr>
          <w:sz w:val="20"/>
          <w:szCs w:val="20"/>
          <w:color w:val="auto"/>
        </w:rPr>
      </w:pPr>
    </w:p>
    <w:p>
      <w:pPr>
        <w:ind w:right="160" w:firstLine="475"/>
        <w:spacing w:after="0" w:line="284" w:lineRule="auto"/>
        <w:rPr>
          <w:sz w:val="20"/>
          <w:szCs w:val="20"/>
          <w:color w:val="auto"/>
        </w:rPr>
      </w:pPr>
      <w:r>
        <w:rPr>
          <w:rFonts w:ascii="Arial" w:cs="Arial" w:eastAsia="Arial" w:hAnsi="Arial"/>
          <w:sz w:val="17"/>
          <w:szCs w:val="17"/>
          <w:b w:val="1"/>
          <w:bCs w:val="1"/>
          <w:color w:val="231F20"/>
        </w:rPr>
        <w:t>Any actual or alleged failure to comply with the GDPR, UK GDPR, FADP, or related data protection laws may result in regulatory inquiries and other proceedings, substantial fines, other administrative penalties and civil claims being brought against us, which could have a material adverse effect on our business, financial condition and results of operations.</w:t>
      </w:r>
    </w:p>
    <w:p>
      <w:pPr>
        <w:spacing w:after="0" w:line="93" w:lineRule="exact"/>
        <w:rPr>
          <w:sz w:val="20"/>
          <w:szCs w:val="20"/>
          <w:color w:val="auto"/>
        </w:rPr>
      </w:pPr>
    </w:p>
    <w:p>
      <w:pPr>
        <w:ind w:right="300" w:firstLine="475"/>
        <w:spacing w:after="0" w:line="239" w:lineRule="auto"/>
        <w:rPr>
          <w:sz w:val="20"/>
          <w:szCs w:val="20"/>
          <w:color w:val="auto"/>
        </w:rPr>
      </w:pPr>
      <w:r>
        <w:rPr>
          <w:rFonts w:ascii="Arial" w:cs="Arial" w:eastAsia="Arial" w:hAnsi="Arial"/>
          <w:sz w:val="19"/>
          <w:szCs w:val="19"/>
          <w:b w:val="1"/>
          <w:bCs w:val="1"/>
          <w:color w:val="231F20"/>
        </w:rPr>
        <w:t>The GDPR, UK GDPR and FADP also restrict the transfer of personal information outside of the EEA, United Kingdom and Switzerland, respectively, unless appropriate safeguards are in place.</w:t>
      </w:r>
    </w:p>
    <w:p>
      <w:pPr>
        <w:spacing w:after="0" w:line="127" w:lineRule="exact"/>
        <w:rPr>
          <w:sz w:val="20"/>
          <w:szCs w:val="20"/>
          <w:color w:val="auto"/>
        </w:rPr>
      </w:pPr>
    </w:p>
    <w:p>
      <w:pPr>
        <w:ind w:right="60" w:firstLine="475"/>
        <w:spacing w:after="0" w:line="277" w:lineRule="auto"/>
        <w:rPr>
          <w:sz w:val="20"/>
          <w:szCs w:val="20"/>
          <w:color w:val="auto"/>
        </w:rPr>
      </w:pPr>
      <w:r>
        <w:rPr>
          <w:rFonts w:ascii="Arial" w:cs="Arial" w:eastAsia="Arial" w:hAnsi="Arial"/>
          <w:sz w:val="17"/>
          <w:szCs w:val="17"/>
          <w:b w:val="1"/>
          <w:bCs w:val="1"/>
          <w:color w:val="231F20"/>
        </w:rPr>
        <w:t>One primary set of safeguards, the Standard Contractual Clauses adopted by the European Commission, has been updated recently. With regard to data transfers outside of the EEA to the United States, in March 2022, the European Union and United States announced a political agreement on a new framework for personal information transfers, the EU-U.S. Data Privacy Framework, or the EU-U.S. DPF. A related framework, the Swiss-U.S. Data Privacy Framework, or Swiss-U.S. DPF, also was established, and was the subject of an adequacy decision by the Swiss Federal Council on August 14, 2024. On July 10, 2023, the European Commission adopted an adequacy decision relating to the EU-U.S. DPF. Additionally, a UK Extension to the EU-U.S. DPF, became effective on October 12, 2023. We are evaluating whether to make use of the EU-U.S. DPF and the UK Extension to the EU-U.S. DPF to transfer personal information from the EEA to the United States.</w:t>
      </w:r>
    </w:p>
    <w:p>
      <w:pPr>
        <w:spacing w:after="0" w:line="96" w:lineRule="exact"/>
        <w:rPr>
          <w:sz w:val="20"/>
          <w:szCs w:val="20"/>
          <w:color w:val="auto"/>
        </w:rPr>
      </w:pPr>
    </w:p>
    <w:p>
      <w:pPr>
        <w:ind w:right="60" w:firstLine="475"/>
        <w:spacing w:after="0" w:line="222" w:lineRule="exact"/>
        <w:rPr>
          <w:sz w:val="20"/>
          <w:szCs w:val="20"/>
          <w:color w:val="auto"/>
        </w:rPr>
      </w:pPr>
      <w:r>
        <w:rPr>
          <w:rFonts w:ascii="Arial" w:cs="Arial" w:eastAsia="Arial" w:hAnsi="Arial"/>
          <w:sz w:val="17"/>
          <w:szCs w:val="17"/>
          <w:b w:val="1"/>
          <w:bCs w:val="1"/>
          <w:color w:val="231F20"/>
        </w:rPr>
        <w:t xml:space="preserve">Further, Brexit has created uncertainty with regard to data protection regulation in the United Kingdom. Although the European Commission granted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adequacy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status to the United Kingdom in June 2021, and personal information can flow from the European Union to the United Kingdom and back, the United Kingdom is expected to change its policy with respect to the export of personal information to third countries, such as the United States, and the European Commission</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adequacy determination for the United Kingdom requires renewal after four years and it may be modified or revoked in the interim. In addition, in February 2022, the United Kingdom</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Information Commissioner</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Office issued new Standard Contractual Clauses for the transfer of personal information outside of the United Kingdom. The data transfers enforcement landscape and the longer term stability of the EU-U.S. DPF and related programs remain uncertain, which could increase our compliance costs.</w:t>
      </w:r>
    </w:p>
    <w:p>
      <w:pPr>
        <w:spacing w:after="0" w:line="126" w:lineRule="exact"/>
        <w:rPr>
          <w:sz w:val="20"/>
          <w:szCs w:val="20"/>
          <w:color w:val="auto"/>
        </w:rPr>
      </w:pPr>
    </w:p>
    <w:p>
      <w:pPr>
        <w:ind w:right="340" w:firstLine="475"/>
        <w:spacing w:after="0" w:line="281" w:lineRule="auto"/>
        <w:rPr>
          <w:sz w:val="20"/>
          <w:szCs w:val="20"/>
          <w:color w:val="auto"/>
        </w:rPr>
      </w:pPr>
      <w:r>
        <w:rPr>
          <w:rFonts w:ascii="Arial" w:cs="Arial" w:eastAsia="Arial" w:hAnsi="Arial"/>
          <w:sz w:val="17"/>
          <w:szCs w:val="17"/>
          <w:b w:val="1"/>
          <w:bCs w:val="1"/>
          <w:color w:val="231F20"/>
        </w:rPr>
        <w:t>The EU also has implemented new and revised laws and regulations relating to cybersecurity, including the Network and Information Security Directive II, or NIS2, adopted in 2023, which aims to enhance cybersecurity across critical infrastructure and essential services in the EU. NIS2 provides for all EU member states to have issued implementing legislation by October 2024; however, several EU member states have not finalized their respective legislation and guidance.</w:t>
      </w:r>
    </w:p>
    <w:p>
      <w:pPr>
        <w:spacing w:after="0" w:line="95" w:lineRule="exact"/>
        <w:rPr>
          <w:sz w:val="20"/>
          <w:szCs w:val="20"/>
          <w:color w:val="auto"/>
        </w:rPr>
      </w:pPr>
    </w:p>
    <w:p>
      <w:pPr>
        <w:ind w:firstLine="475"/>
        <w:spacing w:after="0" w:line="329" w:lineRule="auto"/>
        <w:rPr>
          <w:sz w:val="20"/>
          <w:szCs w:val="20"/>
          <w:color w:val="auto"/>
        </w:rPr>
      </w:pPr>
      <w:r>
        <w:rPr>
          <w:rFonts w:ascii="Arial" w:cs="Arial" w:eastAsia="Arial" w:hAnsi="Arial"/>
          <w:sz w:val="16"/>
          <w:szCs w:val="16"/>
          <w:b w:val="1"/>
          <w:bCs w:val="1"/>
          <w:color w:val="231F20"/>
        </w:rPr>
        <w:t>We may, therefore, incur liabilities, expenses, costs, and other operational losses under the GDPR, UK GDPR, the FADP, and applicable laws and regulations of European Union member states in connection with any measures we take to comply with them.</w:t>
      </w:r>
    </w:p>
    <w:p>
      <w:pPr>
        <w:spacing w:after="0" w:line="57" w:lineRule="exact"/>
        <w:rPr>
          <w:sz w:val="20"/>
          <w:szCs w:val="20"/>
          <w:color w:val="auto"/>
        </w:rPr>
      </w:pPr>
    </w:p>
    <w:p>
      <w:pPr>
        <w:ind w:right="20" w:firstLine="475"/>
        <w:spacing w:after="0" w:line="223" w:lineRule="exact"/>
        <w:rPr>
          <w:sz w:val="20"/>
          <w:szCs w:val="20"/>
          <w:color w:val="auto"/>
        </w:rPr>
      </w:pPr>
      <w:r>
        <w:rPr>
          <w:rFonts w:ascii="Arial" w:cs="Arial" w:eastAsia="Arial" w:hAnsi="Arial"/>
          <w:sz w:val="17"/>
          <w:szCs w:val="17"/>
          <w:b w:val="1"/>
          <w:bCs w:val="1"/>
          <w:color w:val="231F20"/>
        </w:rPr>
        <w:t xml:space="preserve">In addition, U.S. states are adopting new laws or amending existing laws, requiring attention to frequently changing regulatory requirements related to personal information. For example, California enacted the California Consumer Privacy Act, or the CCPA, in 2018, which took effect on January 1, 2020 and has been dubbed the first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GDPR-like</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which can include any of our current or future employees who may be California residents or any other California residents whose data we collect or process) and provide such residents new ways to opt out of certain sales of personal information. The CCPA provides for civil penalties for violations, as well as a private right of action for data breaches that is expected to increase data breach litigation.</w:t>
      </w:r>
    </w:p>
    <w:p>
      <w:pPr>
        <w:sectPr>
          <w:pgSz w:w="12240" w:h="15840" w:orient="portrait"/>
          <w:cols w:equalWidth="0" w:num="1">
            <w:col w:w="10480"/>
          </w:cols>
          <w:pgMar w:left="880" w:top="1165" w:right="88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53</w:t>
      </w:r>
    </w:p>
    <w:p>
      <w:pPr>
        <w:sectPr>
          <w:pgSz w:w="12240" w:h="15840" w:orient="portrait"/>
          <w:cols w:equalWidth="0" w:num="1">
            <w:col w:w="10480"/>
          </w:cols>
          <w:pgMar w:left="880" w:top="1165" w:right="880" w:bottom="390" w:gutter="0" w:footer="0" w:header="0"/>
          <w:type w:val="continuous"/>
        </w:sectPr>
      </w:pPr>
    </w:p>
    <w:bookmarkStart w:id="61" w:name="page62"/>
    <w:bookmarkEnd w:id="61"/>
    <w:p>
      <w:pPr>
        <w:ind w:firstLine="475"/>
        <w:spacing w:after="0" w:line="293" w:lineRule="auto"/>
        <w:rPr>
          <w:sz w:val="20"/>
          <w:szCs w:val="20"/>
          <w:color w:val="auto"/>
        </w:rPr>
      </w:pPr>
      <w:r>
        <w:rPr>
          <w:rFonts w:ascii="Arial" w:cs="Arial" w:eastAsia="Arial" w:hAnsi="Arial"/>
          <w:sz w:val="16"/>
          <w:szCs w:val="16"/>
          <w:b w:val="1"/>
          <w:bCs w:val="1"/>
          <w:color w:val="231F20"/>
        </w:rPr>
        <w:t>Additionally, the California Privacy Rights Act, or the CPRA, was approved by California voters in November 2020. The CPRA modified and augmented the CCPA significantly, effective as of January 1, 2023, potentially resulting in further uncertainty and requiring us to incur additional costs and expenses in an effort to comply. Numerous other states have proposed, and in certain cases enacted similar laws, including comprehensive privacy laws similar to the CCPA enacted in Colorado, Connecticut, Delaware, Florida, Indiana, Iowa, Kentucky, Maryland, Minnesota, Montana, Nebraska, New Hampshire, New Jersey, Oregon, Rhode Island, Tennessee, Texas, Utah, and Virginia. Other states have proposed, and in certain cases enacted, legislation addressing privacy and cybersecurity in the context of specific subject matter such as biometrics and health-related personal information. As we expand our operations, preclinical studies and clinical trials, these new state laws and other state laws and regulations relating to privacy and data security may increase our compliance costs and potential liability. Privacy and data security laws and regulations are not consistent across jurisdictions, and they may impose conflicting or uncertain obligations. Compliance with these and any other applicable privacy and data security laws and regulations is a rigorous, costly and time-intensive process, and we may be required to put in place additional mechanisms ensuring compliance with new and changing data protection obligations under these laws and regulations. Actual or alleged noncompliance with any such laws and regulations may lead to regulatory investigations, enforcement actions, claims and litigation, and if we fail to comply with any such laws or regulations, we may face significant fines and penalties. Any of these could adversely affect our business, financial condition and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Risks Related to Intellectual Property</w:t>
      </w:r>
    </w:p>
    <w:p>
      <w:pPr>
        <w:spacing w:after="0" w:line="125" w:lineRule="exact"/>
        <w:rPr>
          <w:sz w:val="20"/>
          <w:szCs w:val="20"/>
          <w:color w:val="auto"/>
        </w:rPr>
      </w:pPr>
    </w:p>
    <w:p>
      <w:pPr>
        <w:ind w:right="40"/>
        <w:spacing w:after="0" w:line="239" w:lineRule="auto"/>
        <w:rPr>
          <w:sz w:val="20"/>
          <w:szCs w:val="20"/>
          <w:color w:val="auto"/>
        </w:rPr>
      </w:pPr>
      <w:r>
        <w:rPr>
          <w:rFonts w:ascii="Arial" w:cs="Arial" w:eastAsia="Arial" w:hAnsi="Arial"/>
          <w:sz w:val="19"/>
          <w:szCs w:val="19"/>
          <w:b w:val="1"/>
          <w:bCs w:val="1"/>
          <w:color w:val="231F20"/>
        </w:rPr>
        <w:t>If we are unable to obtain, maintain and enforce patent protection for our product candidates and related technology, our business could be materially harmed.</w:t>
      </w:r>
    </w:p>
    <w:p>
      <w:pPr>
        <w:spacing w:after="0" w:line="129" w:lineRule="exact"/>
        <w:rPr>
          <w:sz w:val="20"/>
          <w:szCs w:val="20"/>
          <w:color w:val="auto"/>
        </w:rPr>
      </w:pPr>
    </w:p>
    <w:p>
      <w:pPr>
        <w:ind w:right="80" w:firstLine="475"/>
        <w:spacing w:after="0" w:line="275" w:lineRule="auto"/>
        <w:rPr>
          <w:sz w:val="20"/>
          <w:szCs w:val="20"/>
          <w:color w:val="auto"/>
        </w:rPr>
      </w:pPr>
      <w:r>
        <w:rPr>
          <w:rFonts w:ascii="Arial" w:cs="Arial" w:eastAsia="Arial" w:hAnsi="Arial"/>
          <w:sz w:val="17"/>
          <w:szCs w:val="17"/>
          <w:b w:val="1"/>
          <w:bCs w:val="1"/>
          <w:color w:val="231F20"/>
        </w:rPr>
        <w:t>Our strategy depends on our ability to identify, seek, obtain and maintain patent protection for our product candidates and other research and development discoveries. Our patent portfolio is relatively small compared to many large and more established pharmaceutical and biotechnology companies. As our patent portfolio grows, we expect patent protection will continue to be an important part of our strategy. The patent protection process is expensive and time-consuming, and we may not be able to file and prosecute all necessary or desirable patent applications or maintain and enforce any patents that may issue from such patent applications, at a reasonable cost or in a timely manner or in all jurisdictions where protection may be commercially advantageous. It is also possible that we will fail to identify patentable aspects of our research and development discoveries in a timely manner to obtain patent protection. Moreover, in some circumstances, we may not have the right to control the preparation, filing and prosecution of patent applications, or to maintain the patents, covering technology that we have licensed from third parties. Therefore, our in-licensed patents and patent applications may not be prosecuted and enforced in a manner consistent with the best interests of our business. Our patent applications cannot be enforced against third parties practicing the technology claimed in such applications unless, and until, patents issue from such applications, and then only to the extent the issued claims cover the technology. The patent applications that we own or in-license may fail to result in issued patents with claims that cover our current and future product candidates in the United States or in foreign countries or may fail to effectively prevent third parties from commercializing competitive product candidates.</w:t>
      </w:r>
    </w:p>
    <w:p>
      <w:pPr>
        <w:spacing w:after="0" w:line="101" w:lineRule="exact"/>
        <w:rPr>
          <w:sz w:val="20"/>
          <w:szCs w:val="20"/>
          <w:color w:val="auto"/>
        </w:rPr>
      </w:pPr>
    </w:p>
    <w:p>
      <w:pPr>
        <w:ind w:right="40" w:firstLine="475"/>
        <w:spacing w:after="0" w:line="259" w:lineRule="auto"/>
        <w:rPr>
          <w:sz w:val="20"/>
          <w:szCs w:val="20"/>
          <w:color w:val="auto"/>
        </w:rPr>
      </w:pPr>
      <w:r>
        <w:rPr>
          <w:rFonts w:ascii="Arial" w:cs="Arial" w:eastAsia="Arial" w:hAnsi="Arial"/>
          <w:sz w:val="18"/>
          <w:szCs w:val="18"/>
          <w:b w:val="1"/>
          <w:bCs w:val="1"/>
          <w:color w:val="231F20"/>
        </w:rPr>
        <w:t>The patent position of biotechnology companies generally is highly uncertain, involves complex legal and factual questions, and has in recent years been the subject of much litigation. We may be subject to a third-party pre-issuance submission of prior art to the U.S. Patent and Trademark Office, or USPTO, and such prior art may affect the scope of any allowable claims or it may prevent our patent applications from issuing as patents. Further, the issuance of a patent does not ensure that it is valid or enforceable, nor is the issuance conclusive as to inventorship or the scope of any claims. Third parties may challenge the validity, enforceability or scope of our issued patents or claim that they should be inventors on such patents, and such patents may be narrowed, invalidated, circumvented or deemed unenforceable and such third parties may gain rights to such patents. We could also become involved in reexamination, inter partes review, post-grant review, opposition or derivation proceedings challenging our patent rights or the patent rights of others.</w:t>
      </w:r>
    </w:p>
    <w:p>
      <w:pPr>
        <w:spacing w:after="0" w:line="114" w:lineRule="exact"/>
        <w:rPr>
          <w:sz w:val="20"/>
          <w:szCs w:val="20"/>
          <w:color w:val="auto"/>
        </w:rPr>
      </w:pPr>
    </w:p>
    <w:p>
      <w:pPr>
        <w:ind w:right="20" w:firstLine="475"/>
        <w:spacing w:after="0" w:line="275" w:lineRule="auto"/>
        <w:rPr>
          <w:sz w:val="20"/>
          <w:szCs w:val="20"/>
          <w:color w:val="auto"/>
        </w:rPr>
      </w:pPr>
      <w:r>
        <w:rPr>
          <w:rFonts w:ascii="Arial" w:cs="Arial" w:eastAsia="Arial" w:hAnsi="Arial"/>
          <w:sz w:val="17"/>
          <w:szCs w:val="17"/>
          <w:b w:val="1"/>
          <w:bCs w:val="1"/>
          <w:color w:val="231F20"/>
        </w:rPr>
        <w:t>In addition, changes in law may introduce uncertainty in the enforceability or scope of patents we own. If our patents are narrowed, invalidated or held unenforceable, third parties may be able to commercialize our technology or products and compete directly with us without payment to us. There is no assurance that all potentially relevant prior art relating to our patents and patent applications has been found, and such prior art could potentially invalidate one or more of our patents or prevent a patent from issuing from one or more of our pending patent applications. There is also no assurance that there is no prior art that may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The legal systems of certain countries do not favor the aggressive enforcement of patents, and the laws of foreign countries may not allow us to protect our inventions with patents to the same extent as the laws of the United States. Because patent applications in the United States and many foreign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w:t>
      </w:r>
    </w:p>
    <w:p>
      <w:pPr>
        <w:sectPr>
          <w:pgSz w:w="12240" w:h="15840" w:orient="portrait"/>
          <w:cols w:equalWidth="0" w:num="1">
            <w:col w:w="10480"/>
          </w:cols>
          <w:pgMar w:left="880" w:top="1165" w:right="880" w:bottom="390" w:gutter="0" w:footer="0" w:header="0"/>
        </w:sect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54</w:t>
      </w:r>
    </w:p>
    <w:p>
      <w:pPr>
        <w:sectPr>
          <w:pgSz w:w="12240" w:h="15840" w:orient="portrait"/>
          <w:cols w:equalWidth="0" w:num="1">
            <w:col w:w="10480"/>
          </w:cols>
          <w:pgMar w:left="880" w:top="1165" w:right="880" w:bottom="390" w:gutter="0" w:footer="0" w:header="0"/>
          <w:type w:val="continuous"/>
        </w:sectPr>
      </w:pPr>
    </w:p>
    <w:bookmarkStart w:id="62" w:name="page63"/>
    <w:bookmarkEnd w:id="62"/>
    <w:p>
      <w:pPr>
        <w:ind w:right="120" w:firstLine="475"/>
        <w:spacing w:after="0" w:line="297" w:lineRule="auto"/>
        <w:rPr>
          <w:sz w:val="20"/>
          <w:szCs w:val="20"/>
          <w:color w:val="auto"/>
        </w:rPr>
      </w:pPr>
      <w:r>
        <w:rPr>
          <w:rFonts w:ascii="Arial" w:cs="Arial" w:eastAsia="Arial" w:hAnsi="Arial"/>
          <w:sz w:val="16"/>
          <w:szCs w:val="16"/>
          <w:b w:val="1"/>
          <w:bCs w:val="1"/>
          <w:color w:val="231F20"/>
        </w:rPr>
        <w:t>For all of the foregoing reasons, the issuance, validity, enforceability, scope and commercial value of our patents in the United States and in foreign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 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We may not be able to protect our intellectual property rights throughout the world.</w:t>
      </w:r>
    </w:p>
    <w:p>
      <w:pPr>
        <w:spacing w:after="0" w:line="125" w:lineRule="exact"/>
        <w:rPr>
          <w:sz w:val="20"/>
          <w:szCs w:val="20"/>
          <w:color w:val="auto"/>
        </w:rPr>
      </w:pPr>
    </w:p>
    <w:p>
      <w:pPr>
        <w:ind w:firstLine="475"/>
        <w:spacing w:after="0" w:line="295" w:lineRule="auto"/>
        <w:rPr>
          <w:sz w:val="20"/>
          <w:szCs w:val="20"/>
          <w:color w:val="auto"/>
        </w:rPr>
      </w:pPr>
      <w:r>
        <w:rPr>
          <w:rFonts w:ascii="Arial" w:cs="Arial" w:eastAsia="Arial" w:hAnsi="Arial"/>
          <w:sz w:val="16"/>
          <w:szCs w:val="16"/>
          <w:b w:val="1"/>
          <w:bCs w:val="1"/>
          <w:color w:val="231F20"/>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to develop their own products in jurisdictions where we have not obtained patent protection and further, may export otherwise infringing products to territories where we have patent protection, but enforcement is not as strong as that in the United States. These products may compete with our current or future products, if any, and our patents or other intellectual property rights may not be valid or sufficient to prevent them from competing.</w:t>
      </w:r>
    </w:p>
    <w:p>
      <w:pPr>
        <w:spacing w:after="0" w:line="89" w:lineRule="exact"/>
        <w:rPr>
          <w:sz w:val="20"/>
          <w:szCs w:val="20"/>
          <w:color w:val="auto"/>
        </w:rPr>
      </w:pPr>
    </w:p>
    <w:p>
      <w:pPr>
        <w:ind w:right="20" w:firstLine="475"/>
        <w:spacing w:after="0" w:line="293" w:lineRule="auto"/>
        <w:rPr>
          <w:sz w:val="20"/>
          <w:szCs w:val="20"/>
          <w:color w:val="auto"/>
        </w:rPr>
      </w:pPr>
      <w:r>
        <w:rPr>
          <w:rFonts w:ascii="Arial" w:cs="Arial" w:eastAsia="Arial" w:hAnsi="Arial"/>
          <w:sz w:val="16"/>
          <w:szCs w:val="16"/>
          <w:b w:val="1"/>
          <w:bCs w:val="1"/>
          <w:color w:val="231F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Beginning June 1, 2023, European patent applications and patents may be subjected to the jurisdiction of the Unified Patent Court, or UPC. Also, European patent applications will have the option, upon grant of a patent, of becoming a Unitary Patent, which will be subject to the jurisdiction of the UPC. The UPC and Unitary Patent are significant changes in European patent practice. As the UPC is a new court system, there is no precedent for the court, increasing the uncertainty of any litigation in the UPC.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court proceedings to enforce our intellectual property rights, and the damages or other remedies awarded to us,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95" w:lineRule="exact"/>
        <w:rPr>
          <w:sz w:val="20"/>
          <w:szCs w:val="20"/>
          <w:color w:val="auto"/>
        </w:rPr>
      </w:pPr>
    </w:p>
    <w:p>
      <w:pPr>
        <w:ind w:right="100" w:firstLine="475"/>
        <w:spacing w:after="0" w:line="242" w:lineRule="auto"/>
        <w:rPr>
          <w:sz w:val="20"/>
          <w:szCs w:val="20"/>
          <w:color w:val="auto"/>
        </w:rPr>
      </w:pPr>
      <w:r>
        <w:rPr>
          <w:rFonts w:ascii="Arial" w:cs="Arial" w:eastAsia="Arial" w:hAnsi="Arial"/>
          <w:sz w:val="19"/>
          <w:szCs w:val="19"/>
          <w:b w:val="1"/>
          <w:bCs w:val="1"/>
          <w:color w:val="231F20"/>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w:t>
      </w:r>
    </w:p>
    <w:p>
      <w:pPr>
        <w:spacing w:after="0" w:line="124" w:lineRule="exact"/>
        <w:rPr>
          <w:sz w:val="20"/>
          <w:szCs w:val="20"/>
          <w:color w:val="auto"/>
        </w:rPr>
      </w:pPr>
    </w:p>
    <w:p>
      <w:pPr>
        <w:ind w:firstLine="475"/>
        <w:spacing w:after="0" w:line="259" w:lineRule="auto"/>
        <w:rPr>
          <w:sz w:val="20"/>
          <w:szCs w:val="20"/>
          <w:color w:val="auto"/>
        </w:rPr>
      </w:pPr>
      <w:r>
        <w:rPr>
          <w:rFonts w:ascii="Arial" w:cs="Arial" w:eastAsia="Arial" w:hAnsi="Arial"/>
          <w:sz w:val="18"/>
          <w:szCs w:val="18"/>
          <w:b w:val="1"/>
          <w:bCs w:val="1"/>
          <w:color w:val="231F20"/>
        </w:rPr>
        <w:t>Additionally, the requirements for patentability may differ in certain countries. For example, in certain countries, there is no link between regulatory approval of a drug and its patent status, and patenting of medical uses of a claimed drug are prohibited. In addition, certain countries in Europe and other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spacing w:after="0" w:line="114" w:lineRule="exact"/>
        <w:rPr>
          <w:sz w:val="20"/>
          <w:szCs w:val="20"/>
          <w:color w:val="auto"/>
        </w:rPr>
      </w:pPr>
    </w:p>
    <w:p>
      <w:pPr>
        <w:ind w:right="120"/>
        <w:spacing w:after="0" w:line="242" w:lineRule="auto"/>
        <w:rPr>
          <w:sz w:val="20"/>
          <w:szCs w:val="20"/>
          <w:color w:val="auto"/>
        </w:rPr>
      </w:pPr>
      <w:r>
        <w:rPr>
          <w:rFonts w:ascii="Arial" w:cs="Arial" w:eastAsia="Arial" w:hAnsi="Arial"/>
          <w:sz w:val="19"/>
          <w:szCs w:val="19"/>
          <w:b w:val="1"/>
          <w:bCs w:val="1"/>
          <w:color w:val="231F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26" w:lineRule="exact"/>
        <w:rPr>
          <w:sz w:val="20"/>
          <w:szCs w:val="20"/>
          <w:color w:val="auto"/>
        </w:rPr>
      </w:pPr>
    </w:p>
    <w:p>
      <w:pPr>
        <w:ind w:right="20" w:firstLine="475"/>
        <w:spacing w:after="0" w:line="295" w:lineRule="auto"/>
        <w:rPr>
          <w:sz w:val="20"/>
          <w:szCs w:val="20"/>
          <w:color w:val="auto"/>
        </w:rPr>
      </w:pPr>
      <w:r>
        <w:rPr>
          <w:rFonts w:ascii="Arial" w:cs="Arial" w:eastAsia="Arial" w:hAnsi="Arial"/>
          <w:sz w:val="16"/>
          <w:szCs w:val="16"/>
          <w:b w:val="1"/>
          <w:bCs w:val="1"/>
          <w:color w:val="231F20"/>
        </w:rPr>
        <w:t>Periodic maintenance fees, renewal fees, annuity fees and various other governmental fees on patents or applications will be due to the USPTO and various foreign patent offices at various points over the lifetime of our patents or applications. We have systems in place to remind us to pay these fees, and we rely on our outside patent annuity service to pay these fees automatically when due, but we must notify the provider of any new patents or applications. Additionally, the USPTO and various foreign patent offices require compliance with many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ectPr>
          <w:pgSz w:w="12240" w:h="15840" w:orient="portrait"/>
          <w:cols w:equalWidth="0" w:num="1">
            <w:col w:w="10460"/>
          </w:cols>
          <w:pgMar w:left="880" w:top="1165" w:right="90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231F20"/>
        </w:rPr>
        <w:t>55</w:t>
      </w:r>
    </w:p>
    <w:p>
      <w:pPr>
        <w:sectPr>
          <w:pgSz w:w="12240" w:h="15840" w:orient="portrait"/>
          <w:cols w:equalWidth="0" w:num="1">
            <w:col w:w="10460"/>
          </w:cols>
          <w:pgMar w:left="880" w:top="1165" w:right="900" w:bottom="390" w:gutter="0" w:footer="0" w:header="0"/>
          <w:type w:val="continuous"/>
        </w:sectPr>
      </w:pPr>
    </w:p>
    <w:bookmarkStart w:id="63" w:name="page64"/>
    <w:bookmarkEnd w:id="63"/>
    <w:p>
      <w:pPr>
        <w:ind w:right="380"/>
        <w:spacing w:after="0" w:line="239" w:lineRule="auto"/>
        <w:rPr>
          <w:sz w:val="20"/>
          <w:szCs w:val="20"/>
          <w:color w:val="auto"/>
        </w:rPr>
      </w:pPr>
      <w:r>
        <w:rPr>
          <w:rFonts w:ascii="Arial" w:cs="Arial" w:eastAsia="Arial" w:hAnsi="Arial"/>
          <w:sz w:val="19"/>
          <w:szCs w:val="19"/>
          <w:b w:val="1"/>
          <w:bCs w:val="1"/>
          <w:color w:val="231F20"/>
        </w:rPr>
        <w:t>Changes in patent laws or patent jurisprudence could diminish the value of patents in general, thereby impairing our ability to protect our product candidates.</w:t>
      </w:r>
    </w:p>
    <w:p>
      <w:pPr>
        <w:spacing w:after="0" w:line="129" w:lineRule="exact"/>
        <w:rPr>
          <w:sz w:val="20"/>
          <w:szCs w:val="20"/>
          <w:color w:val="auto"/>
        </w:rPr>
      </w:pPr>
    </w:p>
    <w:p>
      <w:pPr>
        <w:ind w:firstLine="475"/>
        <w:spacing w:after="0" w:line="276" w:lineRule="auto"/>
        <w:rPr>
          <w:sz w:val="20"/>
          <w:szCs w:val="20"/>
          <w:color w:val="auto"/>
        </w:rPr>
      </w:pPr>
      <w:r>
        <w:rPr>
          <w:rFonts w:ascii="Arial" w:cs="Arial" w:eastAsia="Arial" w:hAnsi="Arial"/>
          <w:sz w:val="17"/>
          <w:szCs w:val="17"/>
          <w:b w:val="1"/>
          <w:bCs w:val="1"/>
          <w:color w:val="231F20"/>
        </w:rPr>
        <w:t>The patent positions of biotechnology companies can be highly uncertain and involve complex legal and factual questions for which important legal principles remain unresolved. Changes in either the patent laws or in the interpretations of patent laws in the United States and other countries may diminish the value of our intellectual property. We cannot predict the breadth of claims that may be allowed or found to be enforceable in our patents or in third-party patents. The United States has enacted and implemented wide-ranging patent reform legislation. Further, recent U.S. Supreme Court rulings have either narrowed the scope of patent protection available in certain circumstances or weakened the rights of patent owners in certain situations. In addition to increasing uncertainty with regard to our ability to obtain patents in the future, this combination of events has created uncertainty with respect to the validity, scope and value of patents, once obtained.</w:t>
      </w:r>
    </w:p>
    <w:p>
      <w:pPr>
        <w:spacing w:after="0" w:line="102" w:lineRule="exact"/>
        <w:rPr>
          <w:sz w:val="20"/>
          <w:szCs w:val="20"/>
          <w:color w:val="auto"/>
        </w:rPr>
      </w:pPr>
    </w:p>
    <w:p>
      <w:pPr>
        <w:ind w:right="100" w:firstLine="475"/>
        <w:spacing w:after="0" w:line="222" w:lineRule="exact"/>
        <w:rPr>
          <w:sz w:val="20"/>
          <w:szCs w:val="20"/>
          <w:color w:val="auto"/>
        </w:rPr>
      </w:pPr>
      <w:r>
        <w:rPr>
          <w:rFonts w:ascii="Arial" w:cs="Arial" w:eastAsia="Arial" w:hAnsi="Arial"/>
          <w:sz w:val="17"/>
          <w:szCs w:val="17"/>
          <w:b w:val="1"/>
          <w:bCs w:val="1"/>
          <w:color w:val="231F20"/>
        </w:rPr>
        <w:t xml:space="preserve">For our U.S. patent applications containing a priority claim after March 16, 2013, there is a higher level of uncertainty in the patent law. In September 2011, the Leahy-Smith America Invents Act, also known as the America Invents Act, or AIA, was signed into law. The AIA includes a number of significant changes to U.S. patent law, including provisions that affect the way patent applications are prosecuted and may also affect patent litigation. The AIA and its implementation may increase the uncertainties and costs surrounding the prosecution of our patent applications and the enforcement or defense of our issued patents, all of which could have an adverse effect on our business. An important change introduced by the AIA is that, as of March 16, 2013, the United States transitioned to a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first-to-file</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system for deciding which party should be granted a patent when two or more patent applications are filed by different parties disclosing or claiming the same invention. A third party that has filed, or does file a patent application in the USPTO after March 16, 2013 but before us, could be awarded a patent covering a given invention, even if we had made the invention before it was made by the third party. This requires us to be cognizant going forward of the time from invention to filing of a patent application.</w:t>
      </w:r>
    </w:p>
    <w:p>
      <w:pPr>
        <w:spacing w:after="0" w:line="131" w:lineRule="exact"/>
        <w:rPr>
          <w:sz w:val="20"/>
          <w:szCs w:val="20"/>
          <w:color w:val="auto"/>
        </w:rPr>
      </w:pPr>
    </w:p>
    <w:p>
      <w:pPr>
        <w:ind w:right="80" w:firstLine="475"/>
        <w:spacing w:after="0" w:line="277" w:lineRule="auto"/>
        <w:rPr>
          <w:sz w:val="20"/>
          <w:szCs w:val="20"/>
          <w:color w:val="auto"/>
        </w:rPr>
      </w:pPr>
      <w:r>
        <w:rPr>
          <w:rFonts w:ascii="Arial" w:cs="Arial" w:eastAsia="Arial" w:hAnsi="Arial"/>
          <w:sz w:val="17"/>
          <w:szCs w:val="17"/>
          <w:b w:val="1"/>
          <w:bCs w:val="1"/>
          <w:color w:val="231F20"/>
        </w:rPr>
        <w:t>Among some of the other changes introduced by the AIA are changes that limit where a patentee may file a patent infringement suit and providing opportunities for third parties to file third party submissions of prior art to the USPTO during patent prosecution and to challenge any issued patent in the USPTO (e.g., via post-grant reviews or inter partes reviews).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spacing w:after="0" w:line="96" w:lineRule="exact"/>
        <w:rPr>
          <w:sz w:val="20"/>
          <w:szCs w:val="20"/>
          <w:color w:val="auto"/>
        </w:rPr>
      </w:pPr>
    </w:p>
    <w:p>
      <w:pPr>
        <w:ind w:right="80" w:firstLine="475"/>
        <w:spacing w:after="0" w:line="220" w:lineRule="exact"/>
        <w:rPr>
          <w:sz w:val="20"/>
          <w:szCs w:val="20"/>
          <w:color w:val="auto"/>
        </w:rPr>
      </w:pPr>
      <w:r>
        <w:rPr>
          <w:rFonts w:ascii="Arial" w:cs="Arial" w:eastAsia="Arial" w:hAnsi="Arial"/>
          <w:sz w:val="17"/>
          <w:szCs w:val="17"/>
          <w:b w:val="1"/>
          <w:bCs w:val="1"/>
          <w:color w:val="231F20"/>
        </w:rPr>
        <w:t>Depending on decisions by the U.S. Congress, the U.S. federal courts, the USPTO or similar authorities in foreign jurisdictions, the laws and regulations governing patents could change in unpredictable ways that may weaken our and our licensors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ability to obtain new patents or to enforce existing patents we and our licensors or partners may obtain in the future.</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Our patents covering one or more of our product candidates could be found invalid or unenforceable if challenged.</w:t>
      </w:r>
    </w:p>
    <w:p>
      <w:pPr>
        <w:spacing w:after="0" w:line="128" w:lineRule="exact"/>
        <w:rPr>
          <w:sz w:val="20"/>
          <w:szCs w:val="20"/>
          <w:color w:val="auto"/>
        </w:rPr>
      </w:pPr>
    </w:p>
    <w:p>
      <w:pPr>
        <w:ind w:right="60" w:firstLine="475"/>
        <w:spacing w:after="0" w:line="295" w:lineRule="auto"/>
        <w:rPr>
          <w:sz w:val="20"/>
          <w:szCs w:val="20"/>
          <w:color w:val="auto"/>
        </w:rPr>
      </w:pPr>
      <w:r>
        <w:rPr>
          <w:rFonts w:ascii="Arial" w:cs="Arial" w:eastAsia="Arial" w:hAnsi="Arial"/>
          <w:sz w:val="16"/>
          <w:szCs w:val="16"/>
          <w:b w:val="1"/>
          <w:bCs w:val="1"/>
          <w:color w:val="231F20"/>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86" w:lineRule="exact"/>
        <w:rPr>
          <w:sz w:val="20"/>
          <w:szCs w:val="20"/>
          <w:color w:val="auto"/>
        </w:rPr>
      </w:pPr>
    </w:p>
    <w:p>
      <w:pPr>
        <w:ind w:right="40" w:firstLine="475"/>
        <w:spacing w:after="0" w:line="260" w:lineRule="auto"/>
        <w:rPr>
          <w:sz w:val="20"/>
          <w:szCs w:val="20"/>
          <w:color w:val="auto"/>
        </w:rPr>
      </w:pPr>
      <w:r>
        <w:rPr>
          <w:rFonts w:ascii="Arial" w:cs="Arial" w:eastAsia="Arial" w:hAnsi="Arial"/>
          <w:sz w:val="18"/>
          <w:szCs w:val="18"/>
          <w:b w:val="1"/>
          <w:bCs w:val="1"/>
          <w:color w:val="231F20"/>
        </w:rPr>
        <w:t>With respect to challenges to the validity of our patents, for example, there might be invalidating prior art, of which the patent examiner and we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w:t>
      </w:r>
    </w:p>
    <w:p>
      <w:pPr>
        <w:spacing w:after="0" w:line="108" w:lineRule="exact"/>
        <w:rPr>
          <w:sz w:val="20"/>
          <w:szCs w:val="20"/>
          <w:color w:val="auto"/>
        </w:rPr>
      </w:pPr>
    </w:p>
    <w:p>
      <w:pPr>
        <w:ind w:right="100" w:firstLine="475"/>
        <w:spacing w:after="0" w:line="260" w:lineRule="auto"/>
        <w:rPr>
          <w:sz w:val="20"/>
          <w:szCs w:val="20"/>
          <w:color w:val="auto"/>
        </w:rPr>
      </w:pPr>
      <w:r>
        <w:rPr>
          <w:rFonts w:ascii="Arial" w:cs="Arial" w:eastAsia="Arial" w:hAnsi="Arial"/>
          <w:sz w:val="18"/>
          <w:szCs w:val="18"/>
          <w:b w:val="1"/>
          <w:bCs w:val="1"/>
          <w:color w:val="231F20"/>
        </w:rPr>
        <w:t>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ectPr>
          <w:pgSz w:w="12240" w:h="15840" w:orient="portrait"/>
          <w:cols w:equalWidth="0" w:num="1">
            <w:col w:w="10480"/>
          </w:cols>
          <w:pgMar w:left="880" w:top="1165" w:right="880" w:bottom="39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56</w:t>
      </w:r>
    </w:p>
    <w:p>
      <w:pPr>
        <w:sectPr>
          <w:pgSz w:w="12240" w:h="15840" w:orient="portrait"/>
          <w:cols w:equalWidth="0" w:num="1">
            <w:col w:w="10480"/>
          </w:cols>
          <w:pgMar w:left="880" w:top="1165" w:right="880" w:bottom="390" w:gutter="0" w:footer="0" w:header="0"/>
          <w:type w:val="continuous"/>
        </w:sectPr>
      </w:pPr>
    </w:p>
    <w:bookmarkStart w:id="64" w:name="page65"/>
    <w:bookmarkEnd w:id="64"/>
    <w:p>
      <w:pPr>
        <w:spacing w:after="0"/>
        <w:rPr>
          <w:sz w:val="20"/>
          <w:szCs w:val="20"/>
          <w:color w:val="auto"/>
        </w:rPr>
      </w:pPr>
      <w:r>
        <w:rPr>
          <w:rFonts w:ascii="Arial" w:cs="Arial" w:eastAsia="Arial" w:hAnsi="Arial"/>
          <w:sz w:val="17"/>
          <w:szCs w:val="17"/>
          <w:b w:val="1"/>
          <w:bCs w:val="1"/>
          <w:color w:val="231F20"/>
        </w:rPr>
        <w:t>Patent terms may be inadequate to protect our competitive position on our product candidates for an adequate amount of time.</w:t>
      </w:r>
    </w:p>
    <w:p>
      <w:pPr>
        <w:spacing w:after="0" w:line="145" w:lineRule="exact"/>
        <w:rPr>
          <w:sz w:val="20"/>
          <w:szCs w:val="20"/>
          <w:color w:val="auto"/>
        </w:rPr>
      </w:pPr>
    </w:p>
    <w:p>
      <w:pPr>
        <w:ind w:firstLine="475"/>
        <w:spacing w:after="0" w:line="277" w:lineRule="auto"/>
        <w:rPr>
          <w:sz w:val="20"/>
          <w:szCs w:val="20"/>
          <w:color w:val="auto"/>
        </w:rPr>
      </w:pPr>
      <w:r>
        <w:rPr>
          <w:rFonts w:ascii="Arial" w:cs="Arial" w:eastAsia="Arial" w:hAnsi="Arial"/>
          <w:sz w:val="17"/>
          <w:szCs w:val="17"/>
          <w:b w:val="1"/>
          <w:bCs w:val="1"/>
          <w:color w:val="231F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Patent protection, prosecution, assertion and defense for some of our product candidates may be dependent on third parties.</w:t>
      </w:r>
    </w:p>
    <w:p>
      <w:pPr>
        <w:spacing w:after="0" w:line="143" w:lineRule="exact"/>
        <w:rPr>
          <w:sz w:val="20"/>
          <w:szCs w:val="20"/>
          <w:color w:val="auto"/>
        </w:rPr>
      </w:pPr>
    </w:p>
    <w:p>
      <w:pPr>
        <w:ind w:firstLine="475"/>
        <w:spacing w:after="0" w:line="276" w:lineRule="auto"/>
        <w:rPr>
          <w:sz w:val="20"/>
          <w:szCs w:val="20"/>
          <w:color w:val="auto"/>
        </w:rPr>
      </w:pPr>
      <w:r>
        <w:rPr>
          <w:rFonts w:ascii="Arial" w:cs="Arial" w:eastAsia="Arial" w:hAnsi="Arial"/>
          <w:sz w:val="17"/>
          <w:szCs w:val="17"/>
          <w:b w:val="1"/>
          <w:bCs w:val="1"/>
          <w:color w:val="231F20"/>
        </w:rPr>
        <w:t>There may be times in the future when certain patents that relate to our product candidates or any approved products are controlled by our licensees or licensors, such as with respect to our license agreements. Although we may, under such arrangements, have rights to consult with our strategic partners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w:t>
      </w:r>
    </w:p>
    <w:p>
      <w:pPr>
        <w:spacing w:after="0" w:line="99" w:lineRule="exact"/>
        <w:rPr>
          <w:sz w:val="20"/>
          <w:szCs w:val="20"/>
          <w:color w:val="auto"/>
        </w:rPr>
      </w:pPr>
    </w:p>
    <w:p>
      <w:pPr>
        <w:ind w:right="20"/>
        <w:spacing w:after="0" w:line="239" w:lineRule="auto"/>
        <w:rPr>
          <w:sz w:val="20"/>
          <w:szCs w:val="20"/>
          <w:color w:val="auto"/>
        </w:rPr>
      </w:pPr>
      <w:r>
        <w:rPr>
          <w:rFonts w:ascii="Arial" w:cs="Arial" w:eastAsia="Arial" w:hAnsi="Arial"/>
          <w:sz w:val="19"/>
          <w:szCs w:val="19"/>
          <w:b w:val="1"/>
          <w:bCs w:val="1"/>
          <w:color w:val="231F20"/>
        </w:rPr>
        <w:t>If we are unable to protect the confidentiality of our trade secrets and proprietary information or obtain proper assignment of such intellectual property, the value of our technology and products could be adversely affected.</w:t>
      </w:r>
    </w:p>
    <w:p>
      <w:pPr>
        <w:spacing w:after="0" w:line="129" w:lineRule="exact"/>
        <w:rPr>
          <w:sz w:val="20"/>
          <w:szCs w:val="20"/>
          <w:color w:val="auto"/>
        </w:rPr>
      </w:pPr>
    </w:p>
    <w:p>
      <w:pPr>
        <w:ind w:right="40" w:firstLine="475"/>
        <w:spacing w:after="0" w:line="222" w:lineRule="exact"/>
        <w:rPr>
          <w:sz w:val="20"/>
          <w:szCs w:val="20"/>
          <w:color w:val="auto"/>
        </w:rPr>
      </w:pPr>
      <w:r>
        <w:rPr>
          <w:rFonts w:ascii="Arial" w:cs="Arial" w:eastAsia="Arial" w:hAnsi="Arial"/>
          <w:sz w:val="16"/>
          <w:szCs w:val="16"/>
          <w:b w:val="1"/>
          <w:bCs w:val="1"/>
          <w:color w:val="231F20"/>
        </w:rPr>
        <w:t>In addition to patent protection, we also rely on other proprietary rights, including protection of trade secrets and other proprietary information. Trade secrets and know-how can be difficult to protect. Trade secrets and know-how can also in some instances be independently derived or reverse-engineered by a third party. We maintain the confidentiality of trade secrets and proprietary information in part by entering into confidentiality agreements with our employees, consultants, other service providers, including former service provider Tallac Therapeutics, strategic partners and others upon the commencement of their relationships with us. These agreements require that all confidential information developed by the individual or made known to the individual by us during the course of the individual</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relationship with us be kept confidential and not disclosed to third parties. Our agreements with employees and our personnel policies in addition to our service provider agreements, such as the Tallac Services Agreement, also provide that any inventions conceived by the individual in the course of rendering services to us shall be our exclusive property. However, we may not obtain these agreements in all circumstances, and even when we obtain these agreements, individuals with whom we have these agreements may not comply with their terms. Any of the parties to these agreements may breach such agreements and disclose our proprietary information, including our trade secrets, and we may not be able to obtain adequate remedies for such breaches. In the event of unauthorized use or disclosure of our trade secrets or proprietary information, these agreements, even if obtained, may not provide meaningful protection, particularly for our trade secrets or other confidential information. We may also become involved in inventorship disputes relating to inventions and patents developed by our employees, consultants, contractors and other service providers, including former service provider Tallac Therapeutics, under such agreements. To the extent that our employees, consultants, contractors or other service providers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assignee. Such assignment or license may not be available on commercially reasonable terms or at all.</w:t>
      </w:r>
    </w:p>
    <w:p>
      <w:pPr>
        <w:spacing w:after="0" w:line="140" w:lineRule="exact"/>
        <w:rPr>
          <w:sz w:val="20"/>
          <w:szCs w:val="20"/>
          <w:color w:val="auto"/>
        </w:rPr>
      </w:pPr>
    </w:p>
    <w:p>
      <w:pPr>
        <w:ind w:right="40" w:firstLine="475"/>
        <w:spacing w:after="0" w:line="294" w:lineRule="auto"/>
        <w:rPr>
          <w:sz w:val="20"/>
          <w:szCs w:val="20"/>
          <w:color w:val="auto"/>
        </w:rPr>
      </w:pPr>
      <w:r>
        <w:rPr>
          <w:rFonts w:ascii="Arial" w:cs="Arial" w:eastAsia="Arial" w:hAnsi="Arial"/>
          <w:sz w:val="16"/>
          <w:szCs w:val="16"/>
          <w:b w:val="1"/>
          <w:bCs w:val="1"/>
          <w:color w:val="231F20"/>
        </w:rPr>
        <w:t>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In addition,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or if we otherwise lose protection for our trade secrets or proprietary know-how, the value of this information may be greatly reduced, and our business and competitive position could be harmed. Adequate remedies may not exist in the event of unauthorized use or disclosure of our proprietary information.</w:t>
      </w:r>
    </w:p>
    <w:p>
      <w:pPr>
        <w:sectPr>
          <w:pgSz w:w="12240" w:h="15840" w:orient="portrait"/>
          <w:cols w:equalWidth="0" w:num="1">
            <w:col w:w="10460"/>
          </w:cols>
          <w:pgMar w:left="880" w:top="1165" w:right="90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231F20"/>
        </w:rPr>
        <w:t>57</w:t>
      </w:r>
    </w:p>
    <w:p>
      <w:pPr>
        <w:sectPr>
          <w:pgSz w:w="12240" w:h="15840" w:orient="portrait"/>
          <w:cols w:equalWidth="0" w:num="1">
            <w:col w:w="10460"/>
          </w:cols>
          <w:pgMar w:left="880" w:top="1165" w:right="900" w:bottom="390" w:gutter="0" w:footer="0" w:header="0"/>
          <w:type w:val="continuous"/>
        </w:sectPr>
      </w:pPr>
    </w:p>
    <w:bookmarkStart w:id="65" w:name="page66"/>
    <w:bookmarkEnd w:id="65"/>
    <w:p>
      <w:pPr>
        <w:spacing w:after="0" w:line="239" w:lineRule="auto"/>
        <w:rPr>
          <w:sz w:val="20"/>
          <w:szCs w:val="20"/>
          <w:color w:val="auto"/>
        </w:rPr>
      </w:pPr>
      <w:r>
        <w:rPr>
          <w:rFonts w:ascii="Arial" w:cs="Arial" w:eastAsia="Arial" w:hAnsi="Arial"/>
          <w:sz w:val="19"/>
          <w:szCs w:val="19"/>
          <w:b w:val="1"/>
          <w:bCs w:val="1"/>
          <w:color w:val="231F20"/>
        </w:rPr>
        <w:t>We may become involved in lawsuits to protect or enforce our patents and trade secrets, which could be expensive, time-consuming and unsuccessful.</w:t>
      </w:r>
    </w:p>
    <w:p>
      <w:pPr>
        <w:spacing w:after="0" w:line="129" w:lineRule="exact"/>
        <w:rPr>
          <w:sz w:val="20"/>
          <w:szCs w:val="20"/>
          <w:color w:val="auto"/>
        </w:rPr>
      </w:pPr>
    </w:p>
    <w:p>
      <w:pPr>
        <w:ind w:firstLine="475"/>
        <w:spacing w:after="0" w:line="294" w:lineRule="auto"/>
        <w:rPr>
          <w:sz w:val="20"/>
          <w:szCs w:val="20"/>
          <w:color w:val="auto"/>
        </w:rPr>
      </w:pPr>
      <w:r>
        <w:rPr>
          <w:rFonts w:ascii="Arial" w:cs="Arial" w:eastAsia="Arial" w:hAnsi="Arial"/>
          <w:sz w:val="16"/>
          <w:szCs w:val="16"/>
          <w:b w:val="1"/>
          <w:bCs w:val="1"/>
          <w:color w:val="231F20"/>
        </w:rPr>
        <w:t>Third parties may seek approval to market their own products similar to or otherwise competitive with our product candidates or biosimilar versions of any approved product candidates. In these circumstances, we may need to defend or assert our patents, including by filing lawsuits alleging patent infringement. If we were to initiate legal proceedings against a third party to enforce a patent covering our product candidates, the defendant could counterclaim that the patent covering our product candidate is invalid and/or unenforceable. In patent litigation in the United States, defendant counterclaims alleging invalidity and/or unenforceability are commonplace. Grounds for an invalidity challenge could be an alleged failure to meet any of several statutory requirements, including lack of novelty, obviousness, written description or 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of these types of proceedings, a court or agency with jurisdiction may find our patents invalid or unenforceable. Even if we have valid and enforceable patents, these patents still may not provide protection against competing products sufficient to achieve our business objectives.</w:t>
      </w:r>
    </w:p>
    <w:p>
      <w:pPr>
        <w:spacing w:after="0" w:line="91" w:lineRule="exact"/>
        <w:rPr>
          <w:sz w:val="20"/>
          <w:szCs w:val="20"/>
          <w:color w:val="auto"/>
        </w:rPr>
      </w:pPr>
    </w:p>
    <w:p>
      <w:pPr>
        <w:ind w:right="40" w:firstLine="475"/>
        <w:spacing w:after="0" w:line="260" w:lineRule="auto"/>
        <w:rPr>
          <w:sz w:val="20"/>
          <w:szCs w:val="20"/>
          <w:color w:val="auto"/>
        </w:rPr>
      </w:pPr>
      <w:r>
        <w:rPr>
          <w:rFonts w:ascii="Arial" w:cs="Arial" w:eastAsia="Arial" w:hAnsi="Arial"/>
          <w:sz w:val="18"/>
          <w:szCs w:val="18"/>
          <w:b w:val="1"/>
          <w:bCs w:val="1"/>
          <w:color w:val="231F20"/>
        </w:rPr>
        <w:t>Even after they have issued, our patents and any patents that we license may be challenged, narrowed, invalidated or circumvented. If our patents are invalidated or otherwise limited or will expire prior to the commercialization of our product candidates, other companies may be better able to develop products that compete with ours, which could adversely affect our competitive business position, business prospects and financial condition.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09" w:lineRule="exact"/>
        <w:rPr>
          <w:sz w:val="20"/>
          <w:szCs w:val="20"/>
          <w:color w:val="auto"/>
        </w:rPr>
      </w:pPr>
    </w:p>
    <w:p>
      <w:pPr>
        <w:ind w:right="760" w:firstLine="475"/>
        <w:spacing w:after="0" w:line="239" w:lineRule="auto"/>
        <w:rPr>
          <w:sz w:val="20"/>
          <w:szCs w:val="20"/>
          <w:color w:val="auto"/>
        </w:rPr>
      </w:pPr>
      <w:r>
        <w:rPr>
          <w:rFonts w:ascii="Arial" w:cs="Arial" w:eastAsia="Arial" w:hAnsi="Arial"/>
          <w:sz w:val="19"/>
          <w:szCs w:val="19"/>
          <w:b w:val="1"/>
          <w:bCs w:val="1"/>
          <w:color w:val="231F20"/>
        </w:rPr>
        <w:t>The following are examples of litigation and other adversarial proceedings or disputes that we could become a party to involving our patents or patents licensed to us:</w:t>
      </w:r>
    </w:p>
    <w:p>
      <w:pPr>
        <w:spacing w:after="0" w:line="127" w:lineRule="exact"/>
        <w:rPr>
          <w:sz w:val="20"/>
          <w:szCs w:val="20"/>
          <w:color w:val="auto"/>
        </w:rPr>
      </w:pPr>
    </w:p>
    <w:p>
      <w:pPr>
        <w:ind w:left="960"/>
        <w:spacing w:after="0"/>
        <w:rPr>
          <w:sz w:val="20"/>
          <w:szCs w:val="20"/>
          <w:color w:val="auto"/>
        </w:rPr>
      </w:pPr>
      <w:r>
        <w:rPr>
          <w:rFonts w:ascii="Arial" w:cs="Arial" w:eastAsia="Arial" w:hAnsi="Arial"/>
          <w:sz w:val="17"/>
          <w:szCs w:val="17"/>
          <w:b w:val="1"/>
          <w:bCs w:val="1"/>
          <w:color w:val="231F20"/>
        </w:rPr>
        <w:t>we may initiate litigation or other proceedings against third parties to enforce our patent and trade secret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-90170</wp:posOffset>
            </wp:positionV>
            <wp:extent cx="62230" cy="635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25" w:lineRule="exact"/>
        <w:rPr>
          <w:sz w:val="20"/>
          <w:szCs w:val="20"/>
          <w:color w:val="auto"/>
        </w:rPr>
      </w:pPr>
    </w:p>
    <w:p>
      <w:pPr>
        <w:jc w:val="both"/>
        <w:ind w:left="960" w:right="420"/>
        <w:spacing w:after="0" w:line="329" w:lineRule="auto"/>
        <w:rPr>
          <w:sz w:val="20"/>
          <w:szCs w:val="20"/>
          <w:color w:val="auto"/>
        </w:rPr>
      </w:pPr>
      <w:r>
        <w:rPr>
          <w:rFonts w:ascii="Arial" w:cs="Arial" w:eastAsia="Arial" w:hAnsi="Arial"/>
          <w:sz w:val="16"/>
          <w:szCs w:val="16"/>
          <w:b w:val="1"/>
          <w:bCs w:val="1"/>
          <w:color w:val="231F20"/>
        </w:rPr>
        <w:t>third parties may initiate litigation or other proceedings seeking to invalidate patents owned by or licensed to us or to obtain a declaratory judgment that their product or technology does not infringe our patents or patents licensed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-287655</wp:posOffset>
            </wp:positionV>
            <wp:extent cx="62230" cy="635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37" w:lineRule="exact"/>
        <w:rPr>
          <w:sz w:val="20"/>
          <w:szCs w:val="20"/>
          <w:color w:val="auto"/>
        </w:rPr>
      </w:pPr>
    </w:p>
    <w:p>
      <w:pPr>
        <w:ind w:left="960" w:right="180"/>
        <w:spacing w:after="0" w:line="295" w:lineRule="auto"/>
        <w:rPr>
          <w:sz w:val="20"/>
          <w:szCs w:val="20"/>
          <w:color w:val="auto"/>
        </w:rPr>
      </w:pPr>
      <w:r>
        <w:rPr>
          <w:rFonts w:ascii="Arial" w:cs="Arial" w:eastAsia="Arial" w:hAnsi="Arial"/>
          <w:sz w:val="17"/>
          <w:szCs w:val="17"/>
          <w:b w:val="1"/>
          <w:bCs w:val="1"/>
          <w:color w:val="231F20"/>
        </w:rPr>
        <w:t>third parties may initiate opposition or other proceedings challenging the validity or scope of our patent rights, requiring us and/or licensors to participate in such proceedings to defend the validity and scope of our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-271145</wp:posOffset>
            </wp:positionV>
            <wp:extent cx="62230" cy="635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63" w:lineRule="exact"/>
        <w:rPr>
          <w:sz w:val="20"/>
          <w:szCs w:val="20"/>
          <w:color w:val="auto"/>
        </w:rPr>
      </w:pPr>
    </w:p>
    <w:p>
      <w:pPr>
        <w:ind w:left="960" w:right="100"/>
        <w:spacing w:after="0" w:line="242" w:lineRule="auto"/>
        <w:rPr>
          <w:sz w:val="20"/>
          <w:szCs w:val="20"/>
          <w:color w:val="auto"/>
        </w:rPr>
      </w:pPr>
      <w:r>
        <w:rPr>
          <w:rFonts w:ascii="Arial" w:cs="Arial" w:eastAsia="Arial" w:hAnsi="Arial"/>
          <w:sz w:val="19"/>
          <w:szCs w:val="19"/>
          <w:b w:val="1"/>
          <w:bCs w:val="1"/>
          <w:color w:val="231F20"/>
        </w:rPr>
        <w:t>there may be a challenge or dispute regarding inventorship or ownership of patents or trade secrets currently identified as being owned by or licensed to us, including disputes that may arise from our previous reliance on Tallac Therapeutics as the sole provider of our preclinical research services and the intellectual property generated under the Tallac Services Agreement;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-527050</wp:posOffset>
            </wp:positionV>
            <wp:extent cx="62230" cy="635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7" w:lineRule="exact"/>
        <w:rPr>
          <w:sz w:val="20"/>
          <w:szCs w:val="20"/>
          <w:color w:val="auto"/>
        </w:rPr>
      </w:pPr>
    </w:p>
    <w:p>
      <w:pPr>
        <w:ind w:left="960" w:right="120"/>
        <w:spacing w:after="0" w:line="284" w:lineRule="auto"/>
        <w:rPr>
          <w:sz w:val="20"/>
          <w:szCs w:val="20"/>
          <w:color w:val="auto"/>
        </w:rPr>
      </w:pPr>
      <w:r>
        <w:rPr>
          <w:rFonts w:ascii="Arial" w:cs="Arial" w:eastAsia="Arial" w:hAnsi="Arial"/>
          <w:sz w:val="17"/>
          <w:szCs w:val="17"/>
          <w:b w:val="1"/>
          <w:bCs w:val="1"/>
          <w:color w:val="231F20"/>
        </w:rPr>
        <w:t>third parties may seek approval to market biosimilar versions of our future approved products prior to the expiration of relevant patents owned by or licensed to us under the Biologics Price Competition and Innovation Act of 2009, requiring us to defend our patents, including by filing lawsuits alleging patent infringement.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-408305</wp:posOffset>
            </wp:positionV>
            <wp:extent cx="62230" cy="635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71" w:lineRule="exact"/>
        <w:rPr>
          <w:sz w:val="20"/>
          <w:szCs w:val="20"/>
          <w:color w:val="auto"/>
        </w:rPr>
      </w:pPr>
    </w:p>
    <w:p>
      <w:pPr>
        <w:ind w:right="20" w:firstLine="475"/>
        <w:spacing w:after="0" w:line="222" w:lineRule="exact"/>
        <w:rPr>
          <w:sz w:val="20"/>
          <w:szCs w:val="20"/>
          <w:color w:val="auto"/>
        </w:rPr>
      </w:pPr>
      <w:r>
        <w:rPr>
          <w:rFonts w:ascii="Arial" w:cs="Arial" w:eastAsia="Arial" w:hAnsi="Arial"/>
          <w:sz w:val="16"/>
          <w:szCs w:val="16"/>
          <w:b w:val="1"/>
          <w:bCs w:val="1"/>
          <w:color w:val="231F20"/>
        </w:rPr>
        <w:t>Any litigation or other proceedings would be costly and could affect our results of operations and divert the attention of our management and scientific personnel. Some of our competitors may be able to sustain the cost of such litigation and proceedings more effectively than we can because of their substantially greater resources. There is a risk that a court would decide that we are infringing the third party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patents and would order us to stop the activities covered by the patents. In that event, we may not have a viable alternative to the technology protected by the patent and may need to halt work on the affected product candidate or cease commercialization of an approved drug. In addition, there is a risk that a court will order us to pay third party damages or some other monetary award, depending upon the jurisdiction. An adverse outcome in any litigation or other proceeding could subject us to significant liabilities to third parties, potentially including treble damages and attorneys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fees if we are found to have willfully infringed, and we may be required to cease using the technology that is at issue or to license the technology from third parties. We may not be able to obtain any required licenses on commercially acceptable terms or at all. We may not be able to prevent, alone or with our licensors, infringement or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w:t>
      </w:r>
    </w:p>
    <w:p>
      <w:pPr>
        <w:spacing w:after="0" w:line="133" w:lineRule="exact"/>
        <w:rPr>
          <w:sz w:val="20"/>
          <w:szCs w:val="20"/>
          <w:color w:val="auto"/>
        </w:rPr>
      </w:pPr>
    </w:p>
    <w:p>
      <w:pPr>
        <w:ind w:right="60" w:firstLine="475"/>
        <w:spacing w:after="0" w:line="277" w:lineRule="auto"/>
        <w:rPr>
          <w:sz w:val="20"/>
          <w:szCs w:val="20"/>
          <w:color w:val="auto"/>
        </w:rPr>
      </w:pPr>
      <w:r>
        <w:rPr>
          <w:rFonts w:ascii="Arial" w:cs="Arial" w:eastAsia="Arial" w:hAnsi="Arial"/>
          <w:sz w:val="17"/>
          <w:szCs w:val="17"/>
          <w:b w:val="1"/>
          <w:bCs w:val="1"/>
          <w:color w:val="231F20"/>
        </w:rPr>
        <w:t>In addition,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 In addition, any uncertainties resulting from the initiation and continuation of any litigation could have a material adverse effect on our ability to raise additional funds or on our business, results of operations, financial condition and prospects. Any of these outcomes could have a material adverse effect on our business.</w:t>
      </w:r>
    </w:p>
    <w:p>
      <w:pPr>
        <w:sectPr>
          <w:pgSz w:w="12240" w:h="15840" w:orient="portrait"/>
          <w:cols w:equalWidth="0" w:num="1">
            <w:col w:w="10460"/>
          </w:cols>
          <w:pgMar w:left="880" w:top="1165" w:right="900" w:bottom="39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231F20"/>
        </w:rPr>
        <w:t>58</w:t>
      </w:r>
    </w:p>
    <w:p>
      <w:pPr>
        <w:sectPr>
          <w:pgSz w:w="12240" w:h="15840" w:orient="portrait"/>
          <w:cols w:equalWidth="0" w:num="1">
            <w:col w:w="10460"/>
          </w:cols>
          <w:pgMar w:left="880" w:top="1165" w:right="900" w:bottom="390" w:gutter="0" w:footer="0" w:header="0"/>
          <w:type w:val="continuous"/>
        </w:sectPr>
      </w:pPr>
    </w:p>
    <w:bookmarkStart w:id="66" w:name="page67"/>
    <w:bookmarkEnd w:id="66"/>
    <w:p>
      <w:pPr>
        <w:ind w:right="360"/>
        <w:spacing w:after="0" w:line="218" w:lineRule="exact"/>
        <w:rPr>
          <w:sz w:val="20"/>
          <w:szCs w:val="20"/>
          <w:color w:val="auto"/>
        </w:rPr>
      </w:pPr>
      <w:r>
        <w:rPr>
          <w:rFonts w:ascii="Arial" w:cs="Arial" w:eastAsia="Arial" w:hAnsi="Arial"/>
          <w:sz w:val="18"/>
          <w:szCs w:val="18"/>
          <w:b w:val="1"/>
          <w:bCs w:val="1"/>
          <w:color w:val="231F20"/>
        </w:rPr>
        <w:t>We may be subject to claims that we or our employees or consultants have wrongfully used or disclosed alleged trade secrets or other proprietary information of our employees</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 or consultants</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 former employers or their clients.</w:t>
      </w:r>
    </w:p>
    <w:p>
      <w:pPr>
        <w:spacing w:after="0" w:line="128" w:lineRule="exact"/>
        <w:rPr>
          <w:sz w:val="20"/>
          <w:szCs w:val="20"/>
          <w:color w:val="auto"/>
        </w:rPr>
      </w:pPr>
    </w:p>
    <w:p>
      <w:pPr>
        <w:ind w:firstLine="475"/>
        <w:spacing w:after="0" w:line="222" w:lineRule="exact"/>
        <w:rPr>
          <w:sz w:val="20"/>
          <w:szCs w:val="20"/>
          <w:color w:val="auto"/>
        </w:rPr>
      </w:pPr>
      <w:r>
        <w:rPr>
          <w:rFonts w:ascii="Arial" w:cs="Arial" w:eastAsia="Arial" w:hAnsi="Arial"/>
          <w:sz w:val="16"/>
          <w:szCs w:val="16"/>
          <w:b w:val="1"/>
          <w:bCs w:val="1"/>
          <w:color w:val="231F20"/>
        </w:rPr>
        <w:t xml:space="preserve">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If we fail in defending such claims, in addition to paying monetary damages, trade secrets or other proprietary information could be awarded to a third party, and we could be required to obtain a license from such third party to commercialize our technology or products. Such license may not be available on commercially reasonable terms or at all. A loss of key research personnel or their work product could limit our ability to commercialize, or prevent us from commercializing, our current or future technologies or product candidates, which could materially harm our business. Even if we are successful in defending against these claims, litigation would expose us to the risk described above under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We may become involved in lawsuits to protect or enforce our patents and trade secrets, which could be expensive, time-consuming and unsuccessful.</w:t>
      </w:r>
      <w:r>
        <w:rPr>
          <w:rFonts w:ascii="PMingLiU" w:cs="PMingLiU" w:eastAsia="PMingLiU" w:hAnsi="PMingLiU"/>
          <w:sz w:val="16"/>
          <w:szCs w:val="16"/>
          <w:b w:val="1"/>
          <w:bCs w:val="1"/>
          <w:color w:val="231F20"/>
        </w:rPr>
        <w:t></w:t>
      </w:r>
    </w:p>
    <w:p>
      <w:pPr>
        <w:spacing w:after="0" w:line="130" w:lineRule="exact"/>
        <w:rPr>
          <w:sz w:val="20"/>
          <w:szCs w:val="20"/>
          <w:color w:val="auto"/>
        </w:rPr>
      </w:pPr>
    </w:p>
    <w:p>
      <w:pPr>
        <w:ind w:right="360"/>
        <w:spacing w:after="0" w:line="239" w:lineRule="auto"/>
        <w:rPr>
          <w:sz w:val="20"/>
          <w:szCs w:val="20"/>
          <w:color w:val="auto"/>
        </w:rPr>
      </w:pPr>
      <w:r>
        <w:rPr>
          <w:rFonts w:ascii="Arial" w:cs="Arial" w:eastAsia="Arial" w:hAnsi="Arial"/>
          <w:sz w:val="19"/>
          <w:szCs w:val="19"/>
          <w:b w:val="1"/>
          <w:bCs w:val="1"/>
          <w:color w:val="231F20"/>
        </w:rPr>
        <w:t>Our commercial success depends in part on our ability to operate without infringing the patents and other proprietary rights of third parties.</w:t>
      </w:r>
    </w:p>
    <w:p>
      <w:pPr>
        <w:spacing w:after="0" w:line="126" w:lineRule="exact"/>
        <w:rPr>
          <w:sz w:val="20"/>
          <w:szCs w:val="20"/>
          <w:color w:val="auto"/>
        </w:rPr>
      </w:pPr>
    </w:p>
    <w:p>
      <w:pPr>
        <w:ind w:right="160" w:firstLine="475"/>
        <w:spacing w:after="0" w:line="303" w:lineRule="auto"/>
        <w:rPr>
          <w:sz w:val="20"/>
          <w:szCs w:val="20"/>
          <w:color w:val="auto"/>
        </w:rPr>
      </w:pPr>
      <w:r>
        <w:rPr>
          <w:rFonts w:ascii="Arial" w:cs="Arial" w:eastAsia="Arial" w:hAnsi="Arial"/>
          <w:sz w:val="16"/>
          <w:szCs w:val="16"/>
          <w:b w:val="1"/>
          <w:bCs w:val="1"/>
          <w:color w:val="231F20"/>
        </w:rPr>
        <w:t>Our success will depend in part on our ability to operate without infringing the proprietary rights of third parties. Other entities may have or obtain patents or proprietary rights that could limit our ability to make, use, sell, offer for sale or import our future approved products or impair our competitive position. Our research, development and commercialization activities may be subject to claims that we infringe or otherwise violate patents or other intellectual property rights owned or controlled by third parties.</w:t>
      </w:r>
    </w:p>
    <w:p>
      <w:pPr>
        <w:spacing w:after="0" w:line="79" w:lineRule="exact"/>
        <w:rPr>
          <w:sz w:val="20"/>
          <w:szCs w:val="20"/>
          <w:color w:val="auto"/>
        </w:rPr>
      </w:pPr>
    </w:p>
    <w:p>
      <w:pPr>
        <w:ind w:right="20" w:firstLine="475"/>
        <w:spacing w:after="0" w:line="223" w:lineRule="exact"/>
        <w:rPr>
          <w:sz w:val="20"/>
          <w:szCs w:val="20"/>
          <w:color w:val="auto"/>
        </w:rPr>
      </w:pPr>
      <w:r>
        <w:rPr>
          <w:rFonts w:ascii="Arial" w:cs="Arial" w:eastAsia="Arial" w:hAnsi="Arial"/>
          <w:sz w:val="16"/>
          <w:szCs w:val="16"/>
          <w:b w:val="1"/>
          <w:bCs w:val="1"/>
          <w:color w:val="231F20"/>
        </w:rPr>
        <w:t>We are aware of third-party patents and patent applications containing claims in the immuno-oncology field based on scientific approaches that are the same as or similar to our approach, including with respect to the targeting of the CD47 and signal regulatory protein alpha, or SIRP</w:t>
      </w:r>
      <w:r>
        <w:rPr>
          <w:sz w:val="1"/>
          <w:szCs w:val="1"/>
          <w:color w:val="auto"/>
        </w:rPr>
        <w:drawing>
          <wp:inline distT="0" distB="0" distL="0" distR="0">
            <wp:extent cx="83185" cy="83185"/>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3185" cy="83185"/>
                    </a:xfrm>
                    <a:prstGeom prst="rect">
                      <a:avLst/>
                    </a:prstGeom>
                    <a:noFill/>
                    <a:ln>
                      <a:noFill/>
                    </a:ln>
                  </pic:spPr>
                </pic:pic>
              </a:graphicData>
            </a:graphic>
          </wp:inline>
        </w:drawing>
      </w:r>
      <w:r>
        <w:rPr>
          <w:rFonts w:ascii="Arial" w:cs="Arial" w:eastAsia="Arial" w:hAnsi="Arial"/>
          <w:sz w:val="16"/>
          <w:szCs w:val="16"/>
          <w:b w:val="1"/>
          <w:bCs w:val="1"/>
          <w:color w:val="231F20"/>
        </w:rPr>
        <w:t>, pathways, and others that are based on entirely different approaches. These patents and applications could potentially be construed to cover our product candidates and their use. For example, we are aware of U.S. patent 10,907,209 and U.S. patent application 16/118,038 (now abandoned in favor of a divisional application 18/518,353, which has claims that are not related to polypeptides comprising soluble human SIRP</w:t>
      </w:r>
      <w:r>
        <w:rPr>
          <w:sz w:val="1"/>
          <w:szCs w:val="1"/>
          <w:color w:val="auto"/>
        </w:rPr>
        <w:drawing>
          <wp:inline distT="0" distB="0" distL="0" distR="0">
            <wp:extent cx="83185" cy="83185"/>
            <wp:effectExtent l="0" t="0" r="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3185" cy="83185"/>
                    </a:xfrm>
                    <a:prstGeom prst="rect">
                      <a:avLst/>
                    </a:prstGeom>
                    <a:noFill/>
                    <a:ln>
                      <a:noFill/>
                    </a:ln>
                  </pic:spPr>
                </pic:pic>
              </a:graphicData>
            </a:graphic>
          </wp:inline>
        </w:drawing>
      </w:r>
      <w:r>
        <w:rPr>
          <w:rFonts w:ascii="Arial" w:cs="Arial" w:eastAsia="Arial" w:hAnsi="Arial"/>
          <w:sz w:val="16"/>
          <w:szCs w:val="16"/>
          <w:b w:val="1"/>
          <w:bCs w:val="1"/>
          <w:color w:val="231F20"/>
        </w:rPr>
        <w:t>) owned by University Health Network, or UHN, and The Hospital for Sick Children that may encompass certain therapies for the treatment of cancer using polypeptides comprising soluble human SIRP</w:t>
      </w:r>
      <w:r>
        <w:rPr>
          <w:sz w:val="1"/>
          <w:szCs w:val="1"/>
          <w:color w:val="auto"/>
        </w:rPr>
        <w:drawing>
          <wp:inline distT="0" distB="0" distL="0" distR="0">
            <wp:extent cx="83185" cy="83185"/>
            <wp:effectExtent l="0" t="0" r="0"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3185" cy="83185"/>
                    </a:xfrm>
                    <a:prstGeom prst="rect">
                      <a:avLst/>
                    </a:prstGeom>
                    <a:noFill/>
                    <a:ln>
                      <a:noFill/>
                    </a:ln>
                  </pic:spPr>
                </pic:pic>
              </a:graphicData>
            </a:graphic>
          </wp:inline>
        </w:drawing>
      </w:r>
      <w:r>
        <w:rPr>
          <w:rFonts w:ascii="Arial" w:cs="Arial" w:eastAsia="Arial" w:hAnsi="Arial"/>
          <w:sz w:val="16"/>
          <w:szCs w:val="16"/>
          <w:b w:val="1"/>
          <w:bCs w:val="1"/>
          <w:color w:val="231F20"/>
        </w:rPr>
        <w:t>, as well as related applications in other jurisdictions. This patent and patent application relate to the treatment of cancer with polypeptides comprising soluble human SIRP</w:t>
      </w:r>
      <w:r>
        <w:rPr>
          <w:sz w:val="1"/>
          <w:szCs w:val="1"/>
          <w:color w:val="auto"/>
        </w:rPr>
        <w:drawing>
          <wp:inline distT="0" distB="0" distL="0" distR="0">
            <wp:extent cx="83185" cy="83185"/>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3185" cy="83185"/>
                    </a:xfrm>
                    <a:prstGeom prst="rect">
                      <a:avLst/>
                    </a:prstGeom>
                    <a:noFill/>
                    <a:ln>
                      <a:noFill/>
                    </a:ln>
                  </pic:spPr>
                </pic:pic>
              </a:graphicData>
            </a:graphic>
          </wp:inline>
        </w:drawing>
      </w:r>
      <w:r>
        <w:rPr>
          <w:rFonts w:ascii="Arial" w:cs="Arial" w:eastAsia="Arial" w:hAnsi="Arial"/>
          <w:sz w:val="16"/>
          <w:szCs w:val="16"/>
          <w:b w:val="1"/>
          <w:bCs w:val="1"/>
          <w:color w:val="231F20"/>
        </w:rPr>
        <w:t>. Pfizer, through its acquisition of Trillium Therapeutics, has an exclusive license to the U.S. patent and application. The European counterpart patent (EP 2 429 574) was revoked by the Opposition Division of the European Patent Office (Opposition Division) on November 6, 2017. The revocation was appealed by UHN and The Hospital for Sick Children, and on October 18, 2022, the Board of Appeal of the European Patent Office (Board of Appeal) ruled in favor of UHN with respect to the matter on appeal, but remanded the case back to the Opposition Division for consideration of a further ground of invalidity (sufficiency of disclosure). On December 8, 2023, the Opposition Board held that the disclosure in EP 2 429 574 was sufficient and upheld the patent in amended form. On February 15, 2024, the Board of Appeal announced that it had received a notice of appeal with respect to the Opposition Board</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ruling regarding sufficiency of disclosure. The hearing before the Board of Appeal has been scheduled for December 9, 2025. Additionally, on December 27, 2023, a second European Patent (EP 2 995 315), a divisional of European patent (EP 2 429 574), was granted to UHN and The Hospital for Sick Children. This patent relates to the eradication of hematological CD47+ cancer cells and tumors with polypeptides comprising soluble human SIRP</w:t>
      </w:r>
      <w:r>
        <w:rPr>
          <w:sz w:val="1"/>
          <w:szCs w:val="1"/>
          <w:color w:val="auto"/>
        </w:rPr>
        <w:drawing>
          <wp:inline distT="0" distB="0" distL="0" distR="0">
            <wp:extent cx="83185" cy="83185"/>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3185" cy="83185"/>
                    </a:xfrm>
                    <a:prstGeom prst="rect">
                      <a:avLst/>
                    </a:prstGeom>
                    <a:noFill/>
                    <a:ln>
                      <a:noFill/>
                    </a:ln>
                  </pic:spPr>
                </pic:pic>
              </a:graphicData>
            </a:graphic>
          </wp:inline>
        </w:drawing>
      </w:r>
      <w:r>
        <w:rPr>
          <w:rFonts w:ascii="Arial" w:cs="Arial" w:eastAsia="Arial" w:hAnsi="Arial"/>
          <w:sz w:val="16"/>
          <w:szCs w:val="16"/>
          <w:b w:val="1"/>
          <w:bCs w:val="1"/>
          <w:color w:val="231F20"/>
        </w:rPr>
        <w:t>, or a CD47-binding fragment thereof. On February 27, 2024, the Opposition Division announced that it had received a notice of opposition with respect to EP 2 995</w:t>
      </w:r>
    </w:p>
    <w:p>
      <w:pPr>
        <w:spacing w:after="0" w:line="19" w:lineRule="exact"/>
        <w:rPr>
          <w:sz w:val="20"/>
          <w:szCs w:val="20"/>
          <w:color w:val="auto"/>
        </w:rPr>
      </w:pPr>
    </w:p>
    <w:p>
      <w:pPr>
        <w:ind w:right="40" w:firstLine="3"/>
        <w:spacing w:after="0" w:line="297" w:lineRule="auto"/>
        <w:tabs>
          <w:tab w:leader="none" w:pos="389" w:val="left"/>
        </w:tabs>
        <w:numPr>
          <w:ilvl w:val="0"/>
          <w:numId w:val="4"/>
        </w:numPr>
        <w:rPr>
          <w:rFonts w:ascii="Arial" w:cs="Arial" w:eastAsia="Arial" w:hAnsi="Arial"/>
          <w:sz w:val="16"/>
          <w:szCs w:val="16"/>
          <w:b w:val="1"/>
          <w:bCs w:val="1"/>
          <w:color w:val="231F20"/>
        </w:rPr>
      </w:pPr>
      <w:r>
        <w:rPr>
          <w:rFonts w:ascii="Arial" w:cs="Arial" w:eastAsia="Arial" w:hAnsi="Arial"/>
          <w:sz w:val="16"/>
          <w:szCs w:val="16"/>
          <w:b w:val="1"/>
          <w:bCs w:val="1"/>
          <w:color w:val="231F20"/>
        </w:rPr>
        <w:t>A date for the opposition hearing has not yet been announced. The patent claims of both EP 2 429 574 and EP 2 995 315, if not revoked or otherwise limited by the European Patent Office, could potentially limit our ability to pursue evorpacept in certain indications in certain geographies in the future. With respect to U.S. patent 10,907,209, we believe that we do not infringe claims listed in this U.S. patent. As the biotechnology industry expands and more patents are issued, the risk increases that we may be subject to claims of infringement of the patent rights of third parties. There is no assurance that there are not third-party patents or patent applications of which we are aware, but which we do not believe are relevant to our business, which may, nonetheless, ultimately be found to limit our ability to make, use, sell, offer for sale or import our future approved products or impair our competitive position.</w:t>
      </w:r>
    </w:p>
    <w:p>
      <w:pPr>
        <w:spacing w:after="0" w:line="86" w:lineRule="exact"/>
        <w:rPr>
          <w:sz w:val="20"/>
          <w:szCs w:val="20"/>
          <w:color w:val="auto"/>
        </w:rPr>
      </w:pPr>
    </w:p>
    <w:p>
      <w:pPr>
        <w:ind w:right="40" w:firstLine="475"/>
        <w:spacing w:after="0" w:line="276" w:lineRule="auto"/>
        <w:rPr>
          <w:sz w:val="20"/>
          <w:szCs w:val="20"/>
          <w:color w:val="auto"/>
        </w:rPr>
      </w:pPr>
      <w:r>
        <w:rPr>
          <w:rFonts w:ascii="Arial" w:cs="Arial" w:eastAsia="Arial" w:hAnsi="Arial"/>
          <w:sz w:val="17"/>
          <w:szCs w:val="17"/>
          <w:b w:val="1"/>
          <w:bCs w:val="1"/>
          <w:color w:val="231F20"/>
        </w:rPr>
        <w:t>Third parties may have or obtain valid and enforceable patents or proprietary rights that could block us from developing product candidates. These patents may not expire before we receive any marketing approval for our product candidates, and they could delay the commercial launch of one or more future product candidates. If our product candidates were to be found to infringe any such patents, and we were unable to invalidate those patents, or if licenses for them are not available on commercially reasonable terms or at all, our business, financial condition and results of operations could be materially harmed. Furthermore, even if a license is available, it may be non-exclusive, which could result in our competitors gaining access to the same intellectual property. Our failure to maintain a license to any technology that we require may also materially harm our business, financial condition and results of operations, and we would be exposed to a threat of litigation.</w:t>
      </w:r>
    </w:p>
    <w:p>
      <w:pPr>
        <w:sectPr>
          <w:pgSz w:w="12240" w:h="15840" w:orient="portrait"/>
          <w:cols w:equalWidth="0" w:num="1">
            <w:col w:w="10480"/>
          </w:cols>
          <w:pgMar w:left="880" w:top="1165" w:right="88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59</w:t>
      </w:r>
    </w:p>
    <w:p>
      <w:pPr>
        <w:sectPr>
          <w:pgSz w:w="12240" w:h="15840" w:orient="portrait"/>
          <w:cols w:equalWidth="0" w:num="1">
            <w:col w:w="10480"/>
          </w:cols>
          <w:pgMar w:left="880" w:top="1165" w:right="880" w:bottom="390" w:gutter="0" w:footer="0" w:header="0"/>
          <w:type w:val="continuous"/>
        </w:sectPr>
      </w:pPr>
    </w:p>
    <w:bookmarkStart w:id="67" w:name="page68"/>
    <w:bookmarkEnd w:id="67"/>
    <w:p>
      <w:pPr>
        <w:jc w:val="both"/>
        <w:ind w:right="40" w:firstLine="475"/>
        <w:spacing w:after="0" w:line="221" w:lineRule="exact"/>
        <w:rPr>
          <w:sz w:val="20"/>
          <w:szCs w:val="20"/>
          <w:color w:val="auto"/>
        </w:rPr>
      </w:pPr>
      <w:r>
        <w:rPr>
          <w:rFonts w:ascii="Arial" w:cs="Arial" w:eastAsia="Arial" w:hAnsi="Arial"/>
          <w:sz w:val="19"/>
          <w:szCs w:val="19"/>
          <w:b w:val="1"/>
          <w:bCs w:val="1"/>
          <w:color w:val="231F20"/>
        </w:rPr>
        <w:t xml:space="preserve">Any litigation resulting from claims of infringement or failure to license patents and proprietary rights of others would expose us to the risk described above under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We may become involved in lawsuits to protect or enforce our patents and trade secrets, which could be expensive, time consuming and unsuccessful.</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Any of the aforementioned threats to our competitive advantage could have a material adverse effect on our business.</w:t>
      </w:r>
    </w:p>
    <w:p>
      <w:pPr>
        <w:spacing w:after="0" w:line="12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Our intellectual property rights will not necessarily provide us with competitive advantages.</w:t>
      </w:r>
    </w:p>
    <w:p>
      <w:pPr>
        <w:spacing w:after="0" w:line="125" w:lineRule="exact"/>
        <w:rPr>
          <w:sz w:val="20"/>
          <w:szCs w:val="20"/>
          <w:color w:val="auto"/>
        </w:rPr>
      </w:pPr>
    </w:p>
    <w:p>
      <w:pPr>
        <w:jc w:val="both"/>
        <w:ind w:right="20" w:firstLine="475"/>
        <w:spacing w:after="0" w:line="242" w:lineRule="auto"/>
        <w:rPr>
          <w:sz w:val="20"/>
          <w:szCs w:val="20"/>
          <w:color w:val="auto"/>
        </w:rPr>
      </w:pPr>
      <w:r>
        <w:rPr>
          <w:rFonts w:ascii="Arial" w:cs="Arial" w:eastAsia="Arial" w:hAnsi="Arial"/>
          <w:sz w:val="19"/>
          <w:szCs w:val="19"/>
          <w:b w:val="1"/>
          <w:bCs w:val="1"/>
          <w:color w:val="231F20"/>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26" w:lineRule="exact"/>
        <w:rPr>
          <w:sz w:val="20"/>
          <w:szCs w:val="20"/>
          <w:color w:val="auto"/>
        </w:rPr>
      </w:pPr>
    </w:p>
    <w:p>
      <w:pPr>
        <w:ind w:left="960" w:right="220"/>
        <w:spacing w:after="0" w:line="238" w:lineRule="auto"/>
        <w:rPr>
          <w:sz w:val="20"/>
          <w:szCs w:val="20"/>
          <w:color w:val="auto"/>
        </w:rPr>
      </w:pPr>
      <w:r>
        <w:rPr>
          <w:rFonts w:ascii="Arial" w:cs="Arial" w:eastAsia="Arial" w:hAnsi="Arial"/>
          <w:sz w:val="19"/>
          <w:szCs w:val="19"/>
          <w:b w:val="1"/>
          <w:bCs w:val="1"/>
          <w:color w:val="231F20"/>
        </w:rPr>
        <w:t>others may be able to make products that are similar to our product candidates but that are not covered by the claims of the patents that we own or have exclusively licensed;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-242570</wp:posOffset>
            </wp:positionV>
            <wp:extent cx="62230" cy="635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8"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231F20"/>
        </w:rPr>
        <w:t>others may independently develop similar or alternative technologies without infringing our intellectual property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-84455</wp:posOffset>
            </wp:positionV>
            <wp:extent cx="62230" cy="635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34" w:lineRule="exact"/>
        <w:rPr>
          <w:sz w:val="20"/>
          <w:szCs w:val="20"/>
          <w:color w:val="auto"/>
        </w:rPr>
      </w:pPr>
    </w:p>
    <w:p>
      <w:pPr>
        <w:ind w:left="960" w:right="80"/>
        <w:spacing w:after="0" w:line="239" w:lineRule="auto"/>
        <w:rPr>
          <w:sz w:val="20"/>
          <w:szCs w:val="20"/>
          <w:color w:val="auto"/>
        </w:rPr>
      </w:pPr>
      <w:r>
        <w:rPr>
          <w:rFonts w:ascii="Arial" w:cs="Arial" w:eastAsia="Arial" w:hAnsi="Arial"/>
          <w:sz w:val="19"/>
          <w:szCs w:val="19"/>
          <w:b w:val="1"/>
          <w:bCs w:val="1"/>
          <w:color w:val="231F20"/>
        </w:rPr>
        <w:t>issued patents that we own or have exclusively licensed may not provide us with competitive advantages, or may be held invalid or unenforceable, as a result of legal challenges by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-242570</wp:posOffset>
            </wp:positionV>
            <wp:extent cx="62230" cy="635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9" w:lineRule="exact"/>
        <w:rPr>
          <w:sz w:val="20"/>
          <w:szCs w:val="20"/>
          <w:color w:val="auto"/>
        </w:rPr>
      </w:pPr>
    </w:p>
    <w:p>
      <w:pPr>
        <w:ind w:left="960" w:right="360"/>
        <w:spacing w:after="0" w:line="242" w:lineRule="auto"/>
        <w:rPr>
          <w:sz w:val="20"/>
          <w:szCs w:val="20"/>
          <w:color w:val="auto"/>
        </w:rPr>
      </w:pPr>
      <w:r>
        <w:rPr>
          <w:rFonts w:ascii="Arial" w:cs="Arial" w:eastAsia="Arial" w:hAnsi="Arial"/>
          <w:sz w:val="19"/>
          <w:szCs w:val="19"/>
          <w:b w:val="1"/>
          <w:bCs w:val="1"/>
          <w:color w:val="231F20"/>
        </w:rPr>
        <w:t>we may obtain patents for product candidates many years before we obtain marketing approval for such product candidates and because patents have a limited life, which may begin to run prior to the commercial sale of the related product, the commercial value of our patents may be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-387350</wp:posOffset>
            </wp:positionV>
            <wp:extent cx="62230" cy="635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4" w:lineRule="exact"/>
        <w:rPr>
          <w:sz w:val="20"/>
          <w:szCs w:val="20"/>
          <w:color w:val="auto"/>
        </w:rPr>
      </w:pPr>
    </w:p>
    <w:p>
      <w:pPr>
        <w:jc w:val="both"/>
        <w:ind w:left="960" w:right="200"/>
        <w:spacing w:after="0" w:line="242" w:lineRule="auto"/>
        <w:rPr>
          <w:sz w:val="20"/>
          <w:szCs w:val="20"/>
          <w:color w:val="auto"/>
        </w:rPr>
      </w:pPr>
      <w:r>
        <w:rPr>
          <w:rFonts w:ascii="Arial" w:cs="Arial" w:eastAsia="Arial" w:hAnsi="Arial"/>
          <w:sz w:val="19"/>
          <w:szCs w:val="19"/>
          <w:b w:val="1"/>
          <w:bCs w:val="1"/>
          <w:color w:val="231F20"/>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-386080</wp:posOffset>
            </wp:positionV>
            <wp:extent cx="62230" cy="635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99"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we may fail to develop additional proprietary technologies that are patentable;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8" w:lineRule="exact"/>
        <w:rPr>
          <w:sz w:val="20"/>
          <w:szCs w:val="20"/>
          <w:color w:val="auto"/>
        </w:rPr>
      </w:pPr>
    </w:p>
    <w:p>
      <w:pPr>
        <w:ind w:left="960" w:right="140"/>
        <w:spacing w:after="0" w:line="242" w:lineRule="auto"/>
        <w:rPr>
          <w:sz w:val="20"/>
          <w:szCs w:val="20"/>
          <w:color w:val="auto"/>
        </w:rPr>
      </w:pPr>
      <w:r>
        <w:rPr>
          <w:rFonts w:ascii="Arial" w:cs="Arial" w:eastAsia="Arial" w:hAnsi="Arial"/>
          <w:sz w:val="19"/>
          <w:szCs w:val="19"/>
          <w:b w:val="1"/>
          <w:bCs w:val="1"/>
          <w:color w:val="231F20"/>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-387350</wp:posOffset>
            </wp:positionV>
            <wp:extent cx="62230" cy="635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4" w:lineRule="exact"/>
        <w:rPr>
          <w:sz w:val="20"/>
          <w:szCs w:val="20"/>
          <w:color w:val="auto"/>
        </w:rPr>
      </w:pPr>
    </w:p>
    <w:p>
      <w:pPr>
        <w:ind w:left="960" w:right="320"/>
        <w:spacing w:after="0" w:line="239" w:lineRule="auto"/>
        <w:rPr>
          <w:sz w:val="20"/>
          <w:szCs w:val="20"/>
          <w:color w:val="auto"/>
        </w:rPr>
      </w:pPr>
      <w:r>
        <w:rPr>
          <w:rFonts w:ascii="Arial" w:cs="Arial" w:eastAsia="Arial" w:hAnsi="Arial"/>
          <w:sz w:val="19"/>
          <w:szCs w:val="19"/>
          <w:b w:val="1"/>
          <w:bCs w:val="1"/>
          <w:color w:val="231F20"/>
        </w:rPr>
        <w:t>the patents of others may have an adverse effect on our business, for example by preventing us from marketing one or more of our product candidates for one or more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-242570</wp:posOffset>
            </wp:positionV>
            <wp:extent cx="62230" cy="635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9"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231F20"/>
        </w:rPr>
        <w:t>Any of the aforementioned threats to our competitive advantage could have a material adverse effect on our business.</w:t>
      </w:r>
    </w:p>
    <w:p>
      <w:pPr>
        <w:spacing w:after="0" w:line="143" w:lineRule="exact"/>
        <w:rPr>
          <w:sz w:val="20"/>
          <w:szCs w:val="20"/>
          <w:color w:val="auto"/>
        </w:rPr>
      </w:pPr>
    </w:p>
    <w:p>
      <w:pPr>
        <w:ind w:right="60"/>
        <w:spacing w:after="0" w:line="239" w:lineRule="auto"/>
        <w:rPr>
          <w:sz w:val="20"/>
          <w:szCs w:val="20"/>
          <w:color w:val="auto"/>
        </w:rPr>
      </w:pPr>
      <w:r>
        <w:rPr>
          <w:rFonts w:ascii="Arial" w:cs="Arial" w:eastAsia="Arial" w:hAnsi="Arial"/>
          <w:sz w:val="19"/>
          <w:szCs w:val="19"/>
          <w:b w:val="1"/>
          <w:bCs w:val="1"/>
          <w:color w:val="231F20"/>
        </w:rPr>
        <w:t>We will need to obtain FDA approval for any proposed product candidate names, and any failure or delay associated with product candidate name approval may adversely affect our business.</w:t>
      </w:r>
    </w:p>
    <w:p>
      <w:pPr>
        <w:spacing w:after="0" w:line="129" w:lineRule="exact"/>
        <w:rPr>
          <w:sz w:val="20"/>
          <w:szCs w:val="20"/>
          <w:color w:val="auto"/>
        </w:rPr>
      </w:pPr>
    </w:p>
    <w:p>
      <w:pPr>
        <w:ind w:firstLine="475"/>
        <w:spacing w:after="0" w:line="276" w:lineRule="auto"/>
        <w:rPr>
          <w:sz w:val="20"/>
          <w:szCs w:val="20"/>
          <w:color w:val="auto"/>
        </w:rPr>
      </w:pPr>
      <w:r>
        <w:rPr>
          <w:rFonts w:ascii="Arial" w:cs="Arial" w:eastAsia="Arial" w:hAnsi="Arial"/>
          <w:sz w:val="17"/>
          <w:szCs w:val="17"/>
          <w:b w:val="1"/>
          <w:bCs w:val="1"/>
          <w:color w:val="231F20"/>
        </w:rPr>
        <w:t>Any proprietary name or trademark we intend to use for our product candidates will require approval from the FDA regardless of whether we have secured a formal trademark registration from the USPTO. The FDA typically conducts a review of proposed product candidate names, including an evaluation of the potential for confusion with other product names and potential pharmacy dispensing errors. The FDA may also object to a product name if it believes the name inappropriately implies certain medical claims or contributes to an overstatement of efficacy. If the FDA objects to any product candidate names we propose, we may be required to adopt an alternative name for our product candidates. If we adopt an alternative name, we will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99" w:lineRule="exact"/>
        <w:rPr>
          <w:sz w:val="20"/>
          <w:szCs w:val="20"/>
          <w:color w:val="auto"/>
        </w:rPr>
      </w:pPr>
    </w:p>
    <w:p>
      <w:pPr>
        <w:spacing w:after="0" w:line="238" w:lineRule="auto"/>
        <w:rPr>
          <w:sz w:val="20"/>
          <w:szCs w:val="20"/>
          <w:color w:val="auto"/>
        </w:rPr>
      </w:pPr>
      <w:r>
        <w:rPr>
          <w:rFonts w:ascii="Arial" w:cs="Arial" w:eastAsia="Arial" w:hAnsi="Arial"/>
          <w:sz w:val="19"/>
          <w:szCs w:val="19"/>
          <w:b w:val="1"/>
          <w:bCs w:val="1"/>
          <w:color w:val="231F20"/>
        </w:rPr>
        <w:t>Our rights to develop and commercialize our product candidates may be subject, in part, to the terms and conditions of agreements with others.</w:t>
      </w:r>
    </w:p>
    <w:p>
      <w:pPr>
        <w:spacing w:after="0" w:line="128" w:lineRule="exact"/>
        <w:rPr>
          <w:sz w:val="20"/>
          <w:szCs w:val="20"/>
          <w:color w:val="auto"/>
        </w:rPr>
      </w:pPr>
    </w:p>
    <w:p>
      <w:pPr>
        <w:ind w:right="60" w:firstLine="475"/>
        <w:spacing w:after="0" w:line="279" w:lineRule="auto"/>
        <w:rPr>
          <w:sz w:val="20"/>
          <w:szCs w:val="20"/>
          <w:color w:val="auto"/>
        </w:rPr>
      </w:pPr>
      <w:r>
        <w:rPr>
          <w:rFonts w:ascii="Arial" w:cs="Arial" w:eastAsia="Arial" w:hAnsi="Arial"/>
          <w:sz w:val="17"/>
          <w:szCs w:val="17"/>
          <w:b w:val="1"/>
          <w:bCs w:val="1"/>
          <w:color w:val="231F20"/>
        </w:rPr>
        <w:t>Our current agreements do not, and future agreements we may enter into in the future may not, provide exclusive rights to use certain intellectual property and technology retained by a collaborator in all relevant fields of use and in all territories in which we may wish to develop or commercialize our technology and products in the future. As a result, we may not be able to prevent competitors or other third parties from developing and commercializing competitive products that utilize technology retained by such collaborators to the extent such products are not also covered by our intellectual property.</w:t>
      </w:r>
    </w:p>
    <w:p>
      <w:pPr>
        <w:sectPr>
          <w:pgSz w:w="12240" w:h="15840" w:orient="portrait"/>
          <w:cols w:equalWidth="0" w:num="1">
            <w:col w:w="10420"/>
          </w:cols>
          <w:pgMar w:left="880" w:top="1165" w:right="9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231F20"/>
        </w:rPr>
        <w:t>60</w:t>
      </w:r>
    </w:p>
    <w:p>
      <w:pPr>
        <w:sectPr>
          <w:pgSz w:w="12240" w:h="15840" w:orient="portrait"/>
          <w:cols w:equalWidth="0" w:num="1">
            <w:col w:w="10420"/>
          </w:cols>
          <w:pgMar w:left="880" w:top="1165" w:right="940" w:bottom="390" w:gutter="0" w:footer="0" w:header="0"/>
          <w:type w:val="continuous"/>
        </w:sectPr>
      </w:pPr>
    </w:p>
    <w:bookmarkStart w:id="68" w:name="page69"/>
    <w:bookmarkEnd w:id="68"/>
    <w:p>
      <w:pPr>
        <w:ind w:firstLine="475"/>
        <w:spacing w:after="0" w:line="276" w:lineRule="auto"/>
        <w:rPr>
          <w:sz w:val="20"/>
          <w:szCs w:val="20"/>
          <w:color w:val="auto"/>
        </w:rPr>
      </w:pPr>
      <w:r>
        <w:rPr>
          <w:rFonts w:ascii="Arial" w:cs="Arial" w:eastAsia="Arial" w:hAnsi="Arial"/>
          <w:sz w:val="17"/>
          <w:szCs w:val="17"/>
          <w:b w:val="1"/>
          <w:bCs w:val="1"/>
          <w:color w:val="231F20"/>
        </w:rPr>
        <w:t>We may need to obtain additional intellectual property rights from others to advance our research or allow commercialization of product candidates we may develop. We may be unable to obtain additional intellectual property rights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99" w:lineRule="exact"/>
        <w:rPr>
          <w:sz w:val="20"/>
          <w:szCs w:val="20"/>
          <w:color w:val="auto"/>
        </w:rPr>
      </w:pPr>
    </w:p>
    <w:p>
      <w:pPr>
        <w:ind w:right="100" w:firstLine="475"/>
        <w:spacing w:after="0" w:line="222" w:lineRule="exact"/>
        <w:rPr>
          <w:sz w:val="20"/>
          <w:szCs w:val="20"/>
          <w:color w:val="auto"/>
        </w:rPr>
      </w:pPr>
      <w:r>
        <w:rPr>
          <w:rFonts w:ascii="Arial" w:cs="Arial" w:eastAsia="Arial" w:hAnsi="Arial"/>
          <w:sz w:val="16"/>
          <w:szCs w:val="16"/>
          <w:b w:val="1"/>
          <w:bCs w:val="1"/>
          <w:color w:val="231F20"/>
        </w:rPr>
        <w:t>Furthermore, our current or our future collaborators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patents may be subject to a reservation of rights by one or more third parties. The U.S. government may have certain rights to resulting intellectual property.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rights may also permit it to disclose the funded inventions and technology to third parties and to exercise march-in rights to use or allow third parties to use the technology developed using U.S. government funding. The U.S. government may exercise its march-in rights if it determines that action is necessary because we fail to achieve the practical application of the government 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facilities in the United States in certain circumstances and if this requirement is not waived. Any exercise by the U.S. government of such rights or by any third-party of its reserved rights could have a material adverse effect on our competitive position, business, financial condition, results of operations and prospects.</w:t>
      </w:r>
    </w:p>
    <w:p>
      <w:pPr>
        <w:spacing w:after="0" w:line="130" w:lineRule="exact"/>
        <w:rPr>
          <w:sz w:val="20"/>
          <w:szCs w:val="20"/>
          <w:color w:val="auto"/>
        </w:rPr>
      </w:pPr>
    </w:p>
    <w:p>
      <w:pPr>
        <w:ind w:right="100"/>
        <w:spacing w:after="0" w:line="242" w:lineRule="auto"/>
        <w:rPr>
          <w:sz w:val="20"/>
          <w:szCs w:val="20"/>
          <w:color w:val="auto"/>
        </w:rPr>
      </w:pPr>
      <w:r>
        <w:rPr>
          <w:rFonts w:ascii="Arial" w:cs="Arial" w:eastAsia="Arial" w:hAnsi="Arial"/>
          <w:sz w:val="19"/>
          <w:szCs w:val="19"/>
          <w:b w:val="1"/>
          <w:bCs w:val="1"/>
          <w:color w:val="231F20"/>
        </w:rPr>
        <w:t>If we fail to comply with our obligations in agreements under which we option or license intellectual property rights from collaborators or licensors or otherwise experience disruptions to our business relationships with future collaborators or licensors, we could lose intellectual property rights that are important to our business.</w:t>
      </w:r>
    </w:p>
    <w:p>
      <w:pPr>
        <w:spacing w:after="0" w:line="126" w:lineRule="exact"/>
        <w:rPr>
          <w:sz w:val="20"/>
          <w:szCs w:val="20"/>
          <w:color w:val="auto"/>
        </w:rPr>
      </w:pPr>
    </w:p>
    <w:p>
      <w:pPr>
        <w:ind w:right="100" w:firstLine="475"/>
        <w:spacing w:after="0" w:line="295" w:lineRule="auto"/>
        <w:rPr>
          <w:sz w:val="20"/>
          <w:szCs w:val="20"/>
          <w:color w:val="auto"/>
        </w:rPr>
      </w:pPr>
      <w:r>
        <w:rPr>
          <w:rFonts w:ascii="Arial" w:cs="Arial" w:eastAsia="Arial" w:hAnsi="Arial"/>
          <w:sz w:val="16"/>
          <w:szCs w:val="16"/>
          <w:b w:val="1"/>
          <w:bCs w:val="1"/>
          <w:color w:val="231F20"/>
        </w:rPr>
        <w:t>Our current agreements do, and our future agreements may, impose various economic, development, diligence, commercialization and other obligations on us. Such agreements may also require us to meet development timelines, or to exercise commercially reasonable efforts to develop and commercialize licensed products. It might be concluded that we have materially breached our obligations under such agreements and licensors or collaborators might therefore terminate or seek damages under the agreements, thereby removing or limiting our ability to develop and commercialize products and technology covered by these agreements. Termination of these agreements could cause us to lose the rights to certain patents or other intellectual property, or the underlying patents could fail to provide the intended exclusivity, and competitors or other third parties may have the freedom to seek regulatory approval of, and to market, products similar to or identical to ours and we may be required to cease our development and commercialization of certain of our product candidates. Any of the foregoing could have a material adverse effect on our competitive position, business, financial conditions, results of operations and growth prospects.</w:t>
      </w:r>
    </w:p>
    <w:p>
      <w:pPr>
        <w:spacing w:after="0" w:line="80"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Moreover, disputes may arise regarding intellectual property subject to a collaboration agreement, including:</w:t>
      </w:r>
    </w:p>
    <w:p>
      <w:pPr>
        <w:spacing w:after="0" w:line="12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231F20"/>
        </w:rPr>
        <w:t>the scope of the option or license rights granted under the agreement and other interpretation-related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-97790</wp:posOffset>
            </wp:positionV>
            <wp:extent cx="62230" cy="635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14" w:lineRule="exact"/>
        <w:rPr>
          <w:sz w:val="20"/>
          <w:szCs w:val="20"/>
          <w:color w:val="auto"/>
        </w:rPr>
      </w:pPr>
    </w:p>
    <w:p>
      <w:pPr>
        <w:ind w:left="960" w:right="60"/>
        <w:spacing w:after="0" w:line="239" w:lineRule="auto"/>
        <w:rPr>
          <w:sz w:val="20"/>
          <w:szCs w:val="20"/>
          <w:color w:val="auto"/>
        </w:rPr>
      </w:pPr>
      <w:r>
        <w:rPr>
          <w:rFonts w:ascii="Arial" w:cs="Arial" w:eastAsia="Arial" w:hAnsi="Arial"/>
          <w:sz w:val="19"/>
          <w:szCs w:val="19"/>
          <w:b w:val="1"/>
          <w:bCs w:val="1"/>
          <w:color w:val="231F20"/>
        </w:rPr>
        <w:t>the extent to which our technology and processes infringe on intellectual property of the collaborator that is not subject to the option or license rights granted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-243840</wp:posOffset>
            </wp:positionV>
            <wp:extent cx="62230" cy="635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1"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the sublicensing of patent and other rights under our collaborative development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0"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our diligence obligations under the agreement and what activities satisfy those diligence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8" w:lineRule="exact"/>
        <w:rPr>
          <w:sz w:val="20"/>
          <w:szCs w:val="20"/>
          <w:color w:val="auto"/>
        </w:rPr>
      </w:pPr>
    </w:p>
    <w:p>
      <w:pPr>
        <w:ind w:left="960" w:right="620"/>
        <w:spacing w:after="0" w:line="239" w:lineRule="auto"/>
        <w:rPr>
          <w:sz w:val="20"/>
          <w:szCs w:val="20"/>
          <w:color w:val="auto"/>
        </w:rPr>
      </w:pPr>
      <w:r>
        <w:rPr>
          <w:rFonts w:ascii="Arial" w:cs="Arial" w:eastAsia="Arial" w:hAnsi="Arial"/>
          <w:sz w:val="19"/>
          <w:szCs w:val="19"/>
          <w:b w:val="1"/>
          <w:bCs w:val="1"/>
          <w:color w:val="231F20"/>
        </w:rPr>
        <w:t>the inventorship and ownership of inventions and know-how resulting from the joint creation or use of intellectual property by our collaborators and us and our other partners;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-243840</wp:posOffset>
            </wp:positionV>
            <wp:extent cx="62230" cy="635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1"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the priority of invention of patented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8" w:lineRule="exact"/>
        <w:rPr>
          <w:sz w:val="20"/>
          <w:szCs w:val="20"/>
          <w:color w:val="auto"/>
        </w:rPr>
      </w:pPr>
    </w:p>
    <w:p>
      <w:pPr>
        <w:ind w:right="100" w:firstLine="475"/>
        <w:spacing w:after="0" w:line="296" w:lineRule="auto"/>
        <w:rPr>
          <w:sz w:val="20"/>
          <w:szCs w:val="20"/>
          <w:color w:val="auto"/>
        </w:rPr>
      </w:pPr>
      <w:r>
        <w:rPr>
          <w:rFonts w:ascii="Arial" w:cs="Arial" w:eastAsia="Arial" w:hAnsi="Arial"/>
          <w:sz w:val="16"/>
          <w:szCs w:val="16"/>
          <w:b w:val="1"/>
          <w:bCs w:val="1"/>
          <w:color w:val="231F20"/>
        </w:rPr>
        <w:t>We may enter into agreements to option or license intellectual property or technology from third parties that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optioned or licensed prevent or impair our ability to maintain such arrangements on commercially acceptable terms, we may be unable to successfully develop and commercialize the affected product candidates, which could have a material adverse effect on our business, financial conditions, results of operations and growth prospects.</w:t>
      </w:r>
    </w:p>
    <w:p>
      <w:pPr>
        <w:sectPr>
          <w:pgSz w:w="12240" w:h="15840" w:orient="portrait"/>
          <w:cols w:equalWidth="0" w:num="1">
            <w:col w:w="10440"/>
          </w:cols>
          <w:pgMar w:left="880" w:top="1165" w:right="92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231F20"/>
        </w:rPr>
        <w:t>61</w:t>
      </w:r>
    </w:p>
    <w:p>
      <w:pPr>
        <w:sectPr>
          <w:pgSz w:w="12240" w:h="15840" w:orient="portrait"/>
          <w:cols w:equalWidth="0" w:num="1">
            <w:col w:w="10440"/>
          </w:cols>
          <w:pgMar w:left="880" w:top="1165" w:right="920" w:bottom="390" w:gutter="0" w:footer="0" w:header="0"/>
          <w:type w:val="continuous"/>
        </w:sectPr>
      </w:pPr>
    </w:p>
    <w:bookmarkStart w:id="69" w:name="page70"/>
    <w:bookmarkEnd w:id="69"/>
    <w:p>
      <w:pPr>
        <w:spacing w:after="0"/>
        <w:rPr>
          <w:sz w:val="20"/>
          <w:szCs w:val="20"/>
          <w:color w:val="auto"/>
        </w:rPr>
      </w:pPr>
      <w:r>
        <w:rPr>
          <w:rFonts w:ascii="Arial" w:cs="Arial" w:eastAsia="Arial" w:hAnsi="Arial"/>
          <w:sz w:val="19"/>
          <w:szCs w:val="19"/>
          <w:b w:val="1"/>
          <w:bCs w:val="1"/>
          <w:color w:val="231F20"/>
        </w:rPr>
        <w:t>Risks Related to Our Operations</w:t>
      </w:r>
    </w:p>
    <w:p>
      <w:pPr>
        <w:spacing w:after="0" w:line="128" w:lineRule="exact"/>
        <w:rPr>
          <w:sz w:val="20"/>
          <w:szCs w:val="20"/>
          <w:color w:val="auto"/>
        </w:rPr>
      </w:pPr>
    </w:p>
    <w:p>
      <w:pPr>
        <w:ind w:right="720"/>
        <w:spacing w:after="0" w:line="239" w:lineRule="auto"/>
        <w:rPr>
          <w:sz w:val="20"/>
          <w:szCs w:val="20"/>
          <w:color w:val="auto"/>
        </w:rPr>
      </w:pPr>
      <w:r>
        <w:rPr>
          <w:rFonts w:ascii="Arial" w:cs="Arial" w:eastAsia="Arial" w:hAnsi="Arial"/>
          <w:sz w:val="19"/>
          <w:szCs w:val="19"/>
          <w:b w:val="1"/>
          <w:bCs w:val="1"/>
          <w:color w:val="231F20"/>
        </w:rPr>
        <w:t>In order to successfully implement our plans and strategies, we will need to grow the size of our organization, and we may experience difficulties in managing this growth.</w:t>
      </w:r>
    </w:p>
    <w:p>
      <w:pPr>
        <w:spacing w:after="0" w:line="126" w:lineRule="exact"/>
        <w:rPr>
          <w:sz w:val="20"/>
          <w:szCs w:val="20"/>
          <w:color w:val="auto"/>
        </w:rPr>
      </w:pPr>
    </w:p>
    <w:p>
      <w:pPr>
        <w:ind w:right="340" w:firstLine="475"/>
        <w:spacing w:after="0" w:line="303" w:lineRule="auto"/>
        <w:rPr>
          <w:sz w:val="20"/>
          <w:szCs w:val="20"/>
          <w:color w:val="auto"/>
        </w:rPr>
      </w:pPr>
      <w:r>
        <w:rPr>
          <w:rFonts w:ascii="Arial" w:cs="Arial" w:eastAsia="Arial" w:hAnsi="Arial"/>
          <w:sz w:val="16"/>
          <w:szCs w:val="16"/>
          <w:b w:val="1"/>
          <w:bCs w:val="1"/>
          <w:color w:val="231F20"/>
        </w:rPr>
        <w:t>As of December 31, 2024, we had 80 employees, including 64 employees engaged in research and development. In order to successfully implement our development and commercialization plans and strategies, and as we continue to operate as a public company, we expect we will need additional managerial, scientific, technical, medical, operational, sales, marketing, financial and other personnel. Future growth may impose significant added responsibilities on members of management, including:</w:t>
      </w:r>
    </w:p>
    <w:p>
      <w:pPr>
        <w:spacing w:after="0" w:line="76"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identifying, recruiting, integrating, retaining and motivating additional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5" w:lineRule="exact"/>
        <w:rPr>
          <w:sz w:val="20"/>
          <w:szCs w:val="20"/>
          <w:color w:val="auto"/>
        </w:rPr>
      </w:pPr>
    </w:p>
    <w:p>
      <w:pPr>
        <w:ind w:left="960"/>
        <w:spacing w:after="0" w:line="242" w:lineRule="auto"/>
        <w:rPr>
          <w:sz w:val="20"/>
          <w:szCs w:val="20"/>
          <w:color w:val="auto"/>
        </w:rPr>
      </w:pPr>
      <w:r>
        <w:rPr>
          <w:rFonts w:ascii="Arial" w:cs="Arial" w:eastAsia="Arial" w:hAnsi="Arial"/>
          <w:sz w:val="19"/>
          <w:szCs w:val="19"/>
          <w:b w:val="1"/>
          <w:bCs w:val="1"/>
          <w:color w:val="231F20"/>
        </w:rPr>
        <w:t>managing our internal development efforts effectively, including the clinical and FDA review process for evorpacept and any other future product candidates, while complying with applicable contractual obligations to contractors and other third parties;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-386080</wp:posOffset>
            </wp:positionV>
            <wp:extent cx="62230" cy="635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231F20"/>
        </w:rPr>
        <w:t>maintaining and updating our operational, financial and management controls, reporting systems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-97790</wp:posOffset>
            </wp:positionV>
            <wp:extent cx="62230" cy="635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14" w:lineRule="exact"/>
        <w:rPr>
          <w:sz w:val="20"/>
          <w:szCs w:val="20"/>
          <w:color w:val="auto"/>
        </w:rPr>
      </w:pPr>
    </w:p>
    <w:p>
      <w:pPr>
        <w:ind w:right="40" w:firstLine="475"/>
        <w:spacing w:after="0" w:line="261" w:lineRule="auto"/>
        <w:rPr>
          <w:sz w:val="20"/>
          <w:szCs w:val="20"/>
          <w:color w:val="auto"/>
        </w:rPr>
      </w:pPr>
      <w:r>
        <w:rPr>
          <w:rFonts w:ascii="Arial" w:cs="Arial" w:eastAsia="Arial" w:hAnsi="Arial"/>
          <w:sz w:val="18"/>
          <w:szCs w:val="18"/>
          <w:b w:val="1"/>
          <w:bCs w:val="1"/>
          <w:color w:val="231F20"/>
        </w:rPr>
        <w:t>Our future financial performance and our ability to successfully develop and, if approved, commercialize evorpacept and any other future product candidates will depend, in part, on our ability to effectively manage any future growth, which may require our management team to divert its attention away from day-to-day activities of the business and devote a substantial amount of time to the added responsibilities associated with managing these growth activities.</w:t>
      </w:r>
    </w:p>
    <w:p>
      <w:pPr>
        <w:spacing w:after="0" w:line="108" w:lineRule="exact"/>
        <w:rPr>
          <w:sz w:val="20"/>
          <w:szCs w:val="20"/>
          <w:color w:val="auto"/>
        </w:rPr>
      </w:pPr>
    </w:p>
    <w:p>
      <w:pPr>
        <w:ind w:right="20" w:firstLine="475"/>
        <w:spacing w:after="0" w:line="259" w:lineRule="auto"/>
        <w:rPr>
          <w:sz w:val="20"/>
          <w:szCs w:val="20"/>
          <w:color w:val="auto"/>
        </w:rPr>
      </w:pPr>
      <w:r>
        <w:rPr>
          <w:rFonts w:ascii="Arial" w:cs="Arial" w:eastAsia="Arial" w:hAnsi="Arial"/>
          <w:sz w:val="18"/>
          <w:szCs w:val="18"/>
          <w:b w:val="1"/>
          <w:bCs w:val="1"/>
          <w:color w:val="231F20"/>
        </w:rPr>
        <w:t>We currently rely, and for the foreseeable future will continue to rely, in substantial part on specific independent organizations, advisors and consultants to provide certain services, including substantially all aspects of clinical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evorpacept and any other future product candidates or otherwise advance our business. We cannot assure you that we will be able to manage our existing third-party service providers or find other qualified outside contractors and consultants on economically reasonable terms, or at all.</w:t>
      </w:r>
    </w:p>
    <w:p>
      <w:pPr>
        <w:spacing w:after="0" w:line="114" w:lineRule="exact"/>
        <w:rPr>
          <w:sz w:val="20"/>
          <w:szCs w:val="20"/>
          <w:color w:val="auto"/>
        </w:rPr>
      </w:pPr>
    </w:p>
    <w:p>
      <w:pPr>
        <w:ind w:right="40" w:firstLine="475"/>
        <w:spacing w:after="0" w:line="243" w:lineRule="auto"/>
        <w:rPr>
          <w:sz w:val="20"/>
          <w:szCs w:val="20"/>
          <w:color w:val="auto"/>
        </w:rPr>
      </w:pPr>
      <w:r>
        <w:rPr>
          <w:rFonts w:ascii="Arial" w:cs="Arial" w:eastAsia="Arial" w:hAnsi="Arial"/>
          <w:sz w:val="19"/>
          <w:szCs w:val="19"/>
          <w:b w:val="1"/>
          <w:bCs w:val="1"/>
          <w:color w:val="231F20"/>
        </w:rPr>
        <w:t>If we are not able to effectively maintain our organization by retaining employees or expand our organization by hiring new employees and/or engaging additional third-party service providers, we may not be able to successfully implement the tasks necessary to further develop and commercialize evorpacept and other future product candidates and, accordingly, may not achieve our research, development and commercialization goals.</w:t>
      </w:r>
    </w:p>
    <w:p>
      <w:pPr>
        <w:spacing w:after="0" w:line="123" w:lineRule="exact"/>
        <w:rPr>
          <w:sz w:val="20"/>
          <w:szCs w:val="20"/>
          <w:color w:val="auto"/>
        </w:rPr>
      </w:pPr>
    </w:p>
    <w:p>
      <w:pPr>
        <w:ind w:right="80"/>
        <w:spacing w:after="0" w:line="239" w:lineRule="auto"/>
        <w:rPr>
          <w:sz w:val="20"/>
          <w:szCs w:val="20"/>
          <w:color w:val="auto"/>
        </w:rPr>
      </w:pPr>
      <w:r>
        <w:rPr>
          <w:rFonts w:ascii="Arial" w:cs="Arial" w:eastAsia="Arial" w:hAnsi="Arial"/>
          <w:sz w:val="19"/>
          <w:szCs w:val="19"/>
          <w:b w:val="1"/>
          <w:bCs w:val="1"/>
          <w:color w:val="231F20"/>
        </w:rPr>
        <w:t>Our product candidates are based on a novel technology, which makes it difficult to predict the time and cost of product candidate development.</w:t>
      </w:r>
    </w:p>
    <w:p>
      <w:pPr>
        <w:spacing w:after="0" w:line="129" w:lineRule="exact"/>
        <w:rPr>
          <w:sz w:val="20"/>
          <w:szCs w:val="20"/>
          <w:color w:val="auto"/>
        </w:rPr>
      </w:pPr>
    </w:p>
    <w:p>
      <w:pPr>
        <w:ind w:firstLine="475"/>
        <w:spacing w:after="0" w:line="260" w:lineRule="auto"/>
        <w:rPr>
          <w:sz w:val="20"/>
          <w:szCs w:val="20"/>
          <w:color w:val="auto"/>
        </w:rPr>
      </w:pPr>
      <w:r>
        <w:rPr>
          <w:rFonts w:ascii="Arial" w:cs="Arial" w:eastAsia="Arial" w:hAnsi="Arial"/>
          <w:sz w:val="18"/>
          <w:szCs w:val="18"/>
          <w:b w:val="1"/>
          <w:bCs w:val="1"/>
          <w:color w:val="231F20"/>
        </w:rPr>
        <w:t>We have concentrated our product research and development efforts on our novel immuno-oncology approach, and our future success depends on the successful development of our lead product candidate, evorpacept, and any future product candidates that we develop. There can be no assurance that any development problems we experience in the future related to our novel immuno-oncology approach will not cause significant delays or unanticipated costs or that such development problems can be solved.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w:t>
      </w:r>
    </w:p>
    <w:p>
      <w:pPr>
        <w:spacing w:after="0" w:line="108" w:lineRule="exact"/>
        <w:rPr>
          <w:sz w:val="20"/>
          <w:szCs w:val="20"/>
          <w:color w:val="auto"/>
        </w:rPr>
      </w:pPr>
    </w:p>
    <w:p>
      <w:pPr>
        <w:spacing w:after="0" w:line="239" w:lineRule="auto"/>
        <w:rPr>
          <w:sz w:val="20"/>
          <w:szCs w:val="20"/>
          <w:color w:val="auto"/>
        </w:rPr>
      </w:pPr>
      <w:r>
        <w:rPr>
          <w:rFonts w:ascii="Arial" w:cs="Arial" w:eastAsia="Arial" w:hAnsi="Arial"/>
          <w:sz w:val="19"/>
          <w:szCs w:val="19"/>
          <w:b w:val="1"/>
          <w:bCs w:val="1"/>
          <w:color w:val="231F20"/>
        </w:rPr>
        <w:t>We are highly dependent on our key personnel, and if we are not successful in attracting, motivating and retaining highly qualified personnel, we may not be able to successfully implement our business strategy.</w:t>
      </w:r>
    </w:p>
    <w:p>
      <w:pPr>
        <w:spacing w:after="0" w:line="126" w:lineRule="exact"/>
        <w:rPr>
          <w:sz w:val="20"/>
          <w:szCs w:val="20"/>
          <w:color w:val="auto"/>
        </w:rPr>
      </w:pPr>
    </w:p>
    <w:p>
      <w:pPr>
        <w:ind w:right="100" w:firstLine="475"/>
        <w:spacing w:after="0" w:line="260" w:lineRule="auto"/>
        <w:rPr>
          <w:sz w:val="20"/>
          <w:szCs w:val="20"/>
          <w:color w:val="auto"/>
        </w:rPr>
      </w:pPr>
      <w:r>
        <w:rPr>
          <w:rFonts w:ascii="Arial" w:cs="Arial" w:eastAsia="Arial" w:hAnsi="Arial"/>
          <w:sz w:val="18"/>
          <w:szCs w:val="18"/>
          <w:b w:val="1"/>
          <w:bCs w:val="1"/>
          <w:color w:val="231F20"/>
        </w:rPr>
        <w:t>Our ability to compete in the highly competitive biotechnology and life science industries depends upon our ability to attract, motivate and retain highly qualified managerial, scientific and medical personnel. We are highly dependent on our management and our scientific, technical, business and medical personnel. The loss of the services provided by any of our executive officers, other key employees and other scientific and medical advisors, our inability to find suitable replacements, and the impacts of any executive officer changes, could result in delays in the development of our product candidates and harm our business. Additionally, layoffs or furloughs, pausing recruiting efforts, or employee attrition could also create delays in the development of our product candidates and harm our business.</w:t>
      </w:r>
    </w:p>
    <w:p>
      <w:pPr>
        <w:sectPr>
          <w:pgSz w:w="12240" w:h="15840" w:orient="portrait"/>
          <w:cols w:equalWidth="0" w:num="1">
            <w:col w:w="10460"/>
          </w:cols>
          <w:pgMar w:left="880" w:top="1160" w:right="90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231F20"/>
        </w:rPr>
        <w:t>62</w:t>
      </w:r>
    </w:p>
    <w:p>
      <w:pPr>
        <w:sectPr>
          <w:pgSz w:w="12240" w:h="15840" w:orient="portrait"/>
          <w:cols w:equalWidth="0" w:num="1">
            <w:col w:w="10460"/>
          </w:cols>
          <w:pgMar w:left="880" w:top="1160" w:right="900" w:bottom="390" w:gutter="0" w:footer="0" w:header="0"/>
          <w:type w:val="continuous"/>
        </w:sectPr>
      </w:pPr>
    </w:p>
    <w:bookmarkStart w:id="70" w:name="page71"/>
    <w:bookmarkEnd w:id="70"/>
    <w:p>
      <w:pPr>
        <w:ind w:right="120" w:firstLine="475"/>
        <w:spacing w:after="0" w:line="276" w:lineRule="auto"/>
        <w:rPr>
          <w:sz w:val="20"/>
          <w:szCs w:val="20"/>
          <w:color w:val="auto"/>
        </w:rPr>
      </w:pPr>
      <w:r>
        <w:rPr>
          <w:rFonts w:ascii="Arial" w:cs="Arial" w:eastAsia="Arial" w:hAnsi="Arial"/>
          <w:sz w:val="17"/>
          <w:szCs w:val="17"/>
          <w:b w:val="1"/>
          <w:bCs w:val="1"/>
          <w:color w:val="231F20"/>
        </w:rPr>
        <w:t>We conduct our operations at our facility in the San Francisco Bay Area of California, a region that is headquarters to many other biopharmaceutical companies and many academic and research institutions. To succeed, we must recruit, retain, manage and motivate qualified clinical, scientific, manufacturing and sales and marketing personnel, and we face significant competition for experienced personnel. We expect that we may need to recruit talent from outside of our region and doing so may be costly and difficult. In addition, we will need to expand and effectively manage our managerial, operational, financial, development and other resources in order to successfully pursue our research, development and commercialization efforts for our existing and future product candidates. Furthermore, replacing executive officers and key employees may be difficult and may take an extended period of time because of the limited talent pool in our industry due to the breadth of skills and experience required to successfully develop, gain regulatory approval of and commercialize products. Competition for skilled personnel is intense and the turnover rate can be high, which may limit our ability to hire and retain highly qualified personnel on acceptable terms or at all. Additionally, the U.S. has recently experienced historically high levels of inflation and an acute workforce shortage generally, which has created a hyper-competitive wage environment that may increase our operating costs.</w:t>
      </w:r>
    </w:p>
    <w:p>
      <w:pPr>
        <w:spacing w:after="0" w:line="96" w:lineRule="exact"/>
        <w:rPr>
          <w:sz w:val="20"/>
          <w:szCs w:val="20"/>
          <w:color w:val="auto"/>
        </w:rPr>
      </w:pPr>
    </w:p>
    <w:p>
      <w:pPr>
        <w:ind w:firstLine="475"/>
        <w:spacing w:after="0" w:line="275" w:lineRule="auto"/>
        <w:rPr>
          <w:sz w:val="20"/>
          <w:szCs w:val="20"/>
          <w:color w:val="auto"/>
        </w:rPr>
      </w:pPr>
      <w:r>
        <w:rPr>
          <w:rFonts w:ascii="Arial" w:cs="Arial" w:eastAsia="Arial" w:hAnsi="Arial"/>
          <w:sz w:val="17"/>
          <w:szCs w:val="17"/>
          <w:b w:val="1"/>
          <w:bCs w:val="1"/>
          <w:color w:val="231F20"/>
        </w:rPr>
        <w:t>Many of the other biotechnology companies that we compete against for qualified personnel have considerably more financial and other resources, different risk profiles and a more extended history in the industry than we do. They also may provide more diverse opportunities and better prospects for career advancement. Some of these characteristics may be more appealing to high-quality candidates than what we can offer. We also experience competition for the hiring of scientific and clinical personnel from universities and research institutions. In addition to competition for personnel, the San Francisco Bay Area in particular is characterized by a high cost of living. We could in the future have difficulty attracting experienced personnel to our company and may be required to expend significant financial resources in our employee recruitment and retention efforts. To induce valuable employees to remain at our company, in addition to salary and cash incentives, we have provided equity grants that vest over time. The value to employees of these equity grants that vest over time may be significantly affected by movements in our stock price that are beyond our control and therefore any declining value in our equity grants could negatively impact our ability to successfully retain existing employees or effectively recruit new employees. Although we have employment agreements with our key employees, these employment agreements provide for at-will employment, which means that any of our employees could leave our employment at any time, with or without notice. If we are unable to attract and incentivize quality personnel on acceptable terms, or at all, it may cause our business and operating results to suffer.</w:t>
      </w:r>
    </w:p>
    <w:p>
      <w:pPr>
        <w:spacing w:after="0" w:line="104" w:lineRule="exact"/>
        <w:rPr>
          <w:sz w:val="20"/>
          <w:szCs w:val="20"/>
          <w:color w:val="auto"/>
        </w:rPr>
      </w:pPr>
    </w:p>
    <w:p>
      <w:pPr>
        <w:ind w:right="260"/>
        <w:spacing w:after="0" w:line="239" w:lineRule="auto"/>
        <w:rPr>
          <w:sz w:val="20"/>
          <w:szCs w:val="20"/>
          <w:color w:val="auto"/>
        </w:rPr>
      </w:pPr>
      <w:r>
        <w:rPr>
          <w:rFonts w:ascii="Arial" w:cs="Arial" w:eastAsia="Arial" w:hAnsi="Arial"/>
          <w:sz w:val="19"/>
          <w:szCs w:val="19"/>
          <w:b w:val="1"/>
          <w:bCs w:val="1"/>
          <w:color w:val="231F20"/>
        </w:rPr>
        <w:t>Our international operations may expose us to business, regulatory, political, operational, financial, pricing and reimbursement risks associated with doing business outside of the United States.</w:t>
      </w:r>
    </w:p>
    <w:p>
      <w:pPr>
        <w:spacing w:after="0" w:line="129" w:lineRule="exact"/>
        <w:rPr>
          <w:sz w:val="20"/>
          <w:szCs w:val="20"/>
          <w:color w:val="auto"/>
        </w:rPr>
      </w:pPr>
    </w:p>
    <w:p>
      <w:pPr>
        <w:ind w:right="120" w:firstLine="475"/>
        <w:spacing w:after="0" w:line="277" w:lineRule="auto"/>
        <w:rPr>
          <w:sz w:val="20"/>
          <w:szCs w:val="20"/>
          <w:color w:val="auto"/>
        </w:rPr>
      </w:pPr>
      <w:r>
        <w:rPr>
          <w:rFonts w:ascii="Arial" w:cs="Arial" w:eastAsia="Arial" w:hAnsi="Arial"/>
          <w:sz w:val="17"/>
          <w:szCs w:val="17"/>
          <w:b w:val="1"/>
          <w:bCs w:val="1"/>
          <w:color w:val="231F20"/>
        </w:rPr>
        <w:t>Our predecessor company, which after our internal reorganization is now our wholly-owned subsidiary, was an Irish private company limited by shares. Our business is subject to risks associated with conducting business internationally. Some of our subsidiaries and operations, in addition to suppliers, industry partners and clinical study centers, are located outside of the United States. Furthermore, our business strategy incorporates potential international expansion as we seek to obtain regulatory approval for, and commercialize, our product candidates in patient populations outside the United States. If approved, we expect to hire sales representatives and conduct physician and patient association outreach activities outside of the United States. Doing business internationally involves a number of risks and complexities, including but not limited to:</w:t>
      </w:r>
    </w:p>
    <w:p>
      <w:pPr>
        <w:spacing w:after="0" w:line="98" w:lineRule="exact"/>
        <w:rPr>
          <w:sz w:val="20"/>
          <w:szCs w:val="20"/>
          <w:color w:val="auto"/>
        </w:rPr>
      </w:pPr>
    </w:p>
    <w:p>
      <w:pPr>
        <w:ind w:left="960"/>
        <w:spacing w:after="0" w:line="243" w:lineRule="auto"/>
        <w:rPr>
          <w:sz w:val="20"/>
          <w:szCs w:val="20"/>
          <w:color w:val="auto"/>
        </w:rPr>
      </w:pPr>
      <w:r>
        <w:rPr>
          <w:rFonts w:ascii="Arial" w:cs="Arial" w:eastAsia="Arial" w:hAnsi="Arial"/>
          <w:sz w:val="19"/>
          <w:szCs w:val="19"/>
          <w:b w:val="1"/>
          <w:bCs w:val="1"/>
          <w:color w:val="231F20"/>
        </w:rPr>
        <w:t>multiple, conflicting and changing laws and regulations such as privacy regulations, tax laws, export and import restrictions, including changes in tariff and trade policies, employment laws, regulatory requirements and other governmental approvals, permits and licenses, including within the European Union and in the United Kingdom as a result of Brexit;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-529590</wp:posOffset>
            </wp:positionV>
            <wp:extent cx="62230" cy="635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3" w:lineRule="exact"/>
        <w:rPr>
          <w:sz w:val="20"/>
          <w:szCs w:val="20"/>
          <w:color w:val="auto"/>
        </w:rPr>
      </w:pPr>
    </w:p>
    <w:p>
      <w:pPr>
        <w:ind w:left="960" w:right="1540"/>
        <w:spacing w:after="0" w:line="442" w:lineRule="auto"/>
        <w:rPr>
          <w:sz w:val="20"/>
          <w:szCs w:val="20"/>
          <w:color w:val="auto"/>
        </w:rPr>
      </w:pPr>
      <w:r>
        <w:rPr>
          <w:rFonts w:ascii="Arial" w:cs="Arial" w:eastAsia="Arial" w:hAnsi="Arial"/>
          <w:sz w:val="16"/>
          <w:szCs w:val="16"/>
          <w:b w:val="1"/>
          <w:bCs w:val="1"/>
          <w:color w:val="231F20"/>
        </w:rPr>
        <w:t>our failure to obtain and maintain regulatory approvals for the use of our products in various countries; rejection or qualification of foreign clinical trial data by the competent authorities of other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-398145</wp:posOffset>
            </wp:positionV>
            <wp:extent cx="62230" cy="635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2230" cy="63500"/>
                    </a:xfrm>
                    <a:prstGeom prst="rect">
                      <a:avLst/>
                    </a:prstGeom>
                    <a:noFill/>
                  </pic:spPr>
                </pic:pic>
              </a:graphicData>
            </a:graphic>
          </wp:anchor>
        </w:drawing>
        <w:drawing>
          <wp:anchor simplePos="0" relativeHeight="251657728" behindDoc="1" locked="0" layoutInCell="0" allowOverlap="1">
            <wp:simplePos x="0" y="0"/>
            <wp:positionH relativeFrom="column">
              <wp:posOffset>300355</wp:posOffset>
            </wp:positionH>
            <wp:positionV relativeFrom="paragraph">
              <wp:posOffset>-181610</wp:posOffset>
            </wp:positionV>
            <wp:extent cx="62230" cy="635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ind w:left="960" w:right="220"/>
        <w:spacing w:after="0" w:line="239" w:lineRule="auto"/>
        <w:rPr>
          <w:sz w:val="20"/>
          <w:szCs w:val="20"/>
          <w:color w:val="auto"/>
        </w:rPr>
      </w:pPr>
      <w:r>
        <w:rPr>
          <w:rFonts w:ascii="Arial" w:cs="Arial" w:eastAsia="Arial" w:hAnsi="Arial"/>
          <w:sz w:val="19"/>
          <w:szCs w:val="19"/>
          <w:b w:val="1"/>
          <w:bCs w:val="1"/>
          <w:color w:val="231F20"/>
        </w:rPr>
        <w:t>complexities and difficulties in obtaining, maintaining, protecting and enforcing our intellectual property, including as a result of potentially relevant third-party patent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-243840</wp:posOffset>
            </wp:positionV>
            <wp:extent cx="62230" cy="635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1"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difficulties in staffing and managing foreign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8" w:lineRule="exact"/>
        <w:rPr>
          <w:sz w:val="20"/>
          <w:szCs w:val="20"/>
          <w:color w:val="auto"/>
        </w:rPr>
      </w:pPr>
    </w:p>
    <w:p>
      <w:pPr>
        <w:ind w:left="960" w:right="380"/>
        <w:spacing w:after="0" w:line="239" w:lineRule="auto"/>
        <w:rPr>
          <w:sz w:val="20"/>
          <w:szCs w:val="20"/>
          <w:color w:val="auto"/>
        </w:rPr>
      </w:pPr>
      <w:r>
        <w:rPr>
          <w:rFonts w:ascii="Arial" w:cs="Arial" w:eastAsia="Arial" w:hAnsi="Arial"/>
          <w:sz w:val="19"/>
          <w:szCs w:val="19"/>
          <w:b w:val="1"/>
          <w:bCs w:val="1"/>
          <w:color w:val="231F20"/>
        </w:rPr>
        <w:t>complexities associated with managing multiple payor reimbursement regimes, government payors or patient self-pay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-243840</wp:posOffset>
            </wp:positionV>
            <wp:extent cx="62230" cy="635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1"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limits in our ability to penetrate international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8" w:lineRule="exact"/>
        <w:rPr>
          <w:sz w:val="20"/>
          <w:szCs w:val="20"/>
          <w:color w:val="auto"/>
        </w:rPr>
      </w:pPr>
    </w:p>
    <w:p>
      <w:pPr>
        <w:ind w:left="960" w:right="220"/>
        <w:spacing w:after="0" w:line="239" w:lineRule="auto"/>
        <w:rPr>
          <w:sz w:val="20"/>
          <w:szCs w:val="20"/>
          <w:color w:val="auto"/>
        </w:rPr>
      </w:pPr>
      <w:r>
        <w:rPr>
          <w:rFonts w:ascii="Arial" w:cs="Arial" w:eastAsia="Arial" w:hAnsi="Arial"/>
          <w:sz w:val="19"/>
          <w:szCs w:val="19"/>
          <w:b w:val="1"/>
          <w:bCs w:val="1"/>
          <w:color w:val="231F20"/>
        </w:rPr>
        <w:t>financial risks, such as longer payment cycles, difficulty collecting accounts receivable, the impact of local and regional financial crises on demand and payment for our drugs;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-243840</wp:posOffset>
            </wp:positionV>
            <wp:extent cx="62230" cy="635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1"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exposure to foreign currency exchange rate fluctuations;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ectPr>
          <w:pgSz w:w="12240" w:h="15840" w:orient="portrait"/>
          <w:cols w:equalWidth="0" w:num="1">
            <w:col w:w="10480"/>
          </w:cols>
          <w:pgMar w:left="880" w:top="1165" w:right="88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63</w:t>
      </w:r>
    </w:p>
    <w:p>
      <w:pPr>
        <w:sectPr>
          <w:pgSz w:w="12240" w:h="15840" w:orient="portrait"/>
          <w:cols w:equalWidth="0" w:num="1">
            <w:col w:w="10480"/>
          </w:cols>
          <w:pgMar w:left="880" w:top="1165" w:right="880" w:bottom="390" w:gutter="0" w:footer="0" w:header="0"/>
          <w:type w:val="continuous"/>
        </w:sectPr>
      </w:pPr>
    </w:p>
    <w:bookmarkStart w:id="71" w:name="page72"/>
    <w:bookmarkEnd w:id="71"/>
    <w:p>
      <w:pPr>
        <w:ind w:left="960" w:right="60"/>
        <w:spacing w:after="0" w:line="220" w:lineRule="exact"/>
        <w:rPr>
          <w:sz w:val="20"/>
          <w:szCs w:val="20"/>
          <w:color w:val="auto"/>
        </w:rPr>
      </w:pPr>
      <w:r>
        <w:rPr>
          <w:rFonts w:ascii="Arial" w:cs="Arial" w:eastAsia="Arial" w:hAnsi="Arial"/>
          <w:sz w:val="18"/>
          <w:szCs w:val="18"/>
          <w:b w:val="1"/>
          <w:bCs w:val="1"/>
          <w:color w:val="231F20"/>
        </w:rPr>
        <w:t>political and economic instability, such as the geopolitical unrest and regional economic disruptions caused by Russia</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war with Ukraine, and war and instability in Israel and the surrounding region, and including wars, terrorism and political unrest, boycotts, curtailment of trade and other business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-384175</wp:posOffset>
            </wp:positionV>
            <wp:extent cx="62230" cy="635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9" w:lineRule="exact"/>
        <w:rPr>
          <w:sz w:val="20"/>
          <w:szCs w:val="20"/>
          <w:color w:val="auto"/>
        </w:rPr>
      </w:pPr>
    </w:p>
    <w:p>
      <w:pPr>
        <w:ind w:left="960" w:right="460"/>
        <w:spacing w:after="0" w:line="239" w:lineRule="auto"/>
        <w:rPr>
          <w:sz w:val="20"/>
          <w:szCs w:val="20"/>
          <w:color w:val="auto"/>
        </w:rPr>
      </w:pPr>
      <w:r>
        <w:rPr>
          <w:rFonts w:ascii="Arial" w:cs="Arial" w:eastAsia="Arial" w:hAnsi="Arial"/>
          <w:sz w:val="19"/>
          <w:szCs w:val="19"/>
          <w:b w:val="1"/>
          <w:bCs w:val="1"/>
          <w:color w:val="231F20"/>
        </w:rPr>
        <w:t>natural disasters, such as a fire, an earthquake or a flood, or outbreaks or public health crises, such as the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-243840</wp:posOffset>
            </wp:positionV>
            <wp:extent cx="62230" cy="635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1"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a security breach or incident or a related breach of our information systems or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2"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certain expenses including, among others, expenses for travel, translation and insurance;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5" w:lineRule="exact"/>
        <w:rPr>
          <w:sz w:val="20"/>
          <w:szCs w:val="20"/>
          <w:color w:val="auto"/>
        </w:rPr>
      </w:pPr>
    </w:p>
    <w:p>
      <w:pPr>
        <w:jc w:val="both"/>
        <w:ind w:left="960" w:right="400"/>
        <w:spacing w:after="0" w:line="242" w:lineRule="auto"/>
        <w:rPr>
          <w:sz w:val="20"/>
          <w:szCs w:val="20"/>
          <w:color w:val="auto"/>
        </w:rPr>
      </w:pPr>
      <w:r>
        <w:rPr>
          <w:rFonts w:ascii="Arial" w:cs="Arial" w:eastAsia="Arial" w:hAnsi="Arial"/>
          <w:sz w:val="19"/>
          <w:szCs w:val="19"/>
          <w:b w:val="1"/>
          <w:bCs w:val="1"/>
          <w:color w:val="231F20"/>
        </w:rPr>
        <w:t>regulatory and compliance risks that relate to anti-corruption compliance and record-keeping that may fall within the purview of the FCPA, its accounting provisions or its anti-bribery provisions, or provisions of anti-corruption or anti-bribery laws in other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-385445</wp:posOffset>
            </wp:positionV>
            <wp:extent cx="62230" cy="635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4"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231F20"/>
        </w:rPr>
        <w:t>Any of these factors could harm our future international expansion and operations and, consequently, our results of operations.</w:t>
      </w:r>
    </w:p>
    <w:p>
      <w:pPr>
        <w:spacing w:after="0" w:line="157" w:lineRule="exact"/>
        <w:rPr>
          <w:sz w:val="20"/>
          <w:szCs w:val="20"/>
          <w:color w:val="auto"/>
        </w:rPr>
      </w:pPr>
    </w:p>
    <w:p>
      <w:pPr>
        <w:ind w:right="160"/>
        <w:spacing w:after="0" w:line="242" w:lineRule="auto"/>
        <w:rPr>
          <w:sz w:val="20"/>
          <w:szCs w:val="20"/>
          <w:color w:val="auto"/>
        </w:rPr>
      </w:pPr>
      <w:r>
        <w:rPr>
          <w:rFonts w:ascii="Arial" w:cs="Arial" w:eastAsia="Arial" w:hAnsi="Arial"/>
          <w:sz w:val="19"/>
          <w:szCs w:val="19"/>
          <w:b w:val="1"/>
          <w:bCs w:val="1"/>
          <w:color w:val="231F20"/>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p>
    <w:p>
      <w:pPr>
        <w:spacing w:after="0" w:line="124" w:lineRule="exact"/>
        <w:rPr>
          <w:sz w:val="20"/>
          <w:szCs w:val="20"/>
          <w:color w:val="auto"/>
        </w:rPr>
      </w:pPr>
    </w:p>
    <w:p>
      <w:pPr>
        <w:ind w:right="180" w:firstLine="475"/>
        <w:spacing w:after="0" w:line="277" w:lineRule="auto"/>
        <w:rPr>
          <w:sz w:val="20"/>
          <w:szCs w:val="20"/>
          <w:color w:val="auto"/>
        </w:rPr>
      </w:pPr>
      <w:r>
        <w:rPr>
          <w:rFonts w:ascii="Arial" w:cs="Arial" w:eastAsia="Arial" w:hAnsi="Arial"/>
          <w:sz w:val="17"/>
          <w:szCs w:val="17"/>
          <w:b w:val="1"/>
          <w:bCs w:val="1"/>
          <w:color w:val="231F20"/>
        </w:rPr>
        <w:t>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w:t>
      </w:r>
    </w:p>
    <w:p>
      <w:pPr>
        <w:spacing w:after="0" w:line="96" w:lineRule="exact"/>
        <w:rPr>
          <w:sz w:val="20"/>
          <w:szCs w:val="20"/>
          <w:color w:val="auto"/>
        </w:rPr>
      </w:pPr>
    </w:p>
    <w:p>
      <w:pPr>
        <w:ind w:right="120" w:firstLine="475"/>
        <w:spacing w:after="0" w:line="278" w:lineRule="auto"/>
        <w:rPr>
          <w:sz w:val="20"/>
          <w:szCs w:val="20"/>
          <w:color w:val="auto"/>
        </w:rPr>
      </w:pPr>
      <w:r>
        <w:rPr>
          <w:rFonts w:ascii="Arial" w:cs="Arial" w:eastAsia="Arial" w:hAnsi="Arial"/>
          <w:sz w:val="17"/>
          <w:szCs w:val="17"/>
          <w:b w:val="1"/>
          <w:bCs w:val="1"/>
          <w:color w:val="231F20"/>
        </w:rPr>
        <w:t>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w:t>
      </w:r>
    </w:p>
    <w:p>
      <w:pPr>
        <w:spacing w:after="0" w:line="9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color w:val="231F20"/>
        </w:rPr>
        <w:t>We may become exposed to costly and damaging product liability claims, either when testing our product candidates in the clinic or at the commercial stage, and our product liability insurance may not cover all damages from such claims.</w:t>
      </w:r>
    </w:p>
    <w:p>
      <w:pPr>
        <w:spacing w:after="0" w:line="108" w:lineRule="exact"/>
        <w:rPr>
          <w:sz w:val="20"/>
          <w:szCs w:val="20"/>
          <w:color w:val="auto"/>
        </w:rPr>
      </w:pPr>
    </w:p>
    <w:p>
      <w:pPr>
        <w:ind w:firstLine="475"/>
        <w:spacing w:after="0" w:line="295" w:lineRule="auto"/>
        <w:rPr>
          <w:sz w:val="20"/>
          <w:szCs w:val="20"/>
          <w:color w:val="auto"/>
        </w:rPr>
      </w:pPr>
      <w:r>
        <w:rPr>
          <w:rFonts w:ascii="Arial" w:cs="Arial" w:eastAsia="Arial" w:hAnsi="Arial"/>
          <w:sz w:val="16"/>
          <w:szCs w:val="16"/>
          <w:b w:val="1"/>
          <w:bCs w:val="1"/>
          <w:color w:val="231F20"/>
        </w:rPr>
        <w:t>We are exposed to potential product liability and professional indemnity risks that are inherent in the research, development, manufacturing, marketing and use of pharmaceutical products. We currently have no products that have been approved for commercial sale. However,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In addition, we have agreed to indemnify various counterparties related to our product candidates against certain liability claims and any agreements or collaborations in the future may include such indemnification obligations. Any claims against us, or with respect to which we are obligated to provide indemnification, regardless of their merit, could be difficult and costly to defend or settle and could compromise the market acceptance of our product candidates or any prospects for commercialization of our product candidates, if approved.</w:t>
      </w:r>
    </w:p>
    <w:p>
      <w:pPr>
        <w:spacing w:after="0" w:line="89" w:lineRule="exact"/>
        <w:rPr>
          <w:sz w:val="20"/>
          <w:szCs w:val="20"/>
          <w:color w:val="auto"/>
        </w:rPr>
      </w:pPr>
    </w:p>
    <w:p>
      <w:pPr>
        <w:ind w:right="80" w:firstLine="475"/>
        <w:spacing w:after="0" w:line="243" w:lineRule="auto"/>
        <w:rPr>
          <w:sz w:val="20"/>
          <w:szCs w:val="20"/>
          <w:color w:val="auto"/>
        </w:rPr>
      </w:pPr>
      <w:r>
        <w:rPr>
          <w:rFonts w:ascii="Arial" w:cs="Arial" w:eastAsia="Arial" w:hAnsi="Arial"/>
          <w:sz w:val="19"/>
          <w:szCs w:val="19"/>
          <w:b w:val="1"/>
          <w:bCs w:val="1"/>
          <w:color w:val="231F20"/>
        </w:rPr>
        <w:t>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or that certain patients should not use our drugs for various reasons.</w:t>
      </w:r>
    </w:p>
    <w:p>
      <w:pPr>
        <w:spacing w:after="0" w:line="125" w:lineRule="exact"/>
        <w:rPr>
          <w:sz w:val="20"/>
          <w:szCs w:val="20"/>
          <w:color w:val="auto"/>
        </w:rPr>
      </w:pPr>
    </w:p>
    <w:p>
      <w:pPr>
        <w:ind w:right="120" w:firstLine="475"/>
        <w:spacing w:after="0" w:line="278" w:lineRule="auto"/>
        <w:rPr>
          <w:sz w:val="20"/>
          <w:szCs w:val="20"/>
          <w:color w:val="auto"/>
        </w:rPr>
      </w:pPr>
      <w:r>
        <w:rPr>
          <w:rFonts w:ascii="Arial" w:cs="Arial" w:eastAsia="Arial" w:hAnsi="Arial"/>
          <w:sz w:val="17"/>
          <w:szCs w:val="17"/>
          <w:b w:val="1"/>
          <w:bCs w:val="1"/>
          <w:color w:val="231F20"/>
        </w:rPr>
        <w:t>Although we maintain product liability insurance coverage, such insurance may not be adequate to cover all liabilities that we may incur. We may need to increase our insurance coverage each time we commence a clinical trial and if we successfully commercialize any product candidate. As the expense of insurance coverage is increasing, we may not be able to maintain insurance coverage at a reasonable cost or in an amount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ectPr>
          <w:pgSz w:w="12240" w:h="15840" w:orient="portrait"/>
          <w:cols w:equalWidth="0" w:num="1">
            <w:col w:w="10460"/>
          </w:cols>
          <w:pgMar w:left="880" w:top="1165" w:right="90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231F20"/>
        </w:rPr>
        <w:t>64</w:t>
      </w:r>
    </w:p>
    <w:p>
      <w:pPr>
        <w:sectPr>
          <w:pgSz w:w="12240" w:h="15840" w:orient="portrait"/>
          <w:cols w:equalWidth="0" w:num="1">
            <w:col w:w="10460"/>
          </w:cols>
          <w:pgMar w:left="880" w:top="1165" w:right="900" w:bottom="390" w:gutter="0" w:footer="0" w:header="0"/>
          <w:type w:val="continuous"/>
        </w:sectPr>
      </w:pPr>
    </w:p>
    <w:bookmarkStart w:id="72" w:name="page73"/>
    <w:bookmarkEnd w:id="72"/>
    <w:p>
      <w:pPr>
        <w:ind w:right="520"/>
        <w:spacing w:after="0" w:line="266" w:lineRule="auto"/>
        <w:rPr>
          <w:sz w:val="20"/>
          <w:szCs w:val="20"/>
          <w:color w:val="auto"/>
        </w:rPr>
      </w:pPr>
      <w:r>
        <w:rPr>
          <w:rFonts w:ascii="Arial" w:cs="Arial" w:eastAsia="Arial" w:hAnsi="Arial"/>
          <w:sz w:val="18"/>
          <w:szCs w:val="18"/>
          <w:b w:val="1"/>
          <w:bCs w:val="1"/>
          <w:color w:val="231F20"/>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05" w:lineRule="exact"/>
        <w:rPr>
          <w:sz w:val="20"/>
          <w:szCs w:val="20"/>
          <w:color w:val="auto"/>
        </w:rPr>
      </w:pPr>
    </w:p>
    <w:p>
      <w:pPr>
        <w:ind w:right="360" w:firstLine="475"/>
        <w:spacing w:after="0" w:line="261" w:lineRule="auto"/>
        <w:rPr>
          <w:sz w:val="20"/>
          <w:szCs w:val="20"/>
          <w:color w:val="auto"/>
        </w:rPr>
      </w:pPr>
      <w:r>
        <w:rPr>
          <w:rFonts w:ascii="Arial" w:cs="Arial" w:eastAsia="Arial" w:hAnsi="Arial"/>
          <w:sz w:val="18"/>
          <w:szCs w:val="18"/>
          <w:b w:val="1"/>
          <w:bCs w:val="1"/>
          <w:color w:val="231F20"/>
        </w:rPr>
        <w:t>Because we have limited financial and managerial resources, we focus on research programs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therapies or profitable market opportunities.</w:t>
      </w:r>
    </w:p>
    <w:p>
      <w:pPr>
        <w:spacing w:after="0" w:line="108" w:lineRule="exact"/>
        <w:rPr>
          <w:sz w:val="20"/>
          <w:szCs w:val="20"/>
          <w:color w:val="auto"/>
        </w:rPr>
      </w:pPr>
    </w:p>
    <w:p>
      <w:pPr>
        <w:ind w:right="60" w:firstLine="475"/>
        <w:spacing w:after="0" w:line="276" w:lineRule="auto"/>
        <w:rPr>
          <w:sz w:val="20"/>
          <w:szCs w:val="20"/>
          <w:color w:val="auto"/>
        </w:rPr>
      </w:pPr>
      <w:r>
        <w:rPr>
          <w:rFonts w:ascii="Arial" w:cs="Arial" w:eastAsia="Arial" w:hAnsi="Arial"/>
          <w:sz w:val="17"/>
          <w:szCs w:val="17"/>
          <w:b w:val="1"/>
          <w:bCs w:val="1"/>
          <w:color w:val="231F20"/>
        </w:rPr>
        <w:t>Our spending on current and future research and development programs, such as evorpacept,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For example, we entered into clinical trial collaborations with our collaborators, including I-SPY, Sanofi, Jazz and the ISTs, to supply evorpacept for clinical trials to advance new combination therapies. We have limited control over the amount and timing of resources that our collaborators dedicate to the development of our products. Any termination or disruption of collaborations could result in delays in the development of products, increases in our costs to develop the products or the termination of development of a product.</w:t>
      </w:r>
    </w:p>
    <w:p>
      <w:pPr>
        <w:spacing w:after="0" w:line="101"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231F20"/>
        </w:rPr>
        <w:t>We may seek to enter into collaborations, including strategic collaborations, licenses and other similar arrangements related to our product candidates and may not be successful in doing so, and even if we are, we may not be able to maintain or realize the benefits of such relationships. If we are not able to establish future collaborations, we may have to alter some of our future development and commercialization plans and our business could be adversely affected.</w:t>
      </w:r>
    </w:p>
    <w:p>
      <w:pPr>
        <w:spacing w:after="0" w:line="108" w:lineRule="exact"/>
        <w:rPr>
          <w:sz w:val="20"/>
          <w:szCs w:val="20"/>
          <w:color w:val="auto"/>
        </w:rPr>
      </w:pPr>
    </w:p>
    <w:p>
      <w:pPr>
        <w:ind w:right="20" w:firstLine="475"/>
        <w:spacing w:after="0" w:line="295" w:lineRule="auto"/>
        <w:rPr>
          <w:sz w:val="20"/>
          <w:szCs w:val="20"/>
          <w:color w:val="auto"/>
        </w:rPr>
      </w:pPr>
      <w:r>
        <w:rPr>
          <w:rFonts w:ascii="Arial" w:cs="Arial" w:eastAsia="Arial" w:hAnsi="Arial"/>
          <w:sz w:val="16"/>
          <w:szCs w:val="16"/>
          <w:b w:val="1"/>
          <w:bCs w:val="1"/>
          <w:color w:val="231F20"/>
        </w:rPr>
        <w:t>We may seek to enter into collaborations, licenses and other similar arrangements for the development or commercialization of our product candidates, due to strategic advantages to partnering with third parties and capital costs required to develop or commercialize the product candidate in such markets. For instance, we entered into a collaboration agreement with Tallac Therapeutics pursuant to which we expect to jointly develop, manufacture, and commercialize a novel cancer immunotherapy. We may not be successful in our efforts to establish such collaborations for our product candidates because our product candidates may be deemed to be at too early of a stage of development for collaborative effort or third parties may not view our product candidates as having the requisite potential to demonstrate safety and efficacy or significant commercial opportunity. Further, any future collaboration agreements may restrict us from entering into additional agreements with potential collaborators. We cannot be certain that, following a strategic transaction or license, we will achieve an economic benefit that justifies such transaction.</w:t>
      </w:r>
    </w:p>
    <w:p>
      <w:pPr>
        <w:spacing w:after="0" w:line="91" w:lineRule="exact"/>
        <w:rPr>
          <w:sz w:val="20"/>
          <w:szCs w:val="20"/>
          <w:color w:val="auto"/>
        </w:rPr>
      </w:pPr>
    </w:p>
    <w:p>
      <w:pPr>
        <w:ind w:firstLine="480"/>
        <w:spacing w:after="0" w:line="259" w:lineRule="auto"/>
        <w:rPr>
          <w:sz w:val="20"/>
          <w:szCs w:val="20"/>
          <w:color w:val="auto"/>
        </w:rPr>
      </w:pPr>
      <w:r>
        <w:rPr>
          <w:rFonts w:ascii="Arial" w:cs="Arial" w:eastAsia="Arial" w:hAnsi="Arial"/>
          <w:sz w:val="18"/>
          <w:szCs w:val="18"/>
          <w:b w:val="1"/>
          <w:bCs w:val="1"/>
          <w:color w:val="231F20"/>
        </w:rPr>
        <w:t>Even if we are successful in our efforts to establish such collaborations, the terms that we agree upon may not be favorable to us, and we may not be able to maintain such collaborations if, for example, development of a product candidate is delayed, the safety of a product candidate is questioned or sales of an approved product are unsatisfactory. We also may not be able to realize the benefit of such collaborations if we are unable to successfully integrate them with our existing operations and company culture. In any such collaborations, we may likely have limited control over the amount and timing of resources that our collaborators dedicate to the development or commercialization of any product candidates we may seek to develop with them. We cannot predict the success of any collaboration that we may enter into.</w:t>
      </w:r>
    </w:p>
    <w:p>
      <w:pPr>
        <w:spacing w:after="0" w:line="114" w:lineRule="exact"/>
        <w:rPr>
          <w:sz w:val="20"/>
          <w:szCs w:val="20"/>
          <w:color w:val="auto"/>
        </w:rPr>
      </w:pPr>
    </w:p>
    <w:p>
      <w:pPr>
        <w:ind w:firstLine="475"/>
        <w:spacing w:after="0" w:line="223" w:lineRule="exact"/>
        <w:rPr>
          <w:sz w:val="20"/>
          <w:szCs w:val="20"/>
          <w:color w:val="auto"/>
        </w:rPr>
      </w:pPr>
      <w:r>
        <w:rPr>
          <w:rFonts w:ascii="Arial" w:cs="Arial" w:eastAsia="Arial" w:hAnsi="Arial"/>
          <w:sz w:val="17"/>
          <w:szCs w:val="17"/>
          <w:b w:val="1"/>
          <w:bCs w:val="1"/>
          <w:color w:val="231F20"/>
        </w:rPr>
        <w:t>We face significant competition in seeking appropriate collaborators and a number of more established companies may also be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resources and expertise, the terms and conditions of the proposed collaboration and the proposed collaborator</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evaluation of a number of factors. Those factors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ectPr>
          <w:pgSz w:w="12240" w:h="15840" w:orient="portrait"/>
          <w:cols w:equalWidth="0" w:num="1">
            <w:col w:w="10460"/>
          </w:cols>
          <w:pgMar w:left="880" w:top="1165" w:right="90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231F20"/>
        </w:rPr>
        <w:t>65</w:t>
      </w:r>
    </w:p>
    <w:p>
      <w:pPr>
        <w:sectPr>
          <w:pgSz w:w="12240" w:h="15840" w:orient="portrait"/>
          <w:cols w:equalWidth="0" w:num="1">
            <w:col w:w="10460"/>
          </w:cols>
          <w:pgMar w:left="880" w:top="1165" w:right="900" w:bottom="390" w:gutter="0" w:footer="0" w:header="0"/>
          <w:type w:val="continuous"/>
        </w:sectPr>
      </w:pPr>
    </w:p>
    <w:bookmarkStart w:id="73" w:name="page74"/>
    <w:bookmarkEnd w:id="73"/>
    <w:p>
      <w:pPr>
        <w:ind w:firstLine="475"/>
        <w:spacing w:after="0" w:line="294" w:lineRule="auto"/>
        <w:rPr>
          <w:sz w:val="20"/>
          <w:szCs w:val="20"/>
          <w:color w:val="auto"/>
        </w:rPr>
      </w:pPr>
      <w:r>
        <w:rPr>
          <w:rFonts w:ascii="Arial" w:cs="Arial" w:eastAsia="Arial" w:hAnsi="Arial"/>
          <w:sz w:val="16"/>
          <w:szCs w:val="16"/>
          <w:b w:val="1"/>
          <w:bCs w:val="1"/>
          <w:color w:val="231F20"/>
        </w:rPr>
        <w:t>We may not be able to negotiate further collaborations on a timely basis, on acceptable terms, or at all. We also may find that our programs require the use of proprietary rights held by third parties, and the growth of our business may depend in part on our ability to acquire, in-license or use these proprietary rights. Even if we are able to obtain a license to intellectual property of interest, we may not be able to secure exclusive rights, in which case others could use the same rights and compete with us. Our future collaboration partners may not prioritize our product candidates or otherwise not effectively pursue the development of our product candidates which may delay, reduce or terminate the development of such product candidate, reduce or delay its development program, or delay its potential commercialization. Further, if we are unable to successfully obtain rights to required third-party intellectual property rights or maintain the existing intellectual property rights we have, we may have to delay, reduce or terminate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Any of the foregoing factors would likely harm our ability to execute our business plans.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We may acquire businesses or assets and we may not realize the benefits of such acquisitions.</w:t>
      </w:r>
    </w:p>
    <w:p>
      <w:pPr>
        <w:spacing w:after="0" w:line="128" w:lineRule="exact"/>
        <w:rPr>
          <w:sz w:val="20"/>
          <w:szCs w:val="20"/>
          <w:color w:val="auto"/>
        </w:rPr>
      </w:pPr>
    </w:p>
    <w:p>
      <w:pPr>
        <w:ind w:right="100" w:firstLine="475"/>
        <w:spacing w:after="0" w:line="222" w:lineRule="exact"/>
        <w:rPr>
          <w:sz w:val="20"/>
          <w:szCs w:val="20"/>
          <w:color w:val="auto"/>
        </w:rPr>
      </w:pPr>
      <w:r>
        <w:rPr>
          <w:rFonts w:ascii="Arial" w:cs="Arial" w:eastAsia="Arial" w:hAnsi="Arial"/>
          <w:sz w:val="16"/>
          <w:szCs w:val="16"/>
          <w:b w:val="1"/>
          <w:bCs w:val="1"/>
          <w:color w:val="231F20"/>
        </w:rPr>
        <w:t>We may acquire businesses or assets or create joint ventures with third parties that we believe may complement our existing product candidates. For example, in October 2021, we acquired ScalmiBio, Inc., or ScalmiBio. We are developing new anti-cancer drug candidates based on ScalmiBio</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platform, and the acquisition of ScalmiBio enhanced our internal research and development capabilities. In order to realize the continuing benefits of the ScalmiBio acquisition, we will need to continue to make a substantial investment of time and resources to support research and development efforts. Additionally, we may not be able to realize the benefit of acquiring businesses or assets or joint ventures if we are not able to successfully integrate them with our existing operations and company culture. We may encounter difficulties in developing, manufacturing and marketing any new product candidates resulting from an acquisition, which may delay or prevent us from realizing their expected benefits.</w:t>
      </w:r>
    </w:p>
    <w:p>
      <w:pPr>
        <w:spacing w:after="0" w:line="129" w:lineRule="exact"/>
        <w:rPr>
          <w:sz w:val="20"/>
          <w:szCs w:val="20"/>
          <w:color w:val="auto"/>
        </w:rPr>
      </w:pPr>
    </w:p>
    <w:p>
      <w:pPr>
        <w:ind w:right="100" w:firstLine="475"/>
        <w:spacing w:after="0" w:line="260" w:lineRule="auto"/>
        <w:rPr>
          <w:sz w:val="20"/>
          <w:szCs w:val="20"/>
          <w:color w:val="auto"/>
        </w:rPr>
      </w:pPr>
      <w:r>
        <w:rPr>
          <w:rFonts w:ascii="Arial" w:cs="Arial" w:eastAsia="Arial" w:hAnsi="Arial"/>
          <w:sz w:val="18"/>
          <w:szCs w:val="18"/>
          <w:b w:val="1"/>
          <w:bCs w:val="1"/>
          <w:color w:val="231F20"/>
        </w:rPr>
        <w:t>Also, the anticipated benefit of any joint venture or acquisition may not materialize, and any potential or future joint venture or acquisition may be prohibited.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Our ability to utilize our net operating loss carryforwards and certain other tax attributes may be limited.</w:t>
      </w:r>
    </w:p>
    <w:p>
      <w:pPr>
        <w:spacing w:after="0" w:line="125" w:lineRule="exact"/>
        <w:rPr>
          <w:sz w:val="20"/>
          <w:szCs w:val="20"/>
          <w:color w:val="auto"/>
        </w:rPr>
      </w:pPr>
    </w:p>
    <w:p>
      <w:pPr>
        <w:ind w:firstLine="475"/>
        <w:spacing w:after="0" w:line="222" w:lineRule="exact"/>
        <w:rPr>
          <w:sz w:val="20"/>
          <w:szCs w:val="20"/>
          <w:color w:val="auto"/>
        </w:rPr>
      </w:pPr>
      <w:r>
        <w:rPr>
          <w:rFonts w:ascii="Arial" w:cs="Arial" w:eastAsia="Arial" w:hAnsi="Arial"/>
          <w:sz w:val="16"/>
          <w:szCs w:val="16"/>
          <w:b w:val="1"/>
          <w:bCs w:val="1"/>
          <w:color w:val="231F20"/>
        </w:rPr>
        <w:t xml:space="preserve">Under the U.S. Internal Revenue Code of 1986, as amended, if a corporation undergoes an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ownership change</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(generally defined as a greater than 50% change (by value) in the ownership of its equity by its shareholders holding 5% or more over a rolling three-year period), the corporation</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s ability to use its pre-change net operating loss carryforwards and other pre-change tax attributes to offset its post-change income and taxes may be limited. We may have experienced such ownership changes in the past, and we may experience ownership changes in the future, in either case as a result of shifts in our stock ownership, some of which are outside our control. As of December 31, 2024, we had net operating loss carryforwards of approximately $162.6 million and $69.0 million for U.S. federal and state income tax purposes, respectively. Our ability to utilize those net operating loss carryforwards could be limited by an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ownership change</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as described above, which could result in increased tax liability to our company. The federal net operating losses carry forward indefinitely and may only offset 80% of taxable income in periods of future utilization. The state net operating loss carryforwards will begin to expire beginning in 2038. Other limitations may apply under state law. For example, recently enacted California legislation suspends the use of state net operating losses by taxpayers with net business income or modified adjusted gross income of $1 million or more for tax years beginning on or after January 1, 2024 and before January 1, 2027.</w:t>
      </w:r>
    </w:p>
    <w:p>
      <w:pPr>
        <w:spacing w:after="0" w:line="134" w:lineRule="exact"/>
        <w:rPr>
          <w:sz w:val="20"/>
          <w:szCs w:val="20"/>
          <w:color w:val="auto"/>
        </w:rPr>
      </w:pPr>
    </w:p>
    <w:p>
      <w:pPr>
        <w:ind w:firstLine="475"/>
        <w:spacing w:after="0" w:line="259" w:lineRule="auto"/>
        <w:rPr>
          <w:sz w:val="20"/>
          <w:szCs w:val="20"/>
          <w:color w:val="auto"/>
        </w:rPr>
      </w:pPr>
      <w:r>
        <w:rPr>
          <w:rFonts w:ascii="Arial" w:cs="Arial" w:eastAsia="Arial" w:hAnsi="Arial"/>
          <w:sz w:val="18"/>
          <w:szCs w:val="18"/>
          <w:b w:val="1"/>
          <w:bCs w:val="1"/>
          <w:color w:val="231F20"/>
        </w:rPr>
        <w:t>As of December 31, 2024, we had Irish net operating loss carryforwards of approximately $5.5 million. These Irish net operating loss carryforwards do not expire but may not be fully utilized unless we generate sufficient income in Ireland. We may also be limited in the amount of net operating loss carryforwards that we can use in the future to offset taxable income for Irish corporation tax purposes if we experience ownership changes in the future as a result of subsequent movements in our share ownership, some of which are outside of our control, or if we experience a major change in the nature or conduct of our trade or our trade becomes small or negligible. Furthermore, in the event we incur net income in certain jurisdictions but incur losses (or have net operating loss carryforwards) in other jurisdictions, we cannot offset the income from one jurisdiction with the loss from another, which could increase our effective tax rate.</w:t>
      </w:r>
    </w:p>
    <w:p>
      <w:pPr>
        <w:sectPr>
          <w:pgSz w:w="12240" w:h="15840" w:orient="portrait"/>
          <w:cols w:equalWidth="0" w:num="1">
            <w:col w:w="10440"/>
          </w:cols>
          <w:pgMar w:left="880" w:top="1165" w:right="92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231F20"/>
        </w:rPr>
        <w:t>66</w:t>
      </w:r>
    </w:p>
    <w:p>
      <w:pPr>
        <w:sectPr>
          <w:pgSz w:w="12240" w:h="15840" w:orient="portrait"/>
          <w:cols w:equalWidth="0" w:num="1">
            <w:col w:w="10440"/>
          </w:cols>
          <w:pgMar w:left="880" w:top="1165" w:right="920" w:bottom="390" w:gutter="0" w:footer="0" w:header="0"/>
          <w:type w:val="continuous"/>
        </w:sectPr>
      </w:pPr>
    </w:p>
    <w:bookmarkStart w:id="74" w:name="page75"/>
    <w:bookmarkEnd w:id="74"/>
    <w:p>
      <w:pPr>
        <w:spacing w:after="0"/>
        <w:rPr>
          <w:sz w:val="20"/>
          <w:szCs w:val="20"/>
          <w:color w:val="auto"/>
        </w:rPr>
      </w:pPr>
      <w:r>
        <w:rPr>
          <w:rFonts w:ascii="Arial" w:cs="Arial" w:eastAsia="Arial" w:hAnsi="Arial"/>
          <w:sz w:val="18"/>
          <w:szCs w:val="18"/>
          <w:b w:val="1"/>
          <w:bCs w:val="1"/>
          <w:color w:val="231F20"/>
        </w:rPr>
        <w:t>Changes in tax laws or in their implementation or interpretation may adversely affect our business and financial condition.</w:t>
      </w:r>
    </w:p>
    <w:p>
      <w:pPr>
        <w:spacing w:after="0" w:line="134" w:lineRule="exact"/>
        <w:rPr>
          <w:sz w:val="20"/>
          <w:szCs w:val="20"/>
          <w:color w:val="auto"/>
        </w:rPr>
      </w:pPr>
    </w:p>
    <w:p>
      <w:pPr>
        <w:ind w:firstLine="475"/>
        <w:spacing w:after="0" w:line="275" w:lineRule="auto"/>
        <w:rPr>
          <w:sz w:val="20"/>
          <w:szCs w:val="20"/>
          <w:color w:val="auto"/>
        </w:rPr>
      </w:pPr>
      <w:r>
        <w:rPr>
          <w:rFonts w:ascii="Arial" w:cs="Arial" w:eastAsia="Arial" w:hAnsi="Arial"/>
          <w:sz w:val="17"/>
          <w:szCs w:val="17"/>
          <w:b w:val="1"/>
          <w:bCs w:val="1"/>
          <w:color w:val="231F20"/>
        </w:rPr>
        <w:t>We are or may become subject to income and non-income taxes in the United States under federal, state and local jurisdictions and in certain foreign jurisdictions in which we operate. Tax laws, regulations and administrative practices in these jurisdictions may be subject to significant change, with or without advance notice. For example, on January 1, 2022, a provision of the Tax Cuts and Jobs Act of 2017 went into effect that eliminated the option to deduct domestic research and development costs in the year incurred and instead requires taxpayers to amortize such costs over five or fifteen years. The United States has also enacted the Inflation Reduction Act of 2022, which introduced, among other provisions, a 1% excise tax on certain stock buybacks by U.S. publicly-traded corporations on or after January 1, 2023. The Organisation for Economic Co-operation and Development has proposed implementing a global minimum tax of 15%, or Pillar Two, which has been implemented into the domestic laws of European Union member countries. We continue to assess the effect of the Pillar Two rules in all jurisdictions and do not currently expect Pillar Two to have a material impact on our financial position. Changes in tax laws, regulations, or rulings, changes in interpretations of existing laws and regulations, or changes in accounting principles could negatively and materially affect our financial position, cash flows, and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Risks Related to Ownership of Our Common Stock</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We do not know whether an active, liquid and orderly trading market will be sustained for our common stock.</w:t>
      </w:r>
    </w:p>
    <w:p>
      <w:pPr>
        <w:spacing w:after="0" w:line="125" w:lineRule="exact"/>
        <w:rPr>
          <w:sz w:val="20"/>
          <w:szCs w:val="20"/>
          <w:color w:val="auto"/>
        </w:rPr>
      </w:pPr>
    </w:p>
    <w:p>
      <w:pPr>
        <w:jc w:val="both"/>
        <w:ind w:right="200" w:firstLine="475"/>
        <w:spacing w:after="0" w:line="303" w:lineRule="auto"/>
        <w:rPr>
          <w:sz w:val="20"/>
          <w:szCs w:val="20"/>
          <w:color w:val="auto"/>
        </w:rPr>
      </w:pPr>
      <w:r>
        <w:rPr>
          <w:rFonts w:ascii="Arial" w:cs="Arial" w:eastAsia="Arial" w:hAnsi="Arial"/>
          <w:sz w:val="16"/>
          <w:szCs w:val="16"/>
          <w:b w:val="1"/>
          <w:bCs w:val="1"/>
          <w:color w:val="231F20"/>
        </w:rPr>
        <w:t>Prior to our initial public offering, no market for shares of our common stock existed. Although our common stock is listed on the Nasdaq Global Select Market, the market for our shares has demonstrated varying levels of trading activity.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spacing w:after="0" w:line="79" w:lineRule="exact"/>
        <w:rPr>
          <w:sz w:val="20"/>
          <w:szCs w:val="20"/>
          <w:color w:val="auto"/>
        </w:rPr>
      </w:pPr>
    </w:p>
    <w:p>
      <w:pPr>
        <w:jc w:val="both"/>
        <w:ind w:right="220"/>
        <w:spacing w:after="0" w:line="239" w:lineRule="auto"/>
        <w:rPr>
          <w:sz w:val="20"/>
          <w:szCs w:val="20"/>
          <w:color w:val="auto"/>
        </w:rPr>
      </w:pPr>
      <w:r>
        <w:rPr>
          <w:rFonts w:ascii="Arial" w:cs="Arial" w:eastAsia="Arial" w:hAnsi="Arial"/>
          <w:sz w:val="19"/>
          <w:szCs w:val="19"/>
          <w:b w:val="1"/>
          <w:bCs w:val="1"/>
          <w:color w:val="231F20"/>
        </w:rPr>
        <w:t>If we sell shares of our common stock in future financings, stockholders may experience immediate dilution and, as a result, our stock price may decline.</w:t>
      </w:r>
    </w:p>
    <w:p>
      <w:pPr>
        <w:spacing w:after="0" w:line="129" w:lineRule="exact"/>
        <w:rPr>
          <w:sz w:val="20"/>
          <w:szCs w:val="20"/>
          <w:color w:val="auto"/>
        </w:rPr>
      </w:pPr>
    </w:p>
    <w:p>
      <w:pPr>
        <w:ind w:right="20" w:firstLine="475"/>
        <w:spacing w:after="0" w:line="222" w:lineRule="exact"/>
        <w:rPr>
          <w:sz w:val="20"/>
          <w:szCs w:val="20"/>
          <w:color w:val="auto"/>
        </w:rPr>
      </w:pPr>
      <w:r>
        <w:rPr>
          <w:rFonts w:ascii="Arial" w:cs="Arial" w:eastAsia="Arial" w:hAnsi="Arial"/>
          <w:sz w:val="16"/>
          <w:szCs w:val="16"/>
          <w:b w:val="1"/>
          <w:bCs w:val="1"/>
          <w:color w:val="231F20"/>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For example, our amended Shelf Registration Statement, declared effective by the SEC on May 31, 2022, provides for aggregate offerings of up to $450.0 million of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securities inclusive of up to $150.0 million of shares of our common stock through the at-the-market (ATM) offering. As of December 31, 2024, we sold an aggregate of 2,199,542 shares of common stock under our ATM offering. On October 10, 2023, we completed the October 2023 Offering for the issuance and sale of an aggregate of 8,663,793 shares of common stock and pre-funded warrants to purchase 1,250,000 shares of common stock at a public offering price of $6.38 per share and $6.379 per pre-funded warrant. Our stockholders may be further diluted by the exercise of the pre-funded warrants issued in the October 2023 Offering. As of December 31, 2024, no shares underlying the pre-funded warrants had been exercised. If we issue common stock or securities convertible into common stock, our stockholders will experience additional dilution and our stock price may decline.</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The price of our stock may be volatile, and you could lose all or part of your investment.</w:t>
      </w:r>
    </w:p>
    <w:p>
      <w:pPr>
        <w:spacing w:after="0" w:line="125" w:lineRule="exact"/>
        <w:rPr>
          <w:sz w:val="20"/>
          <w:szCs w:val="20"/>
          <w:color w:val="auto"/>
        </w:rPr>
      </w:pPr>
    </w:p>
    <w:p>
      <w:pPr>
        <w:ind w:right="220" w:firstLine="475"/>
        <w:spacing w:after="0" w:line="220" w:lineRule="exact"/>
        <w:rPr>
          <w:sz w:val="20"/>
          <w:szCs w:val="20"/>
          <w:color w:val="auto"/>
        </w:rPr>
      </w:pPr>
      <w:r>
        <w:rPr>
          <w:rFonts w:ascii="Arial" w:cs="Arial" w:eastAsia="Arial" w:hAnsi="Arial"/>
          <w:sz w:val="16"/>
          <w:szCs w:val="16"/>
          <w:b w:val="1"/>
          <w:bCs w:val="1"/>
          <w:color w:val="231F20"/>
        </w:rPr>
        <w:t xml:space="preserve">The trading price of our common stock has been and may be highly volatile and subject to wide fluctuations in response to various factors, some of which are beyond our control. In addition to those discussed in this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Risk Factors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section and elsewhere in this Annual Report on Form 10-K, the following factors may cause the market price of our common stock to fluctuate:</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results and timing of our preclinical studies and clinical trials and studies and trials of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0"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failure or discontinuation of any of our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0"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issues in manufacturing our product candidates or any future approved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8" w:lineRule="exact"/>
        <w:rPr>
          <w:sz w:val="20"/>
          <w:szCs w:val="20"/>
          <w:color w:val="auto"/>
        </w:rPr>
      </w:pPr>
    </w:p>
    <w:p>
      <w:pPr>
        <w:ind w:left="960" w:right="100"/>
        <w:spacing w:after="0" w:line="218" w:lineRule="exact"/>
        <w:rPr>
          <w:sz w:val="20"/>
          <w:szCs w:val="20"/>
          <w:color w:val="auto"/>
        </w:rPr>
      </w:pPr>
      <w:r>
        <w:rPr>
          <w:rFonts w:ascii="Arial" w:cs="Arial" w:eastAsia="Arial" w:hAnsi="Arial"/>
          <w:sz w:val="19"/>
          <w:szCs w:val="19"/>
          <w:b w:val="1"/>
          <w:bCs w:val="1"/>
          <w:color w:val="231F20"/>
        </w:rPr>
        <w:t>regulatory developments or enforcement in the United States and foreign countries with respect to our product candidates or our competitors</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-244475</wp:posOffset>
            </wp:positionV>
            <wp:extent cx="62230" cy="635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1"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competition from existing products or new products that may emerge;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2"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actual or anticipated changes in our growth and development relative to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0"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developments or disputes concerning patents or other proprietary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2"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introduction of new product candidates or technological innovations by us or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5" w:lineRule="exact"/>
        <w:rPr>
          <w:sz w:val="20"/>
          <w:szCs w:val="20"/>
          <w:color w:val="auto"/>
        </w:rPr>
      </w:pPr>
    </w:p>
    <w:p>
      <w:pPr>
        <w:ind w:left="960" w:right="280"/>
        <w:spacing w:after="0" w:line="239" w:lineRule="auto"/>
        <w:rPr>
          <w:sz w:val="20"/>
          <w:szCs w:val="20"/>
          <w:color w:val="auto"/>
        </w:rPr>
      </w:pPr>
      <w:r>
        <w:rPr>
          <w:rFonts w:ascii="Arial" w:cs="Arial" w:eastAsia="Arial" w:hAnsi="Arial"/>
          <w:sz w:val="19"/>
          <w:szCs w:val="19"/>
          <w:b w:val="1"/>
          <w:bCs w:val="1"/>
          <w:color w:val="231F20"/>
        </w:rPr>
        <w:t>announcements by us, our future strategic partners or our competitors of significant acquisitions, strategic partnerships, joint ventures or capital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-242570</wp:posOffset>
            </wp:positionV>
            <wp:extent cx="62230" cy="635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9"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231F20"/>
        </w:rPr>
        <w:t>actual or anticipated changes in estimates or recommendations by securities analysts, if any cover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-84455</wp:posOffset>
            </wp:positionV>
            <wp:extent cx="62230" cy="635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ectPr>
          <w:pgSz w:w="12240" w:h="15840" w:orient="portrait"/>
          <w:cols w:equalWidth="0" w:num="1">
            <w:col w:w="10480"/>
          </w:cols>
          <w:pgMar w:left="880" w:top="1165" w:right="880" w:bottom="39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67</w:t>
      </w:r>
    </w:p>
    <w:p>
      <w:pPr>
        <w:sectPr>
          <w:pgSz w:w="12240" w:h="15840" w:orient="portrait"/>
          <w:cols w:equalWidth="0" w:num="1">
            <w:col w:w="10480"/>
          </w:cols>
          <w:pgMar w:left="880" w:top="1165" w:right="880" w:bottom="390" w:gutter="0" w:footer="0" w:header="0"/>
          <w:type w:val="continuous"/>
        </w:sectPr>
      </w:pPr>
    </w:p>
    <w:bookmarkStart w:id="75" w:name="page76"/>
    <w:bookmarkEnd w:id="75"/>
    <w:p>
      <w:pPr>
        <w:ind w:left="960" w:right="2620"/>
        <w:spacing w:after="0" w:line="370" w:lineRule="auto"/>
        <w:rPr>
          <w:sz w:val="20"/>
          <w:szCs w:val="20"/>
          <w:color w:val="auto"/>
        </w:rPr>
      </w:pPr>
      <w:r>
        <w:rPr>
          <w:rFonts w:ascii="Arial" w:cs="Arial" w:eastAsia="Arial" w:hAnsi="Arial"/>
          <w:sz w:val="19"/>
          <w:szCs w:val="19"/>
          <w:b w:val="1"/>
          <w:bCs w:val="1"/>
          <w:color w:val="231F20"/>
        </w:rPr>
        <w:t>fluctuations in the valuation of companies perceived by investors to be comparable to us; public concern over our product candidates or any future approved products;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-607695</wp:posOffset>
            </wp:positionV>
            <wp:extent cx="62230" cy="635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2230" cy="63500"/>
                    </a:xfrm>
                    <a:prstGeom prst="rect">
                      <a:avLst/>
                    </a:prstGeom>
                    <a:noFill/>
                  </pic:spPr>
                </pic:pic>
              </a:graphicData>
            </a:graphic>
          </wp:anchor>
        </w:drawing>
        <w:drawing>
          <wp:anchor simplePos="0" relativeHeight="251657728" behindDoc="1" locked="0" layoutInCell="0" allowOverlap="1">
            <wp:simplePos x="0" y="0"/>
            <wp:positionH relativeFrom="column">
              <wp:posOffset>300355</wp:posOffset>
            </wp:positionH>
            <wp:positionV relativeFrom="paragraph">
              <wp:posOffset>-393065</wp:posOffset>
            </wp:positionV>
            <wp:extent cx="62230" cy="635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2230" cy="63500"/>
                    </a:xfrm>
                    <a:prstGeom prst="rect">
                      <a:avLst/>
                    </a:prstGeom>
                    <a:noFill/>
                  </pic:spPr>
                </pic:pic>
              </a:graphicData>
            </a:graphic>
          </wp:anchor>
        </w:drawing>
        <w:drawing>
          <wp:anchor simplePos="0" relativeHeight="251657728" behindDoc="1" locked="0" layoutInCell="0" allowOverlap="1">
            <wp:simplePos x="0" y="0"/>
            <wp:positionH relativeFrom="column">
              <wp:posOffset>300355</wp:posOffset>
            </wp:positionH>
            <wp:positionV relativeFrom="paragraph">
              <wp:posOffset>-176530</wp:posOffset>
            </wp:positionV>
            <wp:extent cx="62230" cy="635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ind w:left="960" w:right="160"/>
        <w:spacing w:after="0" w:line="239" w:lineRule="auto"/>
        <w:rPr>
          <w:sz w:val="20"/>
          <w:szCs w:val="20"/>
          <w:color w:val="auto"/>
        </w:rPr>
      </w:pPr>
      <w:r>
        <w:rPr>
          <w:rFonts w:ascii="Arial" w:cs="Arial" w:eastAsia="Arial" w:hAnsi="Arial"/>
          <w:sz w:val="19"/>
          <w:szCs w:val="19"/>
          <w:b w:val="1"/>
          <w:bCs w:val="1"/>
          <w:color w:val="231F20"/>
        </w:rPr>
        <w:t>future sales of our common stock by us, our insiders or our other stockholders including pursuant to the existing primary and secondary shelf registration statements that we have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-243840</wp:posOffset>
            </wp:positionV>
            <wp:extent cx="62230" cy="635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1"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expiration of market stand-off or lock-up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2"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share price and volume fluctuations attributable to inconsistent trading volume levels of 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0"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additions or departures of key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2"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changes in the structure of health care payment systems in the United States or overseas;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0"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failure of any of our product candidates, if approved, to achieve commercial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5" w:lineRule="exact"/>
        <w:rPr>
          <w:sz w:val="20"/>
          <w:szCs w:val="20"/>
          <w:color w:val="auto"/>
        </w:rPr>
      </w:pPr>
    </w:p>
    <w:p>
      <w:pPr>
        <w:ind w:left="960" w:right="60"/>
        <w:spacing w:after="0" w:line="221" w:lineRule="exact"/>
        <w:rPr>
          <w:sz w:val="20"/>
          <w:szCs w:val="20"/>
          <w:color w:val="auto"/>
        </w:rPr>
      </w:pPr>
      <w:r>
        <w:rPr>
          <w:rFonts w:ascii="Arial" w:cs="Arial" w:eastAsia="Arial" w:hAnsi="Arial"/>
          <w:sz w:val="18"/>
          <w:szCs w:val="18"/>
          <w:b w:val="1"/>
          <w:bCs w:val="1"/>
          <w:color w:val="231F20"/>
        </w:rPr>
        <w:t>macroeconomic conditions, such as inflation, trade and other global disputes and interruptions, including related to tariffs and trade protection measures, economic downturns, disasters, and medical or public health crises, such as the COVID-19 pandemic, including the impact of recent bank failures, the ongoing geopolitical unrest related to Russia</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war with Ukraine, and war and instability in Israel and the surrounding 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-525780</wp:posOffset>
            </wp:positionV>
            <wp:extent cx="62230" cy="635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9" w:lineRule="exact"/>
        <w:rPr>
          <w:sz w:val="20"/>
          <w:szCs w:val="20"/>
          <w:color w:val="auto"/>
        </w:rPr>
      </w:pPr>
    </w:p>
    <w:p>
      <w:pPr>
        <w:ind w:left="960" w:right="520"/>
        <w:spacing w:after="0" w:line="329" w:lineRule="auto"/>
        <w:rPr>
          <w:sz w:val="20"/>
          <w:szCs w:val="20"/>
          <w:color w:val="auto"/>
        </w:rPr>
      </w:pPr>
      <w:r>
        <w:rPr>
          <w:rFonts w:ascii="Arial" w:cs="Arial" w:eastAsia="Arial" w:hAnsi="Arial"/>
          <w:sz w:val="16"/>
          <w:szCs w:val="16"/>
          <w:b w:val="1"/>
          <w:bCs w:val="1"/>
          <w:color w:val="231F20"/>
        </w:rPr>
        <w:t>period-to-period fluctuations in our financial condition and results of operations, including the timing of payment or receipt of any future milestone or other payments under commercialization or licensing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-287655</wp:posOffset>
            </wp:positionV>
            <wp:extent cx="62230" cy="635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announcements or expectations of additional financing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8"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231F20"/>
        </w:rPr>
        <w:t>overall fluctuations in U.S. equity markets, general market conditions and market conditions for biotechnology stocks;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-84455</wp:posOffset>
            </wp:positionV>
            <wp:extent cx="62230" cy="635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other factors that may be unanticipated or out of our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5" w:lineRule="exact"/>
        <w:rPr>
          <w:sz w:val="20"/>
          <w:szCs w:val="20"/>
          <w:color w:val="auto"/>
        </w:rPr>
      </w:pPr>
    </w:p>
    <w:p>
      <w:pPr>
        <w:ind w:right="80" w:firstLine="475"/>
        <w:spacing w:after="0" w:line="278" w:lineRule="auto"/>
        <w:rPr>
          <w:sz w:val="20"/>
          <w:szCs w:val="20"/>
          <w:color w:val="auto"/>
        </w:rPr>
      </w:pPr>
      <w:r>
        <w:rPr>
          <w:rFonts w:ascii="Arial" w:cs="Arial" w:eastAsia="Arial" w:hAnsi="Arial"/>
          <w:sz w:val="17"/>
          <w:szCs w:val="17"/>
          <w:b w:val="1"/>
          <w:bCs w:val="1"/>
          <w:color w:val="231F20"/>
        </w:rPr>
        <w:t>In addition, the stock market has recently experienced significant volatility, particularly with respect to biotechnology and other life sciences company stocks. The volatility of biotechnology and other life sciences company stock often does not relate to the operating performance of the companies presented by the stock. In addition,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and divert the time and attention of our management, which could seriously harm our business.</w:t>
      </w:r>
    </w:p>
    <w:p>
      <w:pPr>
        <w:spacing w:after="0" w:line="98" w:lineRule="exact"/>
        <w:rPr>
          <w:sz w:val="20"/>
          <w:szCs w:val="20"/>
          <w:color w:val="auto"/>
        </w:rPr>
      </w:pPr>
    </w:p>
    <w:p>
      <w:pPr>
        <w:ind w:right="140" w:firstLine="475"/>
        <w:spacing w:after="0" w:line="218" w:lineRule="exact"/>
        <w:rPr>
          <w:sz w:val="20"/>
          <w:szCs w:val="20"/>
          <w:color w:val="auto"/>
        </w:rPr>
      </w:pPr>
      <w:r>
        <w:rPr>
          <w:rFonts w:ascii="Arial" w:cs="Arial" w:eastAsia="Arial" w:hAnsi="Arial"/>
          <w:sz w:val="19"/>
          <w:szCs w:val="19"/>
          <w:b w:val="1"/>
          <w:bCs w:val="1"/>
          <w:color w:val="231F20"/>
        </w:rPr>
        <w:t xml:space="preserve">The realization of any of the above risks or any of a broad range of other risks, including those described in this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Risk Factors</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section, could have a dramatic and adverse impact on the market price of our common stock.</w:t>
      </w:r>
    </w:p>
    <w:p>
      <w:pPr>
        <w:spacing w:after="0" w:line="126" w:lineRule="exact"/>
        <w:rPr>
          <w:sz w:val="20"/>
          <w:szCs w:val="20"/>
          <w:color w:val="auto"/>
        </w:rPr>
      </w:pPr>
    </w:p>
    <w:p>
      <w:pPr>
        <w:ind w:right="20"/>
        <w:spacing w:after="0" w:line="239" w:lineRule="auto"/>
        <w:rPr>
          <w:sz w:val="20"/>
          <w:szCs w:val="20"/>
          <w:color w:val="auto"/>
        </w:rPr>
      </w:pPr>
      <w:r>
        <w:rPr>
          <w:rFonts w:ascii="Arial" w:cs="Arial" w:eastAsia="Arial" w:hAnsi="Arial"/>
          <w:sz w:val="19"/>
          <w:szCs w:val="19"/>
          <w:b w:val="1"/>
          <w:bCs w:val="1"/>
          <w:color w:val="231F20"/>
        </w:rPr>
        <w:t>Our operating results may fluctuate significantly, which makes our future operating results difficult to predict and could cause our operating results to fall below expectations or our guidance.</w:t>
      </w:r>
    </w:p>
    <w:p>
      <w:pPr>
        <w:spacing w:after="0" w:line="129" w:lineRule="exact"/>
        <w:rPr>
          <w:sz w:val="20"/>
          <w:szCs w:val="20"/>
          <w:color w:val="auto"/>
        </w:rPr>
      </w:pPr>
    </w:p>
    <w:p>
      <w:pPr>
        <w:ind w:right="60" w:firstLine="475"/>
        <w:spacing w:after="0" w:line="299" w:lineRule="auto"/>
        <w:rPr>
          <w:sz w:val="20"/>
          <w:szCs w:val="20"/>
          <w:color w:val="auto"/>
        </w:rPr>
      </w:pPr>
      <w:r>
        <w:rPr>
          <w:rFonts w:ascii="Arial" w:cs="Arial" w:eastAsia="Arial" w:hAnsi="Arial"/>
          <w:sz w:val="16"/>
          <w:szCs w:val="16"/>
          <w:b w:val="1"/>
          <w:bCs w:val="1"/>
          <w:color w:val="231F20"/>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85" w:lineRule="exact"/>
        <w:rPr>
          <w:sz w:val="20"/>
          <w:szCs w:val="20"/>
          <w:color w:val="auto"/>
        </w:rPr>
      </w:pPr>
    </w:p>
    <w:p>
      <w:pPr>
        <w:ind w:right="40" w:firstLine="475"/>
        <w:spacing w:after="0" w:line="221" w:lineRule="exact"/>
        <w:rPr>
          <w:sz w:val="20"/>
          <w:szCs w:val="20"/>
          <w:color w:val="auto"/>
        </w:rPr>
      </w:pPr>
      <w:r>
        <w:rPr>
          <w:rFonts w:ascii="Arial" w:cs="Arial" w:eastAsia="Arial" w:hAnsi="Arial"/>
          <w:sz w:val="16"/>
          <w:szCs w:val="16"/>
          <w:b w:val="1"/>
          <w:bCs w:val="1"/>
          <w:color w:val="231F20"/>
        </w:rPr>
        <w:t>In addition, we measure compensation cost for stock-based awards made to employees at the grant date of the award, based on the fair value of the award as determined by our board of directors, and recognize the cost as an expense over the employee</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125" w:lineRule="exact"/>
        <w:rPr>
          <w:sz w:val="20"/>
          <w:szCs w:val="20"/>
          <w:color w:val="auto"/>
        </w:rPr>
      </w:pPr>
    </w:p>
    <w:p>
      <w:pPr>
        <w:ind w:right="140" w:firstLine="475"/>
        <w:spacing w:after="0" w:line="239" w:lineRule="auto"/>
        <w:rPr>
          <w:sz w:val="20"/>
          <w:szCs w:val="20"/>
          <w:color w:val="auto"/>
        </w:rPr>
      </w:pPr>
      <w:r>
        <w:rPr>
          <w:rFonts w:ascii="Arial" w:cs="Arial" w:eastAsia="Arial" w:hAnsi="Arial"/>
          <w:sz w:val="19"/>
          <w:szCs w:val="19"/>
          <w:b w:val="1"/>
          <w:bCs w:val="1"/>
          <w:color w:val="231F20"/>
        </w:rPr>
        <w:t>Furthermore, our operating results may fluctuate due to a variety of other factors, many of which are outside of our control and may be difficult to predict, including the following:</w:t>
      </w:r>
    </w:p>
    <w:p>
      <w:pPr>
        <w:spacing w:after="0" w:line="126" w:lineRule="exact"/>
        <w:rPr>
          <w:sz w:val="20"/>
          <w:szCs w:val="20"/>
          <w:color w:val="auto"/>
        </w:rPr>
      </w:pPr>
    </w:p>
    <w:p>
      <w:pPr>
        <w:jc w:val="both"/>
        <w:ind w:left="960" w:right="460"/>
        <w:spacing w:after="0" w:line="310" w:lineRule="auto"/>
        <w:rPr>
          <w:sz w:val="20"/>
          <w:szCs w:val="20"/>
          <w:color w:val="auto"/>
        </w:rPr>
      </w:pPr>
      <w:r>
        <w:rPr>
          <w:rFonts w:ascii="Arial" w:cs="Arial" w:eastAsia="Arial" w:hAnsi="Arial"/>
          <w:sz w:val="16"/>
          <w:szCs w:val="16"/>
          <w:b w:val="1"/>
          <w:bCs w:val="1"/>
          <w:color w:val="231F20"/>
        </w:rPr>
        <w:t>the timing and cost of, and level of investment in, research and development activities relating to our current product candidates and any future product candidates and research-stage programs, which will change from time to time. For example, inflationary pressures have increased and we expect will continue to increase costs for our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-419100</wp:posOffset>
            </wp:positionV>
            <wp:extent cx="62230" cy="635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49"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our ability to enroll subjects in clinical trials and the timing of enrollment;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5" w:lineRule="exact"/>
        <w:rPr>
          <w:sz w:val="20"/>
          <w:szCs w:val="20"/>
          <w:color w:val="auto"/>
        </w:rPr>
      </w:pPr>
    </w:p>
    <w:p>
      <w:pPr>
        <w:ind w:left="960"/>
        <w:spacing w:after="0" w:line="242" w:lineRule="auto"/>
        <w:rPr>
          <w:sz w:val="20"/>
          <w:szCs w:val="20"/>
          <w:color w:val="auto"/>
        </w:rPr>
      </w:pPr>
      <w:r>
        <w:rPr>
          <w:rFonts w:ascii="Arial" w:cs="Arial" w:eastAsia="Arial" w:hAnsi="Arial"/>
          <w:sz w:val="19"/>
          <w:szCs w:val="19"/>
          <w:b w:val="1"/>
          <w:bCs w:val="1"/>
          <w:color w:val="231F20"/>
        </w:rPr>
        <w:t>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-386080</wp:posOffset>
            </wp:positionV>
            <wp:extent cx="62230" cy="635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ectPr>
          <w:pgSz w:w="12240" w:h="15840" w:orient="portrait"/>
          <w:cols w:equalWidth="0" w:num="1">
            <w:col w:w="10480"/>
          </w:cols>
          <w:pgMar w:left="880" w:top="1165" w:right="880" w:bottom="39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68</w:t>
      </w:r>
    </w:p>
    <w:p>
      <w:pPr>
        <w:sectPr>
          <w:pgSz w:w="12240" w:h="15840" w:orient="portrait"/>
          <w:cols w:equalWidth="0" w:num="1">
            <w:col w:w="10480"/>
          </w:cols>
          <w:pgMar w:left="880" w:top="1165" w:right="880" w:bottom="390" w:gutter="0" w:footer="0" w:header="0"/>
          <w:type w:val="continuous"/>
        </w:sectPr>
      </w:pPr>
    </w:p>
    <w:bookmarkStart w:id="76" w:name="page77"/>
    <w:bookmarkEnd w:id="76"/>
    <w:p>
      <w:pPr>
        <w:ind w:left="960" w:right="500"/>
        <w:spacing w:after="0" w:line="239" w:lineRule="auto"/>
        <w:rPr>
          <w:sz w:val="20"/>
          <w:szCs w:val="20"/>
          <w:color w:val="auto"/>
        </w:rPr>
      </w:pPr>
      <w:r>
        <w:rPr>
          <w:rFonts w:ascii="Arial" w:cs="Arial" w:eastAsia="Arial" w:hAnsi="Arial"/>
          <w:sz w:val="19"/>
          <w:szCs w:val="19"/>
          <w:b w:val="1"/>
          <w:bCs w:val="1"/>
          <w:color w:val="231F20"/>
        </w:rPr>
        <w:t>expenditures that we will or may incur to acquire or develop additional product candidates and technologies or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-242570</wp:posOffset>
            </wp:positionV>
            <wp:extent cx="62230" cy="635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9" w:lineRule="exact"/>
        <w:rPr>
          <w:sz w:val="20"/>
          <w:szCs w:val="20"/>
          <w:color w:val="auto"/>
        </w:rPr>
      </w:pPr>
    </w:p>
    <w:p>
      <w:pPr>
        <w:ind w:left="960" w:right="220"/>
        <w:spacing w:after="0" w:line="239" w:lineRule="auto"/>
        <w:rPr>
          <w:sz w:val="20"/>
          <w:szCs w:val="20"/>
          <w:color w:val="auto"/>
        </w:rPr>
      </w:pPr>
      <w:r>
        <w:rPr>
          <w:rFonts w:ascii="Arial" w:cs="Arial" w:eastAsia="Arial" w:hAnsi="Arial"/>
          <w:sz w:val="19"/>
          <w:szCs w:val="19"/>
          <w:b w:val="1"/>
          <w:bCs w:val="1"/>
          <w:color w:val="231F20"/>
        </w:rPr>
        <w:t>the timing and outcomes of clinical trials for evorpacept, and any of our other product candidates, or competing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-243840</wp:posOffset>
            </wp:positionV>
            <wp:extent cx="62230" cy="635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7"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231F20"/>
        </w:rPr>
        <w:t>the need to conduct unanticipated clinical trials or trials that are larger or more complex than anticipated;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-97790</wp:posOffset>
            </wp:positionV>
            <wp:extent cx="62230" cy="635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14" w:lineRule="exact"/>
        <w:rPr>
          <w:sz w:val="20"/>
          <w:szCs w:val="20"/>
          <w:color w:val="auto"/>
        </w:rPr>
      </w:pPr>
    </w:p>
    <w:p>
      <w:pPr>
        <w:ind w:left="960" w:right="220"/>
        <w:spacing w:after="0" w:line="242" w:lineRule="auto"/>
        <w:rPr>
          <w:sz w:val="20"/>
          <w:szCs w:val="20"/>
          <w:color w:val="auto"/>
        </w:rPr>
      </w:pPr>
      <w:r>
        <w:rPr>
          <w:rFonts w:ascii="Arial" w:cs="Arial" w:eastAsia="Arial" w:hAnsi="Arial"/>
          <w:sz w:val="19"/>
          <w:szCs w:val="19"/>
          <w:b w:val="1"/>
          <w:bCs w:val="1"/>
          <w:color w:val="231F20"/>
        </w:rPr>
        <w:t>competition from existing and potential future products that compete with evorpacept and any of our other product candidates, and changes in the competitive landscape of our industry, including consolidation among our competitors or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-387350</wp:posOffset>
            </wp:positionV>
            <wp:extent cx="62230" cy="635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99"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any delays in regulatory review or approval of evorpacept or any of our other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5" w:lineRule="exact"/>
        <w:rPr>
          <w:sz w:val="20"/>
          <w:szCs w:val="20"/>
          <w:color w:val="auto"/>
        </w:rPr>
      </w:pPr>
    </w:p>
    <w:p>
      <w:pPr>
        <w:ind w:left="960"/>
        <w:spacing w:after="0" w:line="239" w:lineRule="auto"/>
        <w:rPr>
          <w:sz w:val="20"/>
          <w:szCs w:val="20"/>
          <w:color w:val="auto"/>
        </w:rPr>
      </w:pPr>
      <w:r>
        <w:rPr>
          <w:rFonts w:ascii="Arial" w:cs="Arial" w:eastAsia="Arial" w:hAnsi="Arial"/>
          <w:sz w:val="19"/>
          <w:szCs w:val="19"/>
          <w:b w:val="1"/>
          <w:bCs w:val="1"/>
          <w:color w:val="231F20"/>
        </w:rPr>
        <w:t>the level of demand for evorpacept and any of our other product candidates, if approved, which may fluctuate significantly and be difficult to predict;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-242570</wp:posOffset>
            </wp:positionV>
            <wp:extent cx="62230" cy="635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9" w:lineRule="exact"/>
        <w:rPr>
          <w:sz w:val="20"/>
          <w:szCs w:val="20"/>
          <w:color w:val="auto"/>
        </w:rPr>
      </w:pPr>
    </w:p>
    <w:p>
      <w:pPr>
        <w:ind w:left="960" w:right="160"/>
        <w:spacing w:after="0" w:line="295" w:lineRule="auto"/>
        <w:rPr>
          <w:sz w:val="20"/>
          <w:szCs w:val="20"/>
          <w:color w:val="auto"/>
        </w:rPr>
      </w:pPr>
      <w:r>
        <w:rPr>
          <w:rFonts w:ascii="Arial" w:cs="Arial" w:eastAsia="Arial" w:hAnsi="Arial"/>
          <w:sz w:val="17"/>
          <w:szCs w:val="17"/>
          <w:b w:val="1"/>
          <w:bCs w:val="1"/>
          <w:color w:val="231F20"/>
        </w:rPr>
        <w:t>the risk/benefit profile, cost and reimbursement policies with respect to our product candidates, if approved, and existing and potential future products that compete with evorpacept and any of our other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-273050</wp:posOffset>
            </wp:positionV>
            <wp:extent cx="62230" cy="635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61" w:lineRule="exact"/>
        <w:rPr>
          <w:sz w:val="20"/>
          <w:szCs w:val="20"/>
          <w:color w:val="auto"/>
        </w:rPr>
      </w:pPr>
    </w:p>
    <w:p>
      <w:pPr>
        <w:ind w:left="960" w:right="320"/>
        <w:spacing w:after="0" w:line="239" w:lineRule="auto"/>
        <w:rPr>
          <w:sz w:val="20"/>
          <w:szCs w:val="20"/>
          <w:color w:val="auto"/>
        </w:rPr>
      </w:pPr>
      <w:r>
        <w:rPr>
          <w:rFonts w:ascii="Arial" w:cs="Arial" w:eastAsia="Arial" w:hAnsi="Arial"/>
          <w:sz w:val="19"/>
          <w:szCs w:val="19"/>
          <w:b w:val="1"/>
          <w:bCs w:val="1"/>
          <w:color w:val="231F20"/>
        </w:rPr>
        <w:t>our ability to commercialize evorpacept and any of our other product candidates, if approved, inside and outside of the United States, either independently or working with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-242570</wp:posOffset>
            </wp:positionV>
            <wp:extent cx="62230" cy="635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9" w:lineRule="exact"/>
        <w:rPr>
          <w:sz w:val="20"/>
          <w:szCs w:val="20"/>
          <w:color w:val="auto"/>
        </w:rPr>
      </w:pPr>
    </w:p>
    <w:p>
      <w:pPr>
        <w:ind w:left="960" w:right="3000"/>
        <w:spacing w:after="0" w:line="365" w:lineRule="auto"/>
        <w:rPr>
          <w:sz w:val="20"/>
          <w:szCs w:val="20"/>
          <w:color w:val="auto"/>
        </w:rPr>
      </w:pPr>
      <w:r>
        <w:rPr>
          <w:rFonts w:ascii="Arial" w:cs="Arial" w:eastAsia="Arial" w:hAnsi="Arial"/>
          <w:sz w:val="19"/>
          <w:szCs w:val="19"/>
          <w:b w:val="1"/>
          <w:bCs w:val="1"/>
          <w:color w:val="231F20"/>
        </w:rPr>
        <w:t>our ability to establish and maintain collaborations, licensing or other arrangements; our ability to adequately support future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-389890</wp:posOffset>
            </wp:positionV>
            <wp:extent cx="62230" cy="635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2230" cy="63500"/>
                    </a:xfrm>
                    <a:prstGeom prst="rect">
                      <a:avLst/>
                    </a:prstGeom>
                    <a:noFill/>
                  </pic:spPr>
                </pic:pic>
              </a:graphicData>
            </a:graphic>
          </wp:anchor>
        </w:drawing>
        <w:drawing>
          <wp:anchor simplePos="0" relativeHeight="251657728" behindDoc="1" locked="0" layoutInCell="0" allowOverlap="1">
            <wp:simplePos x="0" y="0"/>
            <wp:positionH relativeFrom="column">
              <wp:posOffset>300355</wp:posOffset>
            </wp:positionH>
            <wp:positionV relativeFrom="paragraph">
              <wp:posOffset>-173355</wp:posOffset>
            </wp:positionV>
            <wp:extent cx="62230" cy="635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ind w:left="960" w:right="200"/>
        <w:spacing w:after="0" w:line="239" w:lineRule="auto"/>
        <w:rPr>
          <w:sz w:val="20"/>
          <w:szCs w:val="20"/>
          <w:color w:val="auto"/>
        </w:rPr>
      </w:pPr>
      <w:r>
        <w:rPr>
          <w:rFonts w:ascii="Arial" w:cs="Arial" w:eastAsia="Arial" w:hAnsi="Arial"/>
          <w:sz w:val="19"/>
          <w:szCs w:val="19"/>
          <w:b w:val="1"/>
          <w:bCs w:val="1"/>
          <w:color w:val="231F20"/>
        </w:rPr>
        <w:t>any increase in interest expense due to an increase in the floating rate under the Loan Agreement as described elsewhere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-243840</wp:posOffset>
            </wp:positionV>
            <wp:extent cx="62230" cy="635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6" w:lineRule="exact"/>
        <w:rPr>
          <w:sz w:val="20"/>
          <w:szCs w:val="20"/>
          <w:color w:val="auto"/>
        </w:rPr>
      </w:pPr>
    </w:p>
    <w:p>
      <w:pPr>
        <w:ind w:left="960" w:right="3560"/>
        <w:spacing w:after="0" w:line="472" w:lineRule="auto"/>
        <w:rPr>
          <w:sz w:val="20"/>
          <w:szCs w:val="20"/>
          <w:color w:val="auto"/>
        </w:rPr>
      </w:pPr>
      <w:r>
        <w:rPr>
          <w:rFonts w:ascii="Arial" w:cs="Arial" w:eastAsia="Arial" w:hAnsi="Arial"/>
          <w:sz w:val="15"/>
          <w:szCs w:val="15"/>
          <w:b w:val="1"/>
          <w:bCs w:val="1"/>
          <w:color w:val="231F20"/>
        </w:rPr>
        <w:t>potential unforeseen business disruptions that increase our costs or expenses; future accounting pronouncements or changes in our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-398145</wp:posOffset>
            </wp:positionV>
            <wp:extent cx="62230" cy="635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2230" cy="63500"/>
                    </a:xfrm>
                    <a:prstGeom prst="rect">
                      <a:avLst/>
                    </a:prstGeom>
                    <a:noFill/>
                  </pic:spPr>
                </pic:pic>
              </a:graphicData>
            </a:graphic>
          </wp:anchor>
        </w:drawing>
        <w:drawing>
          <wp:anchor simplePos="0" relativeHeight="251657728" behindDoc="1" locked="0" layoutInCell="0" allowOverlap="1">
            <wp:simplePos x="0" y="0"/>
            <wp:positionH relativeFrom="column">
              <wp:posOffset>300355</wp:posOffset>
            </wp:positionH>
            <wp:positionV relativeFrom="paragraph">
              <wp:posOffset>-182245</wp:posOffset>
            </wp:positionV>
            <wp:extent cx="62230" cy="635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ind w:left="960" w:right="120"/>
        <w:spacing w:after="0" w:line="243" w:lineRule="auto"/>
        <w:rPr>
          <w:sz w:val="20"/>
          <w:szCs w:val="20"/>
          <w:color w:val="auto"/>
        </w:rPr>
      </w:pPr>
      <w:r>
        <w:rPr>
          <w:rFonts w:ascii="Arial" w:cs="Arial" w:eastAsia="Arial" w:hAnsi="Arial"/>
          <w:sz w:val="19"/>
          <w:szCs w:val="19"/>
          <w:b w:val="1"/>
          <w:bCs w:val="1"/>
          <w:color w:val="231F20"/>
        </w:rPr>
        <w:t>a weak or declining economy resulting from adverse macroeconomic conditions such as inflation, interest rate changes, uncertainty in the financial services industry, trade and other global disputes and interruptions, including related to tariffs and trade protection measures, and any U.S. federal government debt default due to a failure to increase the debt ceiling;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-529590</wp:posOffset>
            </wp:positionV>
            <wp:extent cx="62230" cy="635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3" w:lineRule="exact"/>
        <w:rPr>
          <w:sz w:val="20"/>
          <w:szCs w:val="20"/>
          <w:color w:val="auto"/>
        </w:rPr>
      </w:pPr>
    </w:p>
    <w:p>
      <w:pPr>
        <w:ind w:left="960" w:right="260"/>
        <w:spacing w:after="0" w:line="220" w:lineRule="exact"/>
        <w:rPr>
          <w:sz w:val="20"/>
          <w:szCs w:val="20"/>
          <w:color w:val="auto"/>
        </w:rPr>
      </w:pPr>
      <w:r>
        <w:rPr>
          <w:rFonts w:ascii="Arial" w:cs="Arial" w:eastAsia="Arial" w:hAnsi="Arial"/>
          <w:sz w:val="19"/>
          <w:szCs w:val="19"/>
          <w:b w:val="1"/>
          <w:bCs w:val="1"/>
          <w:color w:val="231F20"/>
        </w:rPr>
        <w:t>the impact of outbreaks or public health crises, such as the COVID-19 pandemic, geopolitical unrest related to Russia</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conflict with Ukraine, war and instability in Israel and the surrounding region, and bank failures or instability in the financial services sector on the global economy.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-384810</wp:posOffset>
            </wp:positionV>
            <wp:extent cx="62230" cy="635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8" w:lineRule="exact"/>
        <w:rPr>
          <w:sz w:val="20"/>
          <w:szCs w:val="20"/>
          <w:color w:val="auto"/>
        </w:rPr>
      </w:pPr>
    </w:p>
    <w:p>
      <w:pPr>
        <w:ind w:right="40" w:firstLine="475"/>
        <w:spacing w:after="0" w:line="296" w:lineRule="auto"/>
        <w:rPr>
          <w:sz w:val="20"/>
          <w:szCs w:val="20"/>
          <w:color w:val="auto"/>
        </w:rPr>
      </w:pPr>
      <w:r>
        <w:rPr>
          <w:rFonts w:ascii="Arial" w:cs="Arial" w:eastAsia="Arial" w:hAnsi="Arial"/>
          <w:sz w:val="16"/>
          <w:szCs w:val="16"/>
          <w:b w:val="1"/>
          <w:bCs w:val="1"/>
          <w:color w:val="231F20"/>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89" w:lineRule="exact"/>
        <w:rPr>
          <w:sz w:val="20"/>
          <w:szCs w:val="20"/>
          <w:color w:val="auto"/>
        </w:rPr>
      </w:pPr>
    </w:p>
    <w:p>
      <w:pPr>
        <w:ind w:right="60" w:firstLine="475"/>
        <w:spacing w:after="0" w:line="294" w:lineRule="auto"/>
        <w:rPr>
          <w:sz w:val="20"/>
          <w:szCs w:val="20"/>
          <w:color w:val="auto"/>
        </w:rPr>
      </w:pPr>
      <w:r>
        <w:rPr>
          <w:rFonts w:ascii="Arial" w:cs="Arial" w:eastAsia="Arial" w:hAnsi="Arial"/>
          <w:sz w:val="16"/>
          <w:szCs w:val="16"/>
          <w:b w:val="1"/>
          <w:bCs w:val="1"/>
          <w:color w:val="231F20"/>
        </w:rPr>
        <w:t>These and other risks associated with our planned international operations may materially adversely affect our ability to attain profitable operations. Further, there is currently significant uncertainty about the future relationship between the United States and various other countries, most significantly China, with respect to trade policies, treaties, tariffs, taxes, and other limitations on cross-border operations. For example, legislation has been introduced in Congress to limit certain U.S. biotechnology companies from using equipment or services produced or provided by select Chinese biotechnology companies. In February 2025, the current U.S. presidential administration imposed new tariffs on China and China responded with tariffs on select U.S. goods. While we cannot predict what actions may ultimately be taken with respect to trade relations between the United States and China or other countries, if we are unable to obtain or use services or products from existing service providers, including those of contract development and manufacturing organizations, or if alternative service providers cannot be secured at an acceptable cost or at all, or if such actions cause broader disruption in drug manufacturing and related industries that impact drug product availability or pricing, our business, liquidity, financial condition, and/or results of operations would be materially and adversely affected.</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Sales of a substantial number of shares of our common stock in the public market could cause our stock price to fall.</w:t>
      </w:r>
    </w:p>
    <w:p>
      <w:pPr>
        <w:spacing w:after="0" w:line="131" w:lineRule="exact"/>
        <w:rPr>
          <w:sz w:val="20"/>
          <w:szCs w:val="20"/>
          <w:color w:val="auto"/>
        </w:rPr>
      </w:pPr>
    </w:p>
    <w:p>
      <w:pPr>
        <w:jc w:val="both"/>
        <w:ind w:right="240" w:firstLine="475"/>
        <w:spacing w:after="0" w:line="242" w:lineRule="auto"/>
        <w:rPr>
          <w:sz w:val="20"/>
          <w:szCs w:val="20"/>
          <w:color w:val="auto"/>
        </w:rPr>
      </w:pPr>
      <w:r>
        <w:rPr>
          <w:rFonts w:ascii="Arial" w:cs="Arial" w:eastAsia="Arial" w:hAnsi="Arial"/>
          <w:sz w:val="19"/>
          <w:szCs w:val="19"/>
          <w:b w:val="1"/>
          <w:bCs w:val="1"/>
          <w:color w:val="231F20"/>
        </w:rPr>
        <w:t>Sales of a substantial number of shares of our common stock in the public market could occur at any time. If our stockholders sell, or the market perceives that our stockholders intend to sell, a substantial amount of our common stock in the public market, the market price of our common stock could decline significantly.</w:t>
      </w:r>
    </w:p>
    <w:p>
      <w:pPr>
        <w:sectPr>
          <w:pgSz w:w="12240" w:h="15840" w:orient="portrait"/>
          <w:cols w:equalWidth="0" w:num="1">
            <w:col w:w="10480"/>
          </w:cols>
          <w:pgMar w:left="880" w:top="1165" w:right="880" w:bottom="390" w:gutter="0" w:footer="0" w:header="0"/>
        </w:sect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69</w:t>
      </w:r>
    </w:p>
    <w:p>
      <w:pPr>
        <w:sectPr>
          <w:pgSz w:w="12240" w:h="15840" w:orient="portrait"/>
          <w:cols w:equalWidth="0" w:num="1">
            <w:col w:w="10480"/>
          </w:cols>
          <w:pgMar w:left="880" w:top="1165" w:right="880" w:bottom="390" w:gutter="0" w:footer="0" w:header="0"/>
          <w:type w:val="continuous"/>
        </w:sectPr>
      </w:pPr>
    </w:p>
    <w:bookmarkStart w:id="77" w:name="page78"/>
    <w:bookmarkEnd w:id="77"/>
    <w:p>
      <w:pPr>
        <w:ind w:right="260" w:firstLine="475"/>
        <w:spacing w:after="0" w:line="310" w:lineRule="auto"/>
        <w:rPr>
          <w:sz w:val="20"/>
          <w:szCs w:val="20"/>
          <w:color w:val="auto"/>
        </w:rPr>
      </w:pPr>
      <w:r>
        <w:rPr>
          <w:rFonts w:ascii="Arial" w:cs="Arial" w:eastAsia="Arial" w:hAnsi="Arial"/>
          <w:sz w:val="16"/>
          <w:szCs w:val="16"/>
          <w:b w:val="1"/>
          <w:bCs w:val="1"/>
          <w:color w:val="231F20"/>
        </w:rPr>
        <w:t>Shares issued upon the exercise of stock options outstanding under our equity incentive plans or pursuant to future awards granted under those plans will become available for sale in the public market to the extent permitted by the provisions of applicable vesting schedules and Rule 144 and Rule 701 under the Securities Act of 1933, as amended, or the Securities Act.</w:t>
      </w:r>
    </w:p>
    <w:p>
      <w:pPr>
        <w:spacing w:after="0" w:line="74" w:lineRule="exact"/>
        <w:rPr>
          <w:sz w:val="20"/>
          <w:szCs w:val="20"/>
          <w:color w:val="auto"/>
        </w:rPr>
      </w:pPr>
    </w:p>
    <w:p>
      <w:pPr>
        <w:ind w:firstLine="478"/>
        <w:spacing w:after="0" w:line="294" w:lineRule="auto"/>
        <w:rPr>
          <w:sz w:val="20"/>
          <w:szCs w:val="20"/>
          <w:color w:val="auto"/>
        </w:rPr>
      </w:pPr>
      <w:r>
        <w:rPr>
          <w:rFonts w:ascii="Arial" w:cs="Arial" w:eastAsia="Arial" w:hAnsi="Arial"/>
          <w:sz w:val="16"/>
          <w:szCs w:val="16"/>
          <w:b w:val="1"/>
          <w:bCs w:val="1"/>
          <w:color w:val="231F20"/>
        </w:rPr>
        <w:t xml:space="preserve">On October 10, 2023, we completed the October 2023 Offering for </w:t>
      </w:r>
      <w:r>
        <w:rPr>
          <w:rFonts w:ascii="Arial" w:cs="Arial" w:eastAsia="Arial" w:hAnsi="Arial"/>
          <w:sz w:val="16"/>
          <w:szCs w:val="16"/>
          <w:b w:val="1"/>
          <w:bCs w:val="1"/>
          <w:color w:val="19161A"/>
        </w:rPr>
        <w:t>the sale of</w:t>
      </w:r>
      <w:r>
        <w:rPr>
          <w:rFonts w:ascii="Arial" w:cs="Arial" w:eastAsia="Arial" w:hAnsi="Arial"/>
          <w:sz w:val="16"/>
          <w:szCs w:val="16"/>
          <w:b w:val="1"/>
          <w:bCs w:val="1"/>
          <w:color w:val="231F20"/>
        </w:rPr>
        <w:t xml:space="preserve"> an aggregate of 8,663,793 shares of common stock and pre-funded warrants to purchase 1,250,000 shares of common stock at a public offering price of $6.38 per share and $6.379 per pre-funded warrant. Our stockholders may be further diluted by the exercise of the pre-funded warrants issued in the October 2023 Offering. As of December 31, 2024, no shares underlying the pre-funded warrants had been exercised. Furthermore, we currently have an effective resale shelf registration statement which enables the selling stockholders thereunder, three of our largest stockholders, to sell shares in the public market which could cause our stock price to decline. In addition, any future sales of shares of common stock or other securities under our Shelf Registration Statement, including pursuant to our ATM facility, could put downward pressure on our stock price. Moreover, certain holders of our common stock have rights, subject to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any of these additional shares are sold, or if it is perceived that they will be sold, in the public market, the market price of our common stock could decline.</w:t>
      </w:r>
    </w:p>
    <w:p>
      <w:pPr>
        <w:spacing w:after="0" w:line="89" w:lineRule="exact"/>
        <w:rPr>
          <w:sz w:val="20"/>
          <w:szCs w:val="20"/>
          <w:color w:val="auto"/>
        </w:rPr>
      </w:pPr>
    </w:p>
    <w:p>
      <w:pPr>
        <w:ind w:right="280"/>
        <w:spacing w:after="0" w:line="239" w:lineRule="auto"/>
        <w:rPr>
          <w:sz w:val="20"/>
          <w:szCs w:val="20"/>
          <w:color w:val="auto"/>
        </w:rPr>
      </w:pPr>
      <w:r>
        <w:rPr>
          <w:rFonts w:ascii="Arial" w:cs="Arial" w:eastAsia="Arial" w:hAnsi="Arial"/>
          <w:sz w:val="19"/>
          <w:szCs w:val="19"/>
          <w:b w:val="1"/>
          <w:bCs w:val="1"/>
          <w:color w:val="231F20"/>
        </w:rPr>
        <w:t>If securities or industry analysts do not publish research or publish inaccurate or unfavorable research about our business, our share price and trading volume could decline.</w:t>
      </w:r>
    </w:p>
    <w:p>
      <w:pPr>
        <w:spacing w:after="0" w:line="127" w:lineRule="exact"/>
        <w:rPr>
          <w:sz w:val="20"/>
          <w:szCs w:val="20"/>
          <w:color w:val="auto"/>
        </w:rPr>
      </w:pPr>
    </w:p>
    <w:p>
      <w:pPr>
        <w:ind w:right="120" w:firstLine="478"/>
        <w:spacing w:after="0" w:line="298" w:lineRule="auto"/>
        <w:rPr>
          <w:sz w:val="20"/>
          <w:szCs w:val="20"/>
          <w:color w:val="auto"/>
        </w:rPr>
      </w:pPr>
      <w:r>
        <w:rPr>
          <w:rFonts w:ascii="Arial" w:cs="Arial" w:eastAsia="Arial" w:hAnsi="Arial"/>
          <w:sz w:val="16"/>
          <w:szCs w:val="16"/>
          <w:b w:val="1"/>
          <w:bCs w:val="1"/>
          <w:color w:val="231F20"/>
        </w:rPr>
        <w:t>The trading market for our common stock depends on the research and reports that securities or industry analysts publish about us or our business. We do not have any control over these analysts. We cannot assure you that analysts will cover us or provide favorable coverage. If no or few securities or industry analysts commence coverage of us, the trading price for our stock would be negatively impacted. If one or more of the analysts who cover us downgrade our stock or change their opinion of our common stock, our share price would likely decline. If one or more of these analysts cease coverage of our company or fail to publish reports on us regularly, we could lose visibility in the financial markets, which could cause our share price or trading volume to decline.</w:t>
      </w:r>
    </w:p>
    <w:p>
      <w:pPr>
        <w:spacing w:after="0" w:line="84" w:lineRule="exact"/>
        <w:rPr>
          <w:sz w:val="20"/>
          <w:szCs w:val="20"/>
          <w:color w:val="auto"/>
        </w:rPr>
      </w:pPr>
    </w:p>
    <w:p>
      <w:pPr>
        <w:ind w:right="260"/>
        <w:spacing w:after="0" w:line="239" w:lineRule="auto"/>
        <w:rPr>
          <w:sz w:val="20"/>
          <w:szCs w:val="20"/>
          <w:color w:val="auto"/>
        </w:rPr>
      </w:pPr>
      <w:r>
        <w:rPr>
          <w:rFonts w:ascii="Arial" w:cs="Arial" w:eastAsia="Arial" w:hAnsi="Arial"/>
          <w:sz w:val="19"/>
          <w:szCs w:val="19"/>
          <w:b w:val="1"/>
          <w:bCs w:val="1"/>
          <w:color w:val="231F20"/>
        </w:rPr>
        <w:t>We have incurred and will continue to incur significant increased costs and management resources as a result of operating as a public company.</w:t>
      </w:r>
    </w:p>
    <w:p>
      <w:pPr>
        <w:spacing w:after="0" w:line="129" w:lineRule="exact"/>
        <w:rPr>
          <w:sz w:val="20"/>
          <w:szCs w:val="20"/>
          <w:color w:val="auto"/>
        </w:rPr>
      </w:pPr>
    </w:p>
    <w:p>
      <w:pPr>
        <w:ind w:right="120" w:firstLine="478"/>
        <w:spacing w:after="0" w:line="299" w:lineRule="auto"/>
        <w:rPr>
          <w:sz w:val="20"/>
          <w:szCs w:val="20"/>
          <w:color w:val="auto"/>
        </w:rPr>
      </w:pPr>
      <w:r>
        <w:rPr>
          <w:rFonts w:ascii="Arial" w:cs="Arial" w:eastAsia="Arial" w:hAnsi="Arial"/>
          <w:sz w:val="16"/>
          <w:szCs w:val="16"/>
          <w:b w:val="1"/>
          <w:bCs w:val="1"/>
          <w:color w:val="231F20"/>
        </w:rPr>
        <w:t>We have incurred and will continue to incur significant legal, accounting, compliance and other expenses as a public company. Our management and other personnel need to devote a substantial amount of time and incur significant expense in connection with compliance initiatives. For example, as a public company, we must maintain additional internal controls and disclosure controls and procedures and have retained a transfer agent and adopted an insider trading policy. As a public company, we bear all of the internal and external costs of preparing and distributing periodic public reports in compliance with our obligations under the securities laws.</w:t>
      </w:r>
    </w:p>
    <w:p>
      <w:pPr>
        <w:spacing w:after="0" w:line="85" w:lineRule="exact"/>
        <w:rPr>
          <w:sz w:val="20"/>
          <w:szCs w:val="20"/>
          <w:color w:val="auto"/>
        </w:rPr>
      </w:pPr>
    </w:p>
    <w:p>
      <w:pPr>
        <w:ind w:right="80" w:firstLine="478"/>
        <w:spacing w:after="0" w:line="297" w:lineRule="auto"/>
        <w:rPr>
          <w:sz w:val="20"/>
          <w:szCs w:val="20"/>
          <w:color w:val="auto"/>
        </w:rPr>
      </w:pPr>
      <w:r>
        <w:rPr>
          <w:rFonts w:ascii="Arial" w:cs="Arial" w:eastAsia="Arial" w:hAnsi="Arial"/>
          <w:sz w:val="16"/>
          <w:szCs w:val="16"/>
          <w:b w:val="1"/>
          <w:bCs w:val="1"/>
          <w:color w:val="231F20"/>
        </w:rPr>
        <w:t>We maintain an enterprise resource planning, or ERP, system, which is designed to combine and streamline the management of our financial, accounting, human resources, sales and marketing and other functions, enabling us to manage operations and track performance more effectively. The ERP system has and will continue to require the investment of significant financial and human resources in order to ensure effective use of the system. Additionally, in the future, we may be limited in our ability to convert any business that we acquire to the ERP. Any disruptions or difficulties in using an ERP system could adversely affect our internal controls and harm our business, including our ability to forecast or make sales and collect our receivables. Moreover, such disruption or difficulties could result in unanticipated costs and diversion of management attention.</w:t>
      </w:r>
    </w:p>
    <w:p>
      <w:pPr>
        <w:spacing w:after="0" w:line="84" w:lineRule="exact"/>
        <w:rPr>
          <w:sz w:val="20"/>
          <w:szCs w:val="20"/>
          <w:color w:val="auto"/>
        </w:rPr>
      </w:pPr>
    </w:p>
    <w:p>
      <w:pPr>
        <w:ind w:right="20" w:firstLine="478"/>
        <w:spacing w:after="0" w:line="222" w:lineRule="exact"/>
        <w:rPr>
          <w:sz w:val="20"/>
          <w:szCs w:val="20"/>
          <w:color w:val="auto"/>
        </w:rPr>
      </w:pPr>
      <w:r>
        <w:rPr>
          <w:rFonts w:ascii="Arial" w:cs="Arial" w:eastAsia="Arial" w:hAnsi="Arial"/>
          <w:sz w:val="16"/>
          <w:szCs w:val="16"/>
          <w:b w:val="1"/>
          <w:bCs w:val="1"/>
          <w:color w:val="231F20"/>
        </w:rPr>
        <w:t>In addition, regulations and standards relating to corporate governance and public disclosure, including the Sarbanes-Oxley Act, or SOX, and the related rules and regulations implemented by the SEC and the Nasdaq Stock Market LLC, or Nasdaq, have and will continue to increase legal and financial compliance costs and make some compliance activities more time-consuming. We have invested and will continue to invest additional resources to comply with evolving laws, regulations and standards, and this investment will result in increased general and administrative expenses and may divert management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As a public company, we maintain directors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and officers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insurance coverage, which has significantly increased in recent years.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ectPr>
          <w:pgSz w:w="12240" w:h="15840" w:orient="portrait"/>
          <w:cols w:equalWidth="0" w:num="1">
            <w:col w:w="10460"/>
          </w:cols>
          <w:pgMar w:left="880" w:top="1165" w:right="90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231F20"/>
        </w:rPr>
        <w:t>70</w:t>
      </w:r>
    </w:p>
    <w:p>
      <w:pPr>
        <w:sectPr>
          <w:pgSz w:w="12240" w:h="15840" w:orient="portrait"/>
          <w:cols w:equalWidth="0" w:num="1">
            <w:col w:w="10460"/>
          </w:cols>
          <w:pgMar w:left="880" w:top="1165" w:right="900" w:bottom="390" w:gutter="0" w:footer="0" w:header="0"/>
          <w:type w:val="continuous"/>
        </w:sectPr>
      </w:pPr>
    </w:p>
    <w:bookmarkStart w:id="78" w:name="page79"/>
    <w:bookmarkEnd w:id="78"/>
    <w:p>
      <w:pPr>
        <w:jc w:val="both"/>
        <w:ind w:right="220"/>
        <w:spacing w:after="0" w:line="220" w:lineRule="exact"/>
        <w:rPr>
          <w:sz w:val="20"/>
          <w:szCs w:val="20"/>
          <w:color w:val="auto"/>
        </w:rPr>
      </w:pPr>
      <w:r>
        <w:rPr>
          <w:rFonts w:ascii="Arial" w:cs="Arial" w:eastAsia="Arial" w:hAnsi="Arial"/>
          <w:sz w:val="19"/>
          <w:szCs w:val="19"/>
          <w:b w:val="1"/>
          <w:bCs w:val="1"/>
          <w:color w:val="231F20"/>
        </w:rPr>
        <w:t xml:space="preserve">While we were a large-accelerated filer for fiscal year 2022, we were a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non-accelerated filer</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for fiscal year 2023 and 2024 and we anticipate we will continue to be one throughout fiscal year 2025. This status could make our common stock less attractive to investors.</w:t>
      </w:r>
    </w:p>
    <w:p>
      <w:pPr>
        <w:spacing w:after="0" w:line="128" w:lineRule="exact"/>
        <w:rPr>
          <w:sz w:val="20"/>
          <w:szCs w:val="20"/>
          <w:color w:val="auto"/>
        </w:rPr>
      </w:pPr>
    </w:p>
    <w:p>
      <w:pPr>
        <w:ind w:firstLine="475"/>
        <w:spacing w:after="0" w:line="275" w:lineRule="auto"/>
        <w:rPr>
          <w:sz w:val="20"/>
          <w:szCs w:val="20"/>
          <w:color w:val="auto"/>
        </w:rPr>
      </w:pPr>
      <w:r>
        <w:rPr>
          <w:rFonts w:ascii="Arial" w:cs="Arial" w:eastAsia="Arial" w:hAnsi="Arial"/>
          <w:sz w:val="17"/>
          <w:szCs w:val="17"/>
          <w:b w:val="1"/>
          <w:bCs w:val="1"/>
          <w:color w:val="231F20"/>
        </w:rPr>
        <w:t>Each year, we re-evaluate our SEC filing status. Accordingly, we were a non-accelerated filer for fiscal year 2023 and 2024, and due to our public float as of June 30, 2024, we anticipate we will be a non-accelerated filer throughout fiscal year 2025. This will be re-evaluated each June 30. Pursuant to Section 404(a) of SOX, we are required to furnish a report by our management on our internal control over financial reporting. However, while we remain a non-accelerated filer, we will not be required to include an attestation report issued by our independent registered public accounting firm on the effectiveness of our internal control over financial reporting. If, after our next June 30 re-evaluation, we are no longer a non-accelerated filer, we would be required to include an attestation report on internal control over financial reporting issued by our independent registered public accounting firm and adhere to earlier filing dates based on our determined status beginning with our Form 10-K for the fiscal year. We cannot predict if investors will find our common stock less attractive if we choose to rely on this exemption. If some investors find our common stock less attractive as a result of our non-accelerated filer status, there may be a less active trading market for our common stock and our stock price may be more volatile and may decline.</w:t>
      </w:r>
    </w:p>
    <w:p>
      <w:pPr>
        <w:spacing w:after="0" w:line="107" w:lineRule="exact"/>
        <w:rPr>
          <w:sz w:val="20"/>
          <w:szCs w:val="20"/>
          <w:color w:val="auto"/>
        </w:rPr>
      </w:pPr>
    </w:p>
    <w:p>
      <w:pPr>
        <w:ind w:right="800"/>
        <w:spacing w:after="0" w:line="239" w:lineRule="auto"/>
        <w:rPr>
          <w:sz w:val="20"/>
          <w:szCs w:val="20"/>
          <w:color w:val="auto"/>
        </w:rPr>
      </w:pPr>
      <w:r>
        <w:rPr>
          <w:rFonts w:ascii="Arial" w:cs="Arial" w:eastAsia="Arial" w:hAnsi="Arial"/>
          <w:sz w:val="19"/>
          <w:szCs w:val="19"/>
          <w:b w:val="1"/>
          <w:bCs w:val="1"/>
          <w:color w:val="231F20"/>
        </w:rPr>
        <w:t>Our affiliated principal stockholders and management own a significant percentage of our stock and will be able to exert significant control over matters subject to stockholder approval.</w:t>
      </w:r>
    </w:p>
    <w:p>
      <w:pPr>
        <w:spacing w:after="0" w:line="126" w:lineRule="exact"/>
        <w:rPr>
          <w:sz w:val="20"/>
          <w:szCs w:val="20"/>
          <w:color w:val="auto"/>
        </w:rPr>
      </w:pPr>
    </w:p>
    <w:p>
      <w:pPr>
        <w:ind w:right="220" w:firstLine="475"/>
        <w:spacing w:after="0" w:line="266" w:lineRule="auto"/>
        <w:rPr>
          <w:sz w:val="20"/>
          <w:szCs w:val="20"/>
          <w:color w:val="auto"/>
        </w:rPr>
      </w:pPr>
      <w:r>
        <w:rPr>
          <w:rFonts w:ascii="Arial" w:cs="Arial" w:eastAsia="Arial" w:hAnsi="Arial"/>
          <w:sz w:val="18"/>
          <w:szCs w:val="18"/>
          <w:b w:val="1"/>
          <w:bCs w:val="1"/>
          <w:color w:val="231F20"/>
        </w:rPr>
        <w:t>As of December 31, 2024, our executive officers, directors, and affiliated holders of 5% or more of our capital stock and their respective affiliates beneficially owned approximately 23.8% of our outstanding voting stock.</w:t>
      </w:r>
    </w:p>
    <w:p>
      <w:pPr>
        <w:spacing w:after="0" w:line="105" w:lineRule="exact"/>
        <w:rPr>
          <w:sz w:val="20"/>
          <w:szCs w:val="20"/>
          <w:color w:val="auto"/>
        </w:rPr>
      </w:pPr>
    </w:p>
    <w:p>
      <w:pPr>
        <w:ind w:right="60" w:firstLine="475"/>
        <w:spacing w:after="0" w:line="276" w:lineRule="auto"/>
        <w:rPr>
          <w:sz w:val="20"/>
          <w:szCs w:val="20"/>
          <w:color w:val="auto"/>
        </w:rPr>
      </w:pPr>
      <w:r>
        <w:rPr>
          <w:rFonts w:ascii="Arial" w:cs="Arial" w:eastAsia="Arial" w:hAnsi="Arial"/>
          <w:sz w:val="17"/>
          <w:szCs w:val="17"/>
          <w:b w:val="1"/>
          <w:bCs w:val="1"/>
          <w:color w:val="231F20"/>
        </w:rPr>
        <w:t>Therefore, this group of stockholders, if they act together, will have the ability to control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material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02" w:lineRule="exact"/>
        <w:rPr>
          <w:sz w:val="20"/>
          <w:szCs w:val="20"/>
          <w:color w:val="auto"/>
        </w:rPr>
      </w:pPr>
    </w:p>
    <w:p>
      <w:pPr>
        <w:ind w:right="780"/>
        <w:spacing w:after="0" w:line="239" w:lineRule="auto"/>
        <w:rPr>
          <w:sz w:val="20"/>
          <w:szCs w:val="20"/>
          <w:color w:val="auto"/>
        </w:rPr>
      </w:pPr>
      <w:r>
        <w:rPr>
          <w:rFonts w:ascii="Arial" w:cs="Arial" w:eastAsia="Arial" w:hAnsi="Arial"/>
          <w:sz w:val="19"/>
          <w:szCs w:val="19"/>
          <w:b w:val="1"/>
          <w:bCs w:val="1"/>
          <w:color w:val="231F20"/>
        </w:rPr>
        <w:t>Market conditions and changing circumstances could impair our ability to access our existing cash, cash equivalents and investments and to timely pay key vendors and others.</w:t>
      </w:r>
    </w:p>
    <w:p>
      <w:pPr>
        <w:spacing w:after="0" w:line="126" w:lineRule="exact"/>
        <w:rPr>
          <w:sz w:val="20"/>
          <w:szCs w:val="20"/>
          <w:color w:val="auto"/>
        </w:rPr>
      </w:pPr>
    </w:p>
    <w:p>
      <w:pPr>
        <w:ind w:right="60" w:firstLine="475"/>
        <w:spacing w:after="0" w:line="222" w:lineRule="exact"/>
        <w:rPr>
          <w:sz w:val="20"/>
          <w:szCs w:val="20"/>
          <w:color w:val="auto"/>
        </w:rPr>
      </w:pPr>
      <w:r>
        <w:rPr>
          <w:rFonts w:ascii="Arial" w:cs="Arial" w:eastAsia="Arial" w:hAnsi="Arial"/>
          <w:sz w:val="16"/>
          <w:szCs w:val="16"/>
          <w:b w:val="1"/>
          <w:bCs w:val="1"/>
          <w:color w:val="231F20"/>
        </w:rPr>
        <w:t>Market conditions and changing circumstances, some of which may be beyond our control, could impair our ability to access our existing cash, cash equivalents and investments and to timely pay key vendors and others. For example, in March 2023, SVB, where we maintain certain immaterial accounts, was placed into receivership with the FDIC, and all funds held at SVB were temporarily inaccessible to SVB</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customers. If other banks and financial institutions with whom we have banking relationships enter receivership or become insolvent in the future, we may be unable to access, or we may lose, some or all of our existing cash, cash equivalents and investments, to the extent those funds are not insured or otherwise protected by the FDIC. In addition, in such circumstances we might not be able to timely pay key vendors, employees, and others. We regularly maintain cash balances that are not insured or are in excess of the FDIC</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insurance limit. In addition, any U.S. federal government debt default due to a failure to increase the debt ceiling may lead to lack of access to our investments in U.S. treasury securities or losses or lower returns on such investments, in addition to broader macroeconomic risk that would follow any such default. Any delay in our ability to access our cash, cash equivalents and investments, or the loss of some or all of such funds, or inability to pay key vendors and others timely, could have a material adverse effect on our operations and cause us to seek additional capital sooner than planned.</w:t>
      </w:r>
    </w:p>
    <w:p>
      <w:pPr>
        <w:spacing w:after="0" w:line="130" w:lineRule="exact"/>
        <w:rPr>
          <w:sz w:val="20"/>
          <w:szCs w:val="20"/>
          <w:color w:val="auto"/>
        </w:rPr>
      </w:pPr>
    </w:p>
    <w:p>
      <w:pPr>
        <w:ind w:right="80"/>
        <w:spacing w:after="0" w:line="239" w:lineRule="auto"/>
        <w:rPr>
          <w:sz w:val="20"/>
          <w:szCs w:val="20"/>
          <w:color w:val="auto"/>
        </w:rPr>
      </w:pPr>
      <w:r>
        <w:rPr>
          <w:rFonts w:ascii="Arial" w:cs="Arial" w:eastAsia="Arial" w:hAnsi="Arial"/>
          <w:sz w:val="19"/>
          <w:szCs w:val="19"/>
          <w:b w:val="1"/>
          <w:bCs w:val="1"/>
          <w:color w:val="231F20"/>
        </w:rPr>
        <w:t>We do not anticipate paying cash dividends and, accordingly, stockholders must rely on share appreciation for any return on their investment.</w:t>
      </w:r>
    </w:p>
    <w:p>
      <w:pPr>
        <w:spacing w:after="0" w:line="126" w:lineRule="exact"/>
        <w:rPr>
          <w:sz w:val="20"/>
          <w:szCs w:val="20"/>
          <w:color w:val="auto"/>
        </w:rPr>
      </w:pPr>
    </w:p>
    <w:p>
      <w:pPr>
        <w:ind w:right="60" w:firstLine="475"/>
        <w:spacing w:after="0" w:line="281" w:lineRule="auto"/>
        <w:rPr>
          <w:sz w:val="20"/>
          <w:szCs w:val="20"/>
          <w:color w:val="auto"/>
        </w:rPr>
      </w:pPr>
      <w:r>
        <w:rPr>
          <w:rFonts w:ascii="Arial" w:cs="Arial" w:eastAsia="Arial" w:hAnsi="Arial"/>
          <w:sz w:val="17"/>
          <w:szCs w:val="17"/>
          <w:b w:val="1"/>
          <w:bCs w:val="1"/>
          <w:color w:val="231F20"/>
        </w:rPr>
        <w:t>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As a result, capital appreciation, if any, of our common stock will be your sole source of gain on your investment for the foreseeable future. Investors seeking cash dividends should not invest in our common stock.</w:t>
      </w:r>
    </w:p>
    <w:p>
      <w:pPr>
        <w:sectPr>
          <w:pgSz w:w="12240" w:h="15840" w:orient="portrait"/>
          <w:cols w:equalWidth="0" w:num="1">
            <w:col w:w="10460"/>
          </w:cols>
          <w:pgMar w:left="880" w:top="1165" w:right="90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231F20"/>
        </w:rPr>
        <w:t>71</w:t>
      </w:r>
    </w:p>
    <w:p>
      <w:pPr>
        <w:sectPr>
          <w:pgSz w:w="12240" w:h="15840" w:orient="portrait"/>
          <w:cols w:equalWidth="0" w:num="1">
            <w:col w:w="10460"/>
          </w:cols>
          <w:pgMar w:left="880" w:top="1165" w:right="900" w:bottom="390" w:gutter="0" w:footer="0" w:header="0"/>
          <w:type w:val="continuous"/>
        </w:sectPr>
      </w:pPr>
    </w:p>
    <w:bookmarkStart w:id="79" w:name="page80"/>
    <w:bookmarkEnd w:id="79"/>
    <w:p>
      <w:pPr>
        <w:ind w:right="320"/>
        <w:spacing w:after="0" w:line="239" w:lineRule="auto"/>
        <w:rPr>
          <w:sz w:val="20"/>
          <w:szCs w:val="20"/>
          <w:color w:val="auto"/>
        </w:rPr>
      </w:pPr>
      <w:r>
        <w:rPr>
          <w:rFonts w:ascii="Arial" w:cs="Arial" w:eastAsia="Arial" w:hAnsi="Arial"/>
          <w:sz w:val="19"/>
          <w:szCs w:val="19"/>
          <w:b w:val="1"/>
          <w:bCs w:val="1"/>
          <w:color w:val="231F20"/>
        </w:rPr>
        <w:t>Raising additional capital may cause dilution to our stockholders, restrict our operations or require us to relinquish substantial rights.</w:t>
      </w:r>
    </w:p>
    <w:p>
      <w:pPr>
        <w:spacing w:after="0" w:line="129" w:lineRule="exact"/>
        <w:rPr>
          <w:sz w:val="20"/>
          <w:szCs w:val="20"/>
          <w:color w:val="auto"/>
        </w:rPr>
      </w:pPr>
    </w:p>
    <w:p>
      <w:pPr>
        <w:ind w:right="20" w:firstLine="475"/>
        <w:spacing w:after="0" w:line="293" w:lineRule="auto"/>
        <w:rPr>
          <w:sz w:val="20"/>
          <w:szCs w:val="20"/>
          <w:color w:val="auto"/>
        </w:rPr>
      </w:pPr>
      <w:r>
        <w:rPr>
          <w:rFonts w:ascii="Arial" w:cs="Arial" w:eastAsia="Arial" w:hAnsi="Arial"/>
          <w:sz w:val="16"/>
          <w:szCs w:val="16"/>
          <w:b w:val="1"/>
          <w:bCs w:val="1"/>
          <w:color w:val="231F20"/>
        </w:rPr>
        <w:t>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Sales of equity securities may be made under our Shelf Registration Statement and pursuant to our related ATM facility described therein. Additionally, our stockholders may be further diluted by the exercise of the pre-funded warrants issued in the follow-on public offering. As of December 31, 2024, no shares underlying the pre-funded warrants had been exercised. Debt financing, if available, may involve fixed payment obligations or agreements that include covenants limiting or restricting our ability to take specific actions such as incurring additional debt, making capital expenditures or declaring dividends. Our Loan Agreement with the Lenders restricts our ability to incur additional indebtedness without the consent of the Lenders.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w:t>
      </w:r>
    </w:p>
    <w:p>
      <w:pPr>
        <w:spacing w:after="0" w:line="94" w:lineRule="exact"/>
        <w:rPr>
          <w:sz w:val="20"/>
          <w:szCs w:val="20"/>
          <w:color w:val="auto"/>
        </w:rPr>
      </w:pPr>
    </w:p>
    <w:p>
      <w:pPr>
        <w:ind w:right="500"/>
        <w:spacing w:after="0"/>
        <w:rPr>
          <w:sz w:val="20"/>
          <w:szCs w:val="20"/>
          <w:color w:val="auto"/>
        </w:rPr>
      </w:pPr>
      <w:r>
        <w:rPr>
          <w:rFonts w:ascii="Arial" w:cs="Arial" w:eastAsia="Arial" w:hAnsi="Arial"/>
          <w:sz w:val="19"/>
          <w:szCs w:val="19"/>
          <w:b w:val="1"/>
          <w:bCs w:val="1"/>
          <w:color w:val="231F20"/>
        </w:rPr>
        <w:t>Delaware law and provisions in our amended and restated certificate of incorporation and bylaws might discourage, delay or prevent a change in control of our company or changes in our management and, therefore, depress the trading price of our common stock.</w:t>
      </w:r>
    </w:p>
    <w:p>
      <w:pPr>
        <w:spacing w:after="0" w:line="129" w:lineRule="exact"/>
        <w:rPr>
          <w:sz w:val="20"/>
          <w:szCs w:val="20"/>
          <w:color w:val="auto"/>
        </w:rPr>
      </w:pPr>
    </w:p>
    <w:p>
      <w:pPr>
        <w:ind w:right="40" w:firstLine="475"/>
        <w:spacing w:after="0" w:line="260" w:lineRule="auto"/>
        <w:rPr>
          <w:sz w:val="20"/>
          <w:szCs w:val="20"/>
          <w:color w:val="auto"/>
        </w:rPr>
      </w:pPr>
      <w:r>
        <w:rPr>
          <w:rFonts w:ascii="Arial" w:cs="Arial" w:eastAsia="Arial" w:hAnsi="Arial"/>
          <w:sz w:val="18"/>
          <w:szCs w:val="18"/>
          <w:b w:val="1"/>
          <w:bCs w:val="1"/>
          <w:color w:val="231F20"/>
        </w:rPr>
        <w:t>Provisions in our amended and restated certificate of incorporation and amended and restated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w:t>
      </w:r>
    </w:p>
    <w:p>
      <w:pPr>
        <w:spacing w:after="0" w:line="110"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231F20"/>
        </w:rPr>
        <w:t>establish that our board of directors is divided into three classes, with each class serving staggered three-year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-83185</wp:posOffset>
            </wp:positionV>
            <wp:extent cx="62230" cy="635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37" w:lineRule="exact"/>
        <w:rPr>
          <w:sz w:val="20"/>
          <w:szCs w:val="20"/>
          <w:color w:val="auto"/>
        </w:rPr>
      </w:pPr>
    </w:p>
    <w:p>
      <w:pPr>
        <w:ind w:left="960" w:right="180"/>
        <w:spacing w:after="0" w:line="239" w:lineRule="auto"/>
        <w:rPr>
          <w:sz w:val="20"/>
          <w:szCs w:val="20"/>
          <w:color w:val="auto"/>
        </w:rPr>
      </w:pPr>
      <w:r>
        <w:rPr>
          <w:rFonts w:ascii="Arial" w:cs="Arial" w:eastAsia="Arial" w:hAnsi="Arial"/>
          <w:sz w:val="19"/>
          <w:szCs w:val="19"/>
          <w:b w:val="1"/>
          <w:bCs w:val="1"/>
          <w:color w:val="231F20"/>
        </w:rPr>
        <w:t>provide that vacancies on our board of directors may be filled only by a majority of directors then in office, even though less than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-243840</wp:posOffset>
            </wp:positionV>
            <wp:extent cx="62230" cy="635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1"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provide that our directors may only be removed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0"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eliminate cumulative voting in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8" w:lineRule="exact"/>
        <w:rPr>
          <w:sz w:val="20"/>
          <w:szCs w:val="20"/>
          <w:color w:val="auto"/>
        </w:rPr>
      </w:pPr>
    </w:p>
    <w:p>
      <w:pPr>
        <w:ind w:left="960" w:right="200"/>
        <w:spacing w:after="0" w:line="265" w:lineRule="auto"/>
        <w:rPr>
          <w:sz w:val="20"/>
          <w:szCs w:val="20"/>
          <w:color w:val="auto"/>
        </w:rPr>
      </w:pPr>
      <w:r>
        <w:rPr>
          <w:rFonts w:ascii="Arial" w:cs="Arial" w:eastAsia="Arial" w:hAnsi="Arial"/>
          <w:sz w:val="18"/>
          <w:szCs w:val="18"/>
          <w:b w:val="1"/>
          <w:bCs w:val="1"/>
          <w:color w:val="231F20"/>
        </w:rPr>
        <w:t>authorize our board of directors to issue shares of convertible preferred stock and determine the price and other terms of those shares, including preferences and voting rights, without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-257810</wp:posOffset>
            </wp:positionV>
            <wp:extent cx="62230" cy="635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84" w:lineRule="exact"/>
        <w:rPr>
          <w:sz w:val="20"/>
          <w:szCs w:val="20"/>
          <w:color w:val="auto"/>
        </w:rPr>
      </w:pPr>
    </w:p>
    <w:p>
      <w:pPr>
        <w:ind w:left="960" w:right="240"/>
        <w:spacing w:after="0" w:line="394" w:lineRule="auto"/>
        <w:rPr>
          <w:sz w:val="20"/>
          <w:szCs w:val="20"/>
          <w:color w:val="auto"/>
        </w:rPr>
      </w:pPr>
      <w:r>
        <w:rPr>
          <w:rFonts w:ascii="Arial" w:cs="Arial" w:eastAsia="Arial" w:hAnsi="Arial"/>
          <w:sz w:val="18"/>
          <w:szCs w:val="18"/>
          <w:b w:val="1"/>
          <w:bCs w:val="1"/>
          <w:color w:val="231F20"/>
        </w:rPr>
        <w:t>provide our board of directors with the exclusive right to elect a director to fill a vacancy or newly created directorship; permit stockholders to only take actions at a duly called annual or special meeting and not by written consent; prohibit stockholders from calling a 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-613410</wp:posOffset>
            </wp:positionV>
            <wp:extent cx="62230" cy="635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2230" cy="63500"/>
                    </a:xfrm>
                    <a:prstGeom prst="rect">
                      <a:avLst/>
                    </a:prstGeom>
                    <a:noFill/>
                  </pic:spPr>
                </pic:pic>
              </a:graphicData>
            </a:graphic>
          </wp:anchor>
        </w:drawing>
        <w:drawing>
          <wp:anchor simplePos="0" relativeHeight="251657728" behindDoc="1" locked="0" layoutInCell="0" allowOverlap="1">
            <wp:simplePos x="0" y="0"/>
            <wp:positionH relativeFrom="column">
              <wp:posOffset>300355</wp:posOffset>
            </wp:positionH>
            <wp:positionV relativeFrom="paragraph">
              <wp:posOffset>-398780</wp:posOffset>
            </wp:positionV>
            <wp:extent cx="62230" cy="635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2230" cy="63500"/>
                    </a:xfrm>
                    <a:prstGeom prst="rect">
                      <a:avLst/>
                    </a:prstGeom>
                    <a:noFill/>
                  </pic:spPr>
                </pic:pic>
              </a:graphicData>
            </a:graphic>
          </wp:anchor>
        </w:drawing>
        <w:drawing>
          <wp:anchor simplePos="0" relativeHeight="251657728" behindDoc="1" locked="0" layoutInCell="0" allowOverlap="1">
            <wp:simplePos x="0" y="0"/>
            <wp:positionH relativeFrom="column">
              <wp:posOffset>300355</wp:posOffset>
            </wp:positionH>
            <wp:positionV relativeFrom="paragraph">
              <wp:posOffset>-182245</wp:posOffset>
            </wp:positionV>
            <wp:extent cx="62230" cy="635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ind w:left="960" w:right="220"/>
        <w:spacing w:after="0" w:line="239" w:lineRule="auto"/>
        <w:rPr>
          <w:sz w:val="20"/>
          <w:szCs w:val="20"/>
          <w:color w:val="auto"/>
        </w:rPr>
      </w:pPr>
      <w:r>
        <w:rPr>
          <w:rFonts w:ascii="Arial" w:cs="Arial" w:eastAsia="Arial" w:hAnsi="Arial"/>
          <w:sz w:val="19"/>
          <w:szCs w:val="19"/>
          <w:b w:val="1"/>
          <w:bCs w:val="1"/>
          <w:color w:val="231F20"/>
        </w:rPr>
        <w:t>require that stockholders give advance notice to nominate directors or submit proposals for consideration at stockholder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-243840</wp:posOffset>
            </wp:positionV>
            <wp:extent cx="62230" cy="635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1"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authorize our board of directors to amend the bylaws;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8" w:lineRule="exact"/>
        <w:rPr>
          <w:sz w:val="20"/>
          <w:szCs w:val="20"/>
          <w:color w:val="auto"/>
        </w:rPr>
      </w:pPr>
    </w:p>
    <w:p>
      <w:pPr>
        <w:ind w:left="960" w:right="100"/>
        <w:spacing w:after="0" w:line="238" w:lineRule="auto"/>
        <w:rPr>
          <w:sz w:val="20"/>
          <w:szCs w:val="20"/>
          <w:color w:val="auto"/>
        </w:rPr>
      </w:pPr>
      <w:r>
        <w:rPr>
          <w:rFonts w:ascii="Arial" w:cs="Arial" w:eastAsia="Arial" w:hAnsi="Arial"/>
          <w:sz w:val="19"/>
          <w:szCs w:val="19"/>
          <w:b w:val="1"/>
          <w:bCs w:val="1"/>
          <w:color w:val="231F20"/>
        </w:rPr>
        <w:t>require the affirmative vote of at least 66 2/3% or more of the outstanding shares of common stock to amend many of the provisions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-242570</wp:posOffset>
            </wp:positionV>
            <wp:extent cx="62230" cy="635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8" w:lineRule="exact"/>
        <w:rPr>
          <w:sz w:val="20"/>
          <w:szCs w:val="20"/>
          <w:color w:val="auto"/>
        </w:rPr>
      </w:pPr>
    </w:p>
    <w:p>
      <w:pPr>
        <w:ind w:firstLine="475"/>
        <w:spacing w:after="0" w:line="303" w:lineRule="auto"/>
        <w:rPr>
          <w:sz w:val="20"/>
          <w:szCs w:val="20"/>
          <w:color w:val="auto"/>
        </w:rPr>
      </w:pPr>
      <w:r>
        <w:rPr>
          <w:rFonts w:ascii="Arial" w:cs="Arial" w:eastAsia="Arial" w:hAnsi="Arial"/>
          <w:sz w:val="16"/>
          <w:szCs w:val="16"/>
          <w:b w:val="1"/>
          <w:bCs w:val="1"/>
          <w:color w:val="231F20"/>
        </w:rPr>
        <w:t>In addition, Section 203 of the General Corporation Law of the State of Delaware prohibits a publicly-held Delaware corporation from engaging in a business combination with an interested stockholder,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79" w:lineRule="exact"/>
        <w:rPr>
          <w:sz w:val="20"/>
          <w:szCs w:val="20"/>
          <w:color w:val="auto"/>
        </w:rPr>
      </w:pPr>
    </w:p>
    <w:p>
      <w:pPr>
        <w:jc w:val="both"/>
        <w:ind w:right="60" w:firstLine="475"/>
        <w:spacing w:after="0" w:line="310" w:lineRule="auto"/>
        <w:rPr>
          <w:sz w:val="20"/>
          <w:szCs w:val="20"/>
          <w:color w:val="auto"/>
        </w:rPr>
      </w:pPr>
      <w:r>
        <w:rPr>
          <w:rFonts w:ascii="Arial" w:cs="Arial" w:eastAsia="Arial" w:hAnsi="Arial"/>
          <w:sz w:val="16"/>
          <w:szCs w:val="16"/>
          <w:b w:val="1"/>
          <w:bCs w:val="1"/>
          <w:color w:val="231F20"/>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ectPr>
          <w:pgSz w:w="12240" w:h="15840" w:orient="portrait"/>
          <w:cols w:equalWidth="0" w:num="1">
            <w:col w:w="10460"/>
          </w:cols>
          <w:pgMar w:left="880" w:top="1165" w:right="90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231F20"/>
        </w:rPr>
        <w:t>72</w:t>
      </w:r>
    </w:p>
    <w:p>
      <w:pPr>
        <w:sectPr>
          <w:pgSz w:w="12240" w:h="15840" w:orient="portrait"/>
          <w:cols w:equalWidth="0" w:num="1">
            <w:col w:w="10460"/>
          </w:cols>
          <w:pgMar w:left="880" w:top="1165" w:right="900" w:bottom="390" w:gutter="0" w:footer="0" w:header="0"/>
          <w:type w:val="continuous"/>
        </w:sectPr>
      </w:pPr>
    </w:p>
    <w:bookmarkStart w:id="80" w:name="page81"/>
    <w:bookmarkEnd w:id="80"/>
    <w:p>
      <w:pPr>
        <w:ind w:right="40"/>
        <w:spacing w:after="0" w:line="220" w:lineRule="exact"/>
        <w:rPr>
          <w:sz w:val="20"/>
          <w:szCs w:val="20"/>
          <w:color w:val="auto"/>
        </w:rPr>
      </w:pPr>
      <w:r>
        <w:rPr>
          <w:rFonts w:ascii="Arial" w:cs="Arial" w:eastAsia="Arial" w:hAnsi="Arial"/>
          <w:sz w:val="17"/>
          <w:szCs w:val="17"/>
          <w:b w:val="1"/>
          <w:bCs w:val="1"/>
          <w:color w:val="231F20"/>
        </w:rPr>
        <w:t>Our amended and restated bylaws provide that the Court of Chancery of the State of Delaware and the federal district courts of the United States will be the exclusive forums for substantially all disputes between us and our stockholders, which could limit our stockholders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ability to obtain a favorable judicial forum for disputes with us or our directors, officers or employees.</w:t>
      </w:r>
    </w:p>
    <w:p>
      <w:pPr>
        <w:spacing w:after="0" w:line="128" w:lineRule="exact"/>
        <w:rPr>
          <w:sz w:val="20"/>
          <w:szCs w:val="20"/>
          <w:color w:val="auto"/>
        </w:rPr>
      </w:pPr>
    </w:p>
    <w:p>
      <w:pPr>
        <w:ind w:firstLine="475"/>
        <w:spacing w:after="0" w:line="260" w:lineRule="auto"/>
        <w:rPr>
          <w:sz w:val="20"/>
          <w:szCs w:val="20"/>
          <w:color w:val="auto"/>
        </w:rPr>
      </w:pPr>
      <w:r>
        <w:rPr>
          <w:rFonts w:ascii="Arial" w:cs="Arial" w:eastAsia="Arial" w:hAnsi="Arial"/>
          <w:sz w:val="18"/>
          <w:szCs w:val="18"/>
          <w:b w:val="1"/>
          <w:bCs w:val="1"/>
          <w:color w:val="231F20"/>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w:t>
      </w:r>
    </w:p>
    <w:p>
      <w:pPr>
        <w:spacing w:after="0" w:line="104"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any derivative action or proceeding brought on behalf of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0"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any action asserting a claim of breach of a fiduciary duty;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8" w:lineRule="exact"/>
        <w:rPr>
          <w:sz w:val="20"/>
          <w:szCs w:val="20"/>
          <w:color w:val="auto"/>
        </w:rPr>
      </w:pPr>
    </w:p>
    <w:p>
      <w:pPr>
        <w:ind w:left="960" w:right="40"/>
        <w:spacing w:after="0" w:line="329" w:lineRule="auto"/>
        <w:rPr>
          <w:sz w:val="20"/>
          <w:szCs w:val="20"/>
          <w:color w:val="auto"/>
        </w:rPr>
      </w:pPr>
      <w:r>
        <w:rPr>
          <w:rFonts w:ascii="Arial" w:cs="Arial" w:eastAsia="Arial" w:hAnsi="Arial"/>
          <w:sz w:val="16"/>
          <w:szCs w:val="16"/>
          <w:b w:val="1"/>
          <w:bCs w:val="1"/>
          <w:color w:val="231F20"/>
        </w:rPr>
        <w:t>any action asserting a claim against us arising under the Delaware General Corporation Law, or DGCL, our amended and restated certificate of incorporation or our amended and restated bylaws, as either may be amended from time to time;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-287655</wp:posOffset>
            </wp:positionV>
            <wp:extent cx="62230" cy="635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any action asserting a claim against us that is governed by the internal affairs doctrine.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8" w:lineRule="exact"/>
        <w:rPr>
          <w:sz w:val="20"/>
          <w:szCs w:val="20"/>
          <w:color w:val="auto"/>
        </w:rPr>
      </w:pPr>
    </w:p>
    <w:p>
      <w:pPr>
        <w:ind w:right="100" w:firstLine="475"/>
        <w:spacing w:after="0" w:line="265" w:lineRule="auto"/>
        <w:rPr>
          <w:sz w:val="20"/>
          <w:szCs w:val="20"/>
          <w:color w:val="auto"/>
        </w:rPr>
      </w:pPr>
      <w:r>
        <w:rPr>
          <w:rFonts w:ascii="Arial" w:cs="Arial" w:eastAsia="Arial" w:hAnsi="Arial"/>
          <w:sz w:val="18"/>
          <w:szCs w:val="18"/>
          <w:b w:val="1"/>
          <w:bCs w:val="1"/>
          <w:color w:val="231F20"/>
        </w:rPr>
        <w:t>This provision would not apply to suits brought to enforce a duty or liability created by the Securities Exchange Act of 1934, as amended, or Exchange Act, or any other claim for which the U.S. federal courts have exclusive jurisdiction.</w:t>
      </w:r>
    </w:p>
    <w:p>
      <w:pPr>
        <w:spacing w:after="0" w:line="104" w:lineRule="exact"/>
        <w:rPr>
          <w:sz w:val="20"/>
          <w:szCs w:val="20"/>
          <w:color w:val="auto"/>
        </w:rPr>
      </w:pPr>
    </w:p>
    <w:p>
      <w:pPr>
        <w:ind w:right="80" w:firstLine="475"/>
        <w:spacing w:after="0" w:line="239" w:lineRule="auto"/>
        <w:rPr>
          <w:sz w:val="20"/>
          <w:szCs w:val="20"/>
          <w:color w:val="auto"/>
        </w:rPr>
      </w:pPr>
      <w:r>
        <w:rPr>
          <w:rFonts w:ascii="Arial" w:cs="Arial" w:eastAsia="Arial" w:hAnsi="Arial"/>
          <w:sz w:val="19"/>
          <w:szCs w:val="19"/>
          <w:b w:val="1"/>
          <w:bCs w:val="1"/>
          <w:color w:val="231F20"/>
        </w:rPr>
        <w:t>Our amended and restated bylaws further provide that the federal district courts of the United States will be the exclusive forum for resolving any complaint asserting a cause of action arising under the Securities Act.</w:t>
      </w:r>
    </w:p>
    <w:p>
      <w:pPr>
        <w:spacing w:after="0" w:line="129" w:lineRule="exact"/>
        <w:rPr>
          <w:sz w:val="20"/>
          <w:szCs w:val="20"/>
          <w:color w:val="auto"/>
        </w:rPr>
      </w:pPr>
    </w:p>
    <w:p>
      <w:pPr>
        <w:ind w:right="40" w:firstLine="475"/>
        <w:spacing w:after="0" w:line="222" w:lineRule="exact"/>
        <w:rPr>
          <w:sz w:val="20"/>
          <w:szCs w:val="20"/>
          <w:color w:val="auto"/>
        </w:rPr>
      </w:pPr>
      <w:r>
        <w:rPr>
          <w:rFonts w:ascii="Arial" w:cs="Arial" w:eastAsia="Arial" w:hAnsi="Arial"/>
          <w:sz w:val="16"/>
          <w:szCs w:val="16"/>
          <w:b w:val="1"/>
          <w:bCs w:val="1"/>
          <w:color w:val="231F20"/>
        </w:rPr>
        <w:t>These exclusive-forum provisions may limit a stockholder</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129" w:lineRule="exact"/>
        <w:rPr>
          <w:sz w:val="20"/>
          <w:szCs w:val="20"/>
          <w:color w:val="auto"/>
        </w:rPr>
      </w:pPr>
    </w:p>
    <w:p>
      <w:pPr>
        <w:jc w:val="both"/>
        <w:ind w:right="620"/>
        <w:spacing w:after="0" w:line="310" w:lineRule="auto"/>
        <w:rPr>
          <w:sz w:val="20"/>
          <w:szCs w:val="20"/>
          <w:color w:val="auto"/>
        </w:rPr>
      </w:pPr>
      <w:r>
        <w:rPr>
          <w:rFonts w:ascii="Arial" w:cs="Arial" w:eastAsia="Arial" w:hAnsi="Arial"/>
          <w:sz w:val="16"/>
          <w:szCs w:val="16"/>
          <w:b w:val="1"/>
          <w:bCs w:val="1"/>
          <w:color w:val="231F20"/>
        </w:rPr>
        <w:t>In the past, we have identified material weaknesses in our internal control over financial reporting, and if we are unable to maintain effective internal control over financial reporting in the future, investors may lose confidence in the accuracy and completeness of our financial reports, and the market price of our common stock may be materially adversely affected.</w:t>
      </w:r>
    </w:p>
    <w:p>
      <w:pPr>
        <w:spacing w:after="0" w:line="72" w:lineRule="exact"/>
        <w:rPr>
          <w:sz w:val="20"/>
          <w:szCs w:val="20"/>
          <w:color w:val="auto"/>
        </w:rPr>
      </w:pPr>
    </w:p>
    <w:p>
      <w:pPr>
        <w:ind w:right="100" w:firstLine="475"/>
        <w:spacing w:after="0" w:line="242" w:lineRule="auto"/>
        <w:rPr>
          <w:sz w:val="20"/>
          <w:szCs w:val="20"/>
          <w:color w:val="auto"/>
        </w:rPr>
      </w:pPr>
      <w:r>
        <w:rPr>
          <w:rFonts w:ascii="Arial" w:cs="Arial" w:eastAsia="Arial" w:hAnsi="Arial"/>
          <w:sz w:val="19"/>
          <w:szCs w:val="19"/>
          <w:b w:val="1"/>
          <w:bCs w:val="1"/>
          <w:color w:val="231F20"/>
        </w:rPr>
        <w:t>In the past, we and our independent registered public accounting firm identified two material weaknesses in our internal control over financial reporting, both of which have since been remediated. We did not identify any material weakness for the fiscal years ended December 31, 2024, 2023 and 2022.</w:t>
      </w:r>
    </w:p>
    <w:p>
      <w:pPr>
        <w:spacing w:after="0" w:line="124" w:lineRule="exact"/>
        <w:rPr>
          <w:sz w:val="20"/>
          <w:szCs w:val="20"/>
          <w:color w:val="auto"/>
        </w:rPr>
      </w:pPr>
    </w:p>
    <w:p>
      <w:pPr>
        <w:ind w:right="120" w:firstLine="475"/>
        <w:spacing w:after="0" w:line="276" w:lineRule="auto"/>
        <w:rPr>
          <w:sz w:val="20"/>
          <w:szCs w:val="20"/>
          <w:color w:val="auto"/>
        </w:rPr>
      </w:pPr>
      <w:r>
        <w:rPr>
          <w:rFonts w:ascii="Arial" w:cs="Arial" w:eastAsia="Arial" w:hAnsi="Arial"/>
          <w:sz w:val="17"/>
          <w:szCs w:val="17"/>
          <w:b w:val="1"/>
          <w:bCs w:val="1"/>
          <w:color w:val="231F20"/>
        </w:rPr>
        <w:t>If in the future, we have a material weakness in our internal controls over financial reporting, we may not be able to prevent or detect errors on a timely basis and our consolidated financial statements may be materially misstated. We or our independent registered public accounting firm, if required,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Select Market or other adverse consequences that would materially harm our business. In addition, we could become subject to investigations by the stock exchange on which our securities are listed, the SEC, and other regulatory authorities, and become subject to litigation from investors and stockholders, which could harm our reputation and our financial condition, or divert financial and management resources from our core business.</w:t>
      </w:r>
    </w:p>
    <w:p>
      <w:pPr>
        <w:sectPr>
          <w:pgSz w:w="12240" w:h="15840" w:orient="portrait"/>
          <w:cols w:equalWidth="0" w:num="1">
            <w:col w:w="10480"/>
          </w:cols>
          <w:pgMar w:left="880" w:top="1165" w:right="88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73</w:t>
      </w:r>
    </w:p>
    <w:p>
      <w:pPr>
        <w:sectPr>
          <w:pgSz w:w="12240" w:h="15840" w:orient="portrait"/>
          <w:cols w:equalWidth="0" w:num="1">
            <w:col w:w="10480"/>
          </w:cols>
          <w:pgMar w:left="880" w:top="1165" w:right="880" w:bottom="390" w:gutter="0" w:footer="0" w:header="0"/>
          <w:type w:val="continuous"/>
        </w:sectPr>
      </w:pPr>
    </w:p>
    <w:bookmarkStart w:id="81" w:name="page82"/>
    <w:bookmarkEnd w:id="81"/>
    <w:p>
      <w:pPr>
        <w:ind w:right="220"/>
        <w:spacing w:after="0" w:line="295" w:lineRule="auto"/>
        <w:rPr>
          <w:sz w:val="20"/>
          <w:szCs w:val="20"/>
          <w:color w:val="auto"/>
        </w:rPr>
      </w:pPr>
      <w:r>
        <w:rPr>
          <w:rFonts w:ascii="Arial" w:cs="Arial" w:eastAsia="Arial" w:hAnsi="Arial"/>
          <w:sz w:val="17"/>
          <w:szCs w:val="17"/>
          <w:b w:val="1"/>
          <w:bCs w:val="1"/>
          <w:color w:val="231F20"/>
        </w:rPr>
        <w:t>If we fail to maintain an effective system of internal control over financial reporting, we may not be able to accurately report our financial results or prevent fraud, which would harm our business and the trading price of our common stock.</w:t>
      </w:r>
    </w:p>
    <w:p>
      <w:pPr>
        <w:spacing w:after="0" w:line="83" w:lineRule="exact"/>
        <w:rPr>
          <w:sz w:val="20"/>
          <w:szCs w:val="20"/>
          <w:color w:val="auto"/>
        </w:rPr>
      </w:pPr>
    </w:p>
    <w:p>
      <w:pPr>
        <w:ind w:right="20" w:firstLine="475"/>
        <w:spacing w:after="0" w:line="275" w:lineRule="auto"/>
        <w:rPr>
          <w:sz w:val="20"/>
          <w:szCs w:val="20"/>
          <w:color w:val="auto"/>
        </w:rPr>
      </w:pPr>
      <w:r>
        <w:rPr>
          <w:rFonts w:ascii="Arial" w:cs="Arial" w:eastAsia="Arial" w:hAnsi="Arial"/>
          <w:sz w:val="17"/>
          <w:szCs w:val="17"/>
          <w:b w:val="1"/>
          <w:bCs w:val="1"/>
          <w:color w:val="231F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our independent registered public accounting firm in connection with Section 404(b) of SOX, as long as such attestation report is required pursuant to such section by our independent registered public accounting firm, may reveal deficiencies in our internal controls over financial reporting that are deemed to be significant deficiencies or material weaknesses or that may require prospective or retroactive changes to our consolidated financial statements or identify other areas for further attention or improvement. As discussed above, we have identified material weaknesses in the past which have since been remediated. However, our remediation of previous material weaknesses may not prevent any future deficiency in our internal control over financial reporting. Inferior internal controls could also cause investors to lose confidence in our reported financial information, which could have a negative effect on the trading price of our common stock.</w:t>
      </w:r>
    </w:p>
    <w:p>
      <w:pPr>
        <w:spacing w:after="0" w:line="107" w:lineRule="exact"/>
        <w:rPr>
          <w:sz w:val="20"/>
          <w:szCs w:val="20"/>
          <w:color w:val="auto"/>
        </w:rPr>
      </w:pPr>
    </w:p>
    <w:p>
      <w:pPr>
        <w:ind w:right="200" w:firstLine="475"/>
        <w:spacing w:after="0" w:line="239" w:lineRule="auto"/>
        <w:rPr>
          <w:sz w:val="20"/>
          <w:szCs w:val="20"/>
          <w:color w:val="auto"/>
        </w:rPr>
      </w:pPr>
      <w:r>
        <w:rPr>
          <w:rFonts w:ascii="Arial" w:cs="Arial" w:eastAsia="Arial" w:hAnsi="Arial"/>
          <w:sz w:val="19"/>
          <w:szCs w:val="19"/>
          <w:b w:val="1"/>
          <w:bCs w:val="1"/>
          <w:color w:val="231F20"/>
        </w:rPr>
        <w:t>Any failure to maintain effective internal control over financial reporting could have a material adverse effect on our business, financial condition and results of operations and the trading price of our common stock.</w:t>
      </w:r>
    </w:p>
    <w:p>
      <w:pPr>
        <w:spacing w:after="0" w:line="127"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231F20"/>
        </w:rPr>
        <w:t>We are required to disclose material changes made in our internal controls over financing reporting and procedures on a</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quarterly basis and our management are required to assess the effectiveness of these controls annually. We were no longer an</w:t>
      </w:r>
    </w:p>
    <w:p>
      <w:pPr>
        <w:spacing w:after="0" w:line="28" w:lineRule="exact"/>
        <w:rPr>
          <w:sz w:val="20"/>
          <w:szCs w:val="20"/>
          <w:color w:val="auto"/>
        </w:rPr>
      </w:pPr>
    </w:p>
    <w:p>
      <w:pPr>
        <w:spacing w:after="0" w:line="194" w:lineRule="exact"/>
        <w:rPr>
          <w:sz w:val="20"/>
          <w:szCs w:val="20"/>
          <w:color w:val="auto"/>
        </w:rPr>
      </w:pP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emerging growth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as of December 31, 2021 and as such, pursuant to Section 404(b) of SOX, our independent registered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public accounting firm attested to the effectiveness of our internal control over financial reporting as of December 31, 2021. However,</w:t>
      </w:r>
    </w:p>
    <w:p>
      <w:pPr>
        <w:spacing w:after="0" w:line="39" w:lineRule="exact"/>
        <w:rPr>
          <w:sz w:val="20"/>
          <w:szCs w:val="20"/>
          <w:color w:val="auto"/>
        </w:rPr>
      </w:pPr>
    </w:p>
    <w:p>
      <w:pPr>
        <w:spacing w:after="0" w:line="194" w:lineRule="exact"/>
        <w:rPr>
          <w:sz w:val="20"/>
          <w:szCs w:val="20"/>
          <w:color w:val="auto"/>
        </w:rPr>
      </w:pPr>
      <w:r>
        <w:rPr>
          <w:rFonts w:ascii="Arial" w:cs="Arial" w:eastAsia="Arial" w:hAnsi="Arial"/>
          <w:sz w:val="16"/>
          <w:szCs w:val="16"/>
          <w:b w:val="1"/>
          <w:bCs w:val="1"/>
          <w:color w:val="231F20"/>
        </w:rPr>
        <w:t xml:space="preserve">we became a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non-accelerated filer</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for fiscal year 2023. While we remain a non-accelerated filer, we will not be required to include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an attestation report issued by our independent registered public accounting firm on the effectiveness of our internal control over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financial reporting. Upon a change in status to an accelerated or large-accelerated filer, our independent registered public accounting</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firm would be required to attest to the effectiveness of our internal control over financial reporting as of the filing of the Form 10-K of</w:t>
      </w:r>
    </w:p>
    <w:p>
      <w:pPr>
        <w:spacing w:after="0" w:line="39" w:lineRule="exact"/>
        <w:rPr>
          <w:sz w:val="20"/>
          <w:szCs w:val="20"/>
          <w:color w:val="auto"/>
        </w:rPr>
      </w:pPr>
    </w:p>
    <w:p>
      <w:pPr>
        <w:spacing w:after="0" w:line="207" w:lineRule="exact"/>
        <w:rPr>
          <w:sz w:val="20"/>
          <w:szCs w:val="20"/>
          <w:color w:val="auto"/>
        </w:rPr>
      </w:pPr>
      <w:r>
        <w:rPr>
          <w:rFonts w:ascii="Arial" w:cs="Arial" w:eastAsia="Arial" w:hAnsi="Arial"/>
          <w:sz w:val="17"/>
          <w:szCs w:val="17"/>
          <w:b w:val="1"/>
          <w:bCs w:val="1"/>
          <w:color w:val="231F20"/>
        </w:rPr>
        <w:t>that year. An independent assessment of the effectiveness of our internal controls could detect problems that our management</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assessment might not and therefore we may be less likely to detect deficiencies in our internal controls over financial reporting in the</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future and during any fiscal year for which we remain a non-accelerated filer.</w:t>
      </w:r>
    </w:p>
    <w:p>
      <w:pPr>
        <w:spacing w:after="0" w:line="125" w:lineRule="exact"/>
        <w:rPr>
          <w:sz w:val="20"/>
          <w:szCs w:val="20"/>
          <w:color w:val="auto"/>
        </w:rPr>
      </w:pPr>
    </w:p>
    <w:p>
      <w:pPr>
        <w:ind w:right="40"/>
        <w:spacing w:after="0" w:line="239" w:lineRule="auto"/>
        <w:rPr>
          <w:sz w:val="20"/>
          <w:szCs w:val="20"/>
          <w:color w:val="auto"/>
        </w:rPr>
      </w:pPr>
      <w:r>
        <w:rPr>
          <w:rFonts w:ascii="Arial" w:cs="Arial" w:eastAsia="Arial" w:hAnsi="Arial"/>
          <w:sz w:val="19"/>
          <w:szCs w:val="19"/>
          <w:b w:val="1"/>
          <w:bCs w:val="1"/>
          <w:color w:val="231F20"/>
        </w:rPr>
        <w:t>We are organized in a holding company structure and we are, and will be, dependent upon the results of operations and cash flows of our subsidiaries and distributions we receive from our subsidiaries.</w:t>
      </w:r>
    </w:p>
    <w:p>
      <w:pPr>
        <w:spacing w:after="0" w:line="129" w:lineRule="exact"/>
        <w:rPr>
          <w:sz w:val="20"/>
          <w:szCs w:val="20"/>
          <w:color w:val="auto"/>
        </w:rPr>
      </w:pPr>
    </w:p>
    <w:p>
      <w:pPr>
        <w:ind w:firstLine="475"/>
        <w:spacing w:after="0" w:line="276" w:lineRule="auto"/>
        <w:rPr>
          <w:sz w:val="20"/>
          <w:szCs w:val="20"/>
          <w:color w:val="auto"/>
        </w:rPr>
      </w:pPr>
      <w:r>
        <w:rPr>
          <w:rFonts w:ascii="Arial" w:cs="Arial" w:eastAsia="Arial" w:hAnsi="Arial"/>
          <w:sz w:val="17"/>
          <w:szCs w:val="17"/>
          <w:b w:val="1"/>
          <w:bCs w:val="1"/>
          <w:color w:val="231F20"/>
        </w:rPr>
        <w:t>ALX Oncology Holdings Inc. is a holding company that currently has no material assets other than cash and our ownership of all of the equity issued by ALX Oncology Limited. As such, ALX Oncology Holdings Inc. will have no independent means of generating revenue or cash flow, and our ability to pay our taxes and operating expenses or declare and pay dividends in the future, if any, will be dependent upon the results of operations and cash flows of ALX Oncology Limited and its consolidated subsidiaries, including any distributions we receive from ALX Oncology Limited. There can be no assurance that our direct and indirect subsidiaries will generate sufficient cash flow to distribute funds to us or that applicable law and contractual restrictions, such as negative covenants in any debt instruments, will permit such distributions. In addition, in the event that the board of directors and stockholders of ALX Oncology Holdings Inc. were to approve a sale of all of our equity in ALX Oncology Limited or any of our other indirect subsidiaries, your equity interest would be in a holding company with no material assets other than those assets and other consideration received in such transaction.</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General Risks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Business disruptions could seriously harm our future revenue and financial condition and increase our costs and expenses.</w:t>
      </w:r>
    </w:p>
    <w:p>
      <w:pPr>
        <w:spacing w:after="0" w:line="145" w:lineRule="exact"/>
        <w:rPr>
          <w:sz w:val="20"/>
          <w:szCs w:val="20"/>
          <w:color w:val="auto"/>
        </w:rPr>
      </w:pPr>
    </w:p>
    <w:p>
      <w:pPr>
        <w:ind w:right="140" w:firstLine="475"/>
        <w:spacing w:after="0" w:line="222" w:lineRule="exact"/>
        <w:rPr>
          <w:sz w:val="20"/>
          <w:szCs w:val="20"/>
          <w:color w:val="auto"/>
        </w:rPr>
      </w:pPr>
      <w:r>
        <w:rPr>
          <w:rFonts w:ascii="Arial" w:cs="Arial" w:eastAsia="Arial" w:hAnsi="Arial"/>
          <w:sz w:val="16"/>
          <w:szCs w:val="16"/>
          <w:b w:val="1"/>
          <w:bCs w:val="1"/>
          <w:color w:val="231F20"/>
        </w:rPr>
        <w:t>Our operations, and those of our service providers and suppliers and other contractors and consultants, could be subject to earthquakes, power shortages, telecommunications failures, water shortages, floods, hurricanes, typhoons, fires, extreme weather conditions, medical or public health crises, such as the COVID-19 pandemic, and other natural or man-made disasters such as the ongoing geopolitical unrest related to Russia</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war with Ukraine, war and instability in Israel and the surrounding region, or business interruptions, for which we are partly uninsured.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129" w:lineRule="exact"/>
        <w:rPr>
          <w:sz w:val="20"/>
          <w:szCs w:val="20"/>
          <w:color w:val="auto"/>
        </w:rPr>
      </w:pPr>
    </w:p>
    <w:p>
      <w:pPr>
        <w:ind w:right="280" w:firstLine="475"/>
        <w:spacing w:after="0" w:line="260" w:lineRule="auto"/>
        <w:rPr>
          <w:sz w:val="20"/>
          <w:szCs w:val="20"/>
          <w:color w:val="auto"/>
        </w:rPr>
      </w:pPr>
      <w:r>
        <w:rPr>
          <w:rFonts w:ascii="Arial" w:cs="Arial" w:eastAsia="Arial" w:hAnsi="Arial"/>
          <w:sz w:val="18"/>
          <w:szCs w:val="18"/>
          <w:b w:val="1"/>
          <w:bCs w:val="1"/>
          <w:color w:val="231F20"/>
        </w:rPr>
        <w:t>The majority of our operations including our corporate headquarters are located in the San Francisco Bay Area in California.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ectPr>
          <w:pgSz w:w="12240" w:h="15840" w:orient="portrait"/>
          <w:cols w:equalWidth="0" w:num="1">
            <w:col w:w="10480"/>
          </w:cols>
          <w:pgMar w:left="880" w:top="1165" w:right="880" w:bottom="39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74</w:t>
      </w:r>
    </w:p>
    <w:p>
      <w:pPr>
        <w:sectPr>
          <w:pgSz w:w="12240" w:h="15840" w:orient="portrait"/>
          <w:cols w:equalWidth="0" w:num="1">
            <w:col w:w="10480"/>
          </w:cols>
          <w:pgMar w:left="880" w:top="1165" w:right="880" w:bottom="390" w:gutter="0" w:footer="0" w:header="0"/>
          <w:type w:val="continuous"/>
        </w:sectPr>
      </w:pPr>
    </w:p>
    <w:bookmarkStart w:id="82" w:name="page83"/>
    <w:bookmarkEnd w:id="82"/>
    <w:p>
      <w:pPr>
        <w:ind w:right="680"/>
        <w:spacing w:after="0" w:line="239" w:lineRule="auto"/>
        <w:rPr>
          <w:sz w:val="20"/>
          <w:szCs w:val="20"/>
          <w:color w:val="auto"/>
        </w:rPr>
      </w:pPr>
      <w:r>
        <w:rPr>
          <w:rFonts w:ascii="Arial" w:cs="Arial" w:eastAsia="Arial" w:hAnsi="Arial"/>
          <w:sz w:val="19"/>
          <w:szCs w:val="19"/>
          <w:b w:val="1"/>
          <w:bCs w:val="1"/>
          <w:color w:val="231F20"/>
        </w:rPr>
        <w:t>We may experience disruptions and delays or incur financial damages as a result of system failures or security breaches or incidents.</w:t>
      </w:r>
    </w:p>
    <w:p>
      <w:pPr>
        <w:spacing w:after="0" w:line="129" w:lineRule="exact"/>
        <w:rPr>
          <w:sz w:val="20"/>
          <w:szCs w:val="20"/>
          <w:color w:val="auto"/>
        </w:rPr>
      </w:pPr>
    </w:p>
    <w:p>
      <w:pPr>
        <w:ind w:right="80" w:firstLine="475"/>
        <w:spacing w:after="0" w:line="223" w:lineRule="exact"/>
        <w:rPr>
          <w:sz w:val="20"/>
          <w:szCs w:val="20"/>
          <w:color w:val="auto"/>
        </w:rPr>
      </w:pPr>
      <w:r>
        <w:rPr>
          <w:rFonts w:ascii="Arial" w:cs="Arial" w:eastAsia="Arial" w:hAnsi="Arial"/>
          <w:sz w:val="17"/>
          <w:szCs w:val="17"/>
          <w:b w:val="1"/>
          <w:bCs w:val="1"/>
          <w:color w:val="231F20"/>
        </w:rPr>
        <w:t>Despite our implementation of security measures, any of the computer systems and networks belonging to or used by us or our employees and our CROs and other third-party service providers are vulnerable to damage and disruption from computer viruses, ransomware and other malicious code, unauthorized access, natural disasters, terrorism, war and telecommunication and electrical failure, as well as security breaches and incidents from inadvertent or intentional actions, or from cyber-attacks by malicious third parties (including supply chain cyber-attacks, denial-of-service attacks, social engineering and other means to affect service reliability and threaten the confidentiality, integrity and availability of information), which may compromise system infrastructure or lead to the loss, destruction, alteration, prevention of access to, disclosure, or dissemination of, or damage or unauthorized access to, our data (including trade secrets or other confidential information, intellectual property, proprietary business information, and personal information) or data that is processed or maintained on our behalf, or other assets, which could result in financial, legal, business and reputational harm to us. Any system failure, accident or security breach or incident that causes interruptions in our own or in our CROs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or other third-party service providers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operations could result in a material disruption of our drug discovery and development programs or other aspects of our operations. We may be more susceptible to security breaches and other security incidents while a large percentage of our employees continue to work from home for some portion of time because we and our service providers have less capability to monitor and enforce policies for those employees. Also, ongoing geopolitical unrest and related events such as Russia</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war with Ukraine may subject us and our CROs and other third-party service providers to heightened risks of cyber-attacks and security breaches and incidents, any of which could materially disrupt our drug discovery and development programs or other aspects of our operations.</w:t>
      </w:r>
    </w:p>
    <w:p>
      <w:pPr>
        <w:spacing w:after="0" w:line="131" w:lineRule="exact"/>
        <w:rPr>
          <w:sz w:val="20"/>
          <w:szCs w:val="20"/>
          <w:color w:val="auto"/>
        </w:rPr>
      </w:pPr>
    </w:p>
    <w:p>
      <w:pPr>
        <w:ind w:right="60" w:firstLine="475"/>
        <w:spacing w:after="0" w:line="293" w:lineRule="auto"/>
        <w:rPr>
          <w:sz w:val="20"/>
          <w:szCs w:val="20"/>
          <w:color w:val="auto"/>
        </w:rPr>
      </w:pPr>
      <w:r>
        <w:rPr>
          <w:rFonts w:ascii="Arial" w:cs="Arial" w:eastAsia="Arial" w:hAnsi="Arial"/>
          <w:sz w:val="16"/>
          <w:szCs w:val="16"/>
          <w:b w:val="1"/>
          <w:bCs w:val="1"/>
          <w:color w:val="231F20"/>
        </w:rPr>
        <w:t>A system failure or security breach or incident that leads to the loss, corruption or unavailability of clinical trial data from completed, ongoing, or future clinical trials could result in delays in our regulatory approval efforts and significantly increase our costs in order to recover or reproduce the lost, corrupted, or unavailable data. In addition, if any disruption or security breach or incident results in loss, destruction, alteration, or unavailability of, or damage or unauthorized access to, our data or applications or unauthorized access to, disclosure, dissemination or other processing of confidential or proprietary information that we or our third-party service providers process, including personal information related to the subjects in our clinical trials, we may incur liability as a result, our drug discovery programs and competitive position may be adversely affected and further development of our product candidates may be delayed. Any such disruption, failure or security breach or incident could also cause us to incur additional costs to remedy the damages that arise from such disruption, failure or security breach or incident. Additionally, in the event of any such disruption, failure or security breach or incident, or any perception that one has occurred, we could be exposed to claims, demands, and litigation and governmental investigations and other proceedings, the further development and commercialization of our product candidates could be delayed, and we could be subject to significant liabilities, including fines or penalties for any noncompliance with certain state, federal and/or international privacy and security laws. We expect to incur significant costs in an effort to detect and prevent security breaches and incidents, and we may face increased costs and requirements to expend substantial resources in the event of an actual or perceived security breach or incident.</w:t>
      </w:r>
    </w:p>
    <w:p>
      <w:pPr>
        <w:spacing w:after="0" w:line="94" w:lineRule="exact"/>
        <w:rPr>
          <w:sz w:val="20"/>
          <w:szCs w:val="20"/>
          <w:color w:val="auto"/>
        </w:rPr>
      </w:pPr>
    </w:p>
    <w:p>
      <w:pPr>
        <w:ind w:right="20" w:firstLine="475"/>
        <w:spacing w:after="0" w:line="281" w:lineRule="auto"/>
        <w:rPr>
          <w:sz w:val="20"/>
          <w:szCs w:val="20"/>
          <w:color w:val="auto"/>
        </w:rPr>
      </w:pPr>
      <w:r>
        <w:rPr>
          <w:rFonts w:ascii="Arial" w:cs="Arial" w:eastAsia="Arial" w:hAnsi="Arial"/>
          <w:sz w:val="17"/>
          <w:szCs w:val="17"/>
          <w:b w:val="1"/>
          <w:bCs w:val="1"/>
          <w:color w:val="231F20"/>
        </w:rPr>
        <w:t>Our insurance policies may not be adequate to compensate us for the potential losses arising from any such disruption, failure or security breach or incident.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90"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Our disclosure controls and procedures may not prevent or detect all errors or acts of fraud.</w:t>
      </w:r>
    </w:p>
    <w:p>
      <w:pPr>
        <w:spacing w:after="0" w:line="125" w:lineRule="exact"/>
        <w:rPr>
          <w:sz w:val="20"/>
          <w:szCs w:val="20"/>
          <w:color w:val="auto"/>
        </w:rPr>
      </w:pPr>
    </w:p>
    <w:p>
      <w:pPr>
        <w:ind w:right="40" w:firstLine="475"/>
        <w:spacing w:after="0" w:line="300" w:lineRule="auto"/>
        <w:rPr>
          <w:sz w:val="20"/>
          <w:szCs w:val="20"/>
          <w:color w:val="auto"/>
        </w:rPr>
      </w:pPr>
      <w:r>
        <w:rPr>
          <w:rFonts w:ascii="Arial" w:cs="Arial" w:eastAsia="Arial" w:hAnsi="Arial"/>
          <w:sz w:val="16"/>
          <w:szCs w:val="16"/>
          <w:b w:val="1"/>
          <w:bCs w:val="1"/>
          <w:color w:val="231F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by SEC rules and regulations. We believe that any disclosure controls and procedures or internal controls and procedures, no matter how well-conceived and operated, can provide only reasonable, not absolute, assurance that the objectives of the control system are met.</w:t>
      </w:r>
    </w:p>
    <w:p>
      <w:pPr>
        <w:spacing w:after="0" w:line="81" w:lineRule="exact"/>
        <w:rPr>
          <w:sz w:val="20"/>
          <w:szCs w:val="20"/>
          <w:color w:val="auto"/>
        </w:rPr>
      </w:pPr>
    </w:p>
    <w:p>
      <w:pPr>
        <w:ind w:right="40" w:firstLine="475"/>
        <w:spacing w:after="0" w:line="261" w:lineRule="auto"/>
        <w:rPr>
          <w:sz w:val="20"/>
          <w:szCs w:val="20"/>
          <w:color w:val="auto"/>
        </w:rPr>
      </w:pPr>
      <w:r>
        <w:rPr>
          <w:rFonts w:ascii="Arial" w:cs="Arial" w:eastAsia="Arial" w:hAnsi="Arial"/>
          <w:sz w:val="18"/>
          <w:szCs w:val="18"/>
          <w:b w:val="1"/>
          <w:bCs w:val="1"/>
          <w:color w:val="231F20"/>
        </w:rPr>
        <w:t>These inherent limitations include the facts that judgments in decision-making can be faulty and that breakdowns can occur because of simple error or mistake. Additionally, controls can be circumvented by the individual acts of some persons, by the collusion of two or more people or by an unauthorized override of the controls. Accordingly, because of the inherent limitations in our control system, misstatements due to error or fraud may occur and not be detected.</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We may be subject to securities litigation, which is expensive and could divert management attention.</w:t>
      </w:r>
    </w:p>
    <w:p>
      <w:pPr>
        <w:spacing w:after="0" w:line="125" w:lineRule="exact"/>
        <w:rPr>
          <w:sz w:val="20"/>
          <w:szCs w:val="20"/>
          <w:color w:val="auto"/>
        </w:rPr>
      </w:pPr>
    </w:p>
    <w:p>
      <w:pPr>
        <w:ind w:firstLine="475"/>
        <w:spacing w:after="0" w:line="221" w:lineRule="exact"/>
        <w:rPr>
          <w:sz w:val="20"/>
          <w:szCs w:val="20"/>
          <w:color w:val="auto"/>
        </w:rPr>
      </w:pPr>
      <w:r>
        <w:rPr>
          <w:rFonts w:ascii="Arial" w:cs="Arial" w:eastAsia="Arial" w:hAnsi="Arial"/>
          <w:sz w:val="17"/>
          <w:szCs w:val="17"/>
          <w:b w:val="1"/>
          <w:bCs w:val="1"/>
          <w:color w:val="231F20"/>
        </w:rPr>
        <w:t>The market price of our common stock has experienced significant fluctuations in the past year and may be volatile in the future.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attention from the business, which could seriously harm our business.</w:t>
      </w:r>
    </w:p>
    <w:p>
      <w:pPr>
        <w:sectPr>
          <w:pgSz w:w="12240" w:h="15840" w:orient="portrait"/>
          <w:cols w:equalWidth="0" w:num="1">
            <w:col w:w="10480"/>
          </w:cols>
          <w:pgMar w:left="880" w:top="1165" w:right="88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75</w:t>
      </w:r>
    </w:p>
    <w:p>
      <w:pPr>
        <w:sectPr>
          <w:pgSz w:w="12240" w:h="15840" w:orient="portrait"/>
          <w:cols w:equalWidth="0" w:num="1">
            <w:col w:w="10480"/>
          </w:cols>
          <w:pgMar w:left="880" w:top="1165" w:right="880" w:bottom="390" w:gutter="0" w:footer="0" w:header="0"/>
          <w:type w:val="continuous"/>
        </w:sectPr>
      </w:pPr>
    </w:p>
    <w:bookmarkStart w:id="83" w:name="page84"/>
    <w:bookmarkEnd w:id="83"/>
    <w:p>
      <w:pPr>
        <w:spacing w:after="0"/>
        <w:rPr>
          <w:sz w:val="20"/>
          <w:szCs w:val="20"/>
          <w:color w:val="auto"/>
        </w:rPr>
      </w:pPr>
      <w:r>
        <w:rPr>
          <w:rFonts w:ascii="Arial" w:cs="Arial" w:eastAsia="Arial" w:hAnsi="Arial"/>
          <w:sz w:val="19"/>
          <w:szCs w:val="19"/>
          <w:b w:val="1"/>
          <w:bCs w:val="1"/>
          <w:color w:val="231F20"/>
        </w:rPr>
        <w:t>Item 1B. Unresolved Staff Comments.</w:t>
      </w:r>
    </w:p>
    <w:p>
      <w:pPr>
        <w:spacing w:after="0" w:line="122"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None.</w:t>
      </w:r>
    </w:p>
    <w:p>
      <w:pPr>
        <w:spacing w:after="0" w:line="35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1C. Cybersecurity.</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Risk Management and Strategy</w:t>
      </w:r>
    </w:p>
    <w:p>
      <w:pPr>
        <w:spacing w:after="0" w:line="125" w:lineRule="exact"/>
        <w:rPr>
          <w:sz w:val="20"/>
          <w:szCs w:val="20"/>
          <w:color w:val="auto"/>
        </w:rPr>
      </w:pPr>
    </w:p>
    <w:p>
      <w:pPr>
        <w:jc w:val="both"/>
        <w:ind w:right="300" w:firstLine="475"/>
        <w:spacing w:after="0" w:line="243" w:lineRule="auto"/>
        <w:rPr>
          <w:sz w:val="20"/>
          <w:szCs w:val="20"/>
          <w:color w:val="auto"/>
        </w:rPr>
      </w:pPr>
      <w:r>
        <w:rPr>
          <w:rFonts w:ascii="Arial" w:cs="Arial" w:eastAsia="Arial" w:hAnsi="Arial"/>
          <w:sz w:val="19"/>
          <w:szCs w:val="19"/>
          <w:b w:val="1"/>
          <w:bCs w:val="1"/>
          <w:color w:val="231F20"/>
        </w:rPr>
        <w:t>We have established policies and processes for assessing, identifying, and managing material risk from cybersecurity threats, and have integrated these processes into our overall risk management systems and processes. We periodically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therein.</w:t>
      </w:r>
    </w:p>
    <w:p>
      <w:pPr>
        <w:spacing w:after="0" w:line="125" w:lineRule="exact"/>
        <w:rPr>
          <w:sz w:val="20"/>
          <w:szCs w:val="20"/>
          <w:color w:val="auto"/>
        </w:rPr>
      </w:pPr>
    </w:p>
    <w:p>
      <w:pPr>
        <w:jc w:val="both"/>
        <w:ind w:right="100" w:firstLine="475"/>
        <w:spacing w:after="0" w:line="303" w:lineRule="auto"/>
        <w:rPr>
          <w:sz w:val="20"/>
          <w:szCs w:val="20"/>
          <w:color w:val="auto"/>
        </w:rPr>
      </w:pPr>
      <w:r>
        <w:rPr>
          <w:rFonts w:ascii="Arial" w:cs="Arial" w:eastAsia="Arial" w:hAnsi="Arial"/>
          <w:sz w:val="16"/>
          <w:szCs w:val="16"/>
          <w:b w:val="1"/>
          <w:bCs w:val="1"/>
          <w:color w:val="231F20"/>
        </w:rPr>
        <w:t>We conduct periodic risk assessments to identify cybersecurity threats, as well as assessments in the event of a material change in our business practices that may affect information systems that are vulnerable to such cybersecurity threats. These risk assessments include identification of reasonably foreseeable internal and external risks, the likelihood and potential damage that could result from such risks, and the sufficiency of existing policies, procedures, systems, and safeguards in place to manage such risks.</w:t>
      </w:r>
    </w:p>
    <w:p>
      <w:pPr>
        <w:spacing w:after="0" w:line="81" w:lineRule="exact"/>
        <w:rPr>
          <w:sz w:val="20"/>
          <w:szCs w:val="20"/>
          <w:color w:val="auto"/>
        </w:rPr>
      </w:pPr>
    </w:p>
    <w:p>
      <w:pPr>
        <w:ind w:right="40" w:firstLine="475"/>
        <w:spacing w:after="0" w:line="260" w:lineRule="auto"/>
        <w:rPr>
          <w:sz w:val="20"/>
          <w:szCs w:val="20"/>
          <w:color w:val="auto"/>
        </w:rPr>
      </w:pPr>
      <w:r>
        <w:rPr>
          <w:rFonts w:ascii="Arial" w:cs="Arial" w:eastAsia="Arial" w:hAnsi="Arial"/>
          <w:sz w:val="18"/>
          <w:szCs w:val="18"/>
          <w:b w:val="1"/>
          <w:bCs w:val="1"/>
          <w:color w:val="231F20"/>
        </w:rPr>
        <w:t>Following these risk assessments, we evaluate whether and how to re-design, implement, and maintain reasonable safeguards to minimize identified risks; reasonably address any identified gaps in existing safeguards; and regularly monitor the effectiveness of our safeguards. We devote significant resources and designate high-level personnel to manage our risk assessment and mitigation processes, including our Vice President of Operations (VPO), who serves as our acting Chief Information Security Officer (CISO), as well as external information technology consultants who help manage our information technology systems and our information security.</w:t>
      </w:r>
    </w:p>
    <w:p>
      <w:pPr>
        <w:spacing w:after="0" w:line="109" w:lineRule="exact"/>
        <w:rPr>
          <w:sz w:val="20"/>
          <w:szCs w:val="20"/>
          <w:color w:val="auto"/>
        </w:rPr>
      </w:pPr>
    </w:p>
    <w:p>
      <w:pPr>
        <w:ind w:right="20" w:firstLine="475"/>
        <w:spacing w:after="0" w:line="242" w:lineRule="auto"/>
        <w:rPr>
          <w:sz w:val="20"/>
          <w:szCs w:val="20"/>
          <w:color w:val="auto"/>
        </w:rPr>
      </w:pPr>
      <w:r>
        <w:rPr>
          <w:rFonts w:ascii="Arial" w:cs="Arial" w:eastAsia="Arial" w:hAnsi="Arial"/>
          <w:sz w:val="19"/>
          <w:szCs w:val="19"/>
          <w:b w:val="1"/>
          <w:bCs w:val="1"/>
          <w:color w:val="231F20"/>
        </w:rPr>
        <w:t>As part of our overall risk management system, we monitor and test our safeguards and train our employees on these safeguards, in collaboration with our information technology consultants. Employees at all levels and departments are made aware of our cybersecurity policies through trainings.</w:t>
      </w:r>
    </w:p>
    <w:p>
      <w:pPr>
        <w:spacing w:after="0" w:line="124" w:lineRule="exact"/>
        <w:rPr>
          <w:sz w:val="20"/>
          <w:szCs w:val="20"/>
          <w:color w:val="auto"/>
        </w:rPr>
      </w:pPr>
    </w:p>
    <w:p>
      <w:pPr>
        <w:ind w:right="80" w:firstLine="475"/>
        <w:spacing w:after="0" w:line="244" w:lineRule="auto"/>
        <w:rPr>
          <w:sz w:val="20"/>
          <w:szCs w:val="20"/>
          <w:color w:val="auto"/>
        </w:rPr>
      </w:pPr>
      <w:r>
        <w:rPr>
          <w:rFonts w:ascii="Arial" w:cs="Arial" w:eastAsia="Arial" w:hAnsi="Arial"/>
          <w:sz w:val="19"/>
          <w:szCs w:val="19"/>
          <w:b w:val="1"/>
          <w:bCs w:val="1"/>
          <w:color w:val="231F20"/>
        </w:rPr>
        <w:t>We engage our information technology consultants, including dedicated on-site consultants as well as other third parties, in connection with our risk assessment processes. These partners assist us to help design, implement, monitor, and test our cybersecurity policies and procedures. We also require key third-party service providers to certify that they have the ability to implement and maintain appropriate security measures, consistent with all applicable laws, to implement and maintain reasonable security measures in connection with their work with us, and to promptly report any suspected breach of its security measures that may affect our company.</w:t>
      </w:r>
    </w:p>
    <w:p>
      <w:pPr>
        <w:spacing w:after="0" w:line="124" w:lineRule="exact"/>
        <w:rPr>
          <w:sz w:val="20"/>
          <w:szCs w:val="20"/>
          <w:color w:val="auto"/>
        </w:rPr>
      </w:pPr>
    </w:p>
    <w:p>
      <w:pPr>
        <w:ind w:right="360" w:firstLine="475"/>
        <w:spacing w:after="0" w:line="219" w:lineRule="exact"/>
        <w:rPr>
          <w:sz w:val="20"/>
          <w:szCs w:val="20"/>
          <w:color w:val="auto"/>
        </w:rPr>
      </w:pPr>
      <w:r>
        <w:rPr>
          <w:rFonts w:ascii="Arial" w:cs="Arial" w:eastAsia="Arial" w:hAnsi="Arial"/>
          <w:sz w:val="16"/>
          <w:szCs w:val="16"/>
          <w:b w:val="1"/>
          <w:bCs w:val="1"/>
          <w:color w:val="231F20"/>
        </w:rPr>
        <w:t xml:space="preserve">For additional information regarding whether any risks from cybersecurity threats, including as a result of any previous cybersecurity incidents, have materially affected or are reasonably likely to materially affect our company, including our business strategy, results of operations, or financial condition, please refer to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Item 1A. Risk Factors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in this Annual Report on Form 10-K.</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Governance</w:t>
      </w:r>
    </w:p>
    <w:p>
      <w:pPr>
        <w:spacing w:after="0" w:line="128" w:lineRule="exact"/>
        <w:rPr>
          <w:sz w:val="20"/>
          <w:szCs w:val="20"/>
          <w:color w:val="auto"/>
        </w:rPr>
      </w:pPr>
    </w:p>
    <w:p>
      <w:pPr>
        <w:jc w:val="both"/>
        <w:ind w:right="140" w:firstLine="475"/>
        <w:spacing w:after="0" w:line="262" w:lineRule="auto"/>
        <w:rPr>
          <w:sz w:val="20"/>
          <w:szCs w:val="20"/>
          <w:color w:val="auto"/>
        </w:rPr>
      </w:pPr>
      <w:r>
        <w:rPr>
          <w:rFonts w:ascii="Arial" w:cs="Arial" w:eastAsia="Arial" w:hAnsi="Arial"/>
          <w:sz w:val="18"/>
          <w:szCs w:val="18"/>
          <w:b w:val="1"/>
          <w:bCs w:val="1"/>
          <w:color w:val="231F20"/>
        </w:rPr>
        <w:t>One of the key functions of our board of directors is informed oversight of our risk management process, including risks from cybersecurity threats. Our board of directors, which is responsible for monitoring and assessing strategic risk exposure, has delegated primary oversight responsibility for cybersecurity to our audit committee.</w:t>
      </w:r>
    </w:p>
    <w:p>
      <w:pPr>
        <w:spacing w:after="0" w:line="107" w:lineRule="exact"/>
        <w:rPr>
          <w:sz w:val="20"/>
          <w:szCs w:val="20"/>
          <w:color w:val="auto"/>
        </w:rPr>
      </w:pPr>
    </w:p>
    <w:p>
      <w:pPr>
        <w:ind w:right="120" w:firstLine="475"/>
        <w:spacing w:after="0" w:line="222" w:lineRule="exact"/>
        <w:rPr>
          <w:sz w:val="20"/>
          <w:szCs w:val="20"/>
          <w:color w:val="auto"/>
        </w:rPr>
      </w:pPr>
      <w:r>
        <w:rPr>
          <w:rFonts w:ascii="Arial" w:cs="Arial" w:eastAsia="Arial" w:hAnsi="Arial"/>
          <w:sz w:val="18"/>
          <w:szCs w:val="18"/>
          <w:b w:val="1"/>
          <w:bCs w:val="1"/>
          <w:color w:val="231F20"/>
        </w:rPr>
        <w:t xml:space="preserve">Our VPO and acting CISO, who reports to our President, is responsible for the day-to-day management of our cybersecurity policies and processes, including those described in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Risk Management and Strategy</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 above, with the assistance of and informed by our consultants. Our VPO and acting CISO, who has many years of senior management and operational oversight at emerging technology companies, is informed about and monitors the prevention, detection, mitigation, and remediation of cybersecurity incidents through the day-to-day management of our information technology consultants, which includes engaging with information provided by the consultants, automated monitoring and detection systems, and other tools and processes defined by our cybersecurity policies.</w:t>
      </w:r>
    </w:p>
    <w:p>
      <w:pPr>
        <w:spacing w:after="0" w:line="126" w:lineRule="exact"/>
        <w:rPr>
          <w:sz w:val="20"/>
          <w:szCs w:val="20"/>
          <w:color w:val="auto"/>
        </w:rPr>
      </w:pPr>
    </w:p>
    <w:p>
      <w:pPr>
        <w:ind w:firstLine="475"/>
        <w:spacing w:after="0" w:line="221" w:lineRule="exact"/>
        <w:rPr>
          <w:sz w:val="20"/>
          <w:szCs w:val="20"/>
          <w:color w:val="auto"/>
        </w:rPr>
      </w:pPr>
      <w:r>
        <w:rPr>
          <w:rFonts w:ascii="Arial" w:cs="Arial" w:eastAsia="Arial" w:hAnsi="Arial"/>
          <w:sz w:val="19"/>
          <w:szCs w:val="19"/>
          <w:b w:val="1"/>
          <w:bCs w:val="1"/>
          <w:color w:val="231F20"/>
        </w:rPr>
        <w:t>Our VPO and acting CISO provides periodic briefings to our executive officers regarding our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cybersecurity risks and activities, including any recent cybersecurity incidents and related responses, cybersecurity systems testing, activities of third parties, and the like. Our VPO and acting CISO also provides periodic briefings to the board of directors, including the audit committee, on cybersecurity risks and activities.</w:t>
      </w:r>
    </w:p>
    <w:p>
      <w:pPr>
        <w:sectPr>
          <w:pgSz w:w="12240" w:h="15840" w:orient="portrait"/>
          <w:cols w:equalWidth="0" w:num="1">
            <w:col w:w="10480"/>
          </w:cols>
          <w:pgMar w:left="880" w:top="1160" w:right="88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76</w:t>
      </w:r>
    </w:p>
    <w:p>
      <w:pPr>
        <w:sectPr>
          <w:pgSz w:w="12240" w:h="15840" w:orient="portrait"/>
          <w:cols w:equalWidth="0" w:num="1">
            <w:col w:w="10480"/>
          </w:cols>
          <w:pgMar w:left="880" w:top="1160" w:right="880" w:bottom="390" w:gutter="0" w:footer="0" w:header="0"/>
          <w:type w:val="continuous"/>
        </w:sectPr>
      </w:pPr>
    </w:p>
    <w:bookmarkStart w:id="84" w:name="page85"/>
    <w:bookmarkEnd w:id="84"/>
    <w:p>
      <w:pPr>
        <w:spacing w:after="0"/>
        <w:rPr>
          <w:sz w:val="20"/>
          <w:szCs w:val="20"/>
          <w:color w:val="auto"/>
        </w:rPr>
      </w:pPr>
      <w:r>
        <w:rPr>
          <w:rFonts w:ascii="Arial" w:cs="Arial" w:eastAsia="Arial" w:hAnsi="Arial"/>
          <w:sz w:val="19"/>
          <w:szCs w:val="19"/>
          <w:b w:val="1"/>
          <w:bCs w:val="1"/>
          <w:color w:val="231F20"/>
        </w:rPr>
        <w:t>Item 2. Properties.</w:t>
      </w:r>
    </w:p>
    <w:p>
      <w:pPr>
        <w:spacing w:after="0" w:line="128" w:lineRule="exact"/>
        <w:rPr>
          <w:sz w:val="20"/>
          <w:szCs w:val="20"/>
          <w:color w:val="auto"/>
        </w:rPr>
      </w:pPr>
    </w:p>
    <w:p>
      <w:pPr>
        <w:ind w:firstLine="475"/>
        <w:spacing w:after="0" w:line="310" w:lineRule="auto"/>
        <w:rPr>
          <w:sz w:val="20"/>
          <w:szCs w:val="20"/>
          <w:color w:val="auto"/>
        </w:rPr>
      </w:pPr>
      <w:r>
        <w:rPr>
          <w:rFonts w:ascii="Arial" w:cs="Arial" w:eastAsia="Arial" w:hAnsi="Arial"/>
          <w:sz w:val="16"/>
          <w:szCs w:val="16"/>
          <w:b w:val="1"/>
          <w:bCs w:val="1"/>
          <w:color w:val="231F20"/>
        </w:rPr>
        <w:t>Our principal executive office is located in South San Francisco, California. We currently lease 10,000 square feet of office space in South San Francisco, California, under a lease that expires in 2026. We believe that this space is sufficient to meet our needs for the foreseeable future and that any additional space we may require will be available on commercially reasonable terms.</w:t>
      </w:r>
    </w:p>
    <w:p>
      <w:pPr>
        <w:spacing w:after="0" w:line="299"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3. Legal Proceedings.</w:t>
      </w:r>
    </w:p>
    <w:p>
      <w:pPr>
        <w:spacing w:after="0" w:line="128" w:lineRule="exact"/>
        <w:rPr>
          <w:sz w:val="20"/>
          <w:szCs w:val="20"/>
          <w:color w:val="auto"/>
        </w:rPr>
      </w:pPr>
    </w:p>
    <w:p>
      <w:pPr>
        <w:ind w:right="40" w:firstLine="475"/>
        <w:spacing w:after="0" w:line="310" w:lineRule="auto"/>
        <w:rPr>
          <w:sz w:val="20"/>
          <w:szCs w:val="20"/>
          <w:color w:val="auto"/>
        </w:rPr>
      </w:pPr>
      <w:r>
        <w:rPr>
          <w:rFonts w:ascii="Arial" w:cs="Arial" w:eastAsia="Arial" w:hAnsi="Arial"/>
          <w:sz w:val="16"/>
          <w:szCs w:val="16"/>
          <w:b w:val="1"/>
          <w:bCs w:val="1"/>
          <w:color w:val="231F20"/>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pacing w:after="0" w:line="299"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4. Mine Safety Disclosures.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Not applicable.</w:t>
      </w:r>
    </w:p>
    <w:p>
      <w:pPr>
        <w:sectPr>
          <w:pgSz w:w="12240" w:h="15840" w:orient="portrait"/>
          <w:cols w:equalWidth="0" w:num="1">
            <w:col w:w="10360"/>
          </w:cols>
          <w:pgMar w:left="880" w:top="1160" w:right="100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231F20"/>
        </w:rPr>
        <w:t>77</w:t>
      </w:r>
    </w:p>
    <w:p>
      <w:pPr>
        <w:sectPr>
          <w:pgSz w:w="12240" w:h="15840" w:orient="portrait"/>
          <w:cols w:equalWidth="0" w:num="1">
            <w:col w:w="10360"/>
          </w:cols>
          <w:pgMar w:left="880" w:top="1160" w:right="1000" w:bottom="390" w:gutter="0" w:footer="0" w:header="0"/>
          <w:type w:val="continuous"/>
        </w:sectPr>
      </w:pPr>
    </w:p>
    <w:bookmarkStart w:id="85" w:name="page86"/>
    <w:bookmarkEnd w:id="85"/>
    <w:p>
      <w:pPr>
        <w:jc w:val="center"/>
        <w:ind w:right="-19"/>
        <w:spacing w:after="0"/>
        <w:rPr>
          <w:sz w:val="20"/>
          <w:szCs w:val="20"/>
          <w:color w:val="auto"/>
        </w:rPr>
      </w:pPr>
      <w:r>
        <w:rPr>
          <w:rFonts w:ascii="Arial" w:cs="Arial" w:eastAsia="Arial" w:hAnsi="Arial"/>
          <w:sz w:val="19"/>
          <w:szCs w:val="19"/>
          <w:b w:val="1"/>
          <w:bCs w:val="1"/>
          <w:color w:val="231F20"/>
        </w:rPr>
        <w:t>PART II</w:t>
      </w:r>
    </w:p>
    <w:p>
      <w:pPr>
        <w:spacing w:after="0" w:line="243" w:lineRule="exact"/>
        <w:rPr>
          <w:sz w:val="20"/>
          <w:szCs w:val="20"/>
          <w:color w:val="auto"/>
        </w:rPr>
      </w:pPr>
    </w:p>
    <w:p>
      <w:pPr>
        <w:ind w:right="400"/>
        <w:spacing w:after="0" w:line="277" w:lineRule="exact"/>
        <w:rPr>
          <w:sz w:val="20"/>
          <w:szCs w:val="20"/>
          <w:color w:val="auto"/>
        </w:rPr>
      </w:pPr>
      <w:r>
        <w:rPr>
          <w:rFonts w:ascii="Arial" w:cs="Arial" w:eastAsia="Arial" w:hAnsi="Arial"/>
          <w:sz w:val="19"/>
          <w:szCs w:val="19"/>
          <w:b w:val="1"/>
          <w:bCs w:val="1"/>
          <w:color w:val="231F20"/>
        </w:rPr>
        <w:t>Item 5. Market for Registrant</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Common Equity, Related Stockholder Matters and Issuer Purchases of Equity Securities. Market Information for Our Common Stock</w:t>
      </w:r>
    </w:p>
    <w:p>
      <w:pPr>
        <w:spacing w:after="0" w:line="126" w:lineRule="exact"/>
        <w:rPr>
          <w:sz w:val="20"/>
          <w:szCs w:val="20"/>
          <w:color w:val="auto"/>
        </w:rPr>
      </w:pPr>
    </w:p>
    <w:p>
      <w:pPr>
        <w:ind w:right="60" w:firstLine="475"/>
        <w:spacing w:after="0" w:line="218" w:lineRule="exact"/>
        <w:rPr>
          <w:sz w:val="20"/>
          <w:szCs w:val="20"/>
          <w:color w:val="auto"/>
        </w:rPr>
      </w:pPr>
      <w:r>
        <w:rPr>
          <w:rFonts w:ascii="Arial" w:cs="Arial" w:eastAsia="Arial" w:hAnsi="Arial"/>
          <w:sz w:val="19"/>
          <w:szCs w:val="19"/>
          <w:b w:val="1"/>
          <w:bCs w:val="1"/>
          <w:color w:val="231F20"/>
        </w:rPr>
        <w:t xml:space="preserve">Our common stock has been listed on the Nasdaq Global Select Market under the symbol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ALXO</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since July 17, 2020. Prior to that date, there was no public trading market for our common stock.</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Holders of Record</w:t>
      </w:r>
    </w:p>
    <w:p>
      <w:pPr>
        <w:spacing w:after="0" w:line="128" w:lineRule="exact"/>
        <w:rPr>
          <w:sz w:val="20"/>
          <w:szCs w:val="20"/>
          <w:color w:val="auto"/>
        </w:rPr>
      </w:pPr>
    </w:p>
    <w:p>
      <w:pPr>
        <w:ind w:right="200" w:firstLine="475"/>
        <w:spacing w:after="0" w:line="218" w:lineRule="exact"/>
        <w:rPr>
          <w:sz w:val="20"/>
          <w:szCs w:val="20"/>
          <w:color w:val="auto"/>
        </w:rPr>
      </w:pPr>
      <w:r>
        <w:rPr>
          <w:rFonts w:ascii="Arial" w:cs="Arial" w:eastAsia="Arial" w:hAnsi="Arial"/>
          <w:sz w:val="17"/>
          <w:szCs w:val="17"/>
          <w:b w:val="1"/>
          <w:bCs w:val="1"/>
          <w:color w:val="231F20"/>
        </w:rPr>
        <w:t xml:space="preserve">As of February 27, 2025, there were 104 holders of record of our common stock. Certain shares are held in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street</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name and, accordingly, the number of beneficial owners of such shares is not known or included in the foregoing number.</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Dividend Policy</w:t>
      </w:r>
    </w:p>
    <w:p>
      <w:pPr>
        <w:spacing w:after="0" w:line="125" w:lineRule="exact"/>
        <w:rPr>
          <w:sz w:val="20"/>
          <w:szCs w:val="20"/>
          <w:color w:val="auto"/>
        </w:rPr>
      </w:pPr>
    </w:p>
    <w:p>
      <w:pPr>
        <w:ind w:right="20" w:firstLine="475"/>
        <w:spacing w:after="0" w:line="300" w:lineRule="auto"/>
        <w:rPr>
          <w:sz w:val="20"/>
          <w:szCs w:val="20"/>
          <w:color w:val="auto"/>
        </w:rPr>
      </w:pPr>
      <w:r>
        <w:rPr>
          <w:rFonts w:ascii="Arial" w:cs="Arial" w:eastAsia="Arial" w:hAnsi="Arial"/>
          <w:sz w:val="16"/>
          <w:szCs w:val="16"/>
          <w:b w:val="1"/>
          <w:bCs w:val="1"/>
          <w:color w:val="231F20"/>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Unregistered Sales of Equity Securities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None.</w:t>
      </w: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Use of Proceeds from Initial Public Offering of Common Stock</w:t>
      </w:r>
    </w:p>
    <w:p>
      <w:pPr>
        <w:spacing w:after="0" w:line="128" w:lineRule="exact"/>
        <w:rPr>
          <w:sz w:val="20"/>
          <w:szCs w:val="20"/>
          <w:color w:val="auto"/>
        </w:rPr>
      </w:pPr>
    </w:p>
    <w:p>
      <w:pPr>
        <w:ind w:right="100" w:firstLine="475"/>
        <w:spacing w:after="0" w:line="243" w:lineRule="auto"/>
        <w:rPr>
          <w:sz w:val="20"/>
          <w:szCs w:val="20"/>
          <w:color w:val="auto"/>
        </w:rPr>
      </w:pPr>
      <w:r>
        <w:rPr>
          <w:rFonts w:ascii="Arial" w:cs="Arial" w:eastAsia="Arial" w:hAnsi="Arial"/>
          <w:sz w:val="19"/>
          <w:szCs w:val="19"/>
          <w:b w:val="1"/>
          <w:bCs w:val="1"/>
          <w:color w:val="231F20"/>
        </w:rPr>
        <w:t>The offer and sale of the shares in the initial public offering was registered under the Securities Act pursuant to registration statements on Form S-1 (File No. 333- 239490), which was filed with the SEC on June 26, 2020 and amended subsequently and declared effective on July 16, 2020, and Form S-1MEF, which was filed with the SEC on July 16, 2020 and became effective on July 16, 2020. The underwriters of the offering were Jefferies LLC, Credit Suisse Securities (USA) LLC, Piper Sandler &amp; Co. and Cantor Fitzgerald &amp; Co.</w:t>
      </w:r>
    </w:p>
    <w:p>
      <w:pPr>
        <w:spacing w:after="0" w:line="125" w:lineRule="exact"/>
        <w:rPr>
          <w:sz w:val="20"/>
          <w:szCs w:val="20"/>
          <w:color w:val="auto"/>
        </w:rPr>
      </w:pPr>
    </w:p>
    <w:p>
      <w:pPr>
        <w:ind w:firstLine="475"/>
        <w:spacing w:after="0" w:line="261" w:lineRule="auto"/>
        <w:rPr>
          <w:sz w:val="20"/>
          <w:szCs w:val="20"/>
          <w:color w:val="auto"/>
        </w:rPr>
      </w:pPr>
      <w:r>
        <w:rPr>
          <w:rFonts w:ascii="Arial" w:cs="Arial" w:eastAsia="Arial" w:hAnsi="Arial"/>
          <w:sz w:val="18"/>
          <w:szCs w:val="18"/>
          <w:b w:val="1"/>
          <w:bCs w:val="1"/>
          <w:color w:val="231F20"/>
        </w:rPr>
        <w:t>We invested the funds received in accordance with our investment policy. None of such payments were direct or indirect payments to any of our directors or officers (or their associates), to persons owning ten percent or more of our common stock or to any other affiliates. There has been no material change in the planned use of proceeds from our initial public offering as described in our final prospectus filed with the SEC on July 17, 2020 pursuant to Rule 424(b)(4).</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Issuer Purchases of Equity Securities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None.</w:t>
      </w:r>
    </w:p>
    <w:p>
      <w:pPr>
        <w:spacing w:after="0" w:line="355"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6. [Reserved]</w:t>
      </w:r>
    </w:p>
    <w:p>
      <w:pPr>
        <w:sectPr>
          <w:pgSz w:w="12240" w:h="15840" w:orient="portrait"/>
          <w:cols w:equalWidth="0" w:num="1">
            <w:col w:w="10460"/>
          </w:cols>
          <w:pgMar w:left="880" w:top="1160" w:right="90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231F20"/>
        </w:rPr>
        <w:t>78</w:t>
      </w:r>
    </w:p>
    <w:p>
      <w:pPr>
        <w:sectPr>
          <w:pgSz w:w="12240" w:h="15840" w:orient="portrait"/>
          <w:cols w:equalWidth="0" w:num="1">
            <w:col w:w="10460"/>
          </w:cols>
          <w:pgMar w:left="880" w:top="1160" w:right="900" w:bottom="390" w:gutter="0" w:footer="0" w:header="0"/>
          <w:type w:val="continuous"/>
        </w:sectPr>
      </w:pPr>
    </w:p>
    <w:bookmarkStart w:id="86" w:name="page87"/>
    <w:bookmarkEnd w:id="86"/>
    <w:p>
      <w:pPr>
        <w:spacing w:after="0" w:line="231" w:lineRule="exact"/>
        <w:rPr>
          <w:sz w:val="20"/>
          <w:szCs w:val="20"/>
          <w:color w:val="auto"/>
        </w:rPr>
      </w:pPr>
      <w:r>
        <w:rPr>
          <w:rFonts w:ascii="Arial" w:cs="Arial" w:eastAsia="Arial" w:hAnsi="Arial"/>
          <w:sz w:val="19"/>
          <w:szCs w:val="19"/>
          <w:b w:val="1"/>
          <w:bCs w:val="1"/>
          <w:color w:val="231F20"/>
        </w:rPr>
        <w:t>Item 7. Management</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Discussion and Analysis of Financial Condition and Results of Operations.</w:t>
      </w:r>
    </w:p>
    <w:p>
      <w:pPr>
        <w:spacing w:after="0" w:line="128" w:lineRule="exact"/>
        <w:rPr>
          <w:sz w:val="20"/>
          <w:szCs w:val="20"/>
          <w:color w:val="auto"/>
        </w:rPr>
      </w:pPr>
    </w:p>
    <w:p>
      <w:pPr>
        <w:ind w:right="20" w:firstLine="475"/>
        <w:spacing w:after="0" w:line="222" w:lineRule="exact"/>
        <w:rPr>
          <w:sz w:val="20"/>
          <w:szCs w:val="20"/>
          <w:color w:val="auto"/>
        </w:rPr>
      </w:pPr>
      <w:r>
        <w:rPr>
          <w:rFonts w:ascii="Arial" w:cs="Arial" w:eastAsia="Arial" w:hAnsi="Arial"/>
          <w:sz w:val="16"/>
          <w:szCs w:val="16"/>
          <w:b w:val="1"/>
          <w:bCs w:val="1"/>
          <w:color w:val="231F20"/>
        </w:rPr>
        <w:t xml:space="preserve">You should read the following discussion of our financial condition and results of operations together with our consolidated financial statements and related notes included elsewhere in this Annual Report on Form 10-K. This discussion and analysis generally addresses 2024 and 2023 items and year-over-year comparisons between 2024 and 2023. Discussions of 2022 items and year-over-year comparisons between 2023 and 2022 that are not included in this Annual Report on Form 10-K can be found in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Item 7. Management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Discussion and Analysis of Financial Condition and Results of Operations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in our Annual Report on Form 10-K for the fiscal year ended December 31, 2023, filed with the SEC on March 7, 2024. Some of the information contained in this discussion and analysis, including information with respect to our plans and strategy for our business, include forward-looking statements that involve risks and uncertainties. Our actual results could differ materially from those anticipated in these forward-looking statements as a result of various factors, including those set forth under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Risk Factors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and elsewhere in this Annual Report on Form 10-K.</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Overview</w:t>
      </w:r>
    </w:p>
    <w:p>
      <w:pPr>
        <w:spacing w:after="0" w:line="125" w:lineRule="exact"/>
        <w:rPr>
          <w:sz w:val="20"/>
          <w:szCs w:val="20"/>
          <w:color w:val="auto"/>
        </w:rPr>
      </w:pPr>
    </w:p>
    <w:p>
      <w:pPr>
        <w:ind w:firstLine="475"/>
        <w:spacing w:after="0" w:line="222" w:lineRule="exact"/>
        <w:rPr>
          <w:sz w:val="20"/>
          <w:szCs w:val="20"/>
          <w:color w:val="auto"/>
        </w:rPr>
      </w:pPr>
      <w:r>
        <w:rPr>
          <w:rFonts w:ascii="Arial" w:cs="Arial" w:eastAsia="Arial" w:hAnsi="Arial"/>
          <w:sz w:val="17"/>
          <w:szCs w:val="17"/>
          <w:b w:val="1"/>
          <w:bCs w:val="1"/>
          <w:color w:val="231F20"/>
        </w:rPr>
        <w:t xml:space="preserve">We are a clinical-stage immuno-oncology company focused on helping patients fight cancer by developing therapies that block the CD47 immune checkpoint and bridge the innate and adaptive immune system. Our lead product candidate, the CD47 blocker evorpacept, is currently in multiple Phase 1 and 2 clinical trials. Cancer cells leverage CD47, a cell surface protein, as a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don</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t eat me</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signal to evade macrophage phagocytosis or as a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don</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t activate T-cells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signal that prevents activation of T-cells by dendritic cells. We are developing evorpacept to be a next-generation checkpoint inhibitor designed to have a high affinity for CD47 and to avoid the limitations caused by hematologic toxicities inherent in other CD47 blocking approaches.</w:t>
      </w:r>
    </w:p>
    <w:p>
      <w:pPr>
        <w:spacing w:after="0" w:line="130" w:lineRule="exact"/>
        <w:rPr>
          <w:sz w:val="20"/>
          <w:szCs w:val="20"/>
          <w:color w:val="auto"/>
        </w:rPr>
      </w:pPr>
    </w:p>
    <w:p>
      <w:pPr>
        <w:ind w:right="140" w:firstLine="475"/>
        <w:spacing w:after="0" w:line="297" w:lineRule="auto"/>
        <w:rPr>
          <w:sz w:val="20"/>
          <w:szCs w:val="20"/>
          <w:color w:val="auto"/>
        </w:rPr>
      </w:pPr>
      <w:r>
        <w:rPr>
          <w:rFonts w:ascii="Arial" w:cs="Arial" w:eastAsia="Arial" w:hAnsi="Arial"/>
          <w:sz w:val="16"/>
          <w:szCs w:val="16"/>
          <w:b w:val="1"/>
          <w:bCs w:val="1"/>
          <w:color w:val="231F20"/>
        </w:rPr>
        <w:t>Evorpacept is a next-generation CD47 blocking therapeutic that we believe has significantly enhanced properties compared to competing CD47 blocking approaches. Evorpacept is a fusion protein that combines a high-affinity CD47 binding domain with a proprietary inactivated Fc domain. The CD47 binding domain of evorpacept is an affinity enhanced extracellular domain of SIRP</w:t>
      </w:r>
      <w:r>
        <w:rPr>
          <w:sz w:val="1"/>
          <w:szCs w:val="1"/>
          <w:color w:val="auto"/>
        </w:rPr>
        <w:drawing>
          <wp:inline distT="0" distB="0" distL="0" distR="0">
            <wp:extent cx="83185" cy="83185"/>
            <wp:effectExtent l="0" t="0" r="0" b="0"/>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3185" cy="83185"/>
                    </a:xfrm>
                    <a:prstGeom prst="rect">
                      <a:avLst/>
                    </a:prstGeom>
                    <a:noFill/>
                    <a:ln>
                      <a:noFill/>
                    </a:ln>
                  </pic:spPr>
                </pic:pic>
              </a:graphicData>
            </a:graphic>
          </wp:inline>
        </w:drawing>
      </w:r>
      <w:r>
        <w:rPr>
          <w:rFonts w:ascii="Arial" w:cs="Arial" w:eastAsia="Arial" w:hAnsi="Arial"/>
          <w:sz w:val="16"/>
          <w:szCs w:val="16"/>
          <w:b w:val="1"/>
          <w:bCs w:val="1"/>
          <w:color w:val="231F20"/>
        </w:rPr>
        <w:t>, a protein that is the natural receptor to CD47 found on myeloid cells. We have engineered the Fc domain of evorpacept so that it does not provide a pro-phagocytic signal while still maintaining an antibody-like half-life for the molecule. We believe our inactive Fc approach improves tolerability when compared to other CD47 blocking approaches that have an Fc domain that engages activating receptors on macrophages, causing phagocytosis and death of healthy cells in addition to cancer cells.</w:t>
      </w:r>
    </w:p>
    <w:p>
      <w:pPr>
        <w:spacing w:after="0" w:line="84" w:lineRule="exact"/>
        <w:rPr>
          <w:sz w:val="20"/>
          <w:szCs w:val="20"/>
          <w:color w:val="auto"/>
        </w:rPr>
      </w:pPr>
    </w:p>
    <w:p>
      <w:pPr>
        <w:ind w:right="140" w:firstLine="475"/>
        <w:spacing w:after="0" w:line="221" w:lineRule="exact"/>
        <w:rPr>
          <w:sz w:val="20"/>
          <w:szCs w:val="20"/>
          <w:color w:val="auto"/>
        </w:rPr>
      </w:pPr>
      <w:r>
        <w:rPr>
          <w:rFonts w:ascii="Arial" w:cs="Arial" w:eastAsia="Arial" w:hAnsi="Arial"/>
          <w:sz w:val="17"/>
          <w:szCs w:val="17"/>
          <w:b w:val="1"/>
          <w:bCs w:val="1"/>
          <w:color w:val="231F20"/>
        </w:rPr>
        <w:t>Evorpacept</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design has several additional advantages that we believe will make it broadly applicable to treating a number of oncology indications. Due to the inactive Fc, evorpacept is specifically designed for use in combination with other anti-cancer agents that provide a positive immune-stimulating signal. We believe evorpacept has a favorable tolerability profile that may enable higher dosing levels and greater combination potential with other leading anti-cancer agents.</w:t>
      </w:r>
    </w:p>
    <w:p>
      <w:pPr>
        <w:spacing w:after="0" w:line="126" w:lineRule="exact"/>
        <w:rPr>
          <w:sz w:val="20"/>
          <w:szCs w:val="20"/>
          <w:color w:val="auto"/>
        </w:rPr>
      </w:pPr>
    </w:p>
    <w:p>
      <w:pPr>
        <w:ind w:firstLine="475"/>
        <w:spacing w:after="0" w:line="284" w:lineRule="auto"/>
        <w:rPr>
          <w:sz w:val="20"/>
          <w:szCs w:val="20"/>
          <w:color w:val="auto"/>
        </w:rPr>
      </w:pPr>
      <w:r>
        <w:rPr>
          <w:rFonts w:ascii="Arial" w:cs="Arial" w:eastAsia="Arial" w:hAnsi="Arial"/>
          <w:sz w:val="17"/>
          <w:szCs w:val="17"/>
          <w:b w:val="1"/>
          <w:bCs w:val="1"/>
          <w:color w:val="231F20"/>
        </w:rPr>
        <w:t>We are focused on evorpacept development with the standard-of-care agents, revolving around these two cell types: macrophages and dendritic cells. We initially pursued, and continue to pursue, development of evorpacept based on two well-validated mechanisms of action involving SIRP alpha expression on macrophages and dendritic cells as discussed below.</w:t>
      </w:r>
    </w:p>
    <w:p>
      <w:pPr>
        <w:spacing w:after="0" w:line="86"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The distinct mechanism of actions and examples of the combinations of priority are:</w:t>
      </w:r>
    </w:p>
    <w:p>
      <w:pPr>
        <w:spacing w:after="0" w:line="128" w:lineRule="exact"/>
        <w:rPr>
          <w:sz w:val="20"/>
          <w:szCs w:val="20"/>
          <w:color w:val="auto"/>
        </w:rPr>
      </w:pPr>
    </w:p>
    <w:p>
      <w:pPr>
        <w:ind w:left="960" w:right="180" w:hanging="484"/>
        <w:spacing w:after="0" w:line="220" w:lineRule="exact"/>
        <w:tabs>
          <w:tab w:leader="none" w:pos="960" w:val="left"/>
        </w:tabs>
        <w:numPr>
          <w:ilvl w:val="0"/>
          <w:numId w:val="5"/>
        </w:numPr>
        <w:rPr>
          <w:rFonts w:ascii="Arial" w:cs="Arial" w:eastAsia="Arial" w:hAnsi="Arial"/>
          <w:sz w:val="19"/>
          <w:szCs w:val="19"/>
          <w:b w:val="1"/>
          <w:bCs w:val="1"/>
          <w:color w:val="231F20"/>
        </w:rPr>
      </w:pPr>
      <w:r>
        <w:rPr>
          <w:rFonts w:ascii="Arial" w:cs="Arial" w:eastAsia="Arial" w:hAnsi="Arial"/>
          <w:sz w:val="19"/>
          <w:szCs w:val="19"/>
          <w:b w:val="1"/>
          <w:bCs w:val="1"/>
          <w:color w:val="231F20"/>
        </w:rPr>
        <w:t xml:space="preserve">Anti-cancer antibodies (the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don</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t eat me</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signal): Combining with anti-cancer targeted antibodies with an active Fc domain, where evorpacept enables the Fc-mediated antibody dependent phagocytosis that is impaired by the expression of CD47 on cancer cells.</w:t>
      </w:r>
    </w:p>
    <w:p>
      <w:pPr>
        <w:spacing w:after="0" w:line="10" w:lineRule="exact"/>
        <w:rPr>
          <w:rFonts w:ascii="Arial" w:cs="Arial" w:eastAsia="Arial" w:hAnsi="Arial"/>
          <w:sz w:val="19"/>
          <w:szCs w:val="19"/>
          <w:b w:val="1"/>
          <w:bCs w:val="1"/>
          <w:color w:val="231F20"/>
        </w:rPr>
      </w:pPr>
    </w:p>
    <w:p>
      <w:pPr>
        <w:ind w:left="960" w:right="140"/>
        <w:spacing w:after="0" w:line="237" w:lineRule="auto"/>
        <w:rPr>
          <w:rFonts w:ascii="Arial" w:cs="Arial" w:eastAsia="Arial" w:hAnsi="Arial"/>
          <w:sz w:val="19"/>
          <w:szCs w:val="19"/>
          <w:b w:val="1"/>
          <w:bCs w:val="1"/>
          <w:color w:val="231F20"/>
        </w:rPr>
      </w:pPr>
      <w:r>
        <w:rPr>
          <w:rFonts w:ascii="Arial" w:cs="Arial" w:eastAsia="Arial" w:hAnsi="Arial"/>
          <w:sz w:val="18"/>
          <w:szCs w:val="18"/>
          <w:b w:val="1"/>
          <w:bCs w:val="1"/>
          <w:color w:val="231F20"/>
        </w:rPr>
        <w:t>Data from the randomized ASPEN-06 Phase 2 clinical trial supports the clinical validation of this mechanism of action. ASPEN-06 evaluates the contribution of evorpacept to HERCEPTIN</w:t>
      </w:r>
      <w:r>
        <w:rPr>
          <w:rFonts w:ascii="Arial" w:cs="Arial" w:eastAsia="Arial" w:hAnsi="Arial"/>
          <w:sz w:val="23"/>
          <w:szCs w:val="23"/>
          <w:b w:val="1"/>
          <w:bCs w:val="1"/>
          <w:color w:val="231F20"/>
          <w:vertAlign w:val="superscript"/>
        </w:rPr>
        <w:t>®</w:t>
      </w:r>
      <w:r>
        <w:rPr>
          <w:rFonts w:ascii="Arial" w:cs="Arial" w:eastAsia="Arial" w:hAnsi="Arial"/>
          <w:sz w:val="18"/>
          <w:szCs w:val="18"/>
          <w:b w:val="1"/>
          <w:bCs w:val="1"/>
          <w:color w:val="231F20"/>
        </w:rPr>
        <w:t xml:space="preserve"> (trastuzumab) plus standard of care (CYRAMZA</w:t>
      </w:r>
      <w:r>
        <w:rPr>
          <w:rFonts w:ascii="Arial" w:cs="Arial" w:eastAsia="Arial" w:hAnsi="Arial"/>
          <w:sz w:val="23"/>
          <w:szCs w:val="23"/>
          <w:b w:val="1"/>
          <w:bCs w:val="1"/>
          <w:color w:val="231F20"/>
          <w:vertAlign w:val="superscript"/>
        </w:rPr>
        <w:t>®</w:t>
      </w:r>
      <w:r>
        <w:rPr>
          <w:rFonts w:ascii="Arial" w:cs="Arial" w:eastAsia="Arial" w:hAnsi="Arial"/>
          <w:sz w:val="18"/>
          <w:szCs w:val="18"/>
          <w:b w:val="1"/>
          <w:bCs w:val="1"/>
          <w:color w:val="231F20"/>
        </w:rPr>
        <w:t xml:space="preserve"> (ramucirumab) + paclitaxel) (Evo-TRP), versus trastuzumab, ramucirumab, and paclitaxel (TRP) in second line or later human epidermal growth factor receptor 2 (HER2)-positive gastric/gastroesophageal junction (GEJ) cancer, where all patients had received an anti-HER2 agent in prior lines of therapy. Results from the December 2024 data cutoff were presented at an oral presentation at the 2025 American Society of Clinical Oncology (ASCO) Gastrointestinal Cancers Symposium:</w:t>
      </w:r>
    </w:p>
    <w:p>
      <w:pPr>
        <w:spacing w:after="0" w:line="142" w:lineRule="exact"/>
        <w:rPr>
          <w:sz w:val="20"/>
          <w:szCs w:val="20"/>
          <w:color w:val="auto"/>
        </w:rPr>
      </w:pPr>
    </w:p>
    <w:p>
      <w:pPr>
        <w:ind w:left="1520"/>
        <w:spacing w:after="0"/>
        <w:rPr>
          <w:sz w:val="20"/>
          <w:szCs w:val="20"/>
          <w:color w:val="auto"/>
        </w:rPr>
      </w:pPr>
      <w:r>
        <w:rPr>
          <w:rFonts w:ascii="Arial" w:cs="Arial" w:eastAsia="Arial" w:hAnsi="Arial"/>
          <w:sz w:val="19"/>
          <w:szCs w:val="19"/>
          <w:b w:val="1"/>
          <w:bCs w:val="1"/>
          <w:color w:val="231F20"/>
        </w:rPr>
        <w:t>Primary endpoints (December 2024 data cutoff):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-95250</wp:posOffset>
            </wp:positionV>
            <wp:extent cx="81915" cy="850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105" w:lineRule="exact"/>
        <w:rPr>
          <w:sz w:val="20"/>
          <w:szCs w:val="20"/>
          <w:color w:val="auto"/>
        </w:rPr>
      </w:pPr>
    </w:p>
    <w:p>
      <w:pPr>
        <w:jc w:val="both"/>
        <w:ind w:left="2080" w:right="100"/>
        <w:spacing w:after="0" w:line="242" w:lineRule="auto"/>
        <w:rPr>
          <w:sz w:val="20"/>
          <w:szCs w:val="20"/>
          <w:color w:val="auto"/>
        </w:rPr>
      </w:pPr>
      <w:r>
        <w:rPr>
          <w:rFonts w:ascii="Arial" w:cs="Arial" w:eastAsia="Arial" w:hAnsi="Arial"/>
          <w:sz w:val="19"/>
          <w:szCs w:val="19"/>
          <w:b w:val="1"/>
          <w:bCs w:val="1"/>
          <w:color w:val="231F20"/>
        </w:rPr>
        <w:t>Intent-to-treat (ITT) patient population overall response rate (ORR) (n=127): Evo-TRP demonstrated an ORR of 41.3% compared to 30% for ramucirumab and paclitaxel (RP) historical control and 26.6% for TRP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-386080</wp:posOffset>
            </wp:positionV>
            <wp:extent cx="62230" cy="635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04" w:lineRule="exact"/>
        <w:rPr>
          <w:sz w:val="20"/>
          <w:szCs w:val="20"/>
          <w:color w:val="auto"/>
        </w:rPr>
      </w:pPr>
    </w:p>
    <w:p>
      <w:pPr>
        <w:ind w:left="2080" w:right="60"/>
        <w:spacing w:after="0" w:line="239" w:lineRule="auto"/>
        <w:rPr>
          <w:sz w:val="20"/>
          <w:szCs w:val="20"/>
          <w:color w:val="auto"/>
        </w:rPr>
      </w:pPr>
      <w:r>
        <w:rPr>
          <w:rFonts w:ascii="Arial" w:cs="Arial" w:eastAsia="Arial" w:hAnsi="Arial"/>
          <w:sz w:val="19"/>
          <w:szCs w:val="19"/>
          <w:b w:val="1"/>
          <w:bCs w:val="1"/>
          <w:color w:val="231F20"/>
        </w:rPr>
        <w:t>Fresh HER2-positive biopsy patient population ORR (n=48): Evo-TRP demonstrated an ORR of 59.1% compared to 30% for RP historical control and 23.1% for TRP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-242570</wp:posOffset>
            </wp:positionV>
            <wp:extent cx="62230" cy="635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123" w:lineRule="exact"/>
        <w:rPr>
          <w:sz w:val="20"/>
          <w:szCs w:val="20"/>
          <w:color w:val="auto"/>
        </w:rPr>
      </w:pPr>
    </w:p>
    <w:p>
      <w:pPr>
        <w:ind w:left="1520" w:right="300"/>
        <w:spacing w:after="0" w:line="284" w:lineRule="auto"/>
        <w:rPr>
          <w:sz w:val="20"/>
          <w:szCs w:val="20"/>
          <w:color w:val="auto"/>
        </w:rPr>
      </w:pPr>
      <w:r>
        <w:rPr>
          <w:rFonts w:ascii="Arial" w:cs="Arial" w:eastAsia="Arial" w:hAnsi="Arial"/>
          <w:sz w:val="17"/>
          <w:szCs w:val="17"/>
          <w:b w:val="1"/>
          <w:bCs w:val="1"/>
          <w:color w:val="231F20"/>
        </w:rPr>
        <w:t>In the ITT population, Evo-TRP demonstrated a median duration of response (mDOR) of 15.7 months and a median progression-free survival (mPFS) of 7.5 months compared to an mDOR of 9.1 months and mPFS of 7.4 months in the TRP control group, with a PFS Hazard Ratio (PFS HR) in this population of 0.77.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-400685</wp:posOffset>
            </wp:positionV>
            <wp:extent cx="81915" cy="850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ectPr>
          <w:pgSz w:w="12240" w:h="15840" w:orient="portrait"/>
          <w:cols w:equalWidth="0" w:num="1">
            <w:col w:w="10480"/>
          </w:cols>
          <w:pgMar w:left="880" w:top="1148" w:right="88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79</w:t>
      </w:r>
    </w:p>
    <w:p>
      <w:pPr>
        <w:sectPr>
          <w:pgSz w:w="12240" w:h="15840" w:orient="portrait"/>
          <w:cols w:equalWidth="0" w:num="1">
            <w:col w:w="10480"/>
          </w:cols>
          <w:pgMar w:left="880" w:top="1148" w:right="880" w:bottom="390" w:gutter="0" w:footer="0" w:header="0"/>
          <w:type w:val="continuous"/>
        </w:sectPr>
      </w:pPr>
    </w:p>
    <w:bookmarkStart w:id="87" w:name="page88"/>
    <w:bookmarkEnd w:id="87"/>
    <w:p>
      <w:pPr>
        <w:jc w:val="both"/>
        <w:ind w:left="1520" w:right="40"/>
        <w:spacing w:after="0" w:line="242" w:lineRule="auto"/>
        <w:rPr>
          <w:sz w:val="20"/>
          <w:szCs w:val="20"/>
          <w:color w:val="auto"/>
        </w:rPr>
      </w:pPr>
      <w:r>
        <w:rPr>
          <w:rFonts w:ascii="Arial" w:cs="Arial" w:eastAsia="Arial" w:hAnsi="Arial"/>
          <w:sz w:val="19"/>
          <w:szCs w:val="19"/>
          <w:b w:val="1"/>
          <w:bCs w:val="1"/>
          <w:color w:val="231F20"/>
        </w:rPr>
        <w:t>In patients with fresh HER2-positive biopsies, Evo-TRP demonstrated an mDOR of 15.7 months and mPFS of 9.5 months compared to an mDOR of 14.5 months and mPFS of 7.1 months in the TRP control group, with a PFS HR of 0.62.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-379730</wp:posOffset>
            </wp:positionV>
            <wp:extent cx="81915" cy="850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118" w:lineRule="exact"/>
        <w:rPr>
          <w:sz w:val="20"/>
          <w:szCs w:val="20"/>
          <w:color w:val="auto"/>
        </w:rPr>
      </w:pPr>
    </w:p>
    <w:p>
      <w:pPr>
        <w:ind w:left="1520" w:right="20"/>
        <w:spacing w:after="0" w:line="243" w:lineRule="auto"/>
        <w:rPr>
          <w:sz w:val="20"/>
          <w:szCs w:val="20"/>
          <w:color w:val="auto"/>
        </w:rPr>
      </w:pPr>
      <w:r>
        <w:rPr>
          <w:rFonts w:ascii="Arial" w:cs="Arial" w:eastAsia="Arial" w:hAnsi="Arial"/>
          <w:sz w:val="19"/>
          <w:szCs w:val="19"/>
          <w:b w:val="1"/>
          <w:bCs w:val="1"/>
          <w:color w:val="231F20"/>
        </w:rPr>
        <w:t>In patients with confirmed HER2-positive expression as determined by either fresh biopsy or circulating tumor DNA (ctDNA) HER2-positivity (n=96), the addition of evorpacept to TRP resulted in a 48.9% ORR, an mDOR of 15.7 months and mPFS of 7.5 months, compared to a 24.5% ORR, an mDOR of 9.1 months and mPFS of 6.7 months in the TRP control group, with a PFS HR of 0.64.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-521970</wp:posOffset>
            </wp:positionV>
            <wp:extent cx="81915" cy="850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118" w:lineRule="exact"/>
        <w:rPr>
          <w:sz w:val="20"/>
          <w:szCs w:val="20"/>
          <w:color w:val="auto"/>
        </w:rPr>
      </w:pPr>
    </w:p>
    <w:p>
      <w:pPr>
        <w:ind w:left="1520" w:right="780"/>
        <w:spacing w:after="0" w:line="239" w:lineRule="auto"/>
        <w:rPr>
          <w:sz w:val="20"/>
          <w:szCs w:val="20"/>
          <w:color w:val="auto"/>
        </w:rPr>
      </w:pPr>
      <w:r>
        <w:rPr>
          <w:rFonts w:ascii="Arial" w:cs="Arial" w:eastAsia="Arial" w:hAnsi="Arial"/>
          <w:sz w:val="19"/>
          <w:szCs w:val="19"/>
          <w:b w:val="1"/>
          <w:bCs w:val="1"/>
          <w:color w:val="231F20"/>
        </w:rPr>
        <w:t>Evo-TRP was generally well tolerated, with the incidence of adverse events in the evorpacept population consistent with those in TRP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-236220</wp:posOffset>
            </wp:positionV>
            <wp:extent cx="81915" cy="850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109" w:lineRule="exact"/>
        <w:rPr>
          <w:sz w:val="20"/>
          <w:szCs w:val="20"/>
          <w:color w:val="auto"/>
        </w:rPr>
      </w:pPr>
    </w:p>
    <w:p>
      <w:pPr>
        <w:ind w:left="960" w:right="40"/>
        <w:spacing w:after="0" w:line="260" w:lineRule="auto"/>
        <w:rPr>
          <w:sz w:val="20"/>
          <w:szCs w:val="20"/>
          <w:color w:val="auto"/>
        </w:rPr>
      </w:pPr>
      <w:r>
        <w:rPr>
          <w:rFonts w:ascii="Arial" w:cs="Arial" w:eastAsia="Arial" w:hAnsi="Arial"/>
          <w:sz w:val="18"/>
          <w:szCs w:val="18"/>
          <w:b w:val="1"/>
          <w:bCs w:val="1"/>
          <w:color w:val="231F20"/>
        </w:rPr>
        <w:t>Our earlier ASPEN-01 Phase 1 positive data in combination with rituximab in non-Hodgkin lymphoma (NHL) and the recent clinical data of our investigator-sponsored trial (IST) collaborator from the ongoing Phase 1/2 IST of evorpacept in combination with rituximab and lenalidomide patients with relapsed refractory B-cell NHL (R/R B-NHL) provide additional support for the clinical validation of this mechanism of action and support exploring combinations of evorpacept with other anti-cancer antibodies.</w:t>
      </w:r>
    </w:p>
    <w:p>
      <w:pPr>
        <w:spacing w:after="0" w:line="110" w:lineRule="exact"/>
        <w:rPr>
          <w:sz w:val="20"/>
          <w:szCs w:val="20"/>
          <w:color w:val="auto"/>
        </w:rPr>
      </w:pPr>
    </w:p>
    <w:p>
      <w:pPr>
        <w:ind w:left="960" w:right="200"/>
        <w:spacing w:after="0" w:line="224" w:lineRule="auto"/>
        <w:rPr>
          <w:sz w:val="20"/>
          <w:szCs w:val="20"/>
          <w:color w:val="auto"/>
        </w:rPr>
      </w:pPr>
      <w:r>
        <w:rPr>
          <w:rFonts w:ascii="Arial" w:cs="Arial" w:eastAsia="Arial" w:hAnsi="Arial"/>
          <w:sz w:val="18"/>
          <w:szCs w:val="18"/>
          <w:b w:val="1"/>
          <w:bCs w:val="1"/>
          <w:color w:val="231F20"/>
        </w:rPr>
        <w:t>This mechanism of action may also apply to antibody-drug conjugates (ADCs), which are being investigated in two separate Phase 1 trials: one in combination with PADCEV</w:t>
      </w:r>
      <w:r>
        <w:rPr>
          <w:rFonts w:ascii="Arial" w:cs="Arial" w:eastAsia="Arial" w:hAnsi="Arial"/>
          <w:sz w:val="23"/>
          <w:szCs w:val="23"/>
          <w:b w:val="1"/>
          <w:bCs w:val="1"/>
          <w:color w:val="231F20"/>
          <w:vertAlign w:val="superscript"/>
        </w:rPr>
        <w:t>®</w:t>
      </w:r>
      <w:r>
        <w:rPr>
          <w:rFonts w:ascii="Arial" w:cs="Arial" w:eastAsia="Arial" w:hAnsi="Arial"/>
          <w:sz w:val="18"/>
          <w:szCs w:val="18"/>
          <w:b w:val="1"/>
          <w:bCs w:val="1"/>
          <w:color w:val="231F20"/>
        </w:rPr>
        <w:t xml:space="preserve"> (enfortumab vedotin-ejfv) in patients with urothelial cancer (ASPEN-07), and the other in combination with ENHERTU</w:t>
      </w:r>
      <w:r>
        <w:rPr>
          <w:rFonts w:ascii="Arial" w:cs="Arial" w:eastAsia="Arial" w:hAnsi="Arial"/>
          <w:sz w:val="23"/>
          <w:szCs w:val="23"/>
          <w:b w:val="1"/>
          <w:bCs w:val="1"/>
          <w:color w:val="231F20"/>
          <w:vertAlign w:val="superscript"/>
        </w:rPr>
        <w:t>®</w:t>
      </w:r>
      <w:r>
        <w:rPr>
          <w:rFonts w:ascii="Arial" w:cs="Arial" w:eastAsia="Arial" w:hAnsi="Arial"/>
          <w:sz w:val="18"/>
          <w:szCs w:val="18"/>
          <w:b w:val="1"/>
          <w:bCs w:val="1"/>
          <w:color w:val="231F20"/>
        </w:rPr>
        <w:t xml:space="preserve"> (fam-trastuzumab deruxtecan-nxki) in patients with unresectable or metastatic HER2-positive and HER2-low breast cancer.</w:t>
      </w:r>
    </w:p>
    <w:p>
      <w:pPr>
        <w:spacing w:after="0" w:line="128" w:lineRule="exact"/>
        <w:rPr>
          <w:sz w:val="20"/>
          <w:szCs w:val="20"/>
          <w:color w:val="auto"/>
        </w:rPr>
      </w:pPr>
    </w:p>
    <w:p>
      <w:pPr>
        <w:ind w:left="960" w:right="480" w:hanging="484"/>
        <w:spacing w:after="0" w:line="220" w:lineRule="exact"/>
        <w:tabs>
          <w:tab w:leader="none" w:pos="960" w:val="left"/>
        </w:tabs>
        <w:numPr>
          <w:ilvl w:val="0"/>
          <w:numId w:val="6"/>
        </w:numPr>
        <w:rPr>
          <w:rFonts w:ascii="Arial" w:cs="Arial" w:eastAsia="Arial" w:hAnsi="Arial"/>
          <w:sz w:val="19"/>
          <w:szCs w:val="19"/>
          <w:b w:val="1"/>
          <w:bCs w:val="1"/>
          <w:color w:val="231F20"/>
        </w:rPr>
      </w:pPr>
      <w:r>
        <w:rPr>
          <w:rFonts w:ascii="Arial" w:cs="Arial" w:eastAsia="Arial" w:hAnsi="Arial"/>
          <w:sz w:val="19"/>
          <w:szCs w:val="19"/>
          <w:b w:val="1"/>
          <w:bCs w:val="1"/>
          <w:color w:val="231F20"/>
        </w:rPr>
        <w:t xml:space="preserve">PD-1/programmed death-ligand 1 (PD-L1) immune checkpoint inhibitors (the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don</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t activate T-cells</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signal): Combining with PD-1/PD-L1 checkpoint inhibitor, where evorpacept activates dendritic cells that are constitutively inhibited by the CD47/ SIRP alpha pathway.</w:t>
      </w:r>
    </w:p>
    <w:p>
      <w:pPr>
        <w:spacing w:after="0" w:line="10" w:lineRule="exact"/>
        <w:rPr>
          <w:rFonts w:ascii="Arial" w:cs="Arial" w:eastAsia="Arial" w:hAnsi="Arial"/>
          <w:sz w:val="19"/>
          <w:szCs w:val="19"/>
          <w:b w:val="1"/>
          <w:bCs w:val="1"/>
          <w:color w:val="231F20"/>
        </w:rPr>
      </w:pPr>
    </w:p>
    <w:p>
      <w:pPr>
        <w:ind w:left="960" w:right="20"/>
        <w:spacing w:after="0" w:line="265" w:lineRule="auto"/>
        <w:rPr>
          <w:rFonts w:ascii="Arial" w:cs="Arial" w:eastAsia="Arial" w:hAnsi="Arial"/>
          <w:sz w:val="19"/>
          <w:szCs w:val="19"/>
          <w:b w:val="1"/>
          <w:bCs w:val="1"/>
          <w:color w:val="231F20"/>
        </w:rPr>
      </w:pPr>
      <w:r>
        <w:rPr>
          <w:rFonts w:ascii="Arial" w:cs="Arial" w:eastAsia="Arial" w:hAnsi="Arial"/>
          <w:sz w:val="17"/>
          <w:szCs w:val="17"/>
          <w:b w:val="1"/>
          <w:bCs w:val="1"/>
          <w:color w:val="231F20"/>
        </w:rPr>
        <w:t>Activated dendritic cells present neoantigens to T-cells that, once activated, will kill cancer cells when the PD-1/PD-L1 inhibitory interaction is blocked by T-cell checkpoint inhibitors. The combination with a PD-1/PD-L1 checkpoint inhibitor allows maximum activity of these newly activated T-cells. This mechanism of action is being investigated in our clinical trials, ASPEN-03 and ASPEN-04, two randomized Phase 2 studies in combination with KEYTRUDA</w:t>
      </w:r>
      <w:r>
        <w:rPr>
          <w:rFonts w:ascii="Arial" w:cs="Arial" w:eastAsia="Arial" w:hAnsi="Arial"/>
          <w:sz w:val="22"/>
          <w:szCs w:val="22"/>
          <w:b w:val="1"/>
          <w:bCs w:val="1"/>
          <w:color w:val="231F20"/>
          <w:vertAlign w:val="superscript"/>
        </w:rPr>
        <w:t>®</w:t>
      </w:r>
      <w:r>
        <w:rPr>
          <w:rFonts w:ascii="Arial" w:cs="Arial" w:eastAsia="Arial" w:hAnsi="Arial"/>
          <w:sz w:val="17"/>
          <w:szCs w:val="17"/>
          <w:b w:val="1"/>
          <w:bCs w:val="1"/>
          <w:color w:val="231F20"/>
        </w:rPr>
        <w:t xml:space="preserve"> (pembrolizumab), without or with chemotherapy, respectively, comparing to the same treatments without evorpacept, in first line head and neck squamous cell carcinoma (HNSCC). Validation of this mechanism is supported by our Phase 1 data (n=23) in the same indications and combinations where we saw an improvement in overall survival (OS) at 12 months with respect to historical data.</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We are pursuing the following clinical programs, collaborations, and investigator-sponsored trials:</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Evorpacept</w:t>
      </w:r>
    </w:p>
    <w:p>
      <w:pPr>
        <w:spacing w:after="0" w:line="122"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Combination with anti-cancer antibody</w:t>
      </w:r>
    </w:p>
    <w:p>
      <w:pPr>
        <w:spacing w:after="0" w:line="120"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ASPEN-06 - Gastric/GEJ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43" w:lineRule="exact"/>
        <w:rPr>
          <w:sz w:val="20"/>
          <w:szCs w:val="20"/>
          <w:color w:val="auto"/>
        </w:rPr>
      </w:pPr>
    </w:p>
    <w:p>
      <w:pPr>
        <w:ind w:left="1520" w:right="100"/>
        <w:spacing w:after="0" w:line="261" w:lineRule="auto"/>
        <w:rPr>
          <w:sz w:val="20"/>
          <w:szCs w:val="20"/>
          <w:color w:val="auto"/>
        </w:rPr>
      </w:pPr>
      <w:r>
        <w:rPr>
          <w:rFonts w:ascii="Arial" w:cs="Arial" w:eastAsia="Arial" w:hAnsi="Arial"/>
          <w:sz w:val="18"/>
          <w:szCs w:val="18"/>
          <w:b w:val="1"/>
          <w:bCs w:val="1"/>
          <w:color w:val="231F20"/>
        </w:rPr>
        <w:t>In January 2020, the U.S. Food and Drug Administration (FDA) granted Fast Track designation for evorpacept in combination with trastuzumab, ramucirumab and paclitaxel for the treatment of patients with HER2-overexpressing advanced gastric or GEJ adenocarcinoma with disease progression on or after prior trastuzumab and fluoropyrimidine or platinum containing chemotherapy.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-531495</wp:posOffset>
            </wp:positionV>
            <wp:extent cx="81915" cy="850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25" w:lineRule="exact"/>
        <w:rPr>
          <w:sz w:val="20"/>
          <w:szCs w:val="20"/>
          <w:color w:val="auto"/>
        </w:rPr>
      </w:pPr>
    </w:p>
    <w:p>
      <w:pPr>
        <w:ind w:left="1520" w:right="60"/>
        <w:spacing w:after="0" w:line="218" w:lineRule="exact"/>
        <w:rPr>
          <w:sz w:val="20"/>
          <w:szCs w:val="20"/>
          <w:color w:val="auto"/>
        </w:rPr>
      </w:pPr>
      <w:r>
        <w:rPr>
          <w:rFonts w:ascii="Arial" w:cs="Arial" w:eastAsia="Arial" w:hAnsi="Arial"/>
          <w:sz w:val="19"/>
          <w:szCs w:val="19"/>
          <w:b w:val="1"/>
          <w:bCs w:val="1"/>
          <w:color w:val="231F20"/>
        </w:rPr>
        <w:t>In January 2022, the FDA</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Office of Orphan Products Development granted Orphan Drug Designation (ODD) to evorpacept for the treatment of patients with gastric/GEJ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-236855</wp:posOffset>
            </wp:positionV>
            <wp:extent cx="81915" cy="850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44" w:lineRule="exact"/>
        <w:rPr>
          <w:sz w:val="20"/>
          <w:szCs w:val="20"/>
          <w:color w:val="auto"/>
        </w:rPr>
      </w:pPr>
    </w:p>
    <w:p>
      <w:pPr>
        <w:ind w:left="1520" w:right="240"/>
        <w:spacing w:after="0" w:line="261" w:lineRule="auto"/>
        <w:rPr>
          <w:sz w:val="20"/>
          <w:szCs w:val="20"/>
          <w:color w:val="auto"/>
        </w:rPr>
      </w:pPr>
      <w:r>
        <w:rPr>
          <w:rFonts w:ascii="Arial" w:cs="Arial" w:eastAsia="Arial" w:hAnsi="Arial"/>
          <w:sz w:val="18"/>
          <w:szCs w:val="18"/>
          <w:b w:val="1"/>
          <w:bCs w:val="1"/>
          <w:color w:val="231F20"/>
        </w:rPr>
        <w:t>In March 2022, we announced the dosing of the first patient in the multi-center, international ASPEN-06 trial, a randomized Phase 2/3 trial of evorpacept in combination with trastuzumab, ramucirumab and paclitaxel for the treatment of second- and third-line advanced HER2-overexpressing gastric/GEJ cancer, where all patients had received an anti-HER2 agent in prior lines of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-531495</wp:posOffset>
            </wp:positionV>
            <wp:extent cx="81915" cy="850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25" w:lineRule="exact"/>
        <w:rPr>
          <w:sz w:val="20"/>
          <w:szCs w:val="20"/>
          <w:color w:val="auto"/>
        </w:rPr>
      </w:pPr>
    </w:p>
    <w:p>
      <w:pPr>
        <w:ind w:left="1520"/>
        <w:spacing w:after="0" w:line="239" w:lineRule="auto"/>
        <w:rPr>
          <w:sz w:val="20"/>
          <w:szCs w:val="20"/>
          <w:color w:val="auto"/>
        </w:rPr>
      </w:pPr>
      <w:r>
        <w:rPr>
          <w:rFonts w:ascii="Arial" w:cs="Arial" w:eastAsia="Arial" w:hAnsi="Arial"/>
          <w:sz w:val="19"/>
          <w:szCs w:val="19"/>
          <w:b w:val="1"/>
          <w:bCs w:val="1"/>
          <w:color w:val="231F20"/>
        </w:rPr>
        <w:t>In June 2023, the European Commission granted ODD to evorpacept for the treatment of patients with gastric/GEJ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-236220</wp:posOffset>
            </wp:positionV>
            <wp:extent cx="81915" cy="850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42" w:lineRule="exact"/>
        <w:rPr>
          <w:sz w:val="20"/>
          <w:szCs w:val="20"/>
          <w:color w:val="auto"/>
        </w:rPr>
      </w:pPr>
    </w:p>
    <w:p>
      <w:pPr>
        <w:ind w:left="1520" w:right="80"/>
        <w:spacing w:after="0" w:line="298" w:lineRule="auto"/>
        <w:rPr>
          <w:sz w:val="20"/>
          <w:szCs w:val="20"/>
          <w:color w:val="auto"/>
        </w:rPr>
      </w:pPr>
      <w:r>
        <w:rPr>
          <w:rFonts w:ascii="Arial" w:cs="Arial" w:eastAsia="Arial" w:hAnsi="Arial"/>
          <w:sz w:val="16"/>
          <w:szCs w:val="16"/>
          <w:b w:val="1"/>
          <w:bCs w:val="1"/>
          <w:color w:val="231F20"/>
        </w:rPr>
        <w:t>In October 2023, we announced positive prespecified interim Phase 2 clinical data from our ASPEN-06 clinical trial. This prespecified interim analysis reported results from 54 randomized patients with second and third line gastric/GEJ cancer, including patients previously treated with fam-trastuzumab deruxtecan-nxki and checkpoint inhibitors. A confirmed ORR of 52% was demonstrated for the Evo-TRP treatment arm compared to 22% for the TRP control arm. An mDOR was not reached for the Evo-TRP treatment arm compared to 7.4 months for the control group. The safety profile of evorpacept was consistent with previous clinical trials and was well-tolerated.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-830580</wp:posOffset>
            </wp:positionV>
            <wp:extent cx="81915" cy="850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ectPr>
          <w:pgSz w:w="12240" w:h="15840" w:orient="portrait"/>
          <w:cols w:equalWidth="0" w:num="1">
            <w:col w:w="10440"/>
          </w:cols>
          <w:pgMar w:left="880" w:top="1180" w:right="92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231F20"/>
        </w:rPr>
        <w:t>80</w:t>
      </w:r>
    </w:p>
    <w:p>
      <w:pPr>
        <w:sectPr>
          <w:pgSz w:w="12240" w:h="15840" w:orient="portrait"/>
          <w:cols w:equalWidth="0" w:num="1">
            <w:col w:w="10440"/>
          </w:cols>
          <w:pgMar w:left="880" w:top="1180" w:right="920" w:bottom="390" w:gutter="0" w:footer="0" w:header="0"/>
          <w:type w:val="continuous"/>
        </w:sectPr>
      </w:pPr>
    </w:p>
    <w:bookmarkStart w:id="88" w:name="page89"/>
    <w:bookmarkEnd w:id="88"/>
    <w:p>
      <w:pPr>
        <w:ind w:left="1040"/>
        <w:spacing w:after="0" w:line="296" w:lineRule="auto"/>
        <w:rPr>
          <w:sz w:val="20"/>
          <w:szCs w:val="20"/>
          <w:color w:val="auto"/>
        </w:rPr>
      </w:pPr>
      <w:r>
        <w:rPr>
          <w:rFonts w:ascii="Arial" w:cs="Arial" w:eastAsia="Arial" w:hAnsi="Arial"/>
          <w:sz w:val="16"/>
          <w:szCs w:val="16"/>
          <w:b w:val="1"/>
          <w:bCs w:val="1"/>
          <w:color w:val="231F20"/>
        </w:rPr>
        <w:t>In July 2024, we announced the topline data from our ASPEN-06 Phase 2 clinical trial. This topline data reported results from 127 randomized patients with second and third line gastric/GEJ cancer and was generally well-balanced across arms based on prespecified stratification factors including line of therapy, prior ENHERTU use, Asia region, tumor location (GC or GEJ), HER2 expression level, and having HER2-positive disease based upon a tissue biopsy after anti-HER2 treatment. A confirmed ORR of 40.3% was demonstrated for the Evo-TRP treatment arm compared to 26.6% for the TRP control arm. The mDOR was 15.7 months for the Evo-TRP treatment arm and 7.6 months for the TRP control arm in the full trial population. In patients with fresh HER2-positive biopsies (n=48), Evo-TRP demonstrated an ORR of 54.8% compared to 23.1% for the TRP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-1112520</wp:posOffset>
            </wp:positionV>
            <wp:extent cx="81915" cy="850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3" w:lineRule="exact"/>
        <w:rPr>
          <w:sz w:val="20"/>
          <w:szCs w:val="20"/>
          <w:color w:val="auto"/>
        </w:rPr>
      </w:pPr>
    </w:p>
    <w:p>
      <w:pPr>
        <w:ind w:left="1040" w:right="60"/>
        <w:spacing w:after="0" w:line="244" w:lineRule="auto"/>
        <w:rPr>
          <w:sz w:val="20"/>
          <w:szCs w:val="20"/>
          <w:color w:val="auto"/>
        </w:rPr>
      </w:pPr>
      <w:r>
        <w:rPr>
          <w:rFonts w:ascii="Arial" w:cs="Arial" w:eastAsia="Arial" w:hAnsi="Arial"/>
          <w:sz w:val="19"/>
          <w:szCs w:val="19"/>
          <w:b w:val="1"/>
          <w:bCs w:val="1"/>
          <w:color w:val="231F20"/>
        </w:rPr>
        <w:t>In January 2025, we presented updated results from the ASPEN-06 Phase 2 clinical trial in an oral presentation at the 2025 ASCO Gastrointestinal Cancers Symposium. A confirmed ORR of 41.3% was demonstrated for the Evo-TRP treatment arm compared to 26.6% for the TRP control arm in the ITT patient population. In patients with confirmed HER2-positive expression as determined by either fresh biopsy or ctDNA HER2-positivity (n=96), the addition of evorpacept to TRP resulted in a 48.9% ORR, an mDOR of 15.7 months and mPFS of 7.5 months, compared to a 24.5% ORR, an mDOR of 9.1 months and mPFS of 6.7 months in the TRP control group, with a PFS HR of 0.64.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-947420</wp:posOffset>
            </wp:positionV>
            <wp:extent cx="81915" cy="850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97"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ASPEN-Breast - Breast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62230" cy="635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43" w:lineRule="exact"/>
        <w:rPr>
          <w:sz w:val="20"/>
          <w:szCs w:val="20"/>
          <w:color w:val="auto"/>
        </w:rPr>
      </w:pPr>
    </w:p>
    <w:p>
      <w:pPr>
        <w:ind w:left="1040" w:right="680"/>
        <w:spacing w:after="0" w:line="329" w:lineRule="auto"/>
        <w:rPr>
          <w:sz w:val="20"/>
          <w:szCs w:val="20"/>
          <w:color w:val="auto"/>
        </w:rPr>
      </w:pPr>
      <w:r>
        <w:rPr>
          <w:rFonts w:ascii="Arial" w:cs="Arial" w:eastAsia="Arial" w:hAnsi="Arial"/>
          <w:sz w:val="16"/>
          <w:szCs w:val="16"/>
          <w:b w:val="1"/>
          <w:bCs w:val="1"/>
          <w:color w:val="231F20"/>
        </w:rPr>
        <w:t>In March 2025, we announced intent to initiate a Phase 2 study evaluating evorpacept in combination with trastuzumab and chemotherapy for the treatment of patients with metastatic HER2-positive breast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-280035</wp:posOffset>
            </wp:positionV>
            <wp:extent cx="81915" cy="850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32"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ASPEN-CRC - Colorectal Cancer (CRC)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62230" cy="635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43" w:lineRule="exact"/>
        <w:rPr>
          <w:sz w:val="20"/>
          <w:szCs w:val="20"/>
          <w:color w:val="auto"/>
        </w:rPr>
      </w:pPr>
    </w:p>
    <w:p>
      <w:pPr>
        <w:ind w:left="1040" w:right="300"/>
        <w:spacing w:after="0" w:line="242" w:lineRule="auto"/>
        <w:rPr>
          <w:sz w:val="20"/>
          <w:szCs w:val="20"/>
          <w:color w:val="auto"/>
        </w:rPr>
      </w:pPr>
      <w:r>
        <w:rPr>
          <w:rFonts w:ascii="Arial" w:cs="Arial" w:eastAsia="Arial" w:hAnsi="Arial"/>
          <w:sz w:val="19"/>
          <w:szCs w:val="19"/>
          <w:b w:val="1"/>
          <w:bCs w:val="1"/>
          <w:color w:val="231F20"/>
        </w:rPr>
        <w:t>In March 2025, we announced intent to initiate a Phase 1b study evaluating evorpacept in combination with the epidermal growth factor receptor (EGFR)-targeted antibody cetuximab and chemotherapy for the treatment of patients with metastatic CRC.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-379730</wp:posOffset>
            </wp:positionV>
            <wp:extent cx="81915" cy="850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Combination with antibody-drug conjugate (ADC)</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ASPEN-07 - Urothelial Cancer (UC)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62230" cy="635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43" w:lineRule="exact"/>
        <w:rPr>
          <w:sz w:val="20"/>
          <w:szCs w:val="20"/>
          <w:color w:val="auto"/>
        </w:rPr>
      </w:pPr>
    </w:p>
    <w:p>
      <w:pPr>
        <w:jc w:val="both"/>
        <w:ind w:left="1040" w:right="160"/>
        <w:spacing w:after="0" w:line="242" w:lineRule="auto"/>
        <w:rPr>
          <w:sz w:val="20"/>
          <w:szCs w:val="20"/>
          <w:color w:val="auto"/>
        </w:rPr>
      </w:pPr>
      <w:r>
        <w:rPr>
          <w:rFonts w:ascii="Arial" w:cs="Arial" w:eastAsia="Arial" w:hAnsi="Arial"/>
          <w:sz w:val="19"/>
          <w:szCs w:val="19"/>
          <w:b w:val="1"/>
          <w:bCs w:val="1"/>
          <w:color w:val="231F20"/>
        </w:rPr>
        <w:t>In February 2023, we announced the dosing of the first patient in the ASPEN-07 trial, a Phase 1 study evaluating evorpacept in combination with an ADC, enfortumab vedotin-ejfv (EV), for the second-line treatment of locally advanced or metastatic UC.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-379730</wp:posOffset>
            </wp:positionV>
            <wp:extent cx="81915" cy="850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41" w:lineRule="exact"/>
        <w:rPr>
          <w:sz w:val="20"/>
          <w:szCs w:val="20"/>
          <w:color w:val="auto"/>
        </w:rPr>
      </w:pPr>
    </w:p>
    <w:p>
      <w:pPr>
        <w:ind w:left="1040"/>
        <w:spacing w:after="0" w:line="222" w:lineRule="exact"/>
        <w:rPr>
          <w:sz w:val="20"/>
          <w:szCs w:val="20"/>
          <w:color w:val="auto"/>
        </w:rPr>
      </w:pPr>
      <w:r>
        <w:rPr>
          <w:rFonts w:ascii="Arial" w:cs="Arial" w:eastAsia="Arial" w:hAnsi="Arial"/>
          <w:sz w:val="16"/>
          <w:szCs w:val="16"/>
          <w:b w:val="1"/>
          <w:bCs w:val="1"/>
          <w:color w:val="231F20"/>
        </w:rPr>
        <w:t>In June 2024, interim Phase 1 data were presented in a poster presentation at the 2024 ASCO Annual Meeting. The ASCO poster presentation data-cut reported an unconfirmed ORR of 59% (n=22) with evorpacept plus EV (EV single agent ORR benchmark is 41%). Following the April data cut-off, four additional response evaluable patients yielded an unconfirmed ORR of 61% (n=26) including two confirmed complete responses and six confirmed partial responses. These findings represent the first evorpacept combination data with an ADC from ASPEN-07</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ongoing, open-label, single-arm, clinical trial of evorpacept in combination with EV in patients with locally advanced or metastatic urothelial cancer. Continued follow-up for patients who are EV-naïve on ASPEN-07 is ongoing and, enrollment of a new cohort of patients who have received prior EV has begun.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-1085215</wp:posOffset>
            </wp:positionV>
            <wp:extent cx="81915" cy="850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Combination with PD-1/PD-L1 immune checkpoint inhibitor</w:t>
      </w:r>
    </w:p>
    <w:p>
      <w:pPr>
        <w:spacing w:after="0" w:line="122"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ASPEN-03 - Head and Neck Squamous Cell Carcinoma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62230" cy="635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43" w:lineRule="exact"/>
        <w:rPr>
          <w:sz w:val="20"/>
          <w:szCs w:val="20"/>
          <w:color w:val="auto"/>
        </w:rPr>
      </w:pPr>
    </w:p>
    <w:p>
      <w:pPr>
        <w:ind w:left="1040" w:right="180"/>
        <w:spacing w:after="0" w:line="325" w:lineRule="auto"/>
        <w:rPr>
          <w:sz w:val="20"/>
          <w:szCs w:val="20"/>
          <w:color w:val="auto"/>
        </w:rPr>
      </w:pPr>
      <w:r>
        <w:rPr>
          <w:rFonts w:ascii="Arial" w:cs="Arial" w:eastAsia="Arial" w:hAnsi="Arial"/>
          <w:sz w:val="16"/>
          <w:szCs w:val="16"/>
          <w:b w:val="1"/>
          <w:bCs w:val="1"/>
          <w:color w:val="231F20"/>
        </w:rPr>
        <w:t>In May 2021, we announced the dosing of the first patient in the ASPEN-03 trial, a randomized Phase 2 trial of evorpacept in combination with pembrolizumab for the treatment of first-line advanced PD-L1 positive HNSCC.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-276225</wp:posOffset>
            </wp:positionV>
            <wp:extent cx="81915" cy="850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ind w:left="1040"/>
        <w:spacing w:after="0" w:line="329" w:lineRule="auto"/>
        <w:rPr>
          <w:sz w:val="20"/>
          <w:szCs w:val="20"/>
          <w:color w:val="auto"/>
        </w:rPr>
      </w:pPr>
      <w:r>
        <w:rPr>
          <w:rFonts w:ascii="Arial" w:cs="Arial" w:eastAsia="Arial" w:hAnsi="Arial"/>
          <w:sz w:val="16"/>
          <w:szCs w:val="16"/>
          <w:b w:val="1"/>
          <w:bCs w:val="1"/>
          <w:color w:val="231F20"/>
        </w:rPr>
        <w:t>In July 2022, the FDA granted Fast Track designation for evorpacept in combination with pembrolizumab for first-line treatment of adult patients with metastatic or unresectable, recurrent HNSCC whose tumors express PD-L1.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-280670</wp:posOffset>
            </wp:positionV>
            <wp:extent cx="81915" cy="850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32"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ASPEN-04 - Head and Neck Squamous Cell Carcinoma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62230" cy="635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43" w:lineRule="exact"/>
        <w:rPr>
          <w:sz w:val="20"/>
          <w:szCs w:val="20"/>
          <w:color w:val="auto"/>
        </w:rPr>
      </w:pPr>
    </w:p>
    <w:p>
      <w:pPr>
        <w:jc w:val="both"/>
        <w:ind w:left="1040" w:right="280"/>
        <w:spacing w:after="0" w:line="242" w:lineRule="auto"/>
        <w:rPr>
          <w:sz w:val="20"/>
          <w:szCs w:val="20"/>
          <w:color w:val="auto"/>
        </w:rPr>
      </w:pPr>
      <w:r>
        <w:rPr>
          <w:rFonts w:ascii="Arial" w:cs="Arial" w:eastAsia="Arial" w:hAnsi="Arial"/>
          <w:sz w:val="19"/>
          <w:szCs w:val="19"/>
          <w:b w:val="1"/>
          <w:bCs w:val="1"/>
          <w:color w:val="231F20"/>
        </w:rPr>
        <w:t>In February 2020, the FDA granted Fast Track designation for evorpacept in combination with pembrolizumab, platinum, and fluorouracil for the first-line treatment of adult patients with metastatic or unresectable, recurrent HNSCC.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-379730</wp:posOffset>
            </wp:positionV>
            <wp:extent cx="81915" cy="850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41" w:lineRule="exact"/>
        <w:rPr>
          <w:sz w:val="20"/>
          <w:szCs w:val="20"/>
          <w:color w:val="auto"/>
        </w:rPr>
      </w:pPr>
    </w:p>
    <w:p>
      <w:pPr>
        <w:ind w:left="1040" w:right="20"/>
        <w:spacing w:after="0" w:line="242" w:lineRule="auto"/>
        <w:rPr>
          <w:sz w:val="20"/>
          <w:szCs w:val="20"/>
          <w:color w:val="auto"/>
        </w:rPr>
      </w:pPr>
      <w:r>
        <w:rPr>
          <w:rFonts w:ascii="Arial" w:cs="Arial" w:eastAsia="Arial" w:hAnsi="Arial"/>
          <w:sz w:val="19"/>
          <w:szCs w:val="19"/>
          <w:b w:val="1"/>
          <w:bCs w:val="1"/>
          <w:color w:val="231F20"/>
        </w:rPr>
        <w:t>In July 2021, we announced the dosing of the first patient in the ASPEN-04 trial, a randomized Phase 2 trial of evorpacept in combination with pembrolizumab, platinum, and fluorouracil for the treatment of first-line advanced HNSCC.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-379730</wp:posOffset>
            </wp:positionV>
            <wp:extent cx="81915" cy="850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ectPr>
          <w:pgSz w:w="12240" w:h="15840" w:orient="portrait"/>
          <w:cols w:equalWidth="0" w:num="1">
            <w:col w:w="9980"/>
          </w:cols>
          <w:pgMar w:left="1360" w:top="1180" w:right="90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60"/>
        <w:spacing w:after="0"/>
        <w:rPr>
          <w:sz w:val="20"/>
          <w:szCs w:val="20"/>
          <w:color w:val="auto"/>
        </w:rPr>
      </w:pPr>
      <w:r>
        <w:rPr>
          <w:rFonts w:ascii="Arial" w:cs="Arial" w:eastAsia="Arial" w:hAnsi="Arial"/>
          <w:sz w:val="17"/>
          <w:szCs w:val="17"/>
          <w:b w:val="1"/>
          <w:bCs w:val="1"/>
          <w:color w:val="231F20"/>
        </w:rPr>
        <w:t>81</w:t>
      </w:r>
    </w:p>
    <w:p>
      <w:pPr>
        <w:sectPr>
          <w:pgSz w:w="12240" w:h="15840" w:orient="portrait"/>
          <w:cols w:equalWidth="0" w:num="1">
            <w:col w:w="9980"/>
          </w:cols>
          <w:pgMar w:left="1360" w:top="1180" w:right="900" w:bottom="390" w:gutter="0" w:footer="0" w:header="0"/>
          <w:type w:val="continuous"/>
        </w:sectPr>
      </w:pPr>
    </w:p>
    <w:bookmarkStart w:id="89" w:name="page90"/>
    <w:bookmarkEnd w:id="89"/>
    <w:p>
      <w:pPr>
        <w:spacing w:after="0"/>
        <w:rPr>
          <w:sz w:val="20"/>
          <w:szCs w:val="20"/>
          <w:color w:val="auto"/>
        </w:rPr>
      </w:pPr>
      <w:r>
        <w:rPr>
          <w:rFonts w:ascii="Arial" w:cs="Arial" w:eastAsia="Arial" w:hAnsi="Arial"/>
          <w:sz w:val="19"/>
          <w:szCs w:val="19"/>
          <w:b w:val="1"/>
          <w:bCs w:val="1"/>
          <w:color w:val="231F20"/>
        </w:rPr>
        <w:t>Collaborations and Investigator-Sponsored Trials (ISTs)</w:t>
      </w:r>
    </w:p>
    <w:p>
      <w:pPr>
        <w:spacing w:after="0" w:line="122"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Combination with anti-cancer antibody or ADC</w:t>
      </w:r>
    </w:p>
    <w:p>
      <w:pPr>
        <w:spacing w:after="0" w:line="120"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Jazz Pharmaceuticals plc - Breast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43" w:lineRule="exact"/>
        <w:rPr>
          <w:sz w:val="20"/>
          <w:szCs w:val="20"/>
          <w:color w:val="auto"/>
        </w:rPr>
      </w:pPr>
    </w:p>
    <w:p>
      <w:pPr>
        <w:ind w:left="1520" w:right="40"/>
        <w:spacing w:after="0" w:line="243" w:lineRule="auto"/>
        <w:rPr>
          <w:sz w:val="20"/>
          <w:szCs w:val="20"/>
          <w:color w:val="auto"/>
        </w:rPr>
      </w:pPr>
      <w:r>
        <w:rPr>
          <w:rFonts w:ascii="Arial" w:cs="Arial" w:eastAsia="Arial" w:hAnsi="Arial"/>
          <w:sz w:val="19"/>
          <w:szCs w:val="19"/>
          <w:b w:val="1"/>
          <w:bCs w:val="1"/>
          <w:color w:val="231F20"/>
        </w:rPr>
        <w:t>Our collaborator, Jazz Pharmaceuticals plc (Jazz), is sponsoring and managing an ongoing Phase 1 trial of zanidatamab, a HER2-targeted anti-cancer antibody, for the treatment of advanced HER2-expressing breast cancer and other solid tumors in combination with evorpacept (Zanidatamab Trial). We announced the dosing of the first patient in this trial in October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-521970</wp:posOffset>
            </wp:positionV>
            <wp:extent cx="81915" cy="850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41" w:lineRule="exact"/>
        <w:rPr>
          <w:sz w:val="20"/>
          <w:szCs w:val="20"/>
          <w:color w:val="auto"/>
        </w:rPr>
      </w:pPr>
    </w:p>
    <w:p>
      <w:pPr>
        <w:ind w:left="1520" w:right="60"/>
        <w:spacing w:after="0" w:line="243" w:lineRule="auto"/>
        <w:rPr>
          <w:sz w:val="20"/>
          <w:szCs w:val="20"/>
          <w:color w:val="auto"/>
        </w:rPr>
      </w:pPr>
      <w:r>
        <w:rPr>
          <w:rFonts w:ascii="Arial" w:cs="Arial" w:eastAsia="Arial" w:hAnsi="Arial"/>
          <w:sz w:val="19"/>
          <w:szCs w:val="19"/>
          <w:b w:val="1"/>
          <w:bCs w:val="1"/>
          <w:color w:val="231F20"/>
        </w:rPr>
        <w:t>Our initial collaborator for the Zanidatamab Trial was Zymeworks Inc. (Zymeworks), however in a series of transactions commencing in October 2022, Jazz assumed responsibility from Zymeworks for the development and commercialization of zanidatamab in the United States, Europe, Japan and certain other territories, including responsibility for the Zanidatamab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-521970</wp:posOffset>
            </wp:positionV>
            <wp:extent cx="81915" cy="850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41" w:lineRule="exact"/>
        <w:rPr>
          <w:sz w:val="20"/>
          <w:szCs w:val="20"/>
          <w:color w:val="auto"/>
        </w:rPr>
      </w:pPr>
    </w:p>
    <w:p>
      <w:pPr>
        <w:ind w:left="1520"/>
        <w:spacing w:after="0" w:line="275" w:lineRule="auto"/>
        <w:rPr>
          <w:sz w:val="20"/>
          <w:szCs w:val="20"/>
          <w:color w:val="auto"/>
        </w:rPr>
      </w:pPr>
      <w:r>
        <w:rPr>
          <w:rFonts w:ascii="Arial" w:cs="Arial" w:eastAsia="Arial" w:hAnsi="Arial"/>
          <w:sz w:val="17"/>
          <w:szCs w:val="17"/>
          <w:b w:val="1"/>
          <w:bCs w:val="1"/>
          <w:color w:val="231F20"/>
        </w:rPr>
        <w:t>In December 2024, Phase 1b/2 data were presented in a poster presentation at the 2024 San Antonio Breast Cancer Symposium (SABCS). The SABCS poster presentation data-cut reported on efficacy findings from all three of the part-two trial cohorts: Cohort 1 (n=21) consisted of patients with HER2-positive breast cancer who had received prior ENHERTU and also a median of six prior systemic therapies in the metastatic setting. Patients were enrolled based on local assessment of tumor samples or central assessment. Of the 21 patients enrolled in Cohort 1, nine were found to be HER2-positive based on central assessment. Cohort 2 (n=15) consisted of patients with HER2-low breast cancer who had received a median of five prior systemic therapies. Cohort 3 (n=8) consisted of patients with other HER2-expressing cancers. Patients in Cohort 1 who were HER2-positive by central assessment (n=9) showed the greatest anti-tumor activity with a confirmed ORR of 55.6% and a median progression free survival (mPFS) of 7.4 months. Overall, patients in Cohort 1 (n=21) had a confirmed ORR and mPFS of 33.3% and 3.6 months, respectively. Patients in Cohort 2 had a confirmed ORR and mPFS of 20.0% and 1.9 months, respectively. As of the August 2024 data cutoff, median follow-up was 9.6 months, with six patients still on treatment. The median duration of response was not reached for Cohort 1 patients (range: 3.6-25.9 months) and was 5.5 months for Cohort 2 patients (range: 3.6-11.0 months), with responses ongoing, including the longest observed response, in each cohort.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-2093595</wp:posOffset>
            </wp:positionV>
            <wp:extent cx="81915" cy="850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78"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Quantum Leap Healthcare Collaborative - I-SPY Trial - Breast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40" w:lineRule="exact"/>
        <w:rPr>
          <w:sz w:val="20"/>
          <w:szCs w:val="20"/>
          <w:color w:val="auto"/>
        </w:rPr>
      </w:pPr>
    </w:p>
    <w:p>
      <w:pPr>
        <w:ind w:left="1520"/>
        <w:spacing w:after="0" w:line="243" w:lineRule="auto"/>
        <w:rPr>
          <w:sz w:val="20"/>
          <w:szCs w:val="20"/>
          <w:color w:val="auto"/>
        </w:rPr>
      </w:pPr>
      <w:r>
        <w:rPr>
          <w:rFonts w:ascii="Arial" w:cs="Arial" w:eastAsia="Arial" w:hAnsi="Arial"/>
          <w:sz w:val="19"/>
          <w:szCs w:val="19"/>
          <w:b w:val="1"/>
          <w:bCs w:val="1"/>
          <w:color w:val="231F20"/>
        </w:rPr>
        <w:t>Our collaborator, Quantum Leap Healthcare Collaborative (Quantum Leap), is sponsoring and managing an ongoing Phase 1 trial (I-SPY) to evaluate evorpacept in combination with fam-trastuzumab deruxtecan-nxki for the treatment of patients with unresectable or metastatic HER2-positive and HER2-low breast cancer. We announced the dosing of the first patient in March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-521970</wp:posOffset>
            </wp:positionV>
            <wp:extent cx="81915" cy="850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100"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MD Anderson Cancer Center - Non-Hodgkin Lymphoma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43" w:lineRule="exact"/>
        <w:rPr>
          <w:sz w:val="20"/>
          <w:szCs w:val="20"/>
          <w:color w:val="auto"/>
        </w:rPr>
      </w:pPr>
    </w:p>
    <w:p>
      <w:pPr>
        <w:ind w:left="1520" w:right="60"/>
        <w:spacing w:after="0" w:line="218" w:lineRule="auto"/>
        <w:rPr>
          <w:sz w:val="20"/>
          <w:szCs w:val="20"/>
          <w:color w:val="auto"/>
        </w:rPr>
      </w:pPr>
      <w:r>
        <w:rPr>
          <w:rFonts w:ascii="Arial" w:cs="Arial" w:eastAsia="Arial" w:hAnsi="Arial"/>
          <w:sz w:val="19"/>
          <w:szCs w:val="19"/>
          <w:b w:val="1"/>
          <w:bCs w:val="1"/>
          <w:color w:val="231F20"/>
        </w:rPr>
        <w:t>In 2021, an IST of evorpacept was initiated in combination with rituximab and lenalidomide (R</w:t>
      </w:r>
      <w:r>
        <w:rPr>
          <w:rFonts w:ascii="Arial" w:cs="Arial" w:eastAsia="Arial" w:hAnsi="Arial"/>
          <w:sz w:val="25"/>
          <w:szCs w:val="25"/>
          <w:b w:val="1"/>
          <w:bCs w:val="1"/>
          <w:color w:val="231F20"/>
          <w:vertAlign w:val="superscript"/>
        </w:rPr>
        <w:t>2</w:t>
      </w:r>
      <w:r>
        <w:rPr>
          <w:rFonts w:ascii="Arial" w:cs="Arial" w:eastAsia="Arial" w:hAnsi="Arial"/>
          <w:sz w:val="19"/>
          <w:szCs w:val="19"/>
          <w:b w:val="1"/>
          <w:bCs w:val="1"/>
          <w:color w:val="231F20"/>
        </w:rPr>
        <w:t>) for the treatment of patients with indolent and aggressive NHL, sponsored by MD Anderson Cancer Center in Texas. We announced the dosing of the first patient in September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-377825</wp:posOffset>
            </wp:positionV>
            <wp:extent cx="81915" cy="850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45" w:lineRule="exact"/>
        <w:rPr>
          <w:sz w:val="20"/>
          <w:szCs w:val="20"/>
          <w:color w:val="auto"/>
        </w:rPr>
      </w:pPr>
    </w:p>
    <w:p>
      <w:pPr>
        <w:ind w:left="1520" w:right="140"/>
        <w:spacing w:after="0" w:line="276" w:lineRule="auto"/>
        <w:rPr>
          <w:sz w:val="20"/>
          <w:szCs w:val="20"/>
          <w:color w:val="auto"/>
        </w:rPr>
      </w:pPr>
      <w:r>
        <w:rPr>
          <w:rFonts w:ascii="Arial" w:cs="Arial" w:eastAsia="Arial" w:hAnsi="Arial"/>
          <w:sz w:val="17"/>
          <w:szCs w:val="17"/>
          <w:b w:val="1"/>
          <w:bCs w:val="1"/>
          <w:color w:val="231F20"/>
        </w:rPr>
        <w:t>In April 2024, MD Anderson Cancer Center reported clinical data from the ongoing Phase 1/2 IST of evorpacept in combination with R2 in patients with R/R B-NHL. The new data were presented in an oral presentation at the 2024 American Association for Cancer Research (AACR) Annual Meeting. The Phase 1 part of the clinical trial enrolled a total of 20 patients with indolent (n=18) and aggressive (n=2) R/R B-NHL where all patients had received prior rituximab and 72% had received prior chemoimmunotherapy. Patients received evorpacept 30 mg/kg every two weeks (Q2W) (n=3) or 60 mg/kg every four weeks (Q4W) (n=17) in combination with standard R2 treatment. The regimen was well tolerated, and there were no dose-limiting toxicities. Patients with indolent R/R B-NHL (n=18) had a best ORR of 94% and a complete response rate of 83%. The median duration of response was not reached. The Phase 2 portion of the clinical trial is actively accruing treatment naïve patients in the 1L setting.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-1387475</wp:posOffset>
            </wp:positionV>
            <wp:extent cx="81915" cy="850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74"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Sanofi - Multiple Myeloma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40" w:lineRule="exact"/>
        <w:rPr>
          <w:sz w:val="20"/>
          <w:szCs w:val="20"/>
          <w:color w:val="auto"/>
        </w:rPr>
      </w:pPr>
    </w:p>
    <w:p>
      <w:pPr>
        <w:ind w:left="1520" w:right="140"/>
        <w:spacing w:after="0" w:line="224" w:lineRule="auto"/>
        <w:rPr>
          <w:sz w:val="20"/>
          <w:szCs w:val="20"/>
          <w:color w:val="auto"/>
        </w:rPr>
      </w:pPr>
      <w:r>
        <w:rPr>
          <w:rFonts w:ascii="Arial" w:cs="Arial" w:eastAsia="Arial" w:hAnsi="Arial"/>
          <w:sz w:val="19"/>
          <w:szCs w:val="19"/>
          <w:b w:val="1"/>
          <w:bCs w:val="1"/>
          <w:color w:val="231F20"/>
        </w:rPr>
        <w:t>In April 2023, we announced a collaboration with Sanofi who will sponsor and manage a Phase 1/2 trial of SARCLISA</w:t>
      </w:r>
      <w:r>
        <w:rPr>
          <w:rFonts w:ascii="Arial" w:cs="Arial" w:eastAsia="Arial" w:hAnsi="Arial"/>
          <w:sz w:val="25"/>
          <w:szCs w:val="25"/>
          <w:b w:val="1"/>
          <w:bCs w:val="1"/>
          <w:color w:val="231F20"/>
          <w:vertAlign w:val="superscript"/>
        </w:rPr>
        <w:t>®</w:t>
      </w:r>
      <w:r>
        <w:rPr>
          <w:rFonts w:ascii="Arial" w:cs="Arial" w:eastAsia="Arial" w:hAnsi="Arial"/>
          <w:sz w:val="19"/>
          <w:szCs w:val="19"/>
          <w:b w:val="1"/>
          <w:bCs w:val="1"/>
          <w:color w:val="231F20"/>
        </w:rPr>
        <w:t xml:space="preserve"> (isatuximab), an anti-cancer antibody, and dexamethasone in combination with evorpacept for the treatment of patients with relapsed or refractory multiple myeloma. We announced the dosing of the first patients in September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-518795</wp:posOffset>
            </wp:positionV>
            <wp:extent cx="81915" cy="850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ectPr>
          <w:pgSz w:w="12240" w:h="15840" w:orient="portrait"/>
          <w:cols w:equalWidth="0" w:num="1">
            <w:col w:w="10460"/>
          </w:cols>
          <w:pgMar w:left="880" w:top="1160" w:right="90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231F20"/>
        </w:rPr>
        <w:t>82</w:t>
      </w:r>
    </w:p>
    <w:p>
      <w:pPr>
        <w:sectPr>
          <w:pgSz w:w="12240" w:h="15840" w:orient="portrait"/>
          <w:cols w:equalWidth="0" w:num="1">
            <w:col w:w="10460"/>
          </w:cols>
          <w:pgMar w:left="880" w:top="1160" w:right="900" w:bottom="390" w:gutter="0" w:footer="0" w:header="0"/>
          <w:type w:val="continuous"/>
        </w:sectPr>
      </w:pPr>
    </w:p>
    <w:bookmarkStart w:id="90" w:name="page91"/>
    <w:bookmarkEnd w:id="90"/>
    <w:p>
      <w:pPr>
        <w:ind w:left="480"/>
        <w:spacing w:after="0"/>
        <w:rPr>
          <w:sz w:val="20"/>
          <w:szCs w:val="20"/>
          <w:color w:val="auto"/>
        </w:rPr>
      </w:pPr>
      <w:r>
        <w:rPr>
          <w:rFonts w:ascii="Arial" w:cs="Arial" w:eastAsia="Arial" w:hAnsi="Arial"/>
          <w:sz w:val="19"/>
          <w:szCs w:val="19"/>
          <w:b w:val="1"/>
          <w:bCs w:val="1"/>
          <w:color w:val="231F20"/>
        </w:rPr>
        <w:t>Combination with PD-1/PD-L1 immune checkpoint inhibitor</w:t>
      </w:r>
    </w:p>
    <w:p>
      <w:pPr>
        <w:spacing w:after="0" w:line="122"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University of Pittsburgh - Ovarian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-102870</wp:posOffset>
            </wp:positionV>
            <wp:extent cx="62230" cy="635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43" w:lineRule="exact"/>
        <w:rPr>
          <w:sz w:val="20"/>
          <w:szCs w:val="20"/>
          <w:color w:val="auto"/>
        </w:rPr>
      </w:pPr>
    </w:p>
    <w:p>
      <w:pPr>
        <w:ind w:left="1520" w:right="20"/>
        <w:spacing w:after="0" w:line="262" w:lineRule="auto"/>
        <w:rPr>
          <w:sz w:val="20"/>
          <w:szCs w:val="20"/>
          <w:color w:val="auto"/>
        </w:rPr>
      </w:pPr>
      <w:r>
        <w:rPr>
          <w:rFonts w:ascii="Arial" w:cs="Arial" w:eastAsia="Arial" w:hAnsi="Arial"/>
          <w:sz w:val="18"/>
          <w:szCs w:val="18"/>
          <w:b w:val="1"/>
          <w:bCs w:val="1"/>
          <w:color w:val="231F20"/>
        </w:rPr>
        <w:t>In 2023, a Phase 2 IST of evorpacept was initiated in combination with liposomal doxorubicin and pembrolizumab in patients with recurrent platinum-resistant ovarian cancer, sponsored by the University of Pittsburgh in Pennsylvania. We announced the dosing of the first patient in May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-390525</wp:posOffset>
            </wp:positionV>
            <wp:extent cx="81915" cy="850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82"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University of California San Diego - Oropharyngeal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43" w:lineRule="exact"/>
        <w:rPr>
          <w:sz w:val="20"/>
          <w:szCs w:val="20"/>
          <w:color w:val="auto"/>
        </w:rPr>
      </w:pPr>
    </w:p>
    <w:p>
      <w:pPr>
        <w:ind w:left="1520" w:right="760"/>
        <w:spacing w:after="0" w:line="310" w:lineRule="auto"/>
        <w:rPr>
          <w:sz w:val="20"/>
          <w:szCs w:val="20"/>
          <w:color w:val="auto"/>
        </w:rPr>
      </w:pPr>
      <w:r>
        <w:rPr>
          <w:rFonts w:ascii="Arial" w:cs="Arial" w:eastAsia="Arial" w:hAnsi="Arial"/>
          <w:sz w:val="16"/>
          <w:szCs w:val="16"/>
          <w:b w:val="1"/>
          <w:bCs w:val="1"/>
          <w:color w:val="231F20"/>
        </w:rPr>
        <w:t>In April 2024, a Phase 2 IST of evorpacept was initiated in combination with neoadjuvant radiation and pembrolizumab in patients with previously untreated and early-stage locally advanced, resectable, human papillomavirus-mediated oropharyngeal cancer, sponsored by the University of California San Diego.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-412750</wp:posOffset>
            </wp:positionV>
            <wp:extent cx="81915" cy="850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Early Pipeline Programs</w:t>
      </w:r>
    </w:p>
    <w:p>
      <w:pPr>
        <w:spacing w:after="0" w:line="120"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Tallac Therapeutics - ALTA-002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43" w:lineRule="exact"/>
        <w:rPr>
          <w:sz w:val="20"/>
          <w:szCs w:val="20"/>
          <w:color w:val="auto"/>
        </w:rPr>
      </w:pPr>
    </w:p>
    <w:p>
      <w:pPr>
        <w:ind w:left="1520" w:right="240"/>
        <w:spacing w:after="0" w:line="221" w:lineRule="exact"/>
        <w:rPr>
          <w:sz w:val="20"/>
          <w:szCs w:val="20"/>
          <w:color w:val="auto"/>
        </w:rPr>
      </w:pPr>
      <w:r>
        <w:rPr>
          <w:rFonts w:ascii="Arial" w:cs="Arial" w:eastAsia="Arial" w:hAnsi="Arial"/>
          <w:sz w:val="19"/>
          <w:szCs w:val="19"/>
          <w:b w:val="1"/>
          <w:bCs w:val="1"/>
          <w:color w:val="231F20"/>
        </w:rPr>
        <w:t>Our second program, ALTA-002, is a collaboration between us and Tallac Therapeutics, Inc. (Tallac) that combines our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SIRP</w:t>
      </w:r>
      <w:r>
        <w:rPr>
          <w:sz w:val="1"/>
          <w:szCs w:val="1"/>
          <w:color w:val="auto"/>
        </w:rPr>
        <w:drawing>
          <wp:inline distT="0" distB="0" distL="0" distR="0">
            <wp:extent cx="83185" cy="83185"/>
            <wp:effectExtent l="0" t="0" r="0" b="0"/>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3185" cy="83185"/>
                    </a:xfrm>
                    <a:prstGeom prst="rect">
                      <a:avLst/>
                    </a:prstGeom>
                    <a:noFill/>
                    <a:ln>
                      <a:noFill/>
                    </a:ln>
                  </pic:spPr>
                </pic:pic>
              </a:graphicData>
            </a:graphic>
          </wp:inline>
        </w:drawing>
      </w:r>
      <w:r>
        <w:rPr>
          <w:rFonts w:ascii="Arial" w:cs="Arial" w:eastAsia="Arial" w:hAnsi="Arial"/>
          <w:sz w:val="19"/>
          <w:szCs w:val="19"/>
          <w:b w:val="1"/>
          <w:bCs w:val="1"/>
          <w:color w:val="231F20"/>
        </w:rPr>
        <w:t xml:space="preserve"> antibody with Tallac</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toll-like receptor 9 (TLR9) agonist, resulting in a potent immune activator targeted to myeloid cells in the tumor to promote innate and adaptive anti-cancer immune responses. This novel Toll-like receptor agonist antibody conjugation platform (TRAAC) enables systemic delivery of targeted TLR9 activation.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-661035</wp:posOffset>
            </wp:positionV>
            <wp:extent cx="81915" cy="850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45" w:lineRule="exact"/>
        <w:rPr>
          <w:sz w:val="20"/>
          <w:szCs w:val="20"/>
          <w:color w:val="auto"/>
        </w:rPr>
      </w:pPr>
    </w:p>
    <w:p>
      <w:pPr>
        <w:jc w:val="both"/>
        <w:ind w:left="1520" w:right="320"/>
        <w:spacing w:after="0" w:line="329" w:lineRule="auto"/>
        <w:rPr>
          <w:sz w:val="20"/>
          <w:szCs w:val="20"/>
          <w:color w:val="auto"/>
        </w:rPr>
      </w:pPr>
      <w:r>
        <w:rPr>
          <w:rFonts w:ascii="Arial" w:cs="Arial" w:eastAsia="Arial" w:hAnsi="Arial"/>
          <w:sz w:val="16"/>
          <w:szCs w:val="16"/>
          <w:b w:val="1"/>
          <w:bCs w:val="1"/>
          <w:color w:val="231F20"/>
        </w:rPr>
        <w:t>In February 2024, we filed an investigative new drug (IND) application for ALTA-002 and in March 2024, the FDA cleared the IND to evaluate ALTA-002 in a Phase 1 clinical trial for patients with advanced solid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-280035</wp:posOffset>
            </wp:positionV>
            <wp:extent cx="81915" cy="850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231F20"/>
        </w:rPr>
        <w:t>ADC Program - ALX2004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-101600</wp:posOffset>
            </wp:positionV>
            <wp:extent cx="62230" cy="635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2230" cy="63500"/>
                    </a:xfrm>
                    <a:prstGeom prst="rect">
                      <a:avLst/>
                    </a:prstGeom>
                    <a:noFill/>
                  </pic:spPr>
                </pic:pic>
              </a:graphicData>
            </a:graphic>
          </wp:anchor>
        </w:drawing>
      </w:r>
    </w:p>
    <w:p>
      <w:pPr>
        <w:spacing w:after="0" w:line="43" w:lineRule="exact"/>
        <w:rPr>
          <w:sz w:val="20"/>
          <w:szCs w:val="20"/>
          <w:color w:val="auto"/>
        </w:rPr>
      </w:pPr>
    </w:p>
    <w:p>
      <w:pPr>
        <w:ind w:left="1520" w:right="180"/>
        <w:spacing w:after="0" w:line="239" w:lineRule="auto"/>
        <w:rPr>
          <w:sz w:val="20"/>
          <w:szCs w:val="20"/>
          <w:color w:val="auto"/>
        </w:rPr>
      </w:pPr>
      <w:r>
        <w:rPr>
          <w:rFonts w:ascii="Arial" w:cs="Arial" w:eastAsia="Arial" w:hAnsi="Arial"/>
          <w:sz w:val="19"/>
          <w:szCs w:val="19"/>
          <w:b w:val="1"/>
          <w:bCs w:val="1"/>
          <w:color w:val="231F20"/>
        </w:rPr>
        <w:t>With our acquisition of ScalmiBio, Inc. (ScalmiBio) in October 2021, we developed ADC drug candidates based on our expertise in protein engineering and oncology.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-236220</wp:posOffset>
            </wp:positionV>
            <wp:extent cx="81915" cy="850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44" w:lineRule="exact"/>
        <w:rPr>
          <w:sz w:val="20"/>
          <w:szCs w:val="20"/>
          <w:color w:val="auto"/>
        </w:rPr>
      </w:pPr>
    </w:p>
    <w:p>
      <w:pPr>
        <w:ind w:left="1520" w:right="560"/>
        <w:spacing w:after="0" w:line="239" w:lineRule="auto"/>
        <w:rPr>
          <w:sz w:val="20"/>
          <w:szCs w:val="20"/>
          <w:color w:val="auto"/>
        </w:rPr>
      </w:pPr>
      <w:r>
        <w:rPr>
          <w:rFonts w:ascii="Arial" w:cs="Arial" w:eastAsia="Arial" w:hAnsi="Arial"/>
          <w:sz w:val="19"/>
          <w:szCs w:val="19"/>
          <w:b w:val="1"/>
          <w:bCs w:val="1"/>
          <w:color w:val="231F20"/>
        </w:rPr>
        <w:t>In January 2024, we declared a development candidate ALX2004 based on ScalmiBio acquired technology, triggering the first milestone payment to ScalmiBio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-236220</wp:posOffset>
            </wp:positionV>
            <wp:extent cx="81915" cy="850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39" w:lineRule="exact"/>
        <w:rPr>
          <w:sz w:val="20"/>
          <w:szCs w:val="20"/>
          <w:color w:val="auto"/>
        </w:rPr>
      </w:pPr>
    </w:p>
    <w:p>
      <w:pPr>
        <w:ind w:left="1520"/>
        <w:spacing w:after="0"/>
        <w:rPr>
          <w:sz w:val="20"/>
          <w:szCs w:val="20"/>
          <w:color w:val="auto"/>
        </w:rPr>
      </w:pPr>
      <w:r>
        <w:rPr>
          <w:rFonts w:ascii="Arial" w:cs="Arial" w:eastAsia="Arial" w:hAnsi="Arial"/>
          <w:sz w:val="19"/>
          <w:szCs w:val="19"/>
          <w:b w:val="1"/>
          <w:bCs w:val="1"/>
          <w:color w:val="231F20"/>
        </w:rPr>
        <w:t>We intend to file an IND for our first ADC program, ALX2004, in the first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-95250</wp:posOffset>
            </wp:positionV>
            <wp:extent cx="81915" cy="850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1915" cy="85090"/>
                    </a:xfrm>
                    <a:prstGeom prst="rect">
                      <a:avLst/>
                    </a:prstGeom>
                    <a:noFill/>
                  </pic:spPr>
                </pic:pic>
              </a:graphicData>
            </a:graphic>
          </wp:anchor>
        </w:drawing>
      </w:r>
    </w:p>
    <w:p>
      <w:pPr>
        <w:spacing w:after="0" w:line="105" w:lineRule="exact"/>
        <w:rPr>
          <w:sz w:val="20"/>
          <w:szCs w:val="20"/>
          <w:color w:val="auto"/>
        </w:rPr>
      </w:pPr>
    </w:p>
    <w:p>
      <w:pPr>
        <w:ind w:right="180" w:firstLine="475"/>
        <w:spacing w:after="0" w:line="310" w:lineRule="auto"/>
        <w:rPr>
          <w:sz w:val="20"/>
          <w:szCs w:val="20"/>
          <w:color w:val="auto"/>
        </w:rPr>
      </w:pPr>
      <w:r>
        <w:rPr>
          <w:rFonts w:ascii="Arial" w:cs="Arial" w:eastAsia="Arial" w:hAnsi="Arial"/>
          <w:sz w:val="16"/>
          <w:szCs w:val="16"/>
          <w:b w:val="1"/>
          <w:bCs w:val="1"/>
          <w:color w:val="231F20"/>
        </w:rPr>
        <w:t>Since our founding, we have devoted substantially all of our resources to developing evorpacept, identifying and advancing preclinical programs, scaling up manufacturing, conducting clinical trials and providing general and administrative support for these operations. We have no products approved for marketing and we have never received any revenue from drug product sales.</w:t>
      </w:r>
    </w:p>
    <w:p>
      <w:pPr>
        <w:spacing w:after="0" w:line="74" w:lineRule="exact"/>
        <w:rPr>
          <w:sz w:val="20"/>
          <w:szCs w:val="20"/>
          <w:color w:val="auto"/>
        </w:rPr>
      </w:pPr>
    </w:p>
    <w:p>
      <w:pPr>
        <w:ind w:firstLine="475"/>
        <w:spacing w:after="0" w:line="242" w:lineRule="auto"/>
        <w:rPr>
          <w:sz w:val="20"/>
          <w:szCs w:val="20"/>
          <w:color w:val="auto"/>
        </w:rPr>
      </w:pPr>
      <w:r>
        <w:rPr>
          <w:rFonts w:ascii="Arial" w:cs="Arial" w:eastAsia="Arial" w:hAnsi="Arial"/>
          <w:sz w:val="19"/>
          <w:szCs w:val="19"/>
          <w:b w:val="1"/>
          <w:bCs w:val="1"/>
          <w:color w:val="231F20"/>
        </w:rPr>
        <w:t>In July 2020, we completed our initial public offering, raising net proceeds of $169.5 million, after deducting underwriting discounts and commissions of $13.0 million and offering-related expenses of $3.2 million. In December 2020, we completed a follow-on offering, raising net proceeds of $194.9 million, after deducting underwriting discounts and commissions of $12.5 million and offering-related expenses of $0.7 million.</w:t>
      </w:r>
    </w:p>
    <w:p>
      <w:pPr>
        <w:spacing w:after="0" w:line="127" w:lineRule="exact"/>
        <w:rPr>
          <w:sz w:val="20"/>
          <w:szCs w:val="20"/>
          <w:color w:val="auto"/>
        </w:rPr>
      </w:pPr>
    </w:p>
    <w:p>
      <w:pPr>
        <w:ind w:right="20" w:firstLine="475"/>
        <w:spacing w:after="0" w:line="222" w:lineRule="exact"/>
        <w:rPr>
          <w:sz w:val="20"/>
          <w:szCs w:val="20"/>
          <w:color w:val="auto"/>
        </w:rPr>
      </w:pPr>
      <w:r>
        <w:rPr>
          <w:rFonts w:ascii="Arial" w:cs="Arial" w:eastAsia="Arial" w:hAnsi="Arial"/>
          <w:sz w:val="17"/>
          <w:szCs w:val="17"/>
          <w:b w:val="1"/>
          <w:bCs w:val="1"/>
          <w:color w:val="231F20"/>
        </w:rPr>
        <w:t>In March 2022, we filed a universal shelf registration statement (Shelf Registration Statement), which provides for aggregate offerings of up to $450.0 million of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securities. In May 2022, we filed an amendment to the Shelf Registration Statement, which was declared effective by the Securities and Exchange Commission (SEC) on May 31, 2022. We believe that our Shelf Registration Statement provides us with flexibility to raise additional capital to finance our operations as needed. In December 2021, we entered into a sales agreement (as amended, Sales Agreement) with Cantor Fitzgerald &amp; Co. and Credit Suisse Securities (USA) LLC (Credit Suisse), under which we may, subject to the effectiveness of the Shelf Registration Statement, offer and sell our common stock, having aggregate gross proceeds of up to $150.0 million, from time to time through them as our sales agents in an at-the-market (ATM) offering. In August 2023, we entered into an amendment to the Sales Agreement to include UBS Securities LLC as an additional sales agent and to remove Credit Suisse as a sales agent. As of December 31, 2024, we had issued approximately 2,199,542 shares of common stock pursuant to the Sales Agreement for net proceeds of $29.7 million. We may terminate this ATM program at any time, pursuant to its terms.</w:t>
      </w:r>
    </w:p>
    <w:p>
      <w:pPr>
        <w:spacing w:after="0" w:line="131" w:lineRule="exact"/>
        <w:rPr>
          <w:sz w:val="20"/>
          <w:szCs w:val="20"/>
          <w:color w:val="auto"/>
        </w:rPr>
      </w:pPr>
    </w:p>
    <w:p>
      <w:pPr>
        <w:ind w:right="60" w:firstLine="475"/>
        <w:spacing w:after="0" w:line="222" w:lineRule="exact"/>
        <w:rPr>
          <w:sz w:val="20"/>
          <w:szCs w:val="20"/>
          <w:color w:val="auto"/>
        </w:rPr>
      </w:pPr>
      <w:r>
        <w:rPr>
          <w:rFonts w:ascii="Arial" w:cs="Arial" w:eastAsia="Arial" w:hAnsi="Arial"/>
          <w:sz w:val="17"/>
          <w:szCs w:val="17"/>
          <w:b w:val="1"/>
          <w:bCs w:val="1"/>
          <w:color w:val="231F20"/>
        </w:rPr>
        <w:t>In October 2022, we entered into a loan and security agreement (Loan Agreement) with Oxford Finance LLC, Oxford Finance Credit Fund II LP, and Silicon Valley Bank (SVB) (collectively, the Lenders). Upon closing of the Loan Agreement, we drew $10.0 million. Under the original terms of the Loan Agreement, we had the right to draw an additional $40.0 million through the end of 2023. A further $50.0 million was potentially available to us, $25.0 million upon the achievement of pre-determined development milestones and $25.0 million at the Lenders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sole discretion. The Company received net proceeds of $9.3 million from the issuance of the term loan, after deducting debt issuance costs of approximately $0.7 million.</w:t>
      </w:r>
    </w:p>
    <w:p>
      <w:pPr>
        <w:sectPr>
          <w:pgSz w:w="12240" w:h="15840" w:orient="portrait"/>
          <w:cols w:equalWidth="0" w:num="1">
            <w:col w:w="10460"/>
          </w:cols>
          <w:pgMar w:left="880" w:top="1160" w:right="90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231F20"/>
        </w:rPr>
        <w:t>83</w:t>
      </w:r>
    </w:p>
    <w:p>
      <w:pPr>
        <w:sectPr>
          <w:pgSz w:w="12240" w:h="15840" w:orient="portrait"/>
          <w:cols w:equalWidth="0" w:num="1">
            <w:col w:w="10460"/>
          </w:cols>
          <w:pgMar w:left="880" w:top="1160" w:right="900" w:bottom="390" w:gutter="0" w:footer="0" w:header="0"/>
          <w:type w:val="continuous"/>
        </w:sectPr>
      </w:pPr>
    </w:p>
    <w:bookmarkStart w:id="91" w:name="page92"/>
    <w:bookmarkEnd w:id="91"/>
    <w:p>
      <w:pPr>
        <w:ind w:right="60" w:firstLine="475"/>
        <w:spacing w:after="0" w:line="222" w:lineRule="exact"/>
        <w:rPr>
          <w:sz w:val="20"/>
          <w:szCs w:val="20"/>
          <w:color w:val="auto"/>
        </w:rPr>
      </w:pPr>
      <w:r>
        <w:rPr>
          <w:rFonts w:ascii="Arial" w:cs="Arial" w:eastAsia="Arial" w:hAnsi="Arial"/>
          <w:sz w:val="18"/>
          <w:szCs w:val="18"/>
          <w:b w:val="1"/>
          <w:bCs w:val="1"/>
          <w:color w:val="231F20"/>
        </w:rPr>
        <w:t>In March 2023, SVB was closed by the California Department of Financial Protection and Innovation, which appointed the Federal Deposit Insurance Corporation (FDIC) to act as receiver. The FDIC created Silicon Valley Bridge Bank, N.A. (SVBB) as successor to SVB. First Citizens BancShares, Inc. (First Citizens Bank) acquired SVBB from the FDIC and operates SVBB as Silicon Valley Bank, a division of First Citizens Bank (SVB-First Citizens). Under the Loan Agreement, 50% of the funding comes from SVB, one of the three Lenders. Given the SVBB acquisition by First Citizens Bank, SVB-First Citizens will continue to fulfill SVB</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obligations under the Loan Agreement.</w:t>
      </w:r>
    </w:p>
    <w:p>
      <w:pPr>
        <w:spacing w:after="0" w:line="131" w:lineRule="exact"/>
        <w:rPr>
          <w:sz w:val="20"/>
          <w:szCs w:val="20"/>
          <w:color w:val="auto"/>
        </w:rPr>
      </w:pPr>
    </w:p>
    <w:p>
      <w:pPr>
        <w:ind w:right="60" w:firstLine="475"/>
        <w:spacing w:after="0" w:line="242" w:lineRule="auto"/>
        <w:rPr>
          <w:sz w:val="20"/>
          <w:szCs w:val="20"/>
          <w:color w:val="auto"/>
        </w:rPr>
      </w:pPr>
      <w:r>
        <w:rPr>
          <w:rFonts w:ascii="Arial" w:cs="Arial" w:eastAsia="Arial" w:hAnsi="Arial"/>
          <w:sz w:val="19"/>
          <w:szCs w:val="19"/>
          <w:b w:val="1"/>
          <w:bCs w:val="1"/>
          <w:color w:val="231F20"/>
        </w:rPr>
        <w:t>In May 2023, we entered into a second amendment to the Loan Agreement. The primary purpose of the second amendment was to reduce the percentage of the amount required to be held in our collateral account with SVB-First Citizens from 100% to not less than 50% of the aggregate dollar value of all our collateral accounts.</w:t>
      </w:r>
    </w:p>
    <w:p>
      <w:pPr>
        <w:spacing w:after="0" w:line="124" w:lineRule="exact"/>
        <w:rPr>
          <w:sz w:val="20"/>
          <w:szCs w:val="20"/>
          <w:color w:val="auto"/>
        </w:rPr>
      </w:pPr>
    </w:p>
    <w:p>
      <w:pPr>
        <w:ind w:firstLine="475"/>
        <w:spacing w:after="0" w:line="222" w:lineRule="exact"/>
        <w:rPr>
          <w:sz w:val="20"/>
          <w:szCs w:val="20"/>
          <w:color w:val="auto"/>
        </w:rPr>
      </w:pPr>
      <w:r>
        <w:rPr>
          <w:rFonts w:ascii="Arial" w:cs="Arial" w:eastAsia="Arial" w:hAnsi="Arial"/>
          <w:sz w:val="18"/>
          <w:szCs w:val="18"/>
          <w:b w:val="1"/>
          <w:bCs w:val="1"/>
          <w:color w:val="231F20"/>
        </w:rPr>
        <w:t>In October 2023, we completed an underwritten follow-on public offering pursuant to the Shelf Registration Statement (the October 2023 Offering). In the follow-on public offering, we issued and sold an aggregate of 8,663,793 shares of common stock, including the underwriters</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 exercise in full of their overallotment option of 1,293,103 shares of common stock, and, in lieu of common stock to certain investors, pre-funded warrants to purchase 1,250,000 shares of common stock at a public offering price of $6.38 per share and $6.379 per pre-funded warrant. Net proceeds were approximately $58.9 million, after deducting underwriting discounts and commissions of $3.8 million and offering-related expenses of $0.6 million. As of December 31, 2024, no shares underlying the pre-funded warrants had been exercised.</w:t>
      </w:r>
    </w:p>
    <w:p>
      <w:pPr>
        <w:spacing w:after="0" w:line="126" w:lineRule="exact"/>
        <w:rPr>
          <w:sz w:val="20"/>
          <w:szCs w:val="20"/>
          <w:color w:val="auto"/>
        </w:rPr>
      </w:pPr>
    </w:p>
    <w:p>
      <w:pPr>
        <w:ind w:right="20" w:firstLine="475"/>
        <w:spacing w:after="0" w:line="298" w:lineRule="auto"/>
        <w:rPr>
          <w:sz w:val="20"/>
          <w:szCs w:val="20"/>
          <w:color w:val="auto"/>
        </w:rPr>
      </w:pPr>
      <w:r>
        <w:rPr>
          <w:rFonts w:ascii="Arial" w:cs="Arial" w:eastAsia="Arial" w:hAnsi="Arial"/>
          <w:sz w:val="16"/>
          <w:szCs w:val="16"/>
          <w:b w:val="1"/>
          <w:bCs w:val="1"/>
          <w:color w:val="231F20"/>
        </w:rPr>
        <w:t>In December 2023, we entered into a third amendment to the Loan Agreement. The primary purpose of the third amendment was to (i) extend the draw period for the first tranche loans from December 31, 2023 to June 30, 2024, (ii) add as a condition for the funding of any first tranche loans after the effective date of the amendment, the requirement that the Phase 2 portion of the ASPEN-06 study in gastric/GEJ cancer either remains ongoing or the achievement of a milestone related to the development of the ASPEN-06 study, and (iii) add a contingency fee in the amount of $0.6 million to the Lenders if the Company prepays any of the loans under the Loan Agreement other than in connection with refinancing of the Loan Agreement with the Lenders and their affiliates.</w:t>
      </w:r>
    </w:p>
    <w:p>
      <w:pPr>
        <w:spacing w:after="0" w:line="84" w:lineRule="exact"/>
        <w:rPr>
          <w:sz w:val="20"/>
          <w:szCs w:val="20"/>
          <w:color w:val="auto"/>
        </w:rPr>
      </w:pPr>
    </w:p>
    <w:p>
      <w:pPr>
        <w:ind w:right="140" w:firstLine="475"/>
        <w:spacing w:after="0" w:line="222" w:lineRule="exact"/>
        <w:rPr>
          <w:sz w:val="20"/>
          <w:szCs w:val="20"/>
          <w:color w:val="auto"/>
        </w:rPr>
      </w:pPr>
      <w:r>
        <w:rPr>
          <w:rFonts w:ascii="Arial" w:cs="Arial" w:eastAsia="Arial" w:hAnsi="Arial"/>
          <w:sz w:val="17"/>
          <w:szCs w:val="17"/>
          <w:b w:val="1"/>
          <w:bCs w:val="1"/>
          <w:color w:val="231F20"/>
        </w:rPr>
        <w:t>We decided not to draw down on any portion of the $40.0 million available to us under the Loan Agreement by the deadline of June 30, 2024. As a result of this decision, the $40.0 million was added to the $25.0 million available upon the achievement of pre-determined development milestones for a total of $65.0 million available, split equally between each of the two tranches. We did not achieve all of the requirements needed to gain access to each of the two tranches available upon the achievement of pre-determined development milestones by the deadline of December 31, 2024. As a result, only the $25.0 million tranche available at the Lenders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sole discretion was available to us as of December 31, 2024.</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231F20"/>
        </w:rPr>
        <w:t>From inception through December 31, 2024, we have raised an aggregate of $643.2 million to fund our operations, of which</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$175.1 million were net proceeds from sales of our convertible preferred stock, $5.8 million were net proceeds from borrowings under</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a term loan, $169.5 million were net proceeds from our initial public offering, $194.9 million were net proceeds from our follow-on</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offering in December 2020, $9.3 million were net proceeds from borrowings under the Loan Agreement, $58.9 million were net</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proceeds from our follow-on offering in October 2023, and $29.7 million were net proceeds from our ATM offering.</w:t>
      </w:r>
    </w:p>
    <w:p>
      <w:pPr>
        <w:spacing w:after="0" w:line="128" w:lineRule="exact"/>
        <w:rPr>
          <w:sz w:val="20"/>
          <w:szCs w:val="20"/>
          <w:color w:val="auto"/>
        </w:rPr>
      </w:pPr>
    </w:p>
    <w:p>
      <w:pPr>
        <w:ind w:right="40" w:firstLine="475"/>
        <w:spacing w:after="0" w:line="303" w:lineRule="auto"/>
        <w:rPr>
          <w:sz w:val="20"/>
          <w:szCs w:val="20"/>
          <w:color w:val="auto"/>
        </w:rPr>
      </w:pPr>
      <w:r>
        <w:rPr>
          <w:rFonts w:ascii="Arial" w:cs="Arial" w:eastAsia="Arial" w:hAnsi="Arial"/>
          <w:sz w:val="16"/>
          <w:szCs w:val="16"/>
          <w:b w:val="1"/>
          <w:bCs w:val="1"/>
          <w:color w:val="231F20"/>
        </w:rPr>
        <w:t>We have incurred net losses in each year since inception. Our net losses were $134.9 million, $160.8 million and $123.5 million for the years ended December 31, 2024, 2023 and 2022, respectively. As of December 31, 2024, we had an accumulated deficit of $621.1 million. Substantially all of our operating losses are a result of expenses incurred in connection with our research and development programs, primarily evorpacept, and from general and administrative expenses associated with our operations.</w:t>
      </w:r>
    </w:p>
    <w:p>
      <w:pPr>
        <w:spacing w:after="0" w:line="79" w:lineRule="exact"/>
        <w:rPr>
          <w:sz w:val="20"/>
          <w:szCs w:val="20"/>
          <w:color w:val="auto"/>
        </w:rPr>
      </w:pPr>
    </w:p>
    <w:p>
      <w:pPr>
        <w:ind w:right="280" w:firstLine="475"/>
        <w:spacing w:after="0" w:line="239" w:lineRule="auto"/>
        <w:rPr>
          <w:sz w:val="20"/>
          <w:szCs w:val="20"/>
          <w:color w:val="auto"/>
        </w:rPr>
      </w:pPr>
      <w:r>
        <w:rPr>
          <w:rFonts w:ascii="Arial" w:cs="Arial" w:eastAsia="Arial" w:hAnsi="Arial"/>
          <w:sz w:val="19"/>
          <w:szCs w:val="19"/>
          <w:b w:val="1"/>
          <w:bCs w:val="1"/>
          <w:color w:val="231F20"/>
        </w:rPr>
        <w:t>We expect to continue to incur significant expenses and increasing operating losses for the foreseeable future. We expect our expenses will increase substantially in connection with our ongoing activities, as we:</w:t>
      </w:r>
    </w:p>
    <w:p>
      <w:pPr>
        <w:spacing w:after="0" w:line="124" w:lineRule="exact"/>
        <w:rPr>
          <w:sz w:val="20"/>
          <w:szCs w:val="20"/>
          <w:color w:val="auto"/>
        </w:rPr>
      </w:pPr>
    </w:p>
    <w:p>
      <w:pPr>
        <w:ind w:left="960" w:hanging="484"/>
        <w:spacing w:after="0"/>
        <w:tabs>
          <w:tab w:leader="none" w:pos="960" w:val="left"/>
        </w:tabs>
        <w:numPr>
          <w:ilvl w:val="0"/>
          <w:numId w:val="7"/>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advance evorpacept through multiple clinical trials in multiple indications;</w:t>
      </w:r>
    </w:p>
    <w:p>
      <w:pPr>
        <w:spacing w:after="0" w:line="124" w:lineRule="exact"/>
        <w:rPr>
          <w:rFonts w:ascii="PMingLiU" w:cs="PMingLiU" w:eastAsia="PMingLiU" w:hAnsi="PMingLiU"/>
          <w:sz w:val="19"/>
          <w:szCs w:val="19"/>
          <w:b w:val="1"/>
          <w:bCs w:val="1"/>
          <w:color w:val="231F20"/>
        </w:rPr>
      </w:pPr>
    </w:p>
    <w:p>
      <w:pPr>
        <w:ind w:left="960" w:hanging="484"/>
        <w:spacing w:after="0"/>
        <w:tabs>
          <w:tab w:leader="none" w:pos="960" w:val="left"/>
        </w:tabs>
        <w:numPr>
          <w:ilvl w:val="0"/>
          <w:numId w:val="7"/>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pursue regulatory approval of evorpacept in solid tumors and hematological malignancies;</w:t>
      </w:r>
    </w:p>
    <w:p>
      <w:pPr>
        <w:spacing w:after="0" w:line="139" w:lineRule="exact"/>
        <w:rPr>
          <w:rFonts w:ascii="PMingLiU" w:cs="PMingLiU" w:eastAsia="PMingLiU" w:hAnsi="PMingLiU"/>
          <w:sz w:val="19"/>
          <w:szCs w:val="19"/>
          <w:b w:val="1"/>
          <w:bCs w:val="1"/>
          <w:color w:val="231F20"/>
        </w:rPr>
      </w:pPr>
    </w:p>
    <w:p>
      <w:pPr>
        <w:ind w:left="960" w:right="120" w:hanging="484"/>
        <w:spacing w:after="0" w:line="233" w:lineRule="auto"/>
        <w:tabs>
          <w:tab w:leader="none" w:pos="960" w:val="left"/>
        </w:tabs>
        <w:numPr>
          <w:ilvl w:val="0"/>
          <w:numId w:val="7"/>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continue our discovery and preclinical and clinical development efforts, including our collaborations with Sanofi, Tallac, Jazz, and Quantum Leap and our acquisition of ScalmiBio;</w:t>
      </w:r>
    </w:p>
    <w:p>
      <w:pPr>
        <w:spacing w:after="0" w:line="140" w:lineRule="exact"/>
        <w:rPr>
          <w:rFonts w:ascii="PMingLiU" w:cs="PMingLiU" w:eastAsia="PMingLiU" w:hAnsi="PMingLiU"/>
          <w:sz w:val="19"/>
          <w:szCs w:val="19"/>
          <w:b w:val="1"/>
          <w:bCs w:val="1"/>
          <w:color w:val="231F20"/>
        </w:rPr>
      </w:pPr>
    </w:p>
    <w:p>
      <w:pPr>
        <w:ind w:left="960" w:right="580" w:hanging="484"/>
        <w:spacing w:after="0" w:line="233" w:lineRule="auto"/>
        <w:tabs>
          <w:tab w:leader="none" w:pos="960" w:val="left"/>
        </w:tabs>
        <w:numPr>
          <w:ilvl w:val="0"/>
          <w:numId w:val="7"/>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obtain and maintain patent, trade secret and other intellectual property protection and regulatory exclusivity for our product candidates;</w:t>
      </w:r>
    </w:p>
    <w:p>
      <w:pPr>
        <w:spacing w:after="0" w:line="123" w:lineRule="exact"/>
        <w:rPr>
          <w:rFonts w:ascii="PMingLiU" w:cs="PMingLiU" w:eastAsia="PMingLiU" w:hAnsi="PMingLiU"/>
          <w:sz w:val="19"/>
          <w:szCs w:val="19"/>
          <w:b w:val="1"/>
          <w:bCs w:val="1"/>
          <w:color w:val="231F20"/>
        </w:rPr>
      </w:pPr>
    </w:p>
    <w:p>
      <w:pPr>
        <w:ind w:left="960" w:hanging="484"/>
        <w:spacing w:after="0"/>
        <w:tabs>
          <w:tab w:leader="none" w:pos="960" w:val="left"/>
        </w:tabs>
        <w:numPr>
          <w:ilvl w:val="0"/>
          <w:numId w:val="7"/>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manufacture supplies for our preclinical studies and clinical trials; and</w:t>
      </w:r>
    </w:p>
    <w:p>
      <w:pPr>
        <w:spacing w:after="0" w:line="139" w:lineRule="exact"/>
        <w:rPr>
          <w:rFonts w:ascii="PMingLiU" w:cs="PMingLiU" w:eastAsia="PMingLiU" w:hAnsi="PMingLiU"/>
          <w:sz w:val="19"/>
          <w:szCs w:val="19"/>
          <w:b w:val="1"/>
          <w:bCs w:val="1"/>
          <w:color w:val="231F20"/>
        </w:rPr>
      </w:pPr>
    </w:p>
    <w:p>
      <w:pPr>
        <w:ind w:left="960" w:right="360" w:hanging="484"/>
        <w:spacing w:after="0" w:line="233" w:lineRule="auto"/>
        <w:tabs>
          <w:tab w:leader="none" w:pos="960" w:val="left"/>
        </w:tabs>
        <w:numPr>
          <w:ilvl w:val="0"/>
          <w:numId w:val="7"/>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continue to add operational, financial and management information systems to support ongoing operations as a public company.</w:t>
      </w:r>
    </w:p>
    <w:p>
      <w:pPr>
        <w:sectPr>
          <w:pgSz w:w="12240" w:h="15840" w:orient="portrait"/>
          <w:cols w:equalWidth="0" w:num="1">
            <w:col w:w="10460"/>
          </w:cols>
          <w:pgMar w:left="880" w:top="1165" w:right="90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231F20"/>
        </w:rPr>
        <w:t>84</w:t>
      </w:r>
    </w:p>
    <w:p>
      <w:pPr>
        <w:sectPr>
          <w:pgSz w:w="12240" w:h="15840" w:orient="portrait"/>
          <w:cols w:equalWidth="0" w:num="1">
            <w:col w:w="10460"/>
          </w:cols>
          <w:pgMar w:left="880" w:top="1165" w:right="900" w:bottom="390" w:gutter="0" w:footer="0" w:header="0"/>
          <w:type w:val="continuous"/>
        </w:sectPr>
      </w:pPr>
    </w:p>
    <w:bookmarkStart w:id="92" w:name="page93"/>
    <w:bookmarkEnd w:id="92"/>
    <w:p>
      <w:pPr>
        <w:spacing w:after="0"/>
        <w:rPr>
          <w:sz w:val="20"/>
          <w:szCs w:val="20"/>
          <w:color w:val="auto"/>
        </w:rPr>
      </w:pPr>
      <w:r>
        <w:rPr>
          <w:rFonts w:ascii="Arial" w:cs="Arial" w:eastAsia="Arial" w:hAnsi="Arial"/>
          <w:sz w:val="19"/>
          <w:szCs w:val="19"/>
          <w:b w:val="1"/>
          <w:bCs w:val="1"/>
          <w:color w:val="231F20"/>
        </w:rPr>
        <w:t>Components of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Operating Expenses</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Research and Development Expenses</w:t>
      </w:r>
    </w:p>
    <w:p>
      <w:pPr>
        <w:spacing w:after="0" w:line="123" w:lineRule="exact"/>
        <w:rPr>
          <w:sz w:val="20"/>
          <w:szCs w:val="20"/>
          <w:color w:val="auto"/>
        </w:rPr>
      </w:pPr>
    </w:p>
    <w:p>
      <w:pPr>
        <w:ind w:right="480" w:firstLine="475"/>
        <w:spacing w:after="0" w:line="239" w:lineRule="auto"/>
        <w:rPr>
          <w:sz w:val="20"/>
          <w:szCs w:val="20"/>
          <w:color w:val="auto"/>
        </w:rPr>
      </w:pPr>
      <w:r>
        <w:rPr>
          <w:rFonts w:ascii="Arial" w:cs="Arial" w:eastAsia="Arial" w:hAnsi="Arial"/>
          <w:sz w:val="19"/>
          <w:szCs w:val="19"/>
          <w:b w:val="1"/>
          <w:bCs w:val="1"/>
          <w:color w:val="231F20"/>
        </w:rPr>
        <w:t>Research and development expenses consist primarily of costs incurred for the development of our lead product candidate, evorpacept, which include:</w:t>
      </w:r>
    </w:p>
    <w:p>
      <w:pPr>
        <w:spacing w:after="0" w:line="141" w:lineRule="exact"/>
        <w:rPr>
          <w:sz w:val="20"/>
          <w:szCs w:val="20"/>
          <w:color w:val="auto"/>
        </w:rPr>
      </w:pPr>
    </w:p>
    <w:p>
      <w:pPr>
        <w:ind w:left="960" w:right="1020" w:hanging="484"/>
        <w:spacing w:after="0" w:line="282" w:lineRule="auto"/>
        <w:tabs>
          <w:tab w:leader="none" w:pos="960" w:val="left"/>
        </w:tabs>
        <w:numPr>
          <w:ilvl w:val="0"/>
          <w:numId w:val="8"/>
        </w:numPr>
        <w:rPr>
          <w:rFonts w:ascii="PMingLiU" w:cs="PMingLiU" w:eastAsia="PMingLiU" w:hAnsi="PMingLiU"/>
          <w:sz w:val="17"/>
          <w:szCs w:val="17"/>
          <w:b w:val="1"/>
          <w:bCs w:val="1"/>
          <w:color w:val="231F20"/>
        </w:rPr>
      </w:pPr>
      <w:r>
        <w:rPr>
          <w:rFonts w:ascii="Arial" w:cs="Arial" w:eastAsia="Arial" w:hAnsi="Arial"/>
          <w:sz w:val="17"/>
          <w:szCs w:val="17"/>
          <w:b w:val="1"/>
          <w:bCs w:val="1"/>
          <w:color w:val="231F20"/>
        </w:rPr>
        <w:t>expenses incurred in connection with preclinical and clinical development, including expenses incurred under collaboration agreements and under agreements with contract research organizations, or CROs;</w:t>
      </w:r>
    </w:p>
    <w:p>
      <w:pPr>
        <w:spacing w:after="0" w:line="104" w:lineRule="exact"/>
        <w:rPr>
          <w:rFonts w:ascii="PMingLiU" w:cs="PMingLiU" w:eastAsia="PMingLiU" w:hAnsi="PMingLiU"/>
          <w:sz w:val="17"/>
          <w:szCs w:val="17"/>
          <w:b w:val="1"/>
          <w:bCs w:val="1"/>
          <w:color w:val="231F20"/>
        </w:rPr>
      </w:pPr>
    </w:p>
    <w:p>
      <w:pPr>
        <w:ind w:left="960" w:right="700" w:hanging="484"/>
        <w:spacing w:after="0" w:line="233" w:lineRule="auto"/>
        <w:tabs>
          <w:tab w:leader="none" w:pos="960" w:val="left"/>
        </w:tabs>
        <w:numPr>
          <w:ilvl w:val="0"/>
          <w:numId w:val="8"/>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employee-related expenses, including salaries, related benefits, travel and stock-based compensation expenses for employees engaged in research and development functions;</w:t>
      </w:r>
    </w:p>
    <w:p>
      <w:pPr>
        <w:spacing w:after="0" w:line="142" w:lineRule="exact"/>
        <w:rPr>
          <w:rFonts w:ascii="PMingLiU" w:cs="PMingLiU" w:eastAsia="PMingLiU" w:hAnsi="PMingLiU"/>
          <w:sz w:val="19"/>
          <w:szCs w:val="19"/>
          <w:b w:val="1"/>
          <w:bCs w:val="1"/>
          <w:color w:val="231F20"/>
        </w:rPr>
      </w:pPr>
    </w:p>
    <w:p>
      <w:pPr>
        <w:ind w:left="960" w:right="600" w:hanging="484"/>
        <w:spacing w:after="0" w:line="233" w:lineRule="auto"/>
        <w:tabs>
          <w:tab w:leader="none" w:pos="960" w:val="left"/>
        </w:tabs>
        <w:numPr>
          <w:ilvl w:val="0"/>
          <w:numId w:val="8"/>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expenses related to production of clinical materials, including fees paid to contract manufacturing organizations, or CMOs;</w:t>
      </w:r>
    </w:p>
    <w:p>
      <w:pPr>
        <w:spacing w:after="0" w:line="140" w:lineRule="exact"/>
        <w:rPr>
          <w:rFonts w:ascii="PMingLiU" w:cs="PMingLiU" w:eastAsia="PMingLiU" w:hAnsi="PMingLiU"/>
          <w:sz w:val="19"/>
          <w:szCs w:val="19"/>
          <w:b w:val="1"/>
          <w:bCs w:val="1"/>
          <w:color w:val="231F20"/>
        </w:rPr>
      </w:pPr>
    </w:p>
    <w:p>
      <w:pPr>
        <w:ind w:left="960" w:hanging="484"/>
        <w:spacing w:after="0"/>
        <w:tabs>
          <w:tab w:leader="none" w:pos="960" w:val="left"/>
        </w:tabs>
        <w:numPr>
          <w:ilvl w:val="0"/>
          <w:numId w:val="8"/>
        </w:numPr>
        <w:rPr>
          <w:rFonts w:ascii="PMingLiU" w:cs="PMingLiU" w:eastAsia="PMingLiU" w:hAnsi="PMingLiU"/>
          <w:sz w:val="17"/>
          <w:szCs w:val="17"/>
          <w:b w:val="1"/>
          <w:bCs w:val="1"/>
          <w:color w:val="231F20"/>
        </w:rPr>
      </w:pPr>
      <w:r>
        <w:rPr>
          <w:rFonts w:ascii="Arial" w:cs="Arial" w:eastAsia="Arial" w:hAnsi="Arial"/>
          <w:sz w:val="17"/>
          <w:szCs w:val="17"/>
          <w:b w:val="1"/>
          <w:bCs w:val="1"/>
          <w:color w:val="231F20"/>
        </w:rPr>
        <w:t>laboratory, vendor expenses and third-party drugs related to the execution of preclinical studies and clinical trials;</w:t>
      </w:r>
    </w:p>
    <w:p>
      <w:pPr>
        <w:spacing w:after="0" w:line="146" w:lineRule="exact"/>
        <w:rPr>
          <w:rFonts w:ascii="PMingLiU" w:cs="PMingLiU" w:eastAsia="PMingLiU" w:hAnsi="PMingLiU"/>
          <w:sz w:val="17"/>
          <w:szCs w:val="17"/>
          <w:b w:val="1"/>
          <w:bCs w:val="1"/>
          <w:color w:val="231F20"/>
        </w:rPr>
      </w:pPr>
    </w:p>
    <w:p>
      <w:pPr>
        <w:ind w:left="960" w:right="80" w:hanging="484"/>
        <w:spacing w:after="0" w:line="233" w:lineRule="auto"/>
        <w:tabs>
          <w:tab w:leader="none" w:pos="960" w:val="left"/>
        </w:tabs>
        <w:numPr>
          <w:ilvl w:val="0"/>
          <w:numId w:val="8"/>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facilities and other expenses, which include expenses for rent and maintenance of facilities, depreciation and amortization expense and other supplies; and</w:t>
      </w:r>
    </w:p>
    <w:p>
      <w:pPr>
        <w:spacing w:after="0" w:line="123" w:lineRule="exact"/>
        <w:rPr>
          <w:rFonts w:ascii="PMingLiU" w:cs="PMingLiU" w:eastAsia="PMingLiU" w:hAnsi="PMingLiU"/>
          <w:sz w:val="19"/>
          <w:szCs w:val="19"/>
          <w:b w:val="1"/>
          <w:bCs w:val="1"/>
          <w:color w:val="231F20"/>
        </w:rPr>
      </w:pPr>
    </w:p>
    <w:p>
      <w:pPr>
        <w:ind w:left="960" w:hanging="477"/>
        <w:spacing w:after="0"/>
        <w:tabs>
          <w:tab w:leader="none" w:pos="960" w:val="left"/>
        </w:tabs>
        <w:numPr>
          <w:ilvl w:val="0"/>
          <w:numId w:val="8"/>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milestone payments related to our ScalmiBio acquisition.</w:t>
      </w:r>
    </w:p>
    <w:p>
      <w:pPr>
        <w:spacing w:after="0" w:line="128" w:lineRule="exact"/>
        <w:rPr>
          <w:sz w:val="20"/>
          <w:szCs w:val="20"/>
          <w:color w:val="auto"/>
        </w:rPr>
      </w:pPr>
    </w:p>
    <w:p>
      <w:pPr>
        <w:ind w:right="100" w:firstLine="475"/>
        <w:spacing w:after="0" w:line="278" w:lineRule="auto"/>
        <w:rPr>
          <w:sz w:val="20"/>
          <w:szCs w:val="20"/>
          <w:color w:val="auto"/>
        </w:rPr>
      </w:pPr>
      <w:r>
        <w:rPr>
          <w:rFonts w:ascii="Arial" w:cs="Arial" w:eastAsia="Arial" w:hAnsi="Arial"/>
          <w:sz w:val="17"/>
          <w:szCs w:val="17"/>
          <w:b w:val="1"/>
          <w:bCs w:val="1"/>
          <w:color w:val="231F20"/>
        </w:rPr>
        <w:t>We expense research and development costs as incurred. Nonrefundable advance payments for goods or services to be received in future periods for use in research and development activities are deferred and capitalized. The capitalized amounts are then expensed as the related goods are delivered or as services are performed. We record accruals for estimated costs of research, preclinical studies, clinical trials and manufacturing development, which are a significant component of research and development expenses. We determine the estimated costs through discussions with internal personnel and external service providers as to the progress or stage of completion of the services and the agreed-upon fees to be paid for such services.</w:t>
      </w:r>
    </w:p>
    <w:p>
      <w:pPr>
        <w:spacing w:after="0" w:line="96" w:lineRule="exact"/>
        <w:rPr>
          <w:sz w:val="20"/>
          <w:szCs w:val="20"/>
          <w:color w:val="auto"/>
        </w:rPr>
      </w:pPr>
    </w:p>
    <w:p>
      <w:pPr>
        <w:ind w:right="440" w:firstLine="475"/>
        <w:spacing w:after="0" w:line="284" w:lineRule="auto"/>
        <w:rPr>
          <w:sz w:val="20"/>
          <w:szCs w:val="20"/>
          <w:color w:val="auto"/>
        </w:rPr>
      </w:pPr>
      <w:r>
        <w:rPr>
          <w:rFonts w:ascii="Arial" w:cs="Arial" w:eastAsia="Arial" w:hAnsi="Arial"/>
          <w:sz w:val="17"/>
          <w:szCs w:val="17"/>
          <w:b w:val="1"/>
          <w:bCs w:val="1"/>
          <w:color w:val="231F20"/>
        </w:rPr>
        <w:t>Our research and development expenses consist primarily of costs associated with the development of our lead product candidate, evorpacept, and include external costs, such as fees paid to consultants, central laboratories, contractors, collaborators, CMOs and CROs in connection with our preclinical and clinical development activities.</w:t>
      </w:r>
    </w:p>
    <w:p>
      <w:pPr>
        <w:spacing w:after="0" w:line="91" w:lineRule="exact"/>
        <w:rPr>
          <w:sz w:val="20"/>
          <w:szCs w:val="20"/>
          <w:color w:val="auto"/>
        </w:rPr>
      </w:pPr>
    </w:p>
    <w:p>
      <w:pPr>
        <w:ind w:firstLine="475"/>
        <w:spacing w:after="0" w:line="276" w:lineRule="auto"/>
        <w:rPr>
          <w:sz w:val="20"/>
          <w:szCs w:val="20"/>
          <w:color w:val="auto"/>
        </w:rPr>
      </w:pPr>
      <w:r>
        <w:rPr>
          <w:rFonts w:ascii="Arial" w:cs="Arial" w:eastAsia="Arial" w:hAnsi="Arial"/>
          <w:sz w:val="17"/>
          <w:szCs w:val="17"/>
          <w:b w:val="1"/>
          <w:bCs w:val="1"/>
          <w:color w:val="231F20"/>
        </w:rPr>
        <w:t>Almost all of our research and development expenses to date have been related to the clinical development of our lead product candidate, evorpacept. We expect to incur significant research and development expenses in the foreseeable future as we continue to invest in research and development activities related to progress on our existing product candidates and developing new product candidates. As our product candidates advance into later stages of development, we begin to conduct larger clinical trials. The process of conducting the necessary clinical trials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 In addition, we will incur expenses related to the preclinical research conducted internally and through the contract with Tallac Therapeutics, as further described in Note 10 to our consolidated financial statements appearing elsewhere in this Annual Report on Form 10-K.</w:t>
      </w:r>
    </w:p>
    <w:p>
      <w:pPr>
        <w:spacing w:after="0" w:line="99" w:lineRule="exact"/>
        <w:rPr>
          <w:sz w:val="20"/>
          <w:szCs w:val="20"/>
          <w:color w:val="auto"/>
        </w:rPr>
      </w:pPr>
    </w:p>
    <w:p>
      <w:pPr>
        <w:ind w:right="140" w:firstLine="475"/>
        <w:spacing w:after="0" w:line="239" w:lineRule="auto"/>
        <w:rPr>
          <w:sz w:val="20"/>
          <w:szCs w:val="20"/>
          <w:color w:val="auto"/>
        </w:rPr>
      </w:pPr>
      <w:r>
        <w:rPr>
          <w:rFonts w:ascii="Arial" w:cs="Arial" w:eastAsia="Arial" w:hAnsi="Arial"/>
          <w:sz w:val="19"/>
          <w:szCs w:val="19"/>
          <w:b w:val="1"/>
          <w:bCs w:val="1"/>
          <w:color w:val="231F20"/>
        </w:rPr>
        <w:t>The successful development of our current and future product candidates is highly uncertain. This is due to numerous risks and uncertainties, including the following:</w:t>
      </w:r>
    </w:p>
    <w:p>
      <w:pPr>
        <w:spacing w:after="0" w:line="126" w:lineRule="exact"/>
        <w:rPr>
          <w:sz w:val="20"/>
          <w:szCs w:val="20"/>
          <w:color w:val="auto"/>
        </w:rPr>
      </w:pPr>
    </w:p>
    <w:p>
      <w:pPr>
        <w:ind w:left="960" w:hanging="484"/>
        <w:spacing w:after="0"/>
        <w:tabs>
          <w:tab w:leader="none" w:pos="960" w:val="left"/>
        </w:tabs>
        <w:numPr>
          <w:ilvl w:val="0"/>
          <w:numId w:val="9"/>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successful completion of preclinical studies and clinical trials;</w:t>
      </w:r>
    </w:p>
    <w:p>
      <w:pPr>
        <w:spacing w:after="0" w:line="139" w:lineRule="exact"/>
        <w:rPr>
          <w:rFonts w:ascii="PMingLiU" w:cs="PMingLiU" w:eastAsia="PMingLiU" w:hAnsi="PMingLiU"/>
          <w:sz w:val="19"/>
          <w:szCs w:val="19"/>
          <w:b w:val="1"/>
          <w:bCs w:val="1"/>
          <w:color w:val="231F20"/>
        </w:rPr>
      </w:pPr>
    </w:p>
    <w:p>
      <w:pPr>
        <w:ind w:left="960" w:hanging="484"/>
        <w:spacing w:after="0"/>
        <w:tabs>
          <w:tab w:leader="none" w:pos="960" w:val="left"/>
        </w:tabs>
        <w:numPr>
          <w:ilvl w:val="0"/>
          <w:numId w:val="9"/>
        </w:numPr>
        <w:rPr>
          <w:rFonts w:ascii="PMingLiU" w:cs="PMingLiU" w:eastAsia="PMingLiU" w:hAnsi="PMingLiU"/>
          <w:sz w:val="17"/>
          <w:szCs w:val="17"/>
          <w:b w:val="1"/>
          <w:bCs w:val="1"/>
          <w:color w:val="231F20"/>
        </w:rPr>
      </w:pPr>
      <w:r>
        <w:rPr>
          <w:rFonts w:ascii="Arial" w:cs="Arial" w:eastAsia="Arial" w:hAnsi="Arial"/>
          <w:sz w:val="17"/>
          <w:szCs w:val="17"/>
          <w:b w:val="1"/>
          <w:bCs w:val="1"/>
          <w:color w:val="231F20"/>
        </w:rPr>
        <w:t>delays in regulators or institutional review boards authorizing us or our investigators to commence our clinical trials;</w:t>
      </w:r>
    </w:p>
    <w:p>
      <w:pPr>
        <w:spacing w:after="0" w:line="129" w:lineRule="exact"/>
        <w:rPr>
          <w:rFonts w:ascii="PMingLiU" w:cs="PMingLiU" w:eastAsia="PMingLiU" w:hAnsi="PMingLiU"/>
          <w:sz w:val="17"/>
          <w:szCs w:val="17"/>
          <w:b w:val="1"/>
          <w:bCs w:val="1"/>
          <w:color w:val="231F20"/>
        </w:rPr>
      </w:pPr>
    </w:p>
    <w:p>
      <w:pPr>
        <w:ind w:left="960" w:hanging="484"/>
        <w:spacing w:after="0"/>
        <w:tabs>
          <w:tab w:leader="none" w:pos="960" w:val="left"/>
        </w:tabs>
        <w:numPr>
          <w:ilvl w:val="0"/>
          <w:numId w:val="9"/>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our ability to negotiate agreements with clinical trial sites or CROs;</w:t>
      </w:r>
    </w:p>
    <w:p>
      <w:pPr>
        <w:spacing w:after="0" w:line="122" w:lineRule="exact"/>
        <w:rPr>
          <w:rFonts w:ascii="PMingLiU" w:cs="PMingLiU" w:eastAsia="PMingLiU" w:hAnsi="PMingLiU"/>
          <w:sz w:val="19"/>
          <w:szCs w:val="19"/>
          <w:b w:val="1"/>
          <w:bCs w:val="1"/>
          <w:color w:val="231F20"/>
        </w:rPr>
      </w:pPr>
    </w:p>
    <w:p>
      <w:pPr>
        <w:ind w:left="960" w:hanging="484"/>
        <w:spacing w:after="0"/>
        <w:tabs>
          <w:tab w:leader="none" w:pos="960" w:val="left"/>
        </w:tabs>
        <w:numPr>
          <w:ilvl w:val="0"/>
          <w:numId w:val="9"/>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number and location of clinical sites included in the trials;</w:t>
      </w:r>
    </w:p>
    <w:p>
      <w:pPr>
        <w:spacing w:after="0" w:line="124" w:lineRule="exact"/>
        <w:rPr>
          <w:rFonts w:ascii="PMingLiU" w:cs="PMingLiU" w:eastAsia="PMingLiU" w:hAnsi="PMingLiU"/>
          <w:sz w:val="19"/>
          <w:szCs w:val="19"/>
          <w:b w:val="1"/>
          <w:bCs w:val="1"/>
          <w:color w:val="231F20"/>
        </w:rPr>
      </w:pPr>
    </w:p>
    <w:p>
      <w:pPr>
        <w:ind w:left="960" w:hanging="484"/>
        <w:spacing w:after="0"/>
        <w:tabs>
          <w:tab w:leader="none" w:pos="960" w:val="left"/>
        </w:tabs>
        <w:numPr>
          <w:ilvl w:val="0"/>
          <w:numId w:val="9"/>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raising additional funds necessary to complete clinical development of our product candidates;</w:t>
      </w:r>
    </w:p>
    <w:p>
      <w:pPr>
        <w:spacing w:after="0" w:line="139" w:lineRule="exact"/>
        <w:rPr>
          <w:rFonts w:ascii="PMingLiU" w:cs="PMingLiU" w:eastAsia="PMingLiU" w:hAnsi="PMingLiU"/>
          <w:sz w:val="19"/>
          <w:szCs w:val="19"/>
          <w:b w:val="1"/>
          <w:bCs w:val="1"/>
          <w:color w:val="231F20"/>
        </w:rPr>
      </w:pPr>
    </w:p>
    <w:p>
      <w:pPr>
        <w:ind w:left="960" w:right="100" w:hanging="484"/>
        <w:spacing w:after="0" w:line="233" w:lineRule="auto"/>
        <w:tabs>
          <w:tab w:leader="none" w:pos="960" w:val="left"/>
        </w:tabs>
        <w:numPr>
          <w:ilvl w:val="0"/>
          <w:numId w:val="9"/>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obtaining and maintaining patent, trade secret and other intellectual property protection and regulatory exclusivity for our product candidates;</w:t>
      </w:r>
    </w:p>
    <w:p>
      <w:pPr>
        <w:spacing w:after="0" w:line="123" w:lineRule="exact"/>
        <w:rPr>
          <w:rFonts w:ascii="PMingLiU" w:cs="PMingLiU" w:eastAsia="PMingLiU" w:hAnsi="PMingLiU"/>
          <w:sz w:val="19"/>
          <w:szCs w:val="19"/>
          <w:b w:val="1"/>
          <w:bCs w:val="1"/>
          <w:color w:val="231F20"/>
        </w:rPr>
      </w:pPr>
    </w:p>
    <w:p>
      <w:pPr>
        <w:ind w:left="960" w:hanging="484"/>
        <w:spacing w:after="0"/>
        <w:tabs>
          <w:tab w:leader="none" w:pos="960" w:val="left"/>
        </w:tabs>
        <w:numPr>
          <w:ilvl w:val="0"/>
          <w:numId w:val="9"/>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contracting with third-party manufacturers for clinical supplies of our product candidates;</w:t>
      </w:r>
    </w:p>
    <w:p>
      <w:pPr>
        <w:spacing w:after="0" w:line="134" w:lineRule="exact"/>
        <w:rPr>
          <w:rFonts w:ascii="PMingLiU" w:cs="PMingLiU" w:eastAsia="PMingLiU" w:hAnsi="PMingLiU"/>
          <w:sz w:val="19"/>
          <w:szCs w:val="19"/>
          <w:b w:val="1"/>
          <w:bCs w:val="1"/>
          <w:color w:val="231F20"/>
        </w:rPr>
      </w:pPr>
    </w:p>
    <w:p>
      <w:pPr>
        <w:ind w:left="960" w:hanging="484"/>
        <w:spacing w:after="0"/>
        <w:tabs>
          <w:tab w:leader="none" w:pos="960" w:val="left"/>
        </w:tabs>
        <w:numPr>
          <w:ilvl w:val="0"/>
          <w:numId w:val="9"/>
        </w:numPr>
        <w:rPr>
          <w:rFonts w:ascii="PMingLiU" w:cs="PMingLiU" w:eastAsia="PMingLiU" w:hAnsi="PMingLiU"/>
          <w:sz w:val="18"/>
          <w:szCs w:val="18"/>
          <w:b w:val="1"/>
          <w:bCs w:val="1"/>
          <w:color w:val="231F20"/>
        </w:rPr>
      </w:pPr>
      <w:r>
        <w:rPr>
          <w:rFonts w:ascii="Arial" w:cs="Arial" w:eastAsia="Arial" w:hAnsi="Arial"/>
          <w:sz w:val="18"/>
          <w:szCs w:val="18"/>
          <w:b w:val="1"/>
          <w:bCs w:val="1"/>
          <w:color w:val="231F20"/>
        </w:rPr>
        <w:t>protecting and enforcing our rights in our intellectual property portfolio, including, if necessary, litigation; and</w:t>
      </w:r>
    </w:p>
    <w:p>
      <w:pPr>
        <w:spacing w:after="0" w:line="124" w:lineRule="exact"/>
        <w:rPr>
          <w:rFonts w:ascii="PMingLiU" w:cs="PMingLiU" w:eastAsia="PMingLiU" w:hAnsi="PMingLiU"/>
          <w:sz w:val="18"/>
          <w:szCs w:val="18"/>
          <w:b w:val="1"/>
          <w:bCs w:val="1"/>
          <w:color w:val="231F20"/>
        </w:rPr>
      </w:pPr>
    </w:p>
    <w:p>
      <w:pPr>
        <w:ind w:left="960" w:hanging="484"/>
        <w:spacing w:after="0"/>
        <w:tabs>
          <w:tab w:leader="none" w:pos="960" w:val="left"/>
        </w:tabs>
        <w:numPr>
          <w:ilvl w:val="0"/>
          <w:numId w:val="9"/>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maintaining a continued acceptable safety profile of the products following approval.</w:t>
      </w:r>
    </w:p>
    <w:p>
      <w:pPr>
        <w:sectPr>
          <w:pgSz w:w="12240" w:h="15840" w:orient="portrait"/>
          <w:cols w:equalWidth="0" w:num="1">
            <w:col w:w="10480"/>
          </w:cols>
          <w:pgMar w:left="880" w:top="1160" w:right="880" w:bottom="39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85</w:t>
      </w:r>
    </w:p>
    <w:p>
      <w:pPr>
        <w:sectPr>
          <w:pgSz w:w="12240" w:h="15840" w:orient="portrait"/>
          <w:cols w:equalWidth="0" w:num="1">
            <w:col w:w="10480"/>
          </w:cols>
          <w:pgMar w:left="880" w:top="1160" w:right="880" w:bottom="390" w:gutter="0" w:footer="0" w:header="0"/>
          <w:type w:val="continuous"/>
        </w:sectPr>
      </w:pPr>
    </w:p>
    <w:bookmarkStart w:id="93" w:name="page94"/>
    <w:bookmarkEnd w:id="93"/>
    <w:p>
      <w:pPr>
        <w:ind w:right="20" w:firstLine="475"/>
        <w:spacing w:after="0" w:line="242" w:lineRule="auto"/>
        <w:rPr>
          <w:sz w:val="20"/>
          <w:szCs w:val="20"/>
          <w:color w:val="auto"/>
        </w:rPr>
      </w:pPr>
      <w:r>
        <w:rPr>
          <w:rFonts w:ascii="Arial" w:cs="Arial" w:eastAsia="Arial" w:hAnsi="Arial"/>
          <w:sz w:val="19"/>
          <w:szCs w:val="19"/>
          <w:b w:val="1"/>
          <w:bCs w:val="1"/>
          <w:color w:val="231F20"/>
        </w:rPr>
        <w:t>A change in the outcome of any of these variables with respect to the development of our product candidates may significantly impact the costs and timing associated with the development of our product candidates. We may never succeed in obtaining regulatory approval for any of our product candidates.</w:t>
      </w:r>
    </w:p>
    <w:p>
      <w:pPr>
        <w:spacing w:after="0" w:line="126" w:lineRule="exact"/>
        <w:rPr>
          <w:sz w:val="20"/>
          <w:szCs w:val="20"/>
          <w:color w:val="auto"/>
        </w:rPr>
      </w:pPr>
    </w:p>
    <w:p>
      <w:pPr>
        <w:ind w:right="320" w:firstLine="475"/>
        <w:spacing w:after="0" w:line="303" w:lineRule="auto"/>
        <w:rPr>
          <w:sz w:val="20"/>
          <w:szCs w:val="20"/>
          <w:color w:val="auto"/>
        </w:rPr>
      </w:pPr>
      <w:r>
        <w:rPr>
          <w:rFonts w:ascii="Arial" w:cs="Arial" w:eastAsia="Arial" w:hAnsi="Arial"/>
          <w:sz w:val="16"/>
          <w:szCs w:val="16"/>
          <w:b w:val="1"/>
          <w:bCs w:val="1"/>
          <w:color w:val="231F20"/>
        </w:rPr>
        <w:t>Research and development activities are essential to our business model. There are numerous factors associated with the successful commercialization of our product candidates, including future trial design and various regulatory requirements, many of which cannot be determined with accuracy at this time based on our stage of development. In addition, future regulatory factors beyond our control may impact the success, cost or timing of our clinical development programs.</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General and Administrative Expenses</w:t>
      </w:r>
    </w:p>
    <w:p>
      <w:pPr>
        <w:spacing w:after="0" w:line="125" w:lineRule="exact"/>
        <w:rPr>
          <w:sz w:val="20"/>
          <w:szCs w:val="20"/>
          <w:color w:val="auto"/>
        </w:rPr>
      </w:pPr>
    </w:p>
    <w:p>
      <w:pPr>
        <w:ind w:right="120" w:firstLine="475"/>
        <w:spacing w:after="0" w:line="303" w:lineRule="auto"/>
        <w:rPr>
          <w:sz w:val="20"/>
          <w:szCs w:val="20"/>
          <w:color w:val="auto"/>
        </w:rPr>
      </w:pPr>
      <w:r>
        <w:rPr>
          <w:rFonts w:ascii="Arial" w:cs="Arial" w:eastAsia="Arial" w:hAnsi="Arial"/>
          <w:sz w:val="16"/>
          <w:szCs w:val="16"/>
          <w:b w:val="1"/>
          <w:bCs w:val="1"/>
          <w:color w:val="231F20"/>
        </w:rPr>
        <w:t>General and administrative expenses consist primarily of personnel-related expenses, business development expenses, facilities expenses, depreciation and amortization expenses and professional services expenses, including legal, human resources, audit, accounting and tax-related services, and directors and officers liability insurance premiums. Personnel and related costs consist of salaries, benefits and stock-based compensation expenses. Facilities costs consist of rent and maintenance of facilities.</w:t>
      </w:r>
    </w:p>
    <w:p>
      <w:pPr>
        <w:spacing w:after="0" w:line="79" w:lineRule="exact"/>
        <w:rPr>
          <w:sz w:val="20"/>
          <w:szCs w:val="20"/>
          <w:color w:val="auto"/>
        </w:rPr>
      </w:pPr>
    </w:p>
    <w:p>
      <w:pPr>
        <w:ind w:firstLine="475"/>
        <w:spacing w:after="0" w:line="281" w:lineRule="auto"/>
        <w:rPr>
          <w:sz w:val="20"/>
          <w:szCs w:val="20"/>
          <w:color w:val="auto"/>
        </w:rPr>
      </w:pPr>
      <w:r>
        <w:rPr>
          <w:rFonts w:ascii="Arial" w:cs="Arial" w:eastAsia="Arial" w:hAnsi="Arial"/>
          <w:sz w:val="17"/>
          <w:szCs w:val="17"/>
          <w:b w:val="1"/>
          <w:bCs w:val="1"/>
          <w:color w:val="231F20"/>
        </w:rPr>
        <w:t>We anticipate that our general and administrative expenses will continue to increase as a result of increased headcount, inflationary pressures, expanded infrastructure and higher costs of consulting, legal, tax and regulatory-related services associated with maintaining compliance with stock exchange listing and SEC requirements, audit and investor relations costs, director and officer insurance premiums and other costs associated with being a public company.</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Interest Income</w:t>
      </w:r>
    </w:p>
    <w:p>
      <w:pPr>
        <w:spacing w:after="0" w:line="128"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231F20"/>
        </w:rPr>
        <w:t>Our interest income consists primarily of interest income on cash, cash equivalents and short-term and long-term investments.</w:t>
      </w: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Interest Expense</w:t>
      </w:r>
    </w:p>
    <w:p>
      <w:pPr>
        <w:spacing w:after="0" w:line="125" w:lineRule="exact"/>
        <w:rPr>
          <w:sz w:val="20"/>
          <w:szCs w:val="20"/>
          <w:color w:val="auto"/>
        </w:rPr>
      </w:pPr>
    </w:p>
    <w:p>
      <w:pPr>
        <w:ind w:right="260" w:firstLine="475"/>
        <w:spacing w:after="0" w:line="239" w:lineRule="auto"/>
        <w:rPr>
          <w:sz w:val="20"/>
          <w:szCs w:val="20"/>
          <w:color w:val="auto"/>
        </w:rPr>
      </w:pPr>
      <w:r>
        <w:rPr>
          <w:rFonts w:ascii="Arial" w:cs="Arial" w:eastAsia="Arial" w:hAnsi="Arial"/>
          <w:sz w:val="19"/>
          <w:szCs w:val="19"/>
          <w:b w:val="1"/>
          <w:bCs w:val="1"/>
          <w:color w:val="231F20"/>
        </w:rPr>
        <w:t>Our interest expense consists primarily of interest expense on the term loan, amortization of deferred debt issuance costs, and interest related to finance leases.</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Other Income (Expense), Net</w:t>
      </w:r>
    </w:p>
    <w:p>
      <w:pPr>
        <w:spacing w:after="0" w:line="125" w:lineRule="exact"/>
        <w:rPr>
          <w:sz w:val="20"/>
          <w:szCs w:val="20"/>
          <w:color w:val="auto"/>
        </w:rPr>
      </w:pPr>
    </w:p>
    <w:p>
      <w:pPr>
        <w:ind w:right="260" w:firstLine="475"/>
        <w:spacing w:after="0" w:line="239" w:lineRule="auto"/>
        <w:rPr>
          <w:sz w:val="20"/>
          <w:szCs w:val="20"/>
          <w:color w:val="auto"/>
        </w:rPr>
      </w:pPr>
      <w:r>
        <w:rPr>
          <w:rFonts w:ascii="Arial" w:cs="Arial" w:eastAsia="Arial" w:hAnsi="Arial"/>
          <w:sz w:val="19"/>
          <w:szCs w:val="19"/>
          <w:b w:val="1"/>
          <w:bCs w:val="1"/>
          <w:color w:val="231F20"/>
        </w:rPr>
        <w:t>Our other income (expense), net consists primarily of realized foreign currency transaction gains and losses and other income from an immaterial service contract.</w:t>
      </w:r>
    </w:p>
    <w:p>
      <w:pPr>
        <w:spacing w:after="0" w:line="356"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Results of Operations and Net Loss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Comparisons of the Years Ended December 31, 2024 and 2023</w:t>
      </w:r>
    </w:p>
    <w:p>
      <w:pPr>
        <w:spacing w:after="0" w:line="123"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231F20"/>
        </w:rPr>
        <w:t>The following table summarizes our results of operations for the years ended December 31, 2024 and 2023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gridSpan w:val="4"/>
          </w:tcPr>
          <w:p>
            <w:pPr>
              <w:jc w:val="right"/>
              <w:ind w:right="100"/>
              <w:spacing w:after="0"/>
              <w:rPr>
                <w:sz w:val="20"/>
                <w:szCs w:val="20"/>
                <w:color w:val="auto"/>
              </w:rPr>
            </w:pPr>
            <w:r>
              <w:rPr>
                <w:rFonts w:ascii="Arial" w:cs="Arial" w:eastAsia="Arial" w:hAnsi="Arial"/>
                <w:sz w:val="19"/>
                <w:szCs w:val="19"/>
                <w:b w:val="1"/>
                <w:bCs w:val="1"/>
                <w:color w:val="231F20"/>
              </w:rPr>
              <w:t>Year Ended</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7"/>
        </w:trPr>
        <w:tc>
          <w:tcPr>
            <w:tcW w:w="3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840" w:type="dxa"/>
            <w:vAlign w:val="bottom"/>
            <w:tcBorders>
              <w:bottom w:val="single" w:sz="8" w:color="231F20"/>
            </w:tcBorders>
            <w:gridSpan w:val="4"/>
          </w:tcPr>
          <w:p>
            <w:pPr>
              <w:jc w:val="right"/>
              <w:ind w:right="40"/>
              <w:spacing w:after="0"/>
              <w:rPr>
                <w:sz w:val="20"/>
                <w:szCs w:val="20"/>
                <w:color w:val="auto"/>
              </w:rPr>
            </w:pPr>
            <w:r>
              <w:rPr>
                <w:rFonts w:ascii="Arial" w:cs="Arial" w:eastAsia="Arial" w:hAnsi="Arial"/>
                <w:sz w:val="19"/>
                <w:szCs w:val="19"/>
                <w:b w:val="1"/>
                <w:bCs w:val="1"/>
                <w:color w:val="231F20"/>
              </w:rPr>
              <w:t>December 31,</w:t>
            </w:r>
          </w:p>
        </w:tc>
        <w:tc>
          <w:tcPr>
            <w:tcW w:w="960" w:type="dxa"/>
            <w:vAlign w:val="bottom"/>
            <w:tcBorders>
              <w:bottom w:val="single" w:sz="8" w:color="231F20"/>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231F20"/>
            </w:tcBorders>
          </w:tcPr>
          <w:p>
            <w:pPr>
              <w:spacing w:after="0"/>
              <w:rPr>
                <w:sz w:val="20"/>
                <w:szCs w:val="20"/>
                <w:color w:val="auto"/>
              </w:rPr>
            </w:pPr>
          </w:p>
        </w:tc>
        <w:tc>
          <w:tcPr>
            <w:tcW w:w="1260" w:type="dxa"/>
            <w:vAlign w:val="bottom"/>
            <w:tcBorders>
              <w:bottom w:val="single" w:sz="8" w:color="231F20"/>
            </w:tcBorders>
            <w:gridSpan w:val="2"/>
          </w:tcPr>
          <w:p>
            <w:pPr>
              <w:jc w:val="right"/>
              <w:ind w:right="140"/>
              <w:spacing w:after="0"/>
              <w:rPr>
                <w:sz w:val="20"/>
                <w:szCs w:val="20"/>
                <w:color w:val="auto"/>
              </w:rPr>
            </w:pPr>
            <w:r>
              <w:rPr>
                <w:rFonts w:ascii="Arial" w:cs="Arial" w:eastAsia="Arial" w:hAnsi="Arial"/>
                <w:sz w:val="19"/>
                <w:szCs w:val="19"/>
                <w:b w:val="1"/>
                <w:bCs w:val="1"/>
                <w:color w:val="231F20"/>
              </w:rPr>
              <w:t>Change</w:t>
            </w:r>
          </w:p>
        </w:tc>
        <w:tc>
          <w:tcPr>
            <w:tcW w:w="740" w:type="dxa"/>
            <w:vAlign w:val="bottom"/>
            <w:tcBorders>
              <w:bottom w:val="single" w:sz="8" w:color="231F20"/>
            </w:tcBorders>
          </w:tcPr>
          <w:p>
            <w:pPr>
              <w:spacing w:after="0"/>
              <w:rPr>
                <w:sz w:val="20"/>
                <w:szCs w:val="20"/>
                <w:color w:val="auto"/>
              </w:rPr>
            </w:pPr>
          </w:p>
        </w:tc>
        <w:tc>
          <w:tcPr>
            <w:tcW w:w="160" w:type="dxa"/>
            <w:vAlign w:val="bottom"/>
          </w:tcPr>
          <w:p>
            <w:pPr>
              <w:spacing w:after="0"/>
              <w:rPr>
                <w:sz w:val="20"/>
                <w:szCs w:val="20"/>
                <w:color w:val="auto"/>
              </w:rPr>
            </w:pPr>
          </w:p>
        </w:tc>
      </w:tr>
      <w:tr>
        <w:trPr>
          <w:trHeight w:val="225"/>
        </w:trPr>
        <w:tc>
          <w:tcPr>
            <w:tcW w:w="3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1120" w:type="dxa"/>
            <w:vAlign w:val="bottom"/>
            <w:tcBorders>
              <w:bottom w:val="single" w:sz="8" w:color="231F20"/>
            </w:tcBorders>
          </w:tcPr>
          <w:p>
            <w:pPr>
              <w:jc w:val="right"/>
              <w:ind w:right="423"/>
              <w:spacing w:after="0"/>
              <w:rPr>
                <w:sz w:val="20"/>
                <w:szCs w:val="20"/>
                <w:color w:val="auto"/>
              </w:rPr>
            </w:pPr>
            <w:r>
              <w:rPr>
                <w:rFonts w:ascii="Arial" w:cs="Arial" w:eastAsia="Arial" w:hAnsi="Arial"/>
                <w:sz w:val="19"/>
                <w:szCs w:val="19"/>
                <w:b w:val="1"/>
                <w:bCs w:val="1"/>
                <w:color w:val="231F20"/>
              </w:rPr>
              <w:t>2024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231F20"/>
            </w:tcBorders>
          </w:tcPr>
          <w:p>
            <w:pPr>
              <w:spacing w:after="0"/>
              <w:rPr>
                <w:sz w:val="19"/>
                <w:szCs w:val="19"/>
                <w:color w:val="auto"/>
              </w:rPr>
            </w:pPr>
          </w:p>
        </w:tc>
        <w:tc>
          <w:tcPr>
            <w:tcW w:w="960" w:type="dxa"/>
            <w:vAlign w:val="bottom"/>
            <w:tcBorders>
              <w:bottom w:val="single" w:sz="8" w:color="231F20"/>
            </w:tcBorders>
          </w:tcPr>
          <w:p>
            <w:pPr>
              <w:jc w:val="right"/>
              <w:ind w:right="423"/>
              <w:spacing w:after="0"/>
              <w:rPr>
                <w:sz w:val="20"/>
                <w:szCs w:val="20"/>
                <w:color w:val="auto"/>
              </w:rPr>
            </w:pPr>
            <w:r>
              <w:rPr>
                <w:rFonts w:ascii="Arial" w:cs="Arial" w:eastAsia="Arial" w:hAnsi="Arial"/>
                <w:sz w:val="19"/>
                <w:szCs w:val="19"/>
                <w:b w:val="1"/>
                <w:bCs w:val="1"/>
                <w:color w:val="231F20"/>
                <w:w w:val="99"/>
              </w:rPr>
              <w:t>2023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231F20"/>
            </w:tcBorders>
          </w:tcPr>
          <w:p>
            <w:pPr>
              <w:spacing w:after="0"/>
              <w:rPr>
                <w:sz w:val="19"/>
                <w:szCs w:val="19"/>
                <w:color w:val="auto"/>
              </w:rPr>
            </w:pPr>
          </w:p>
        </w:tc>
        <w:tc>
          <w:tcPr>
            <w:tcW w:w="1040" w:type="dxa"/>
            <w:vAlign w:val="bottom"/>
            <w:tcBorders>
              <w:bottom w:val="single" w:sz="8" w:color="231F20"/>
            </w:tcBorders>
          </w:tcPr>
          <w:p>
            <w:pPr>
              <w:jc w:val="right"/>
              <w:ind w:right="583"/>
              <w:spacing w:after="0"/>
              <w:rPr>
                <w:sz w:val="20"/>
                <w:szCs w:val="20"/>
                <w:color w:val="auto"/>
              </w:rPr>
            </w:pPr>
            <w:r>
              <w:rPr>
                <w:rFonts w:ascii="Arial" w:cs="Arial" w:eastAsia="Arial" w:hAnsi="Arial"/>
                <w:sz w:val="19"/>
                <w:szCs w:val="19"/>
                <w:b w:val="1"/>
                <w:bCs w:val="1"/>
                <w:color w:val="231F20"/>
              </w:rPr>
              <w:t>$</w:t>
            </w:r>
          </w:p>
        </w:tc>
        <w:tc>
          <w:tcPr>
            <w:tcW w:w="220" w:type="dxa"/>
            <w:vAlign w:val="bottom"/>
          </w:tcPr>
          <w:p>
            <w:pPr>
              <w:spacing w:after="0"/>
              <w:rPr>
                <w:sz w:val="19"/>
                <w:szCs w:val="19"/>
                <w:color w:val="auto"/>
              </w:rPr>
            </w:pPr>
          </w:p>
        </w:tc>
        <w:tc>
          <w:tcPr>
            <w:tcW w:w="740" w:type="dxa"/>
            <w:vAlign w:val="bottom"/>
            <w:tcBorders>
              <w:bottom w:val="single" w:sz="8" w:color="231F20"/>
            </w:tcBorders>
          </w:tcPr>
          <w:p>
            <w:pPr>
              <w:jc w:val="right"/>
              <w:ind w:right="183"/>
              <w:spacing w:after="0"/>
              <w:rPr>
                <w:sz w:val="20"/>
                <w:szCs w:val="20"/>
                <w:color w:val="auto"/>
              </w:rPr>
            </w:pPr>
            <w:r>
              <w:rPr>
                <w:rFonts w:ascii="Arial" w:cs="Arial" w:eastAsia="Arial" w:hAnsi="Arial"/>
                <w:sz w:val="19"/>
                <w:szCs w:val="19"/>
                <w:b w:val="1"/>
                <w:bCs w:val="1"/>
                <w:color w:val="231F20"/>
              </w:rPr>
              <w:t>%</w:t>
            </w:r>
          </w:p>
        </w:tc>
        <w:tc>
          <w:tcPr>
            <w:tcW w:w="160" w:type="dxa"/>
            <w:vAlign w:val="bottom"/>
          </w:tcPr>
          <w:p>
            <w:pPr>
              <w:spacing w:after="0"/>
              <w:rPr>
                <w:sz w:val="19"/>
                <w:szCs w:val="19"/>
                <w:color w:val="auto"/>
              </w:rPr>
            </w:pPr>
          </w:p>
        </w:tc>
      </w:tr>
      <w:tr>
        <w:trPr>
          <w:trHeight w:val="227"/>
        </w:trPr>
        <w:tc>
          <w:tcPr>
            <w:tcW w:w="3480" w:type="dxa"/>
            <w:vAlign w:val="bottom"/>
          </w:tcPr>
          <w:p>
            <w:pPr>
              <w:spacing w:after="0"/>
              <w:rPr>
                <w:sz w:val="20"/>
                <w:szCs w:val="20"/>
                <w:color w:val="auto"/>
              </w:rPr>
            </w:pPr>
            <w:r>
              <w:rPr>
                <w:rFonts w:ascii="Arial" w:cs="Arial" w:eastAsia="Arial" w:hAnsi="Arial"/>
                <w:sz w:val="19"/>
                <w:szCs w:val="19"/>
                <w:b w:val="1"/>
                <w:bCs w:val="1"/>
                <w:color w:val="231F20"/>
              </w:rPr>
              <w:t>Operating expenses:</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8"/>
        </w:trPr>
        <w:tc>
          <w:tcPr>
            <w:tcW w:w="3480" w:type="dxa"/>
            <w:vAlign w:val="bottom"/>
          </w:tcPr>
          <w:p>
            <w:pPr>
              <w:ind w:left="200"/>
              <w:spacing w:after="0"/>
              <w:rPr>
                <w:sz w:val="20"/>
                <w:szCs w:val="20"/>
                <w:color w:val="auto"/>
              </w:rPr>
            </w:pPr>
            <w:r>
              <w:rPr>
                <w:rFonts w:ascii="Arial" w:cs="Arial" w:eastAsia="Arial" w:hAnsi="Arial"/>
                <w:sz w:val="19"/>
                <w:szCs w:val="19"/>
                <w:b w:val="1"/>
                <w:bCs w:val="1"/>
                <w:color w:val="231F20"/>
              </w:rPr>
              <w:t>Research and development</w:t>
            </w:r>
          </w:p>
        </w:tc>
        <w:tc>
          <w:tcPr>
            <w:tcW w:w="1380" w:type="dxa"/>
            <w:vAlign w:val="bottom"/>
            <w:gridSpan w:val="2"/>
          </w:tcPr>
          <w:p>
            <w:pPr>
              <w:jc w:val="right"/>
              <w:ind w:right="103"/>
              <w:spacing w:after="0"/>
              <w:rPr>
                <w:sz w:val="20"/>
                <w:szCs w:val="20"/>
                <w:color w:val="auto"/>
              </w:rPr>
            </w:pPr>
            <w:r>
              <w:rPr>
                <w:rFonts w:ascii="Arial" w:cs="Arial" w:eastAsia="Arial" w:hAnsi="Arial"/>
                <w:sz w:val="19"/>
                <w:szCs w:val="19"/>
                <w:b w:val="1"/>
                <w:bCs w:val="1"/>
                <w:color w:val="231F20"/>
              </w:rPr>
              <w:t>$</w:t>
            </w:r>
          </w:p>
        </w:tc>
        <w:tc>
          <w:tcPr>
            <w:tcW w:w="1120" w:type="dxa"/>
            <w:vAlign w:val="bottom"/>
          </w:tcPr>
          <w:p>
            <w:pPr>
              <w:jc w:val="right"/>
              <w:spacing w:after="0"/>
              <w:rPr>
                <w:sz w:val="20"/>
                <w:szCs w:val="20"/>
                <w:color w:val="auto"/>
              </w:rPr>
            </w:pPr>
            <w:r>
              <w:rPr>
                <w:rFonts w:ascii="Arial" w:cs="Arial" w:eastAsia="Arial" w:hAnsi="Arial"/>
                <w:sz w:val="19"/>
                <w:szCs w:val="19"/>
                <w:b w:val="1"/>
                <w:bCs w:val="1"/>
                <w:color w:val="231F20"/>
              </w:rPr>
              <w:t>116,373</w:t>
            </w:r>
          </w:p>
        </w:tc>
        <w:tc>
          <w:tcPr>
            <w:tcW w:w="160" w:type="dxa"/>
            <w:vAlign w:val="bottom"/>
          </w:tcPr>
          <w:p>
            <w:pPr>
              <w:spacing w:after="0"/>
              <w:rPr>
                <w:sz w:val="20"/>
                <w:szCs w:val="20"/>
                <w:color w:val="auto"/>
              </w:rPr>
            </w:pPr>
          </w:p>
        </w:tc>
        <w:tc>
          <w:tcPr>
            <w:tcW w:w="560" w:type="dxa"/>
            <w:vAlign w:val="bottom"/>
            <w:gridSpan w:val="2"/>
          </w:tcPr>
          <w:p>
            <w:pPr>
              <w:jc w:val="right"/>
              <w:ind w:right="360"/>
              <w:spacing w:after="0"/>
              <w:rPr>
                <w:sz w:val="20"/>
                <w:szCs w:val="20"/>
                <w:color w:val="auto"/>
              </w:rPr>
            </w:pPr>
            <w:r>
              <w:rPr>
                <w:rFonts w:ascii="Arial" w:cs="Arial" w:eastAsia="Arial" w:hAnsi="Arial"/>
                <w:sz w:val="19"/>
                <w:szCs w:val="19"/>
                <w:b w:val="1"/>
                <w:bCs w:val="1"/>
                <w:color w:val="231F20"/>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231F20"/>
              </w:rPr>
              <w:t>141,795</w:t>
            </w:r>
          </w:p>
        </w:tc>
        <w:tc>
          <w:tcPr>
            <w:tcW w:w="160" w:type="dxa"/>
            <w:vAlign w:val="bottom"/>
          </w:tcPr>
          <w:p>
            <w:pPr>
              <w:spacing w:after="0"/>
              <w:rPr>
                <w:sz w:val="20"/>
                <w:szCs w:val="20"/>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9"/>
                <w:szCs w:val="19"/>
                <w:b w:val="1"/>
                <w:bCs w:val="1"/>
                <w:color w:val="231F20"/>
              </w:rPr>
              <w:t>$</w:t>
            </w:r>
          </w:p>
        </w:tc>
        <w:tc>
          <w:tcPr>
            <w:tcW w:w="126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231F20"/>
              </w:rPr>
              <w:t>(25,422)</w:t>
            </w:r>
          </w:p>
        </w:tc>
        <w:tc>
          <w:tcPr>
            <w:tcW w:w="90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-18%</w:t>
            </w:r>
          </w:p>
        </w:tc>
      </w:tr>
      <w:tr>
        <w:trPr>
          <w:trHeight w:val="236"/>
        </w:trPr>
        <w:tc>
          <w:tcPr>
            <w:tcW w:w="3480" w:type="dxa"/>
            <w:vAlign w:val="bottom"/>
          </w:tcPr>
          <w:p>
            <w:pPr>
              <w:ind w:left="200"/>
              <w:spacing w:after="0"/>
              <w:rPr>
                <w:sz w:val="20"/>
                <w:szCs w:val="20"/>
                <w:color w:val="auto"/>
              </w:rPr>
            </w:pPr>
            <w:r>
              <w:rPr>
                <w:rFonts w:ascii="Arial" w:cs="Arial" w:eastAsia="Arial" w:hAnsi="Arial"/>
                <w:sz w:val="19"/>
                <w:szCs w:val="19"/>
                <w:b w:val="1"/>
                <w:bCs w:val="1"/>
                <w:color w:val="231F20"/>
              </w:rPr>
              <w:t>General and administrative</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9"/>
                <w:szCs w:val="19"/>
                <w:b w:val="1"/>
                <w:bCs w:val="1"/>
                <w:color w:val="231F20"/>
              </w:rPr>
              <w:t>26,094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231F20"/>
              </w:rPr>
              <w:t>28,483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231F20"/>
              </w:rPr>
              <w:t>(2,389)</w:t>
            </w:r>
          </w:p>
        </w:tc>
        <w:tc>
          <w:tcPr>
            <w:tcW w:w="900" w:type="dxa"/>
            <w:vAlign w:val="bottom"/>
            <w:gridSpan w:val="2"/>
          </w:tcPr>
          <w:p>
            <w:pPr>
              <w:jc w:val="right"/>
              <w:spacing w:after="0"/>
              <w:rPr>
                <w:sz w:val="20"/>
                <w:szCs w:val="20"/>
                <w:color w:val="auto"/>
              </w:rPr>
            </w:pPr>
            <w:r>
              <w:rPr>
                <w:rFonts w:ascii="Arial" w:cs="Arial" w:eastAsia="Arial" w:hAnsi="Arial"/>
                <w:sz w:val="19"/>
                <w:szCs w:val="19"/>
                <w:b w:val="1"/>
                <w:bCs w:val="1"/>
                <w:color w:val="231F20"/>
              </w:rPr>
              <w:t>-8%</w:t>
            </w:r>
          </w:p>
        </w:tc>
      </w:tr>
      <w:tr>
        <w:trPr>
          <w:trHeight w:val="20"/>
        </w:trPr>
        <w:tc>
          <w:tcPr>
            <w:tcW w:w="3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112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231F20"/>
          </w:tcPr>
          <w:p>
            <w:pPr>
              <w:spacing w:after="0" w:line="20" w:lineRule="exact"/>
              <w:rPr>
                <w:sz w:val="1"/>
                <w:szCs w:val="1"/>
                <w:color w:val="auto"/>
              </w:rPr>
            </w:pPr>
          </w:p>
        </w:tc>
        <w:tc>
          <w:tcPr>
            <w:tcW w:w="96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231F20"/>
          </w:tcPr>
          <w:p>
            <w:pPr>
              <w:spacing w:after="0" w:line="20" w:lineRule="exact"/>
              <w:rPr>
                <w:sz w:val="1"/>
                <w:szCs w:val="1"/>
                <w:color w:val="auto"/>
              </w:rPr>
            </w:pPr>
          </w:p>
        </w:tc>
        <w:tc>
          <w:tcPr>
            <w:tcW w:w="1040" w:type="dxa"/>
            <w:vAlign w:val="bottom"/>
            <w:shd w:val="clear" w:color="auto" w:fill="231F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6"/>
        </w:trPr>
        <w:tc>
          <w:tcPr>
            <w:tcW w:w="3480" w:type="dxa"/>
            <w:vAlign w:val="bottom"/>
          </w:tcPr>
          <w:p>
            <w:pPr>
              <w:ind w:left="380"/>
              <w:spacing w:after="0"/>
              <w:rPr>
                <w:sz w:val="20"/>
                <w:szCs w:val="20"/>
                <w:color w:val="auto"/>
              </w:rPr>
            </w:pPr>
            <w:r>
              <w:rPr>
                <w:rFonts w:ascii="Arial" w:cs="Arial" w:eastAsia="Arial" w:hAnsi="Arial"/>
                <w:sz w:val="19"/>
                <w:szCs w:val="19"/>
                <w:b w:val="1"/>
                <w:bCs w:val="1"/>
                <w:color w:val="231F20"/>
              </w:rPr>
              <w:t>Total operating expenses</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9"/>
                <w:szCs w:val="19"/>
                <w:b w:val="1"/>
                <w:bCs w:val="1"/>
                <w:color w:val="231F20"/>
              </w:rPr>
              <w:t>142,467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231F20"/>
              </w:rPr>
              <w:t>170,278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231F20"/>
              </w:rPr>
              <w:t>(27,811)</w:t>
            </w:r>
          </w:p>
        </w:tc>
        <w:tc>
          <w:tcPr>
            <w:tcW w:w="90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-16%</w:t>
            </w:r>
          </w:p>
        </w:tc>
      </w:tr>
      <w:tr>
        <w:trPr>
          <w:trHeight w:val="20"/>
        </w:trPr>
        <w:tc>
          <w:tcPr>
            <w:tcW w:w="3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112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231F20"/>
          </w:tcPr>
          <w:p>
            <w:pPr>
              <w:spacing w:after="0" w:line="20" w:lineRule="exact"/>
              <w:rPr>
                <w:sz w:val="1"/>
                <w:szCs w:val="1"/>
                <w:color w:val="auto"/>
              </w:rPr>
            </w:pPr>
          </w:p>
        </w:tc>
        <w:tc>
          <w:tcPr>
            <w:tcW w:w="96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231F20"/>
          </w:tcPr>
          <w:p>
            <w:pPr>
              <w:spacing w:after="0" w:line="20" w:lineRule="exact"/>
              <w:rPr>
                <w:sz w:val="1"/>
                <w:szCs w:val="1"/>
                <w:color w:val="auto"/>
              </w:rPr>
            </w:pPr>
          </w:p>
        </w:tc>
        <w:tc>
          <w:tcPr>
            <w:tcW w:w="1040" w:type="dxa"/>
            <w:vAlign w:val="bottom"/>
            <w:shd w:val="clear" w:color="auto" w:fill="231F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7"/>
        </w:trPr>
        <w:tc>
          <w:tcPr>
            <w:tcW w:w="3480" w:type="dxa"/>
            <w:vAlign w:val="bottom"/>
          </w:tcPr>
          <w:p>
            <w:pPr>
              <w:spacing w:after="0"/>
              <w:rPr>
                <w:sz w:val="20"/>
                <w:szCs w:val="20"/>
                <w:color w:val="auto"/>
              </w:rPr>
            </w:pPr>
            <w:r>
              <w:rPr>
                <w:rFonts w:ascii="Arial" w:cs="Arial" w:eastAsia="Arial" w:hAnsi="Arial"/>
                <w:sz w:val="19"/>
                <w:szCs w:val="19"/>
                <w:b w:val="1"/>
                <w:bCs w:val="1"/>
                <w:color w:val="231F20"/>
              </w:rPr>
              <w:t>Loss from operations</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231F20"/>
              </w:rPr>
              <w:t>(142,467)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231F20"/>
              </w:rPr>
              <w:t>(170,278)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231F20"/>
              </w:rPr>
              <w:t>27,811</w:t>
            </w: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-16%</w:t>
            </w:r>
          </w:p>
        </w:tc>
      </w:tr>
      <w:tr>
        <w:trPr>
          <w:trHeight w:val="20"/>
        </w:trPr>
        <w:tc>
          <w:tcPr>
            <w:tcW w:w="3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112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231F20"/>
          </w:tcPr>
          <w:p>
            <w:pPr>
              <w:spacing w:after="0" w:line="20" w:lineRule="exact"/>
              <w:rPr>
                <w:sz w:val="1"/>
                <w:szCs w:val="1"/>
                <w:color w:val="auto"/>
              </w:rPr>
            </w:pPr>
          </w:p>
        </w:tc>
        <w:tc>
          <w:tcPr>
            <w:tcW w:w="96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231F20"/>
          </w:tcPr>
          <w:p>
            <w:pPr>
              <w:spacing w:after="0" w:line="20" w:lineRule="exact"/>
              <w:rPr>
                <w:sz w:val="1"/>
                <w:szCs w:val="1"/>
                <w:color w:val="auto"/>
              </w:rPr>
            </w:pPr>
          </w:p>
        </w:tc>
        <w:tc>
          <w:tcPr>
            <w:tcW w:w="1040" w:type="dxa"/>
            <w:vAlign w:val="bottom"/>
            <w:shd w:val="clear" w:color="auto" w:fill="231F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5"/>
        </w:trPr>
        <w:tc>
          <w:tcPr>
            <w:tcW w:w="3480" w:type="dxa"/>
            <w:vAlign w:val="bottom"/>
          </w:tcPr>
          <w:p>
            <w:pPr>
              <w:ind w:left="200"/>
              <w:spacing w:after="0"/>
              <w:rPr>
                <w:sz w:val="20"/>
                <w:szCs w:val="20"/>
                <w:color w:val="auto"/>
              </w:rPr>
            </w:pPr>
            <w:r>
              <w:rPr>
                <w:rFonts w:ascii="Arial" w:cs="Arial" w:eastAsia="Arial" w:hAnsi="Arial"/>
                <w:sz w:val="19"/>
                <w:szCs w:val="19"/>
                <w:b w:val="1"/>
                <w:bCs w:val="1"/>
                <w:color w:val="231F20"/>
              </w:rPr>
              <w:t>Interest income</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9"/>
                <w:szCs w:val="19"/>
                <w:b w:val="1"/>
                <w:bCs w:val="1"/>
                <w:color w:val="231F20"/>
              </w:rPr>
              <w:t>9,366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231F20"/>
              </w:rPr>
              <w:t>10,649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231F20"/>
              </w:rPr>
              <w:t>(1,283)</w:t>
            </w:r>
          </w:p>
        </w:tc>
        <w:tc>
          <w:tcPr>
            <w:tcW w:w="90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-12%</w:t>
            </w:r>
          </w:p>
        </w:tc>
      </w:tr>
      <w:tr>
        <w:trPr>
          <w:trHeight w:val="238"/>
        </w:trPr>
        <w:tc>
          <w:tcPr>
            <w:tcW w:w="3480" w:type="dxa"/>
            <w:vAlign w:val="bottom"/>
          </w:tcPr>
          <w:p>
            <w:pPr>
              <w:ind w:left="200"/>
              <w:spacing w:after="0"/>
              <w:rPr>
                <w:sz w:val="20"/>
                <w:szCs w:val="20"/>
                <w:color w:val="auto"/>
              </w:rPr>
            </w:pPr>
            <w:r>
              <w:rPr>
                <w:rFonts w:ascii="Arial" w:cs="Arial" w:eastAsia="Arial" w:hAnsi="Arial"/>
                <w:sz w:val="19"/>
                <w:szCs w:val="19"/>
                <w:b w:val="1"/>
                <w:bCs w:val="1"/>
                <w:color w:val="231F20"/>
              </w:rPr>
              <w:t>Interest expense</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231F20"/>
              </w:rPr>
              <w:t>(1,729)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231F20"/>
              </w:rPr>
              <w:t>(1,565)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231F20"/>
              </w:rPr>
              <w:t>(164)</w:t>
            </w:r>
          </w:p>
        </w:tc>
        <w:tc>
          <w:tcPr>
            <w:tcW w:w="90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10%</w:t>
            </w:r>
          </w:p>
        </w:tc>
      </w:tr>
      <w:tr>
        <w:trPr>
          <w:trHeight w:val="236"/>
        </w:trPr>
        <w:tc>
          <w:tcPr>
            <w:tcW w:w="3480" w:type="dxa"/>
            <w:vAlign w:val="bottom"/>
          </w:tcPr>
          <w:p>
            <w:pPr>
              <w:ind w:left="200"/>
              <w:spacing w:after="0"/>
              <w:rPr>
                <w:sz w:val="20"/>
                <w:szCs w:val="20"/>
                <w:color w:val="auto"/>
              </w:rPr>
            </w:pPr>
            <w:r>
              <w:rPr>
                <w:rFonts w:ascii="Arial" w:cs="Arial" w:eastAsia="Arial" w:hAnsi="Arial"/>
                <w:sz w:val="19"/>
                <w:szCs w:val="19"/>
                <w:b w:val="1"/>
                <w:bCs w:val="1"/>
                <w:color w:val="231F20"/>
              </w:rPr>
              <w:t>Other income (expense), net</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231F20"/>
              </w:rPr>
              <w:t>(20)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231F20"/>
              </w:rPr>
              <w:t>389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231F20"/>
              </w:rPr>
              <w:t>(409)</w:t>
            </w:r>
          </w:p>
        </w:tc>
        <w:tc>
          <w:tcPr>
            <w:tcW w:w="90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-105%</w:t>
            </w:r>
          </w:p>
        </w:tc>
      </w:tr>
      <w:tr>
        <w:trPr>
          <w:trHeight w:val="20"/>
        </w:trPr>
        <w:tc>
          <w:tcPr>
            <w:tcW w:w="3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112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231F20"/>
          </w:tcPr>
          <w:p>
            <w:pPr>
              <w:spacing w:after="0" w:line="20" w:lineRule="exact"/>
              <w:rPr>
                <w:sz w:val="1"/>
                <w:szCs w:val="1"/>
                <w:color w:val="auto"/>
              </w:rPr>
            </w:pPr>
          </w:p>
        </w:tc>
        <w:tc>
          <w:tcPr>
            <w:tcW w:w="96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231F20"/>
          </w:tcPr>
          <w:p>
            <w:pPr>
              <w:spacing w:after="0" w:line="20" w:lineRule="exact"/>
              <w:rPr>
                <w:sz w:val="1"/>
                <w:szCs w:val="1"/>
                <w:color w:val="auto"/>
              </w:rPr>
            </w:pPr>
          </w:p>
        </w:tc>
        <w:tc>
          <w:tcPr>
            <w:tcW w:w="1040" w:type="dxa"/>
            <w:vAlign w:val="bottom"/>
            <w:shd w:val="clear" w:color="auto" w:fill="231F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6"/>
        </w:trPr>
        <w:tc>
          <w:tcPr>
            <w:tcW w:w="3480" w:type="dxa"/>
            <w:vAlign w:val="bottom"/>
          </w:tcPr>
          <w:p>
            <w:pPr>
              <w:spacing w:after="0"/>
              <w:rPr>
                <w:sz w:val="20"/>
                <w:szCs w:val="20"/>
                <w:color w:val="auto"/>
              </w:rPr>
            </w:pPr>
            <w:r>
              <w:rPr>
                <w:rFonts w:ascii="Arial" w:cs="Arial" w:eastAsia="Arial" w:hAnsi="Arial"/>
                <w:sz w:val="19"/>
                <w:szCs w:val="19"/>
                <w:b w:val="1"/>
                <w:bCs w:val="1"/>
                <w:color w:val="231F20"/>
              </w:rPr>
              <w:t>Net loss</w:t>
            </w:r>
          </w:p>
        </w:tc>
        <w:tc>
          <w:tcPr>
            <w:tcW w:w="1080" w:type="dxa"/>
            <w:vAlign w:val="bottom"/>
          </w:tcPr>
          <w:p>
            <w:pPr>
              <w:spacing w:after="0"/>
              <w:rPr>
                <w:sz w:val="19"/>
                <w:szCs w:val="19"/>
                <w:color w:val="auto"/>
              </w:rPr>
            </w:pPr>
          </w:p>
        </w:tc>
        <w:tc>
          <w:tcPr>
            <w:tcW w:w="300" w:type="dxa"/>
            <w:vAlign w:val="bottom"/>
          </w:tcPr>
          <w:p>
            <w:pPr>
              <w:jc w:val="right"/>
              <w:ind w:right="103"/>
              <w:spacing w:after="0"/>
              <w:rPr>
                <w:sz w:val="20"/>
                <w:szCs w:val="20"/>
                <w:color w:val="auto"/>
              </w:rPr>
            </w:pPr>
            <w:r>
              <w:rPr>
                <w:rFonts w:ascii="Arial" w:cs="Arial" w:eastAsia="Arial" w:hAnsi="Arial"/>
                <w:sz w:val="19"/>
                <w:szCs w:val="19"/>
                <w:b w:val="1"/>
                <w:bCs w:val="1"/>
                <w:color w:val="231F20"/>
                <w:w w:val="75"/>
              </w:rPr>
              <w:t>$</w:t>
            </w:r>
          </w:p>
        </w:tc>
        <w:tc>
          <w:tcPr>
            <w:tcW w:w="128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231F20"/>
              </w:rPr>
              <w:t>(134,850)</w:t>
            </w:r>
          </w:p>
        </w:tc>
        <w:tc>
          <w:tcPr>
            <w:tcW w:w="560" w:type="dxa"/>
            <w:vAlign w:val="bottom"/>
            <w:gridSpan w:val="2"/>
          </w:tcPr>
          <w:p>
            <w:pPr>
              <w:jc w:val="right"/>
              <w:ind w:right="360"/>
              <w:spacing w:after="0"/>
              <w:rPr>
                <w:sz w:val="20"/>
                <w:szCs w:val="20"/>
                <w:color w:val="auto"/>
              </w:rPr>
            </w:pPr>
            <w:r>
              <w:rPr>
                <w:rFonts w:ascii="Arial" w:cs="Arial" w:eastAsia="Arial" w:hAnsi="Arial"/>
                <w:sz w:val="19"/>
                <w:szCs w:val="19"/>
                <w:b w:val="1"/>
                <w:bCs w:val="1"/>
                <w:color w:val="231F20"/>
              </w:rPr>
              <w:t>$</w:t>
            </w:r>
          </w:p>
        </w:tc>
        <w:tc>
          <w:tcPr>
            <w:tcW w:w="112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231F20"/>
              </w:rPr>
              <w:t>(160,805)</w:t>
            </w:r>
          </w:p>
        </w:tc>
        <w:tc>
          <w:tcPr>
            <w:tcW w:w="480" w:type="dxa"/>
            <w:vAlign w:val="bottom"/>
            <w:gridSpan w:val="2"/>
          </w:tcPr>
          <w:p>
            <w:pPr>
              <w:jc w:val="right"/>
              <w:ind w:right="280"/>
              <w:spacing w:after="0"/>
              <w:rPr>
                <w:sz w:val="20"/>
                <w:szCs w:val="20"/>
                <w:color w:val="auto"/>
              </w:rPr>
            </w:pPr>
            <w:r>
              <w:rPr>
                <w:rFonts w:ascii="Arial" w:cs="Arial" w:eastAsia="Arial" w:hAnsi="Arial"/>
                <w:sz w:val="19"/>
                <w:szCs w:val="19"/>
                <w:b w:val="1"/>
                <w:bCs w:val="1"/>
                <w:color w:val="231F20"/>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231F20"/>
              </w:rPr>
              <w:t>25,955</w:t>
            </w: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-11430</wp:posOffset>
            </wp:positionV>
            <wp:extent cx="3664585" cy="5461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664585" cy="54610"/>
                    </a:xfrm>
                    <a:prstGeom prst="rect">
                      <a:avLst/>
                    </a:prstGeom>
                    <a:noFill/>
                  </pic:spPr>
                </pic:pic>
              </a:graphicData>
            </a:graphic>
          </wp:anchor>
        </w:drawing>
      </w:r>
    </w:p>
    <w:p>
      <w:pPr>
        <w:sectPr>
          <w:pgSz w:w="12240" w:h="15840" w:orient="portrait"/>
          <w:cols w:equalWidth="0" w:num="1">
            <w:col w:w="10480"/>
          </w:cols>
          <w:pgMar w:left="880" w:top="1165" w:right="88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86</w:t>
      </w:r>
    </w:p>
    <w:p>
      <w:pPr>
        <w:sectPr>
          <w:pgSz w:w="12240" w:h="15840" w:orient="portrait"/>
          <w:cols w:equalWidth="0" w:num="1">
            <w:col w:w="10480"/>
          </w:cols>
          <w:pgMar w:left="880" w:top="1165" w:right="880" w:bottom="390" w:gutter="0" w:footer="0" w:header="0"/>
          <w:type w:val="continuous"/>
        </w:sectPr>
      </w:pPr>
    </w:p>
    <w:bookmarkStart w:id="94" w:name="page95"/>
    <w:bookmarkEnd w:id="94"/>
    <w:p>
      <w:pPr>
        <w:spacing w:after="0"/>
        <w:rPr>
          <w:sz w:val="20"/>
          <w:szCs w:val="20"/>
          <w:color w:val="auto"/>
        </w:rPr>
      </w:pPr>
      <w:r>
        <w:rPr>
          <w:rFonts w:ascii="Arial" w:cs="Arial" w:eastAsia="Arial" w:hAnsi="Arial"/>
          <w:sz w:val="19"/>
          <w:szCs w:val="19"/>
          <w:b w:val="1"/>
          <w:bCs w:val="1"/>
          <w:color w:val="231F20"/>
        </w:rPr>
        <w:t>Research and Development Expenses</w:t>
      </w:r>
    </w:p>
    <w:p>
      <w:pPr>
        <w:spacing w:after="0" w:line="128"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231F20"/>
        </w:rPr>
        <w:t>The following table summarizes our research and development expenses incurred for the years ended December 31, 2024 and</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2023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3"/>
          </w:tcPr>
          <w:p>
            <w:pPr>
              <w:jc w:val="right"/>
              <w:ind w:right="3"/>
              <w:spacing w:after="0"/>
              <w:rPr>
                <w:sz w:val="20"/>
                <w:szCs w:val="20"/>
                <w:color w:val="auto"/>
              </w:rPr>
            </w:pPr>
            <w:r>
              <w:rPr>
                <w:rFonts w:ascii="Arial" w:cs="Arial" w:eastAsia="Arial" w:hAnsi="Arial"/>
                <w:sz w:val="19"/>
                <w:szCs w:val="19"/>
                <w:b w:val="1"/>
                <w:bCs w:val="1"/>
                <w:color w:val="231F20"/>
              </w:rPr>
              <w:t>Year Ended</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4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840" w:type="dxa"/>
            <w:vAlign w:val="bottom"/>
            <w:tcBorders>
              <w:bottom w:val="single" w:sz="8" w:color="231F20"/>
            </w:tcBorders>
            <w:gridSpan w:val="3"/>
          </w:tcPr>
          <w:p>
            <w:pPr>
              <w:jc w:val="right"/>
              <w:spacing w:after="0"/>
              <w:rPr>
                <w:sz w:val="20"/>
                <w:szCs w:val="20"/>
                <w:color w:val="auto"/>
              </w:rPr>
            </w:pPr>
            <w:r>
              <w:rPr>
                <w:rFonts w:ascii="Arial" w:cs="Arial" w:eastAsia="Arial" w:hAnsi="Arial"/>
                <w:sz w:val="19"/>
                <w:szCs w:val="19"/>
                <w:b w:val="1"/>
                <w:bCs w:val="1"/>
                <w:color w:val="231F20"/>
              </w:rPr>
              <w:t>December 31,</w:t>
            </w:r>
          </w:p>
        </w:tc>
        <w:tc>
          <w:tcPr>
            <w:tcW w:w="960" w:type="dxa"/>
            <w:vAlign w:val="bottom"/>
            <w:tcBorders>
              <w:bottom w:val="single" w:sz="8" w:color="231F20"/>
            </w:tcBorders>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Borders>
              <w:bottom w:val="single" w:sz="8" w:color="231F20"/>
            </w:tcBorders>
          </w:tcPr>
          <w:p>
            <w:pPr>
              <w:spacing w:after="0"/>
              <w:rPr>
                <w:sz w:val="20"/>
                <w:szCs w:val="20"/>
                <w:color w:val="auto"/>
              </w:rPr>
            </w:pPr>
          </w:p>
        </w:tc>
        <w:tc>
          <w:tcPr>
            <w:tcW w:w="1260" w:type="dxa"/>
            <w:vAlign w:val="bottom"/>
            <w:tcBorders>
              <w:bottom w:val="single" w:sz="8" w:color="231F20"/>
            </w:tcBorders>
            <w:gridSpan w:val="2"/>
          </w:tcPr>
          <w:p>
            <w:pPr>
              <w:jc w:val="right"/>
              <w:ind w:right="140"/>
              <w:spacing w:after="0"/>
              <w:rPr>
                <w:sz w:val="20"/>
                <w:szCs w:val="20"/>
                <w:color w:val="auto"/>
              </w:rPr>
            </w:pPr>
            <w:r>
              <w:rPr>
                <w:rFonts w:ascii="Arial" w:cs="Arial" w:eastAsia="Arial" w:hAnsi="Arial"/>
                <w:sz w:val="19"/>
                <w:szCs w:val="19"/>
                <w:b w:val="1"/>
                <w:bCs w:val="1"/>
                <w:color w:val="231F20"/>
              </w:rPr>
              <w:t>Change</w:t>
            </w:r>
          </w:p>
        </w:tc>
        <w:tc>
          <w:tcPr>
            <w:tcW w:w="740" w:type="dxa"/>
            <w:vAlign w:val="bottom"/>
            <w:tcBorders>
              <w:bottom w:val="single" w:sz="8" w:color="231F20"/>
            </w:tcBorders>
          </w:tcPr>
          <w:p>
            <w:pPr>
              <w:spacing w:after="0"/>
              <w:rPr>
                <w:sz w:val="20"/>
                <w:szCs w:val="20"/>
                <w:color w:val="auto"/>
              </w:rPr>
            </w:pPr>
          </w:p>
        </w:tc>
        <w:tc>
          <w:tcPr>
            <w:tcW w:w="160" w:type="dxa"/>
            <w:vAlign w:val="bottom"/>
          </w:tcPr>
          <w:p>
            <w:pPr>
              <w:spacing w:after="0"/>
              <w:rPr>
                <w:sz w:val="20"/>
                <w:szCs w:val="20"/>
                <w:color w:val="auto"/>
              </w:rPr>
            </w:pPr>
          </w:p>
        </w:tc>
      </w:tr>
      <w:tr>
        <w:trPr>
          <w:trHeight w:val="226"/>
        </w:trPr>
        <w:tc>
          <w:tcPr>
            <w:tcW w:w="4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1120" w:type="dxa"/>
            <w:vAlign w:val="bottom"/>
            <w:tcBorders>
              <w:bottom w:val="single" w:sz="8" w:color="231F20"/>
            </w:tcBorders>
          </w:tcPr>
          <w:p>
            <w:pPr>
              <w:jc w:val="right"/>
              <w:ind w:right="423"/>
              <w:spacing w:after="0"/>
              <w:rPr>
                <w:sz w:val="20"/>
                <w:szCs w:val="20"/>
                <w:color w:val="auto"/>
              </w:rPr>
            </w:pPr>
            <w:r>
              <w:rPr>
                <w:rFonts w:ascii="Arial" w:cs="Arial" w:eastAsia="Arial" w:hAnsi="Arial"/>
                <w:sz w:val="19"/>
                <w:szCs w:val="19"/>
                <w:b w:val="1"/>
                <w:bCs w:val="1"/>
                <w:color w:val="231F20"/>
              </w:rPr>
              <w:t>2024</w:t>
            </w:r>
          </w:p>
        </w:tc>
        <w:tc>
          <w:tcPr>
            <w:tcW w:w="260" w:type="dxa"/>
            <w:vAlign w:val="bottom"/>
          </w:tcPr>
          <w:p>
            <w:pPr>
              <w:spacing w:after="0"/>
              <w:rPr>
                <w:sz w:val="19"/>
                <w:szCs w:val="19"/>
                <w:color w:val="auto"/>
              </w:rPr>
            </w:pPr>
          </w:p>
        </w:tc>
        <w:tc>
          <w:tcPr>
            <w:tcW w:w="460" w:type="dxa"/>
            <w:vAlign w:val="bottom"/>
            <w:tcBorders>
              <w:bottom w:val="single" w:sz="8" w:color="231F20"/>
            </w:tcBorders>
          </w:tcPr>
          <w:p>
            <w:pPr>
              <w:spacing w:after="0"/>
              <w:rPr>
                <w:sz w:val="19"/>
                <w:szCs w:val="19"/>
                <w:color w:val="auto"/>
              </w:rPr>
            </w:pPr>
          </w:p>
        </w:tc>
        <w:tc>
          <w:tcPr>
            <w:tcW w:w="960" w:type="dxa"/>
            <w:vAlign w:val="bottom"/>
            <w:tcBorders>
              <w:bottom w:val="single" w:sz="8" w:color="231F20"/>
            </w:tcBorders>
          </w:tcPr>
          <w:p>
            <w:pPr>
              <w:jc w:val="right"/>
              <w:ind w:right="423"/>
              <w:spacing w:after="0"/>
              <w:rPr>
                <w:sz w:val="20"/>
                <w:szCs w:val="20"/>
                <w:color w:val="auto"/>
              </w:rPr>
            </w:pPr>
            <w:r>
              <w:rPr>
                <w:rFonts w:ascii="Arial" w:cs="Arial" w:eastAsia="Arial" w:hAnsi="Arial"/>
                <w:sz w:val="19"/>
                <w:szCs w:val="19"/>
                <w:b w:val="1"/>
                <w:bCs w:val="1"/>
                <w:color w:val="231F20"/>
                <w:w w:val="99"/>
              </w:rPr>
              <w:t>2023</w:t>
            </w:r>
          </w:p>
        </w:tc>
        <w:tc>
          <w:tcPr>
            <w:tcW w:w="260" w:type="dxa"/>
            <w:vAlign w:val="bottom"/>
          </w:tcPr>
          <w:p>
            <w:pPr>
              <w:spacing w:after="0"/>
              <w:rPr>
                <w:sz w:val="19"/>
                <w:szCs w:val="19"/>
                <w:color w:val="auto"/>
              </w:rPr>
            </w:pPr>
          </w:p>
        </w:tc>
        <w:tc>
          <w:tcPr>
            <w:tcW w:w="380" w:type="dxa"/>
            <w:vAlign w:val="bottom"/>
            <w:tcBorders>
              <w:bottom w:val="single" w:sz="8" w:color="231F20"/>
            </w:tcBorders>
          </w:tcPr>
          <w:p>
            <w:pPr>
              <w:spacing w:after="0"/>
              <w:rPr>
                <w:sz w:val="19"/>
                <w:szCs w:val="19"/>
                <w:color w:val="auto"/>
              </w:rPr>
            </w:pPr>
          </w:p>
        </w:tc>
        <w:tc>
          <w:tcPr>
            <w:tcW w:w="1040" w:type="dxa"/>
            <w:vAlign w:val="bottom"/>
            <w:tcBorders>
              <w:bottom w:val="single" w:sz="8" w:color="231F20"/>
            </w:tcBorders>
          </w:tcPr>
          <w:p>
            <w:pPr>
              <w:jc w:val="right"/>
              <w:ind w:right="583"/>
              <w:spacing w:after="0"/>
              <w:rPr>
                <w:sz w:val="20"/>
                <w:szCs w:val="20"/>
                <w:color w:val="auto"/>
              </w:rPr>
            </w:pPr>
            <w:r>
              <w:rPr>
                <w:rFonts w:ascii="Arial" w:cs="Arial" w:eastAsia="Arial" w:hAnsi="Arial"/>
                <w:sz w:val="19"/>
                <w:szCs w:val="19"/>
                <w:b w:val="1"/>
                <w:bCs w:val="1"/>
                <w:color w:val="231F20"/>
              </w:rPr>
              <w:t>$</w:t>
            </w:r>
          </w:p>
        </w:tc>
        <w:tc>
          <w:tcPr>
            <w:tcW w:w="220" w:type="dxa"/>
            <w:vAlign w:val="bottom"/>
          </w:tcPr>
          <w:p>
            <w:pPr>
              <w:spacing w:after="0"/>
              <w:rPr>
                <w:sz w:val="19"/>
                <w:szCs w:val="19"/>
                <w:color w:val="auto"/>
              </w:rPr>
            </w:pPr>
          </w:p>
        </w:tc>
        <w:tc>
          <w:tcPr>
            <w:tcW w:w="740" w:type="dxa"/>
            <w:vAlign w:val="bottom"/>
            <w:tcBorders>
              <w:bottom w:val="single" w:sz="8" w:color="231F20"/>
            </w:tcBorders>
          </w:tcPr>
          <w:p>
            <w:pPr>
              <w:jc w:val="right"/>
              <w:ind w:right="183"/>
              <w:spacing w:after="0"/>
              <w:rPr>
                <w:sz w:val="20"/>
                <w:szCs w:val="20"/>
                <w:color w:val="auto"/>
              </w:rPr>
            </w:pPr>
            <w:r>
              <w:rPr>
                <w:rFonts w:ascii="Arial" w:cs="Arial" w:eastAsia="Arial" w:hAnsi="Arial"/>
                <w:sz w:val="19"/>
                <w:szCs w:val="19"/>
                <w:b w:val="1"/>
                <w:bCs w:val="1"/>
                <w:color w:val="231F20"/>
              </w:rPr>
              <w:t>%</w:t>
            </w:r>
          </w:p>
        </w:tc>
        <w:tc>
          <w:tcPr>
            <w:tcW w:w="160" w:type="dxa"/>
            <w:vAlign w:val="bottom"/>
          </w:tcPr>
          <w:p>
            <w:pPr>
              <w:spacing w:after="0"/>
              <w:rPr>
                <w:sz w:val="19"/>
                <w:szCs w:val="19"/>
                <w:color w:val="auto"/>
              </w:rPr>
            </w:pPr>
          </w:p>
        </w:tc>
      </w:tr>
      <w:tr>
        <w:trPr>
          <w:trHeight w:val="226"/>
        </w:trPr>
        <w:tc>
          <w:tcPr>
            <w:tcW w:w="4000" w:type="dxa"/>
            <w:vAlign w:val="bottom"/>
          </w:tcPr>
          <w:p>
            <w:pPr>
              <w:spacing w:after="0"/>
              <w:rPr>
                <w:sz w:val="20"/>
                <w:szCs w:val="20"/>
                <w:color w:val="auto"/>
              </w:rPr>
            </w:pPr>
            <w:r>
              <w:rPr>
                <w:rFonts w:ascii="Arial" w:cs="Arial" w:eastAsia="Arial" w:hAnsi="Arial"/>
                <w:sz w:val="19"/>
                <w:szCs w:val="19"/>
                <w:b w:val="1"/>
                <w:bCs w:val="1"/>
                <w:color w:val="231F20"/>
              </w:rPr>
              <w:t>Clinical and development costs</w:t>
            </w:r>
          </w:p>
        </w:tc>
        <w:tc>
          <w:tcPr>
            <w:tcW w:w="860" w:type="dxa"/>
            <w:vAlign w:val="bottom"/>
            <w:gridSpan w:val="2"/>
          </w:tcPr>
          <w:p>
            <w:pPr>
              <w:jc w:val="right"/>
              <w:ind w:right="103"/>
              <w:spacing w:after="0"/>
              <w:rPr>
                <w:sz w:val="20"/>
                <w:szCs w:val="20"/>
                <w:color w:val="auto"/>
              </w:rPr>
            </w:pPr>
            <w:r>
              <w:rPr>
                <w:rFonts w:ascii="Arial" w:cs="Arial" w:eastAsia="Arial" w:hAnsi="Arial"/>
                <w:sz w:val="19"/>
                <w:szCs w:val="19"/>
                <w:b w:val="1"/>
                <w:bCs w:val="1"/>
                <w:color w:val="231F20"/>
              </w:rPr>
              <w:t>$</w:t>
            </w:r>
          </w:p>
        </w:tc>
        <w:tc>
          <w:tcPr>
            <w:tcW w:w="1120" w:type="dxa"/>
            <w:vAlign w:val="bottom"/>
          </w:tcPr>
          <w:p>
            <w:pPr>
              <w:jc w:val="right"/>
              <w:spacing w:after="0"/>
              <w:rPr>
                <w:sz w:val="20"/>
                <w:szCs w:val="20"/>
                <w:color w:val="auto"/>
              </w:rPr>
            </w:pPr>
            <w:r>
              <w:rPr>
                <w:rFonts w:ascii="Arial" w:cs="Arial" w:eastAsia="Arial" w:hAnsi="Arial"/>
                <w:sz w:val="19"/>
                <w:szCs w:val="19"/>
                <w:b w:val="1"/>
                <w:bCs w:val="1"/>
                <w:color w:val="231F20"/>
              </w:rPr>
              <w:t>61,868</w:t>
            </w:r>
          </w:p>
        </w:tc>
        <w:tc>
          <w:tcPr>
            <w:tcW w:w="720" w:type="dxa"/>
            <w:vAlign w:val="bottom"/>
            <w:gridSpan w:val="2"/>
          </w:tcPr>
          <w:p>
            <w:pPr>
              <w:jc w:val="right"/>
              <w:ind w:right="263"/>
              <w:spacing w:after="0"/>
              <w:rPr>
                <w:sz w:val="20"/>
                <w:szCs w:val="20"/>
                <w:color w:val="auto"/>
              </w:rPr>
            </w:pPr>
            <w:r>
              <w:rPr>
                <w:rFonts w:ascii="Arial" w:cs="Arial" w:eastAsia="Arial" w:hAnsi="Arial"/>
                <w:sz w:val="19"/>
                <w:szCs w:val="19"/>
                <w:b w:val="1"/>
                <w:bCs w:val="1"/>
                <w:color w:val="231F20"/>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231F20"/>
              </w:rPr>
              <w:t>99,362</w:t>
            </w:r>
          </w:p>
        </w:tc>
        <w:tc>
          <w:tcPr>
            <w:tcW w:w="640" w:type="dxa"/>
            <w:vAlign w:val="bottom"/>
            <w:gridSpan w:val="2"/>
          </w:tcPr>
          <w:p>
            <w:pPr>
              <w:jc w:val="right"/>
              <w:ind w:right="183"/>
              <w:spacing w:after="0"/>
              <w:rPr>
                <w:sz w:val="20"/>
                <w:szCs w:val="20"/>
                <w:color w:val="auto"/>
              </w:rPr>
            </w:pPr>
            <w:r>
              <w:rPr>
                <w:rFonts w:ascii="Arial" w:cs="Arial" w:eastAsia="Arial" w:hAnsi="Arial"/>
                <w:sz w:val="19"/>
                <w:szCs w:val="19"/>
                <w:b w:val="1"/>
                <w:bCs w:val="1"/>
                <w:color w:val="231F20"/>
              </w:rPr>
              <w:t>$</w:t>
            </w:r>
          </w:p>
        </w:tc>
        <w:tc>
          <w:tcPr>
            <w:tcW w:w="126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231F20"/>
              </w:rPr>
              <w:t>(37,494)</w:t>
            </w:r>
          </w:p>
        </w:tc>
        <w:tc>
          <w:tcPr>
            <w:tcW w:w="900" w:type="dxa"/>
            <w:vAlign w:val="bottom"/>
            <w:gridSpan w:val="2"/>
          </w:tcPr>
          <w:p>
            <w:pPr>
              <w:jc w:val="right"/>
              <w:spacing w:after="0"/>
              <w:rPr>
                <w:sz w:val="20"/>
                <w:szCs w:val="20"/>
                <w:color w:val="auto"/>
              </w:rPr>
            </w:pPr>
            <w:r>
              <w:rPr>
                <w:rFonts w:ascii="Arial" w:cs="Arial" w:eastAsia="Arial" w:hAnsi="Arial"/>
                <w:sz w:val="19"/>
                <w:szCs w:val="19"/>
                <w:b w:val="1"/>
                <w:bCs w:val="1"/>
                <w:color w:val="231F20"/>
              </w:rPr>
              <w:t>-38%</w:t>
            </w:r>
          </w:p>
        </w:tc>
      </w:tr>
      <w:tr>
        <w:trPr>
          <w:trHeight w:val="235"/>
        </w:trPr>
        <w:tc>
          <w:tcPr>
            <w:tcW w:w="4000" w:type="dxa"/>
            <w:vAlign w:val="bottom"/>
          </w:tcPr>
          <w:p>
            <w:pPr>
              <w:spacing w:after="0"/>
              <w:rPr>
                <w:sz w:val="20"/>
                <w:szCs w:val="20"/>
                <w:color w:val="auto"/>
              </w:rPr>
            </w:pPr>
            <w:r>
              <w:rPr>
                <w:rFonts w:ascii="Arial" w:cs="Arial" w:eastAsia="Arial" w:hAnsi="Arial"/>
                <w:sz w:val="19"/>
                <w:szCs w:val="19"/>
                <w:b w:val="1"/>
                <w:bCs w:val="1"/>
                <w:color w:val="231F20"/>
              </w:rPr>
              <w:t>Preclinical costs</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9"/>
                <w:szCs w:val="19"/>
                <w:b w:val="1"/>
                <w:bCs w:val="1"/>
                <w:color w:val="231F20"/>
              </w:rPr>
              <w:t>6,717</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231F20"/>
              </w:rPr>
              <w:t>3,682</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231F20"/>
              </w:rPr>
              <w:t>3,035</w:t>
            </w: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9"/>
                <w:szCs w:val="19"/>
                <w:b w:val="1"/>
                <w:bCs w:val="1"/>
                <w:color w:val="231F20"/>
              </w:rPr>
              <w:t>82%</w:t>
            </w:r>
          </w:p>
        </w:tc>
      </w:tr>
      <w:tr>
        <w:trPr>
          <w:trHeight w:val="238"/>
        </w:trPr>
        <w:tc>
          <w:tcPr>
            <w:tcW w:w="4000" w:type="dxa"/>
            <w:vAlign w:val="bottom"/>
          </w:tcPr>
          <w:p>
            <w:pPr>
              <w:spacing w:after="0"/>
              <w:rPr>
                <w:sz w:val="20"/>
                <w:szCs w:val="20"/>
                <w:color w:val="auto"/>
              </w:rPr>
            </w:pPr>
            <w:r>
              <w:rPr>
                <w:rFonts w:ascii="Arial" w:cs="Arial" w:eastAsia="Arial" w:hAnsi="Arial"/>
                <w:sz w:val="19"/>
                <w:szCs w:val="19"/>
                <w:b w:val="1"/>
                <w:bCs w:val="1"/>
                <w:color w:val="231F20"/>
              </w:rPr>
              <w:t>Personnel and related costs</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9"/>
                <w:szCs w:val="19"/>
                <w:b w:val="1"/>
                <w:bCs w:val="1"/>
                <w:color w:val="231F20"/>
              </w:rPr>
              <w:t>23,085</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231F20"/>
              </w:rPr>
              <w:t>19,407</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231F20"/>
              </w:rPr>
              <w:t>3,678</w:t>
            </w: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19%</w:t>
            </w:r>
          </w:p>
        </w:tc>
      </w:tr>
      <w:tr>
        <w:trPr>
          <w:trHeight w:val="238"/>
        </w:trPr>
        <w:tc>
          <w:tcPr>
            <w:tcW w:w="4000" w:type="dxa"/>
            <w:vAlign w:val="bottom"/>
          </w:tcPr>
          <w:p>
            <w:pPr>
              <w:spacing w:after="0"/>
              <w:rPr>
                <w:sz w:val="20"/>
                <w:szCs w:val="20"/>
                <w:color w:val="auto"/>
              </w:rPr>
            </w:pPr>
            <w:r>
              <w:rPr>
                <w:rFonts w:ascii="Arial" w:cs="Arial" w:eastAsia="Arial" w:hAnsi="Arial"/>
                <w:sz w:val="19"/>
                <w:szCs w:val="19"/>
                <w:b w:val="1"/>
                <w:bCs w:val="1"/>
                <w:color w:val="231F20"/>
              </w:rPr>
              <w:t>Stock-based compensation expense</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9"/>
                <w:szCs w:val="19"/>
                <w:b w:val="1"/>
                <w:bCs w:val="1"/>
                <w:color w:val="231F20"/>
              </w:rPr>
              <w:t>18,490</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231F20"/>
              </w:rPr>
              <w:t>14,665</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231F20"/>
              </w:rPr>
              <w:t>3,825</w:t>
            </w: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9"/>
                <w:szCs w:val="19"/>
                <w:b w:val="1"/>
                <w:bCs w:val="1"/>
                <w:color w:val="231F20"/>
              </w:rPr>
              <w:t>26%</w:t>
            </w:r>
          </w:p>
        </w:tc>
      </w:tr>
      <w:tr>
        <w:trPr>
          <w:trHeight w:val="236"/>
        </w:trPr>
        <w:tc>
          <w:tcPr>
            <w:tcW w:w="4000" w:type="dxa"/>
            <w:vAlign w:val="bottom"/>
          </w:tcPr>
          <w:p>
            <w:pPr>
              <w:spacing w:after="0"/>
              <w:rPr>
                <w:sz w:val="20"/>
                <w:szCs w:val="20"/>
                <w:color w:val="auto"/>
              </w:rPr>
            </w:pPr>
            <w:r>
              <w:rPr>
                <w:rFonts w:ascii="Arial" w:cs="Arial" w:eastAsia="Arial" w:hAnsi="Arial"/>
                <w:sz w:val="19"/>
                <w:szCs w:val="19"/>
                <w:b w:val="1"/>
                <w:bCs w:val="1"/>
                <w:color w:val="231F20"/>
              </w:rPr>
              <w:t>Other research costs</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9"/>
                <w:szCs w:val="19"/>
                <w:b w:val="1"/>
                <w:bCs w:val="1"/>
                <w:color w:val="231F20"/>
              </w:rPr>
              <w:t>6,213</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231F20"/>
              </w:rPr>
              <w:t>4,679</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231F20"/>
              </w:rPr>
              <w:t>1,534</w:t>
            </w: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9"/>
                <w:szCs w:val="19"/>
                <w:b w:val="1"/>
                <w:bCs w:val="1"/>
                <w:color w:val="231F20"/>
              </w:rPr>
              <w:t>33%</w:t>
            </w:r>
          </w:p>
        </w:tc>
      </w:tr>
      <w:tr>
        <w:trPr>
          <w:trHeight w:val="20"/>
        </w:trPr>
        <w:tc>
          <w:tcPr>
            <w:tcW w:w="4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1120" w:type="dxa"/>
            <w:vAlign w:val="bottom"/>
            <w:shd w:val="clear" w:color="auto" w:fill="231F2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231F20"/>
          </w:tcPr>
          <w:p>
            <w:pPr>
              <w:spacing w:after="0" w:line="20" w:lineRule="exact"/>
              <w:rPr>
                <w:sz w:val="1"/>
                <w:szCs w:val="1"/>
                <w:color w:val="auto"/>
              </w:rPr>
            </w:pPr>
          </w:p>
        </w:tc>
        <w:tc>
          <w:tcPr>
            <w:tcW w:w="960" w:type="dxa"/>
            <w:vAlign w:val="bottom"/>
            <w:shd w:val="clear" w:color="auto" w:fill="231F2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231F20"/>
          </w:tcPr>
          <w:p>
            <w:pPr>
              <w:spacing w:after="0" w:line="20" w:lineRule="exact"/>
              <w:rPr>
                <w:sz w:val="1"/>
                <w:szCs w:val="1"/>
                <w:color w:val="auto"/>
              </w:rPr>
            </w:pPr>
          </w:p>
        </w:tc>
        <w:tc>
          <w:tcPr>
            <w:tcW w:w="1040" w:type="dxa"/>
            <w:vAlign w:val="bottom"/>
            <w:shd w:val="clear" w:color="auto" w:fill="231F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6"/>
        </w:trPr>
        <w:tc>
          <w:tcPr>
            <w:tcW w:w="4000" w:type="dxa"/>
            <w:vAlign w:val="bottom"/>
          </w:tcPr>
          <w:p>
            <w:pPr>
              <w:ind w:left="200"/>
              <w:spacing w:after="0"/>
              <w:rPr>
                <w:sz w:val="20"/>
                <w:szCs w:val="20"/>
                <w:color w:val="auto"/>
              </w:rPr>
            </w:pPr>
            <w:r>
              <w:rPr>
                <w:rFonts w:ascii="Arial" w:cs="Arial" w:eastAsia="Arial" w:hAnsi="Arial"/>
                <w:sz w:val="19"/>
                <w:szCs w:val="19"/>
                <w:b w:val="1"/>
                <w:bCs w:val="1"/>
                <w:color w:val="231F20"/>
                <w:w w:val="98"/>
              </w:rPr>
              <w:t>Total research and development expenses</w:t>
            </w:r>
          </w:p>
        </w:tc>
        <w:tc>
          <w:tcPr>
            <w:tcW w:w="560" w:type="dxa"/>
            <w:vAlign w:val="bottom"/>
          </w:tcPr>
          <w:p>
            <w:pPr>
              <w:spacing w:after="0"/>
              <w:rPr>
                <w:sz w:val="19"/>
                <w:szCs w:val="19"/>
                <w:color w:val="auto"/>
              </w:rPr>
            </w:pPr>
          </w:p>
        </w:tc>
        <w:tc>
          <w:tcPr>
            <w:tcW w:w="300" w:type="dxa"/>
            <w:vAlign w:val="bottom"/>
          </w:tcPr>
          <w:p>
            <w:pPr>
              <w:jc w:val="right"/>
              <w:ind w:right="103"/>
              <w:spacing w:after="0"/>
              <w:rPr>
                <w:sz w:val="20"/>
                <w:szCs w:val="20"/>
                <w:color w:val="auto"/>
              </w:rPr>
            </w:pPr>
            <w:r>
              <w:rPr>
                <w:rFonts w:ascii="Arial" w:cs="Arial" w:eastAsia="Arial" w:hAnsi="Arial"/>
                <w:sz w:val="19"/>
                <w:szCs w:val="19"/>
                <w:b w:val="1"/>
                <w:bCs w:val="1"/>
                <w:color w:val="231F20"/>
                <w:w w:val="75"/>
              </w:rPr>
              <w:t>$</w:t>
            </w:r>
          </w:p>
        </w:tc>
        <w:tc>
          <w:tcPr>
            <w:tcW w:w="1120" w:type="dxa"/>
            <w:vAlign w:val="bottom"/>
          </w:tcPr>
          <w:p>
            <w:pPr>
              <w:jc w:val="right"/>
              <w:spacing w:after="0"/>
              <w:rPr>
                <w:sz w:val="20"/>
                <w:szCs w:val="20"/>
                <w:color w:val="auto"/>
              </w:rPr>
            </w:pPr>
            <w:r>
              <w:rPr>
                <w:rFonts w:ascii="Arial" w:cs="Arial" w:eastAsia="Arial" w:hAnsi="Arial"/>
                <w:sz w:val="19"/>
                <w:szCs w:val="19"/>
                <w:b w:val="1"/>
                <w:bCs w:val="1"/>
                <w:color w:val="231F20"/>
              </w:rPr>
              <w:t>116,373</w:t>
            </w:r>
          </w:p>
        </w:tc>
        <w:tc>
          <w:tcPr>
            <w:tcW w:w="260" w:type="dxa"/>
            <w:vAlign w:val="bottom"/>
          </w:tcPr>
          <w:p>
            <w:pPr>
              <w:spacing w:after="0"/>
              <w:rPr>
                <w:sz w:val="19"/>
                <w:szCs w:val="19"/>
                <w:color w:val="auto"/>
              </w:rPr>
            </w:pPr>
          </w:p>
        </w:tc>
        <w:tc>
          <w:tcPr>
            <w:tcW w:w="460" w:type="dxa"/>
            <w:vAlign w:val="bottom"/>
          </w:tcPr>
          <w:p>
            <w:pPr>
              <w:jc w:val="right"/>
              <w:ind w:right="263"/>
              <w:spacing w:after="0"/>
              <w:rPr>
                <w:sz w:val="20"/>
                <w:szCs w:val="20"/>
                <w:color w:val="auto"/>
              </w:rPr>
            </w:pPr>
            <w:r>
              <w:rPr>
                <w:rFonts w:ascii="Arial" w:cs="Arial" w:eastAsia="Arial" w:hAnsi="Arial"/>
                <w:sz w:val="19"/>
                <w:szCs w:val="19"/>
                <w:b w:val="1"/>
                <w:bCs w:val="1"/>
                <w:color w:val="231F20"/>
                <w:w w:val="75"/>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231F20"/>
              </w:rPr>
              <w:t>141,795</w:t>
            </w:r>
          </w:p>
        </w:tc>
        <w:tc>
          <w:tcPr>
            <w:tcW w:w="260" w:type="dxa"/>
            <w:vAlign w:val="bottom"/>
          </w:tcPr>
          <w:p>
            <w:pPr>
              <w:spacing w:after="0"/>
              <w:rPr>
                <w:sz w:val="19"/>
                <w:szCs w:val="19"/>
                <w:color w:val="auto"/>
              </w:rPr>
            </w:pPr>
          </w:p>
        </w:tc>
        <w:tc>
          <w:tcPr>
            <w:tcW w:w="380" w:type="dxa"/>
            <w:vAlign w:val="bottom"/>
          </w:tcPr>
          <w:p>
            <w:pPr>
              <w:jc w:val="right"/>
              <w:ind w:right="183"/>
              <w:spacing w:after="0"/>
              <w:rPr>
                <w:sz w:val="20"/>
                <w:szCs w:val="20"/>
                <w:color w:val="auto"/>
              </w:rPr>
            </w:pPr>
            <w:r>
              <w:rPr>
                <w:rFonts w:ascii="Arial" w:cs="Arial" w:eastAsia="Arial" w:hAnsi="Arial"/>
                <w:sz w:val="19"/>
                <w:szCs w:val="19"/>
                <w:b w:val="1"/>
                <w:bCs w:val="1"/>
                <w:color w:val="231F20"/>
                <w:w w:val="75"/>
              </w:rPr>
              <w:t>$</w:t>
            </w:r>
          </w:p>
        </w:tc>
        <w:tc>
          <w:tcPr>
            <w:tcW w:w="126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231F20"/>
              </w:rPr>
              <w:t>(25,422)</w:t>
            </w:r>
          </w:p>
        </w:tc>
        <w:tc>
          <w:tcPr>
            <w:tcW w:w="90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-11430</wp:posOffset>
            </wp:positionV>
            <wp:extent cx="3664585" cy="5461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664585" cy="54610"/>
                    </a:xfrm>
                    <a:prstGeom prst="rect">
                      <a:avLst/>
                    </a:prstGeom>
                    <a:noFill/>
                  </pic:spPr>
                </pic:pic>
              </a:graphicData>
            </a:graphic>
          </wp:anchor>
        </w:drawing>
      </w:r>
    </w:p>
    <w:p>
      <w:pPr>
        <w:spacing w:after="0" w:line="151" w:lineRule="exact"/>
        <w:rPr>
          <w:sz w:val="20"/>
          <w:szCs w:val="20"/>
          <w:color w:val="auto"/>
        </w:rPr>
      </w:pPr>
    </w:p>
    <w:p>
      <w:pPr>
        <w:ind w:right="60" w:firstLine="475"/>
        <w:spacing w:after="0" w:line="275" w:lineRule="auto"/>
        <w:rPr>
          <w:sz w:val="20"/>
          <w:szCs w:val="20"/>
          <w:color w:val="auto"/>
        </w:rPr>
      </w:pPr>
      <w:r>
        <w:rPr>
          <w:rFonts w:ascii="Arial" w:cs="Arial" w:eastAsia="Arial" w:hAnsi="Arial"/>
          <w:sz w:val="17"/>
          <w:szCs w:val="17"/>
          <w:b w:val="1"/>
          <w:bCs w:val="1"/>
          <w:color w:val="231F20"/>
        </w:rPr>
        <w:t>Research and development (R&amp;D) expenses decreased by $25.4 million for the year ended December 31, 2024 compared to the year ended December 31, 2023. The decrease was primarily attributable to a decrease of $37.5 million in clinical and development costs due to manufacturing of clinical trial materials, the majority of which was completed in early 2024, to support active clinical trials for our lead product candidate, evorpacept. This decrease was offset by (i) an increase of $3.8 million in stock-based compensation expense of which $2.6 million was due to a change in classification from the comparative periods of stock-based compensation from G&amp;A to R&amp;D as a result of the change in roles for our former Chief Executive Officer who transitioned to Chief Scientific Officer in September 2023 and the remaining amounts were due to a full year of expense for awards granted during the year ended December 31, 2023 as well as additional awards granted since December 31, 2023, (ii) an increase of $3.7 million in personnel and related costs primarily driven by headcount growth and severance costs, (iii) an increase of $3.0 million in preclinical costs for development of new targets, and (iv) an increase of $1.5 million in other research costs, of which $1.0 million was due to a development milestone payment to ScalmiBio stockholders and of which $0.5 million was due to increase in finance lease amortization costs due to modification.</w:t>
      </w:r>
    </w:p>
    <w:p>
      <w:pPr>
        <w:spacing w:after="0" w:line="103" w:lineRule="exact"/>
        <w:rPr>
          <w:sz w:val="20"/>
          <w:szCs w:val="20"/>
          <w:color w:val="auto"/>
        </w:rPr>
      </w:pPr>
    </w:p>
    <w:p>
      <w:pPr>
        <w:ind w:right="260" w:firstLine="475"/>
        <w:spacing w:after="0" w:line="239" w:lineRule="auto"/>
        <w:rPr>
          <w:sz w:val="20"/>
          <w:szCs w:val="20"/>
          <w:color w:val="auto"/>
        </w:rPr>
      </w:pPr>
      <w:r>
        <w:rPr>
          <w:rFonts w:ascii="Arial" w:cs="Arial" w:eastAsia="Arial" w:hAnsi="Arial"/>
          <w:sz w:val="19"/>
          <w:szCs w:val="19"/>
          <w:b w:val="1"/>
          <w:bCs w:val="1"/>
          <w:color w:val="231F20"/>
        </w:rPr>
        <w:t>The future trend of our R&amp;D expenses is dependent on our decision-making on which indications to pursue for future clinical development and the costs, timing, and outcomes of any future clinical trials.</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General and Administrative Expenses</w:t>
      </w:r>
    </w:p>
    <w:p>
      <w:pPr>
        <w:spacing w:after="0" w:line="128"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231F20"/>
        </w:rPr>
        <w:t>The following table summarizes our general and administrative expenses incurred for the years ended December 31, 2024 and</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2023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gridSpan w:val="3"/>
          </w:tcPr>
          <w:p>
            <w:pPr>
              <w:jc w:val="right"/>
              <w:ind w:right="3"/>
              <w:spacing w:after="0"/>
              <w:rPr>
                <w:sz w:val="20"/>
                <w:szCs w:val="20"/>
                <w:color w:val="auto"/>
              </w:rPr>
            </w:pPr>
            <w:r>
              <w:rPr>
                <w:rFonts w:ascii="Arial" w:cs="Arial" w:eastAsia="Arial" w:hAnsi="Arial"/>
                <w:sz w:val="19"/>
                <w:szCs w:val="19"/>
                <w:b w:val="1"/>
                <w:bCs w:val="1"/>
                <w:color w:val="231F20"/>
              </w:rPr>
              <w:t>Year Ended</w:t>
            </w: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6"/>
        </w:trPr>
        <w:tc>
          <w:tcPr>
            <w:tcW w:w="4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840" w:type="dxa"/>
            <w:vAlign w:val="bottom"/>
            <w:tcBorders>
              <w:bottom w:val="single" w:sz="8" w:color="231F20"/>
            </w:tcBorders>
            <w:gridSpan w:val="3"/>
          </w:tcPr>
          <w:p>
            <w:pPr>
              <w:jc w:val="right"/>
              <w:spacing w:after="0"/>
              <w:rPr>
                <w:sz w:val="20"/>
                <w:szCs w:val="20"/>
                <w:color w:val="auto"/>
              </w:rPr>
            </w:pPr>
            <w:r>
              <w:rPr>
                <w:rFonts w:ascii="Arial" w:cs="Arial" w:eastAsia="Arial" w:hAnsi="Arial"/>
                <w:sz w:val="19"/>
                <w:szCs w:val="19"/>
                <w:b w:val="1"/>
                <w:bCs w:val="1"/>
                <w:color w:val="231F20"/>
              </w:rPr>
              <w:t>December 31,</w:t>
            </w:r>
          </w:p>
        </w:tc>
        <w:tc>
          <w:tcPr>
            <w:tcW w:w="960" w:type="dxa"/>
            <w:vAlign w:val="bottom"/>
            <w:tcBorders>
              <w:bottom w:val="single" w:sz="8" w:color="231F20"/>
            </w:tcBorders>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Borders>
              <w:bottom w:val="single" w:sz="8" w:color="231F20"/>
            </w:tcBorders>
          </w:tcPr>
          <w:p>
            <w:pPr>
              <w:spacing w:after="0"/>
              <w:rPr>
                <w:sz w:val="20"/>
                <w:szCs w:val="20"/>
                <w:color w:val="auto"/>
              </w:rPr>
            </w:pPr>
          </w:p>
        </w:tc>
        <w:tc>
          <w:tcPr>
            <w:tcW w:w="1260" w:type="dxa"/>
            <w:vAlign w:val="bottom"/>
            <w:tcBorders>
              <w:bottom w:val="single" w:sz="8" w:color="231F20"/>
            </w:tcBorders>
            <w:gridSpan w:val="2"/>
          </w:tcPr>
          <w:p>
            <w:pPr>
              <w:jc w:val="right"/>
              <w:ind w:right="140"/>
              <w:spacing w:after="0"/>
              <w:rPr>
                <w:sz w:val="20"/>
                <w:szCs w:val="20"/>
                <w:color w:val="auto"/>
              </w:rPr>
            </w:pPr>
            <w:r>
              <w:rPr>
                <w:rFonts w:ascii="Arial" w:cs="Arial" w:eastAsia="Arial" w:hAnsi="Arial"/>
                <w:sz w:val="19"/>
                <w:szCs w:val="19"/>
                <w:b w:val="1"/>
                <w:bCs w:val="1"/>
                <w:color w:val="231F20"/>
              </w:rPr>
              <w:t>Change</w:t>
            </w:r>
          </w:p>
        </w:tc>
        <w:tc>
          <w:tcPr>
            <w:tcW w:w="740" w:type="dxa"/>
            <w:vAlign w:val="bottom"/>
            <w:tcBorders>
              <w:bottom w:val="single" w:sz="8" w:color="231F20"/>
            </w:tcBorders>
          </w:tcPr>
          <w:p>
            <w:pPr>
              <w:spacing w:after="0"/>
              <w:rPr>
                <w:sz w:val="20"/>
                <w:szCs w:val="20"/>
                <w:color w:val="auto"/>
              </w:rPr>
            </w:pPr>
          </w:p>
        </w:tc>
        <w:tc>
          <w:tcPr>
            <w:tcW w:w="160" w:type="dxa"/>
            <w:vAlign w:val="bottom"/>
          </w:tcPr>
          <w:p>
            <w:pPr>
              <w:spacing w:after="0"/>
              <w:rPr>
                <w:sz w:val="20"/>
                <w:szCs w:val="20"/>
                <w:color w:val="auto"/>
              </w:rPr>
            </w:pPr>
          </w:p>
        </w:tc>
      </w:tr>
      <w:tr>
        <w:trPr>
          <w:trHeight w:val="227"/>
        </w:trPr>
        <w:tc>
          <w:tcPr>
            <w:tcW w:w="4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1120" w:type="dxa"/>
            <w:vAlign w:val="bottom"/>
            <w:tcBorders>
              <w:bottom w:val="single" w:sz="8" w:color="231F20"/>
            </w:tcBorders>
          </w:tcPr>
          <w:p>
            <w:pPr>
              <w:jc w:val="right"/>
              <w:ind w:right="423"/>
              <w:spacing w:after="0"/>
              <w:rPr>
                <w:sz w:val="20"/>
                <w:szCs w:val="20"/>
                <w:color w:val="auto"/>
              </w:rPr>
            </w:pPr>
            <w:r>
              <w:rPr>
                <w:rFonts w:ascii="Arial" w:cs="Arial" w:eastAsia="Arial" w:hAnsi="Arial"/>
                <w:sz w:val="19"/>
                <w:szCs w:val="19"/>
                <w:b w:val="1"/>
                <w:bCs w:val="1"/>
                <w:color w:val="231F20"/>
              </w:rPr>
              <w:t>2024</w:t>
            </w:r>
          </w:p>
        </w:tc>
        <w:tc>
          <w:tcPr>
            <w:tcW w:w="260" w:type="dxa"/>
            <w:vAlign w:val="bottom"/>
          </w:tcPr>
          <w:p>
            <w:pPr>
              <w:spacing w:after="0"/>
              <w:rPr>
                <w:sz w:val="19"/>
                <w:szCs w:val="19"/>
                <w:color w:val="auto"/>
              </w:rPr>
            </w:pPr>
          </w:p>
        </w:tc>
        <w:tc>
          <w:tcPr>
            <w:tcW w:w="460" w:type="dxa"/>
            <w:vAlign w:val="bottom"/>
            <w:tcBorders>
              <w:bottom w:val="single" w:sz="8" w:color="231F20"/>
            </w:tcBorders>
          </w:tcPr>
          <w:p>
            <w:pPr>
              <w:spacing w:after="0"/>
              <w:rPr>
                <w:sz w:val="19"/>
                <w:szCs w:val="19"/>
                <w:color w:val="auto"/>
              </w:rPr>
            </w:pPr>
          </w:p>
        </w:tc>
        <w:tc>
          <w:tcPr>
            <w:tcW w:w="960" w:type="dxa"/>
            <w:vAlign w:val="bottom"/>
            <w:tcBorders>
              <w:bottom w:val="single" w:sz="8" w:color="231F20"/>
            </w:tcBorders>
          </w:tcPr>
          <w:p>
            <w:pPr>
              <w:jc w:val="right"/>
              <w:ind w:right="423"/>
              <w:spacing w:after="0"/>
              <w:rPr>
                <w:sz w:val="20"/>
                <w:szCs w:val="20"/>
                <w:color w:val="auto"/>
              </w:rPr>
            </w:pPr>
            <w:r>
              <w:rPr>
                <w:rFonts w:ascii="Arial" w:cs="Arial" w:eastAsia="Arial" w:hAnsi="Arial"/>
                <w:sz w:val="19"/>
                <w:szCs w:val="19"/>
                <w:b w:val="1"/>
                <w:bCs w:val="1"/>
                <w:color w:val="231F20"/>
                <w:w w:val="99"/>
              </w:rPr>
              <w:t>2023</w:t>
            </w:r>
          </w:p>
        </w:tc>
        <w:tc>
          <w:tcPr>
            <w:tcW w:w="260" w:type="dxa"/>
            <w:vAlign w:val="bottom"/>
          </w:tcPr>
          <w:p>
            <w:pPr>
              <w:spacing w:after="0"/>
              <w:rPr>
                <w:sz w:val="19"/>
                <w:szCs w:val="19"/>
                <w:color w:val="auto"/>
              </w:rPr>
            </w:pPr>
          </w:p>
        </w:tc>
        <w:tc>
          <w:tcPr>
            <w:tcW w:w="380" w:type="dxa"/>
            <w:vAlign w:val="bottom"/>
            <w:tcBorders>
              <w:bottom w:val="single" w:sz="8" w:color="231F20"/>
            </w:tcBorders>
          </w:tcPr>
          <w:p>
            <w:pPr>
              <w:spacing w:after="0"/>
              <w:rPr>
                <w:sz w:val="19"/>
                <w:szCs w:val="19"/>
                <w:color w:val="auto"/>
              </w:rPr>
            </w:pPr>
          </w:p>
        </w:tc>
        <w:tc>
          <w:tcPr>
            <w:tcW w:w="1040" w:type="dxa"/>
            <w:vAlign w:val="bottom"/>
            <w:tcBorders>
              <w:bottom w:val="single" w:sz="8" w:color="231F20"/>
            </w:tcBorders>
          </w:tcPr>
          <w:p>
            <w:pPr>
              <w:jc w:val="right"/>
              <w:ind w:right="583"/>
              <w:spacing w:after="0"/>
              <w:rPr>
                <w:sz w:val="20"/>
                <w:szCs w:val="20"/>
                <w:color w:val="auto"/>
              </w:rPr>
            </w:pPr>
            <w:r>
              <w:rPr>
                <w:rFonts w:ascii="Arial" w:cs="Arial" w:eastAsia="Arial" w:hAnsi="Arial"/>
                <w:sz w:val="19"/>
                <w:szCs w:val="19"/>
                <w:b w:val="1"/>
                <w:bCs w:val="1"/>
                <w:color w:val="231F20"/>
              </w:rPr>
              <w:t>$</w:t>
            </w:r>
          </w:p>
        </w:tc>
        <w:tc>
          <w:tcPr>
            <w:tcW w:w="220" w:type="dxa"/>
            <w:vAlign w:val="bottom"/>
          </w:tcPr>
          <w:p>
            <w:pPr>
              <w:spacing w:after="0"/>
              <w:rPr>
                <w:sz w:val="19"/>
                <w:szCs w:val="19"/>
                <w:color w:val="auto"/>
              </w:rPr>
            </w:pPr>
          </w:p>
        </w:tc>
        <w:tc>
          <w:tcPr>
            <w:tcW w:w="740" w:type="dxa"/>
            <w:vAlign w:val="bottom"/>
            <w:tcBorders>
              <w:bottom w:val="single" w:sz="8" w:color="231F20"/>
            </w:tcBorders>
          </w:tcPr>
          <w:p>
            <w:pPr>
              <w:jc w:val="right"/>
              <w:ind w:right="183"/>
              <w:spacing w:after="0"/>
              <w:rPr>
                <w:sz w:val="20"/>
                <w:szCs w:val="20"/>
                <w:color w:val="auto"/>
              </w:rPr>
            </w:pPr>
            <w:r>
              <w:rPr>
                <w:rFonts w:ascii="Arial" w:cs="Arial" w:eastAsia="Arial" w:hAnsi="Arial"/>
                <w:sz w:val="19"/>
                <w:szCs w:val="19"/>
                <w:b w:val="1"/>
                <w:bCs w:val="1"/>
                <w:color w:val="231F20"/>
              </w:rPr>
              <w:t>%</w:t>
            </w:r>
          </w:p>
        </w:tc>
        <w:tc>
          <w:tcPr>
            <w:tcW w:w="160" w:type="dxa"/>
            <w:vAlign w:val="bottom"/>
          </w:tcPr>
          <w:p>
            <w:pPr>
              <w:spacing w:after="0"/>
              <w:rPr>
                <w:sz w:val="19"/>
                <w:szCs w:val="19"/>
                <w:color w:val="auto"/>
              </w:rPr>
            </w:pPr>
          </w:p>
        </w:tc>
      </w:tr>
      <w:tr>
        <w:trPr>
          <w:trHeight w:val="226"/>
        </w:trPr>
        <w:tc>
          <w:tcPr>
            <w:tcW w:w="4020" w:type="dxa"/>
            <w:vAlign w:val="bottom"/>
          </w:tcPr>
          <w:p>
            <w:pPr>
              <w:spacing w:after="0"/>
              <w:rPr>
                <w:sz w:val="20"/>
                <w:szCs w:val="20"/>
                <w:color w:val="auto"/>
              </w:rPr>
            </w:pPr>
            <w:r>
              <w:rPr>
                <w:rFonts w:ascii="Arial" w:cs="Arial" w:eastAsia="Arial" w:hAnsi="Arial"/>
                <w:sz w:val="19"/>
                <w:szCs w:val="19"/>
                <w:b w:val="1"/>
                <w:bCs w:val="1"/>
                <w:color w:val="231F20"/>
              </w:rPr>
              <w:t>Personnel and related costs</w:t>
            </w:r>
          </w:p>
        </w:tc>
        <w:tc>
          <w:tcPr>
            <w:tcW w:w="840" w:type="dxa"/>
            <w:vAlign w:val="bottom"/>
            <w:gridSpan w:val="2"/>
          </w:tcPr>
          <w:p>
            <w:pPr>
              <w:jc w:val="right"/>
              <w:ind w:right="103"/>
              <w:spacing w:after="0"/>
              <w:rPr>
                <w:sz w:val="20"/>
                <w:szCs w:val="20"/>
                <w:color w:val="auto"/>
              </w:rPr>
            </w:pPr>
            <w:r>
              <w:rPr>
                <w:rFonts w:ascii="Arial" w:cs="Arial" w:eastAsia="Arial" w:hAnsi="Arial"/>
                <w:sz w:val="19"/>
                <w:szCs w:val="19"/>
                <w:b w:val="1"/>
                <w:bCs w:val="1"/>
                <w:color w:val="231F20"/>
              </w:rPr>
              <w:t>$</w:t>
            </w:r>
          </w:p>
        </w:tc>
        <w:tc>
          <w:tcPr>
            <w:tcW w:w="1120" w:type="dxa"/>
            <w:vAlign w:val="bottom"/>
          </w:tcPr>
          <w:p>
            <w:pPr>
              <w:jc w:val="right"/>
              <w:spacing w:after="0"/>
              <w:rPr>
                <w:sz w:val="20"/>
                <w:szCs w:val="20"/>
                <w:color w:val="auto"/>
              </w:rPr>
            </w:pPr>
            <w:r>
              <w:rPr>
                <w:rFonts w:ascii="Arial" w:cs="Arial" w:eastAsia="Arial" w:hAnsi="Arial"/>
                <w:sz w:val="19"/>
                <w:szCs w:val="19"/>
                <w:b w:val="1"/>
                <w:bCs w:val="1"/>
                <w:color w:val="231F20"/>
              </w:rPr>
              <w:t>7,619</w:t>
            </w:r>
          </w:p>
        </w:tc>
        <w:tc>
          <w:tcPr>
            <w:tcW w:w="720" w:type="dxa"/>
            <w:vAlign w:val="bottom"/>
            <w:gridSpan w:val="2"/>
          </w:tcPr>
          <w:p>
            <w:pPr>
              <w:jc w:val="right"/>
              <w:ind w:right="263"/>
              <w:spacing w:after="0"/>
              <w:rPr>
                <w:sz w:val="20"/>
                <w:szCs w:val="20"/>
                <w:color w:val="auto"/>
              </w:rPr>
            </w:pPr>
            <w:r>
              <w:rPr>
                <w:rFonts w:ascii="Arial" w:cs="Arial" w:eastAsia="Arial" w:hAnsi="Arial"/>
                <w:sz w:val="19"/>
                <w:szCs w:val="19"/>
                <w:b w:val="1"/>
                <w:bCs w:val="1"/>
                <w:color w:val="231F20"/>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231F20"/>
              </w:rPr>
              <w:t>7,100</w:t>
            </w:r>
          </w:p>
        </w:tc>
        <w:tc>
          <w:tcPr>
            <w:tcW w:w="640" w:type="dxa"/>
            <w:vAlign w:val="bottom"/>
            <w:gridSpan w:val="2"/>
          </w:tcPr>
          <w:p>
            <w:pPr>
              <w:jc w:val="right"/>
              <w:ind w:right="183"/>
              <w:spacing w:after="0"/>
              <w:rPr>
                <w:sz w:val="20"/>
                <w:szCs w:val="20"/>
                <w:color w:val="auto"/>
              </w:rPr>
            </w:pPr>
            <w:r>
              <w:rPr>
                <w:rFonts w:ascii="Arial" w:cs="Arial" w:eastAsia="Arial" w:hAnsi="Arial"/>
                <w:sz w:val="19"/>
                <w:szCs w:val="19"/>
                <w:b w:val="1"/>
                <w:bCs w:val="1"/>
                <w:color w:val="231F20"/>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231F20"/>
              </w:rPr>
              <w:t>519</w:t>
            </w: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9"/>
                <w:szCs w:val="19"/>
                <w:b w:val="1"/>
                <w:bCs w:val="1"/>
                <w:color w:val="231F20"/>
              </w:rPr>
              <w:t>7%</w:t>
            </w:r>
          </w:p>
        </w:tc>
      </w:tr>
      <w:tr>
        <w:trPr>
          <w:trHeight w:val="235"/>
        </w:trPr>
        <w:tc>
          <w:tcPr>
            <w:tcW w:w="4020" w:type="dxa"/>
            <w:vAlign w:val="bottom"/>
          </w:tcPr>
          <w:p>
            <w:pPr>
              <w:spacing w:after="0"/>
              <w:rPr>
                <w:sz w:val="20"/>
                <w:szCs w:val="20"/>
                <w:color w:val="auto"/>
              </w:rPr>
            </w:pPr>
            <w:r>
              <w:rPr>
                <w:rFonts w:ascii="Arial" w:cs="Arial" w:eastAsia="Arial" w:hAnsi="Arial"/>
                <w:sz w:val="19"/>
                <w:szCs w:val="19"/>
                <w:b w:val="1"/>
                <w:bCs w:val="1"/>
                <w:color w:val="231F20"/>
              </w:rPr>
              <w:t>Stock-based compensation expense</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9"/>
                <w:szCs w:val="19"/>
                <w:b w:val="1"/>
                <w:bCs w:val="1"/>
                <w:color w:val="231F20"/>
              </w:rPr>
              <w:t>8,603</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231F20"/>
              </w:rPr>
              <w:t>11,608</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231F20"/>
              </w:rPr>
              <w:t>(3,005)</w:t>
            </w:r>
          </w:p>
        </w:tc>
        <w:tc>
          <w:tcPr>
            <w:tcW w:w="900" w:type="dxa"/>
            <w:vAlign w:val="bottom"/>
            <w:gridSpan w:val="2"/>
          </w:tcPr>
          <w:p>
            <w:pPr>
              <w:jc w:val="right"/>
              <w:spacing w:after="0"/>
              <w:rPr>
                <w:sz w:val="20"/>
                <w:szCs w:val="20"/>
                <w:color w:val="auto"/>
              </w:rPr>
            </w:pPr>
            <w:r>
              <w:rPr>
                <w:rFonts w:ascii="Arial" w:cs="Arial" w:eastAsia="Arial" w:hAnsi="Arial"/>
                <w:sz w:val="19"/>
                <w:szCs w:val="19"/>
                <w:b w:val="1"/>
                <w:bCs w:val="1"/>
                <w:color w:val="231F20"/>
              </w:rPr>
              <w:t>-26%</w:t>
            </w:r>
          </w:p>
        </w:tc>
      </w:tr>
      <w:tr>
        <w:trPr>
          <w:trHeight w:val="239"/>
        </w:trPr>
        <w:tc>
          <w:tcPr>
            <w:tcW w:w="4020" w:type="dxa"/>
            <w:vAlign w:val="bottom"/>
          </w:tcPr>
          <w:p>
            <w:pPr>
              <w:spacing w:after="0"/>
              <w:rPr>
                <w:sz w:val="20"/>
                <w:szCs w:val="20"/>
                <w:color w:val="auto"/>
              </w:rPr>
            </w:pPr>
            <w:r>
              <w:rPr>
                <w:rFonts w:ascii="Arial" w:cs="Arial" w:eastAsia="Arial" w:hAnsi="Arial"/>
                <w:sz w:val="19"/>
                <w:szCs w:val="19"/>
                <w:b w:val="1"/>
                <w:bCs w:val="1"/>
                <w:color w:val="231F20"/>
              </w:rPr>
              <w:t>Other general and administrative costs</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9"/>
                <w:szCs w:val="19"/>
                <w:b w:val="1"/>
                <w:bCs w:val="1"/>
                <w:color w:val="231F20"/>
              </w:rPr>
              <w:t>9,872</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231F20"/>
              </w:rPr>
              <w:t>9,775</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231F20"/>
              </w:rPr>
              <w:t>97</w:t>
            </w: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w:t>
            </w:r>
          </w:p>
        </w:tc>
      </w:tr>
      <w:tr>
        <w:trPr>
          <w:trHeight w:val="20"/>
        </w:trPr>
        <w:tc>
          <w:tcPr>
            <w:tcW w:w="4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1120" w:type="dxa"/>
            <w:vAlign w:val="bottom"/>
            <w:shd w:val="clear" w:color="auto" w:fill="231F2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231F20"/>
          </w:tcPr>
          <w:p>
            <w:pPr>
              <w:spacing w:after="0" w:line="20" w:lineRule="exact"/>
              <w:rPr>
                <w:sz w:val="1"/>
                <w:szCs w:val="1"/>
                <w:color w:val="auto"/>
              </w:rPr>
            </w:pPr>
          </w:p>
        </w:tc>
        <w:tc>
          <w:tcPr>
            <w:tcW w:w="960" w:type="dxa"/>
            <w:vAlign w:val="bottom"/>
            <w:shd w:val="clear" w:color="auto" w:fill="231F2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231F20"/>
          </w:tcPr>
          <w:p>
            <w:pPr>
              <w:spacing w:after="0" w:line="20" w:lineRule="exact"/>
              <w:rPr>
                <w:sz w:val="1"/>
                <w:szCs w:val="1"/>
                <w:color w:val="auto"/>
              </w:rPr>
            </w:pPr>
          </w:p>
        </w:tc>
        <w:tc>
          <w:tcPr>
            <w:tcW w:w="1040" w:type="dxa"/>
            <w:vAlign w:val="bottom"/>
            <w:shd w:val="clear" w:color="auto" w:fill="231F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6"/>
        </w:trPr>
        <w:tc>
          <w:tcPr>
            <w:tcW w:w="4020" w:type="dxa"/>
            <w:vAlign w:val="bottom"/>
          </w:tcPr>
          <w:p>
            <w:pPr>
              <w:ind w:left="200"/>
              <w:spacing w:after="0"/>
              <w:rPr>
                <w:sz w:val="20"/>
                <w:szCs w:val="20"/>
                <w:color w:val="auto"/>
              </w:rPr>
            </w:pPr>
            <w:r>
              <w:rPr>
                <w:rFonts w:ascii="Arial" w:cs="Arial" w:eastAsia="Arial" w:hAnsi="Arial"/>
                <w:sz w:val="19"/>
                <w:szCs w:val="19"/>
                <w:b w:val="1"/>
                <w:bCs w:val="1"/>
                <w:color w:val="231F20"/>
                <w:w w:val="99"/>
              </w:rPr>
              <w:t>Total general and administrative expenses</w:t>
            </w:r>
          </w:p>
        </w:tc>
        <w:tc>
          <w:tcPr>
            <w:tcW w:w="540" w:type="dxa"/>
            <w:vAlign w:val="bottom"/>
          </w:tcPr>
          <w:p>
            <w:pPr>
              <w:spacing w:after="0"/>
              <w:rPr>
                <w:sz w:val="19"/>
                <w:szCs w:val="19"/>
                <w:color w:val="auto"/>
              </w:rPr>
            </w:pPr>
          </w:p>
        </w:tc>
        <w:tc>
          <w:tcPr>
            <w:tcW w:w="300" w:type="dxa"/>
            <w:vAlign w:val="bottom"/>
          </w:tcPr>
          <w:p>
            <w:pPr>
              <w:jc w:val="right"/>
              <w:ind w:right="103"/>
              <w:spacing w:after="0"/>
              <w:rPr>
                <w:sz w:val="20"/>
                <w:szCs w:val="20"/>
                <w:color w:val="auto"/>
              </w:rPr>
            </w:pPr>
            <w:r>
              <w:rPr>
                <w:rFonts w:ascii="Arial" w:cs="Arial" w:eastAsia="Arial" w:hAnsi="Arial"/>
                <w:sz w:val="19"/>
                <w:szCs w:val="19"/>
                <w:b w:val="1"/>
                <w:bCs w:val="1"/>
                <w:color w:val="231F20"/>
                <w:w w:val="75"/>
              </w:rPr>
              <w:t>$</w:t>
            </w:r>
          </w:p>
        </w:tc>
        <w:tc>
          <w:tcPr>
            <w:tcW w:w="1120" w:type="dxa"/>
            <w:vAlign w:val="bottom"/>
          </w:tcPr>
          <w:p>
            <w:pPr>
              <w:jc w:val="right"/>
              <w:spacing w:after="0"/>
              <w:rPr>
                <w:sz w:val="20"/>
                <w:szCs w:val="20"/>
                <w:color w:val="auto"/>
              </w:rPr>
            </w:pPr>
            <w:r>
              <w:rPr>
                <w:rFonts w:ascii="Arial" w:cs="Arial" w:eastAsia="Arial" w:hAnsi="Arial"/>
                <w:sz w:val="19"/>
                <w:szCs w:val="19"/>
                <w:b w:val="1"/>
                <w:bCs w:val="1"/>
                <w:color w:val="231F20"/>
              </w:rPr>
              <w:t>26,094</w:t>
            </w:r>
          </w:p>
        </w:tc>
        <w:tc>
          <w:tcPr>
            <w:tcW w:w="260" w:type="dxa"/>
            <w:vAlign w:val="bottom"/>
          </w:tcPr>
          <w:p>
            <w:pPr>
              <w:spacing w:after="0"/>
              <w:rPr>
                <w:sz w:val="19"/>
                <w:szCs w:val="19"/>
                <w:color w:val="auto"/>
              </w:rPr>
            </w:pPr>
          </w:p>
        </w:tc>
        <w:tc>
          <w:tcPr>
            <w:tcW w:w="460" w:type="dxa"/>
            <w:vAlign w:val="bottom"/>
          </w:tcPr>
          <w:p>
            <w:pPr>
              <w:jc w:val="right"/>
              <w:ind w:right="263"/>
              <w:spacing w:after="0"/>
              <w:rPr>
                <w:sz w:val="20"/>
                <w:szCs w:val="20"/>
                <w:color w:val="auto"/>
              </w:rPr>
            </w:pPr>
            <w:r>
              <w:rPr>
                <w:rFonts w:ascii="Arial" w:cs="Arial" w:eastAsia="Arial" w:hAnsi="Arial"/>
                <w:sz w:val="19"/>
                <w:szCs w:val="19"/>
                <w:b w:val="1"/>
                <w:bCs w:val="1"/>
                <w:color w:val="231F20"/>
                <w:w w:val="75"/>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231F20"/>
              </w:rPr>
              <w:t>28,483</w:t>
            </w:r>
          </w:p>
        </w:tc>
        <w:tc>
          <w:tcPr>
            <w:tcW w:w="260" w:type="dxa"/>
            <w:vAlign w:val="bottom"/>
          </w:tcPr>
          <w:p>
            <w:pPr>
              <w:spacing w:after="0"/>
              <w:rPr>
                <w:sz w:val="19"/>
                <w:szCs w:val="19"/>
                <w:color w:val="auto"/>
              </w:rPr>
            </w:pPr>
          </w:p>
        </w:tc>
        <w:tc>
          <w:tcPr>
            <w:tcW w:w="380" w:type="dxa"/>
            <w:vAlign w:val="bottom"/>
          </w:tcPr>
          <w:p>
            <w:pPr>
              <w:jc w:val="right"/>
              <w:ind w:right="183"/>
              <w:spacing w:after="0"/>
              <w:rPr>
                <w:sz w:val="20"/>
                <w:szCs w:val="20"/>
                <w:color w:val="auto"/>
              </w:rPr>
            </w:pPr>
            <w:r>
              <w:rPr>
                <w:rFonts w:ascii="Arial" w:cs="Arial" w:eastAsia="Arial" w:hAnsi="Arial"/>
                <w:sz w:val="19"/>
                <w:szCs w:val="19"/>
                <w:b w:val="1"/>
                <w:bCs w:val="1"/>
                <w:color w:val="231F20"/>
                <w:w w:val="75"/>
              </w:rPr>
              <w:t>$</w:t>
            </w:r>
          </w:p>
        </w:tc>
        <w:tc>
          <w:tcPr>
            <w:tcW w:w="126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231F20"/>
              </w:rPr>
              <w:t>(2,389)</w:t>
            </w:r>
          </w:p>
        </w:tc>
        <w:tc>
          <w:tcPr>
            <w:tcW w:w="900" w:type="dxa"/>
            <w:vAlign w:val="bottom"/>
            <w:gridSpan w:val="2"/>
          </w:tcPr>
          <w:p>
            <w:pPr>
              <w:jc w:val="right"/>
              <w:spacing w:after="0"/>
              <w:rPr>
                <w:sz w:val="20"/>
                <w:szCs w:val="20"/>
                <w:color w:val="auto"/>
              </w:rPr>
            </w:pPr>
            <w:r>
              <w:rPr>
                <w:rFonts w:ascii="Arial" w:cs="Arial" w:eastAsia="Arial" w:hAnsi="Arial"/>
                <w:sz w:val="19"/>
                <w:szCs w:val="19"/>
                <w:b w:val="1"/>
                <w:bCs w:val="1"/>
                <w:color w:val="231F20"/>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-11430</wp:posOffset>
            </wp:positionV>
            <wp:extent cx="3664585" cy="5461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664585" cy="54610"/>
                    </a:xfrm>
                    <a:prstGeom prst="rect">
                      <a:avLst/>
                    </a:prstGeom>
                    <a:noFill/>
                  </pic:spPr>
                </pic:pic>
              </a:graphicData>
            </a:graphic>
          </wp:anchor>
        </w:drawing>
      </w:r>
    </w:p>
    <w:p>
      <w:pPr>
        <w:spacing w:after="0" w:line="148" w:lineRule="exact"/>
        <w:rPr>
          <w:sz w:val="20"/>
          <w:szCs w:val="20"/>
          <w:color w:val="auto"/>
        </w:rPr>
      </w:pPr>
    </w:p>
    <w:p>
      <w:pPr>
        <w:ind w:firstLine="475"/>
        <w:spacing w:after="0" w:line="243" w:lineRule="auto"/>
        <w:rPr>
          <w:sz w:val="20"/>
          <w:szCs w:val="20"/>
          <w:color w:val="auto"/>
        </w:rPr>
      </w:pPr>
      <w:r>
        <w:rPr>
          <w:rFonts w:ascii="Arial" w:cs="Arial" w:eastAsia="Arial" w:hAnsi="Arial"/>
          <w:sz w:val="19"/>
          <w:szCs w:val="19"/>
          <w:b w:val="1"/>
          <w:bCs w:val="1"/>
          <w:color w:val="231F20"/>
        </w:rPr>
        <w:t>General and administrative expenses decreased by $2.4 million for the year ended December 31, 2024 compared to the year ended December 31, 2023. The decrease was primarily attributable to a decrease of $3.0 million in stock-based compensation expense primarily due to a change in classification from the comparative periods of stock-based compensation from G&amp;A to R&amp;D as described above under R&amp;D expenses, offset by an increase of $0.5 million in personnel and related costs driven by merit increases and severance costs.</w:t>
      </w: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Interest Income</w:t>
      </w:r>
    </w:p>
    <w:p>
      <w:pPr>
        <w:spacing w:after="0" w:line="125" w:lineRule="exact"/>
        <w:rPr>
          <w:sz w:val="20"/>
          <w:szCs w:val="20"/>
          <w:color w:val="auto"/>
        </w:rPr>
      </w:pPr>
    </w:p>
    <w:p>
      <w:pPr>
        <w:jc w:val="both"/>
        <w:ind w:right="400" w:firstLine="475"/>
        <w:spacing w:after="0" w:line="242" w:lineRule="auto"/>
        <w:rPr>
          <w:sz w:val="20"/>
          <w:szCs w:val="20"/>
          <w:color w:val="auto"/>
        </w:rPr>
      </w:pPr>
      <w:r>
        <w:rPr>
          <w:rFonts w:ascii="Arial" w:cs="Arial" w:eastAsia="Arial" w:hAnsi="Arial"/>
          <w:sz w:val="19"/>
          <w:szCs w:val="19"/>
          <w:b w:val="1"/>
          <w:bCs w:val="1"/>
          <w:color w:val="231F20"/>
        </w:rPr>
        <w:t>Interest income decreased by $1.3 million for the year ended December 31, 2024 compared to the year ended December 31, 2023. The decrease was primarily attributable to lower cash and investment balances during the current year as compared to prior year.</w:t>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Interest Expense</w:t>
      </w:r>
    </w:p>
    <w:p>
      <w:pPr>
        <w:spacing w:after="0" w:line="128"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231F20"/>
        </w:rPr>
        <w:t>Interest expense increased by $0.2 million for the year ended December 31, 2024 compared to the year ended December 31,</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2023. The increase was primarily attributable to higher interest rates.</w:t>
      </w:r>
    </w:p>
    <w:p>
      <w:pPr>
        <w:sectPr>
          <w:pgSz w:w="12240" w:h="15840" w:orient="portrait"/>
          <w:cols w:equalWidth="0" w:num="1">
            <w:col w:w="10480"/>
          </w:cols>
          <w:pgMar w:left="880" w:top="1160" w:right="88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87</w:t>
      </w:r>
    </w:p>
    <w:p>
      <w:pPr>
        <w:sectPr>
          <w:pgSz w:w="12240" w:h="15840" w:orient="portrait"/>
          <w:cols w:equalWidth="0" w:num="1">
            <w:col w:w="10480"/>
          </w:cols>
          <w:pgMar w:left="880" w:top="1160" w:right="880" w:bottom="390" w:gutter="0" w:footer="0" w:header="0"/>
          <w:type w:val="continuous"/>
        </w:sectPr>
      </w:pPr>
    </w:p>
    <w:bookmarkStart w:id="95" w:name="page96"/>
    <w:bookmarkEnd w:id="95"/>
    <w:p>
      <w:pPr>
        <w:spacing w:after="0"/>
        <w:rPr>
          <w:sz w:val="20"/>
          <w:szCs w:val="20"/>
          <w:color w:val="auto"/>
        </w:rPr>
      </w:pPr>
      <w:r>
        <w:rPr>
          <w:rFonts w:ascii="Arial" w:cs="Arial" w:eastAsia="Arial" w:hAnsi="Arial"/>
          <w:sz w:val="19"/>
          <w:szCs w:val="19"/>
          <w:b w:val="1"/>
          <w:bCs w:val="1"/>
          <w:color w:val="231F20"/>
        </w:rPr>
        <w:t>Other Income (Expense), Net</w:t>
      </w:r>
    </w:p>
    <w:p>
      <w:pPr>
        <w:spacing w:after="0" w:line="128" w:lineRule="exact"/>
        <w:rPr>
          <w:sz w:val="20"/>
          <w:szCs w:val="20"/>
          <w:color w:val="auto"/>
        </w:rPr>
      </w:pPr>
    </w:p>
    <w:p>
      <w:pPr>
        <w:ind w:right="20" w:firstLine="475"/>
        <w:spacing w:after="0" w:line="262" w:lineRule="auto"/>
        <w:rPr>
          <w:sz w:val="20"/>
          <w:szCs w:val="20"/>
          <w:color w:val="auto"/>
        </w:rPr>
      </w:pPr>
      <w:r>
        <w:rPr>
          <w:rFonts w:ascii="Arial" w:cs="Arial" w:eastAsia="Arial" w:hAnsi="Arial"/>
          <w:sz w:val="18"/>
          <w:szCs w:val="18"/>
          <w:b w:val="1"/>
          <w:bCs w:val="1"/>
          <w:color w:val="231F20"/>
        </w:rPr>
        <w:t>Other income (expense), net decreased by $0.4 million for the year ended December 31, 2024 compared to the year ended December 31, 2023. The decrease was primarily attributable to absence in the current year of other income from an immaterial service contract, under which the Company provided R&amp;D services for another company.</w:t>
      </w:r>
    </w:p>
    <w:p>
      <w:pPr>
        <w:spacing w:after="0" w:line="33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Liquidity and Capital Resources; Plan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Sources of Liquidity</w:t>
      </w:r>
    </w:p>
    <w:p>
      <w:pPr>
        <w:spacing w:after="0" w:line="125" w:lineRule="exact"/>
        <w:rPr>
          <w:sz w:val="20"/>
          <w:szCs w:val="20"/>
          <w:color w:val="auto"/>
        </w:rPr>
      </w:pPr>
    </w:p>
    <w:p>
      <w:pPr>
        <w:ind w:firstLine="475"/>
        <w:spacing w:after="0" w:line="300" w:lineRule="auto"/>
        <w:rPr>
          <w:sz w:val="20"/>
          <w:szCs w:val="20"/>
          <w:color w:val="auto"/>
        </w:rPr>
      </w:pPr>
      <w:r>
        <w:rPr>
          <w:rFonts w:ascii="Arial" w:cs="Arial" w:eastAsia="Arial" w:hAnsi="Arial"/>
          <w:sz w:val="16"/>
          <w:szCs w:val="16"/>
          <w:b w:val="1"/>
          <w:bCs w:val="1"/>
          <w:color w:val="231F20"/>
        </w:rPr>
        <w:t>Since our inception, we have incurred significant operating losses and have not generated any product revenue. We have not yet commercialized any of our product candidates and we do not expect to generate revenue from sales of any product candidates for several years, if at all, subject to regulatory and marketing approval of any of our product candidates. To date, we have funded our operations with proceeds from the sales of shares of our common stock and convertible preferred stock and borrowings under our term loan. As of December 31, 2024, we had cash, cash equivalents and short-term and long-term investments of $131.3 million.</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Funding Requirements</w:t>
      </w:r>
    </w:p>
    <w:p>
      <w:pPr>
        <w:spacing w:after="0" w:line="125" w:lineRule="exact"/>
        <w:rPr>
          <w:sz w:val="20"/>
          <w:szCs w:val="20"/>
          <w:color w:val="auto"/>
        </w:rPr>
      </w:pPr>
    </w:p>
    <w:p>
      <w:pPr>
        <w:ind w:right="120" w:firstLine="475"/>
        <w:spacing w:after="0" w:line="298" w:lineRule="auto"/>
        <w:rPr>
          <w:sz w:val="20"/>
          <w:szCs w:val="20"/>
          <w:color w:val="auto"/>
        </w:rPr>
      </w:pPr>
      <w:r>
        <w:rPr>
          <w:rFonts w:ascii="Arial" w:cs="Arial" w:eastAsia="Arial" w:hAnsi="Arial"/>
          <w:sz w:val="16"/>
          <w:szCs w:val="16"/>
          <w:b w:val="1"/>
          <w:bCs w:val="1"/>
          <w:color w:val="231F20"/>
        </w:rPr>
        <w:t>We have incurred losses and negative cash flows from operations since inception and anticipate that we will continue to incur net losses for the foreseeable future. As of December 31, 2024, we had an accumulated deficit of $621.1 million. We expect to incur significant expenses in connection with our ongoing activities, particularly as we advance the preclinical activities and clinical trials for our product candidates in development. In addition, we expect to incur additional costs associated with operating as a public company. Management recognizes the need to raise additional capital to fully implement its business plan. The timing and amount of such future capital requirements are difficult to forecast and will depend on many factors, including:</w:t>
      </w:r>
    </w:p>
    <w:p>
      <w:pPr>
        <w:spacing w:after="0" w:line="81" w:lineRule="exact"/>
        <w:rPr>
          <w:sz w:val="20"/>
          <w:szCs w:val="20"/>
          <w:color w:val="auto"/>
        </w:rPr>
      </w:pPr>
    </w:p>
    <w:p>
      <w:pPr>
        <w:ind w:left="960" w:hanging="482"/>
        <w:spacing w:after="0"/>
        <w:tabs>
          <w:tab w:leader="none" w:pos="960" w:val="left"/>
        </w:tabs>
        <w:numPr>
          <w:ilvl w:val="0"/>
          <w:numId w:val="10"/>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timing and progress of preclinical and clinical development activities;</w:t>
      </w:r>
    </w:p>
    <w:p>
      <w:pPr>
        <w:spacing w:after="0" w:line="124" w:lineRule="exact"/>
        <w:rPr>
          <w:rFonts w:ascii="PMingLiU" w:cs="PMingLiU" w:eastAsia="PMingLiU" w:hAnsi="PMingLiU"/>
          <w:sz w:val="19"/>
          <w:szCs w:val="19"/>
          <w:b w:val="1"/>
          <w:bCs w:val="1"/>
          <w:color w:val="231F20"/>
        </w:rPr>
      </w:pPr>
    </w:p>
    <w:p>
      <w:pPr>
        <w:ind w:left="960" w:hanging="482"/>
        <w:spacing w:after="0"/>
        <w:tabs>
          <w:tab w:leader="none" w:pos="960" w:val="left"/>
        </w:tabs>
        <w:numPr>
          <w:ilvl w:val="0"/>
          <w:numId w:val="10"/>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successful enrollment in and completion of clinical trials;</w:t>
      </w:r>
    </w:p>
    <w:p>
      <w:pPr>
        <w:spacing w:after="0" w:line="122" w:lineRule="exact"/>
        <w:rPr>
          <w:rFonts w:ascii="PMingLiU" w:cs="PMingLiU" w:eastAsia="PMingLiU" w:hAnsi="PMingLiU"/>
          <w:sz w:val="19"/>
          <w:szCs w:val="19"/>
          <w:b w:val="1"/>
          <w:bCs w:val="1"/>
          <w:color w:val="231F20"/>
        </w:rPr>
      </w:pPr>
    </w:p>
    <w:p>
      <w:pPr>
        <w:ind w:left="960" w:hanging="482"/>
        <w:spacing w:after="0"/>
        <w:tabs>
          <w:tab w:leader="none" w:pos="960" w:val="left"/>
        </w:tabs>
        <w:numPr>
          <w:ilvl w:val="0"/>
          <w:numId w:val="10"/>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timing and outcome of regulatory review of our product candidates;</w:t>
      </w:r>
    </w:p>
    <w:p>
      <w:pPr>
        <w:spacing w:after="0" w:line="139" w:lineRule="exact"/>
        <w:rPr>
          <w:rFonts w:ascii="PMingLiU" w:cs="PMingLiU" w:eastAsia="PMingLiU" w:hAnsi="PMingLiU"/>
          <w:sz w:val="19"/>
          <w:szCs w:val="19"/>
          <w:b w:val="1"/>
          <w:bCs w:val="1"/>
          <w:color w:val="231F20"/>
        </w:rPr>
      </w:pPr>
    </w:p>
    <w:p>
      <w:pPr>
        <w:ind w:left="960" w:right="240" w:hanging="482"/>
        <w:spacing w:after="0" w:line="233" w:lineRule="auto"/>
        <w:tabs>
          <w:tab w:leader="none" w:pos="960" w:val="left"/>
        </w:tabs>
        <w:numPr>
          <w:ilvl w:val="0"/>
          <w:numId w:val="10"/>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our ability to establish agreements with third-party manufacturers for clinical supply for our clinical trials and, if any of our product candidates are approved, commercial manufacturing;</w:t>
      </w:r>
    </w:p>
    <w:p>
      <w:pPr>
        <w:spacing w:after="0" w:line="123" w:lineRule="exact"/>
        <w:rPr>
          <w:rFonts w:ascii="PMingLiU" w:cs="PMingLiU" w:eastAsia="PMingLiU" w:hAnsi="PMingLiU"/>
          <w:sz w:val="19"/>
          <w:szCs w:val="19"/>
          <w:b w:val="1"/>
          <w:bCs w:val="1"/>
          <w:color w:val="231F20"/>
        </w:rPr>
      </w:pPr>
    </w:p>
    <w:p>
      <w:pPr>
        <w:ind w:left="960" w:hanging="482"/>
        <w:spacing w:after="0"/>
        <w:tabs>
          <w:tab w:leader="none" w:pos="960" w:val="left"/>
        </w:tabs>
        <w:numPr>
          <w:ilvl w:val="0"/>
          <w:numId w:val="10"/>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addition and retention of key research and development personnel;</w:t>
      </w:r>
    </w:p>
    <w:p>
      <w:pPr>
        <w:spacing w:after="0" w:line="141" w:lineRule="exact"/>
        <w:rPr>
          <w:rFonts w:ascii="PMingLiU" w:cs="PMingLiU" w:eastAsia="PMingLiU" w:hAnsi="PMingLiU"/>
          <w:sz w:val="19"/>
          <w:szCs w:val="19"/>
          <w:b w:val="1"/>
          <w:bCs w:val="1"/>
          <w:color w:val="231F20"/>
        </w:rPr>
      </w:pPr>
    </w:p>
    <w:p>
      <w:pPr>
        <w:ind w:left="960" w:right="720" w:hanging="482"/>
        <w:spacing w:after="0" w:line="233" w:lineRule="auto"/>
        <w:tabs>
          <w:tab w:leader="none" w:pos="960" w:val="left"/>
        </w:tabs>
        <w:numPr>
          <w:ilvl w:val="0"/>
          <w:numId w:val="10"/>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our efforts to enhance operational, financial and information management systems, and hire additional personnel, including personnel to support development of our product candidates;</w:t>
      </w:r>
    </w:p>
    <w:p>
      <w:pPr>
        <w:spacing w:after="0" w:line="140" w:lineRule="exact"/>
        <w:rPr>
          <w:rFonts w:ascii="PMingLiU" w:cs="PMingLiU" w:eastAsia="PMingLiU" w:hAnsi="PMingLiU"/>
          <w:sz w:val="19"/>
          <w:szCs w:val="19"/>
          <w:b w:val="1"/>
          <w:bCs w:val="1"/>
          <w:color w:val="231F20"/>
        </w:rPr>
      </w:pPr>
    </w:p>
    <w:p>
      <w:pPr>
        <w:ind w:left="960" w:right="640" w:hanging="482"/>
        <w:spacing w:after="0" w:line="282" w:lineRule="auto"/>
        <w:tabs>
          <w:tab w:leader="none" w:pos="960" w:val="left"/>
        </w:tabs>
        <w:numPr>
          <w:ilvl w:val="0"/>
          <w:numId w:val="10"/>
        </w:numPr>
        <w:rPr>
          <w:rFonts w:ascii="PMingLiU" w:cs="PMingLiU" w:eastAsia="PMingLiU" w:hAnsi="PMingLiU"/>
          <w:sz w:val="17"/>
          <w:szCs w:val="17"/>
          <w:b w:val="1"/>
          <w:bCs w:val="1"/>
          <w:color w:val="231F20"/>
        </w:rPr>
      </w:pPr>
      <w:r>
        <w:rPr>
          <w:rFonts w:ascii="Arial" w:cs="Arial" w:eastAsia="Arial" w:hAnsi="Arial"/>
          <w:sz w:val="17"/>
          <w:szCs w:val="17"/>
          <w:b w:val="1"/>
          <w:bCs w:val="1"/>
          <w:color w:val="231F20"/>
        </w:rPr>
        <w:t>the costs and timing of future commercialization activities, including product manufacturing, marketing, sales and distribution, for any of our product candidates for which we obtain marketing approval;</w:t>
      </w:r>
    </w:p>
    <w:p>
      <w:pPr>
        <w:spacing w:after="0" w:line="104" w:lineRule="exact"/>
        <w:rPr>
          <w:rFonts w:ascii="PMingLiU" w:cs="PMingLiU" w:eastAsia="PMingLiU" w:hAnsi="PMingLiU"/>
          <w:sz w:val="17"/>
          <w:szCs w:val="17"/>
          <w:b w:val="1"/>
          <w:bCs w:val="1"/>
          <w:color w:val="231F20"/>
        </w:rPr>
      </w:pPr>
    </w:p>
    <w:p>
      <w:pPr>
        <w:ind w:left="960" w:right="620" w:hanging="484"/>
        <w:spacing w:after="0" w:line="233" w:lineRule="auto"/>
        <w:tabs>
          <w:tab w:leader="none" w:pos="960" w:val="left"/>
        </w:tabs>
        <w:numPr>
          <w:ilvl w:val="0"/>
          <w:numId w:val="10"/>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legal patent costs involved in prosecuting patent applications and enforcing patent claims and other intellectual property claims;</w:t>
      </w:r>
    </w:p>
    <w:p>
      <w:pPr>
        <w:spacing w:after="0" w:line="140" w:lineRule="exact"/>
        <w:rPr>
          <w:rFonts w:ascii="PMingLiU" w:cs="PMingLiU" w:eastAsia="PMingLiU" w:hAnsi="PMingLiU"/>
          <w:sz w:val="19"/>
          <w:szCs w:val="19"/>
          <w:b w:val="1"/>
          <w:bCs w:val="1"/>
          <w:color w:val="231F20"/>
        </w:rPr>
      </w:pPr>
    </w:p>
    <w:p>
      <w:pPr>
        <w:ind w:left="960" w:right="160" w:hanging="482"/>
        <w:spacing w:after="0" w:line="233" w:lineRule="auto"/>
        <w:tabs>
          <w:tab w:leader="none" w:pos="960" w:val="left"/>
        </w:tabs>
        <w:numPr>
          <w:ilvl w:val="0"/>
          <w:numId w:val="10"/>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terms and timing of any collaboration, license or other arrangement, including the terms and timing of any milestone and royalty payments thereunder;</w:t>
      </w:r>
    </w:p>
    <w:p>
      <w:pPr>
        <w:spacing w:after="0" w:line="140" w:lineRule="exact"/>
        <w:rPr>
          <w:rFonts w:ascii="PMingLiU" w:cs="PMingLiU" w:eastAsia="PMingLiU" w:hAnsi="PMingLiU"/>
          <w:sz w:val="19"/>
          <w:szCs w:val="19"/>
          <w:b w:val="1"/>
          <w:bCs w:val="1"/>
          <w:color w:val="231F20"/>
        </w:rPr>
      </w:pPr>
    </w:p>
    <w:p>
      <w:pPr>
        <w:ind w:left="960" w:right="80" w:hanging="482"/>
        <w:spacing w:after="0" w:line="282" w:lineRule="auto"/>
        <w:tabs>
          <w:tab w:leader="none" w:pos="960" w:val="left"/>
        </w:tabs>
        <w:numPr>
          <w:ilvl w:val="0"/>
          <w:numId w:val="10"/>
        </w:numPr>
        <w:rPr>
          <w:rFonts w:ascii="PMingLiU" w:cs="PMingLiU" w:eastAsia="PMingLiU" w:hAnsi="PMingLiU"/>
          <w:sz w:val="17"/>
          <w:szCs w:val="17"/>
          <w:b w:val="1"/>
          <w:bCs w:val="1"/>
          <w:color w:val="231F20"/>
        </w:rPr>
      </w:pPr>
      <w:r>
        <w:rPr>
          <w:rFonts w:ascii="Arial" w:cs="Arial" w:eastAsia="Arial" w:hAnsi="Arial"/>
          <w:sz w:val="17"/>
          <w:szCs w:val="17"/>
          <w:b w:val="1"/>
          <w:bCs w:val="1"/>
          <w:color w:val="231F20"/>
        </w:rPr>
        <w:t>macroeconomic conditions, such as inflation, trade and other global disputes and interruptions, including related to tariffs and trade protection measures, economic downturns, disasters, and medical or public health crises; and</w:t>
      </w:r>
    </w:p>
    <w:p>
      <w:pPr>
        <w:spacing w:after="0" w:line="106" w:lineRule="exact"/>
        <w:rPr>
          <w:rFonts w:ascii="PMingLiU" w:cs="PMingLiU" w:eastAsia="PMingLiU" w:hAnsi="PMingLiU"/>
          <w:sz w:val="17"/>
          <w:szCs w:val="17"/>
          <w:b w:val="1"/>
          <w:bCs w:val="1"/>
          <w:color w:val="231F20"/>
        </w:rPr>
      </w:pPr>
    </w:p>
    <w:p>
      <w:pPr>
        <w:jc w:val="both"/>
        <w:ind w:left="960" w:right="600" w:hanging="482"/>
        <w:spacing w:after="0" w:line="316" w:lineRule="auto"/>
        <w:tabs>
          <w:tab w:leader="none" w:pos="960" w:val="left"/>
        </w:tabs>
        <w:numPr>
          <w:ilvl w:val="0"/>
          <w:numId w:val="10"/>
        </w:numPr>
        <w:rPr>
          <w:rFonts w:ascii="PMingLiU" w:cs="PMingLiU" w:eastAsia="PMingLiU" w:hAnsi="PMingLiU"/>
          <w:sz w:val="16"/>
          <w:szCs w:val="16"/>
          <w:b w:val="1"/>
          <w:bCs w:val="1"/>
          <w:color w:val="231F20"/>
        </w:rPr>
      </w:pPr>
      <w:r>
        <w:rPr>
          <w:rFonts w:ascii="Arial" w:cs="Arial" w:eastAsia="Arial" w:hAnsi="Arial"/>
          <w:sz w:val="16"/>
          <w:szCs w:val="16"/>
          <w:b w:val="1"/>
          <w:bCs w:val="1"/>
          <w:color w:val="231F20"/>
        </w:rPr>
        <w:t>the impact of outbreaks or public health crises, such as the COVID-19 pandemic, bank failures or instability in the financial services sector, or geopolitical risks, which may exacerbate the magnitude of the factors discussed above.</w:t>
      </w:r>
    </w:p>
    <w:p>
      <w:pPr>
        <w:sectPr>
          <w:pgSz w:w="12240" w:h="15840" w:orient="portrait"/>
          <w:cols w:equalWidth="0" w:num="1">
            <w:col w:w="10460"/>
          </w:cols>
          <w:pgMar w:left="880" w:top="1160" w:right="90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231F20"/>
        </w:rPr>
        <w:t>88</w:t>
      </w:r>
    </w:p>
    <w:p>
      <w:pPr>
        <w:sectPr>
          <w:pgSz w:w="12240" w:h="15840" w:orient="portrait"/>
          <w:cols w:equalWidth="0" w:num="1">
            <w:col w:w="10460"/>
          </w:cols>
          <w:pgMar w:left="880" w:top="1160" w:right="900" w:bottom="390" w:gutter="0" w:footer="0" w:header="0"/>
          <w:type w:val="continuous"/>
        </w:sectPr>
      </w:pPr>
    </w:p>
    <w:bookmarkStart w:id="96" w:name="page97"/>
    <w:bookmarkEnd w:id="96"/>
    <w:p>
      <w:pPr>
        <w:ind w:firstLine="475"/>
        <w:spacing w:after="0" w:line="294" w:lineRule="auto"/>
        <w:rPr>
          <w:sz w:val="20"/>
          <w:szCs w:val="20"/>
          <w:color w:val="auto"/>
        </w:rPr>
      </w:pPr>
      <w:r>
        <w:rPr>
          <w:rFonts w:ascii="Arial" w:cs="Arial" w:eastAsia="Arial" w:hAnsi="Arial"/>
          <w:sz w:val="16"/>
          <w:szCs w:val="16"/>
          <w:b w:val="1"/>
          <w:bCs w:val="1"/>
          <w:color w:val="231F20"/>
        </w:rPr>
        <w:t>Until such time, if ever, as we can generate substantial product revenue, we expect to finance our operations through a combination of equity offerings, debt financings, collaborations, strategic alliances and marketing, distribution or licensing arrangements. Other than the Loan Agreement, we do not have any committed external source of funds. Our ability to raise additional capital may be adversely impacted by potential worsening global economic conditions and the recent disruptions to and volatility in the credit and financial markets in the United States and worldwide.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spacing w:after="0" w:line="85" w:lineRule="exact"/>
        <w:rPr>
          <w:sz w:val="20"/>
          <w:szCs w:val="20"/>
          <w:color w:val="auto"/>
        </w:rPr>
      </w:pPr>
    </w:p>
    <w:p>
      <w:pPr>
        <w:ind w:right="60" w:firstLine="475"/>
        <w:spacing w:after="0" w:line="221" w:lineRule="exact"/>
        <w:rPr>
          <w:sz w:val="20"/>
          <w:szCs w:val="20"/>
          <w:color w:val="auto"/>
        </w:rPr>
      </w:pPr>
      <w:r>
        <w:rPr>
          <w:rFonts w:ascii="Arial" w:cs="Arial" w:eastAsia="Arial" w:hAnsi="Arial"/>
          <w:sz w:val="19"/>
          <w:szCs w:val="19"/>
          <w:b w:val="1"/>
          <w:bCs w:val="1"/>
          <w:color w:val="231F20"/>
        </w:rPr>
        <w:t>In July 2020, we completed our initial public offering pursuant to a registration statement on Form S-1. In the initial public offering, we issued and sold an aggregate of 9,775,000 shares of common stock, including the underwriters</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exercise in full of their overallotment option, under the registration statement at a public offering price of $19.00 per share. Net proceeds were approximately $169.5 million, after deducting underwriting discounts and commissions of $13.0 million and offering-related expenses of $3.2 million.</w:t>
      </w:r>
    </w:p>
    <w:p>
      <w:pPr>
        <w:spacing w:after="0" w:line="127" w:lineRule="exact"/>
        <w:rPr>
          <w:sz w:val="20"/>
          <w:szCs w:val="20"/>
          <w:color w:val="auto"/>
        </w:rPr>
      </w:pPr>
    </w:p>
    <w:p>
      <w:pPr>
        <w:ind w:firstLine="475"/>
        <w:spacing w:after="0" w:line="221" w:lineRule="exact"/>
        <w:rPr>
          <w:sz w:val="20"/>
          <w:szCs w:val="20"/>
          <w:color w:val="auto"/>
        </w:rPr>
      </w:pPr>
      <w:r>
        <w:rPr>
          <w:rFonts w:ascii="Arial" w:cs="Arial" w:eastAsia="Arial" w:hAnsi="Arial"/>
          <w:sz w:val="19"/>
          <w:szCs w:val="19"/>
          <w:b w:val="1"/>
          <w:bCs w:val="1"/>
          <w:color w:val="231F20"/>
        </w:rPr>
        <w:t>In December 2020, we completed our follow-on public offering pursuant to a registration statement on Form S-1. In the follow-on public offering, we issued and sold an aggregate of 2,737,000 shares of common stock, including the underwriters</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exercise in full of their overallotment option, under the registration statement at a public offering price of $76.00 per share. Net proceeds were approximately $194.9 million, after deducting underwriting discounts and commissions of $12.5 million and offering-related expenses of $0.7 million.</w:t>
      </w:r>
    </w:p>
    <w:p>
      <w:pPr>
        <w:spacing w:after="0" w:line="129" w:lineRule="exact"/>
        <w:rPr>
          <w:sz w:val="20"/>
          <w:szCs w:val="20"/>
          <w:color w:val="auto"/>
        </w:rPr>
      </w:pPr>
    </w:p>
    <w:p>
      <w:pPr>
        <w:ind w:right="20" w:firstLine="475"/>
        <w:spacing w:after="0" w:line="259" w:lineRule="auto"/>
        <w:rPr>
          <w:sz w:val="20"/>
          <w:szCs w:val="20"/>
          <w:color w:val="auto"/>
        </w:rPr>
      </w:pPr>
      <w:r>
        <w:rPr>
          <w:rFonts w:ascii="Arial" w:cs="Arial" w:eastAsia="Arial" w:hAnsi="Arial"/>
          <w:sz w:val="18"/>
          <w:szCs w:val="18"/>
          <w:b w:val="1"/>
          <w:bCs w:val="1"/>
          <w:color w:val="231F20"/>
        </w:rPr>
        <w:t>In December 2021, we entered into the Sales Agreement with Cantor Fitzgerald &amp; Co. and Credit Suisse Securities (USA) LLC, under which we may offer and sell our common stock, having aggregate gross proceeds of up to $150.0 million, from time to time through them as our sales agents in our ATM offering program. In March 2022, we filed a Shelf Registration Statement with the SEC. In May 2022, we filed an amended Shelf Registration Statement, which was declared effective by the SEC on May 31, 2022. In August 2023, we entered into an amendment to the Sales Agreement to include UBS Securities LLC as an additional sales agent and to remove Credit Suisse as a sales agent. As of December 31, 2024, we sold an aggregate of 2,199,542 shares of common stock under our Sales Agreement for net proceeds of $29.7 million, after deducting commissions. We may terminate this ATM program at any time, pursuant to its terms.</w:t>
      </w:r>
    </w:p>
    <w:p>
      <w:pPr>
        <w:spacing w:after="0" w:line="114" w:lineRule="exact"/>
        <w:rPr>
          <w:sz w:val="20"/>
          <w:szCs w:val="20"/>
          <w:color w:val="auto"/>
        </w:rPr>
      </w:pPr>
    </w:p>
    <w:p>
      <w:pPr>
        <w:ind w:right="20" w:firstLine="475"/>
        <w:spacing w:after="0" w:line="222" w:lineRule="exact"/>
        <w:rPr>
          <w:sz w:val="20"/>
          <w:szCs w:val="20"/>
          <w:color w:val="auto"/>
        </w:rPr>
      </w:pPr>
      <w:r>
        <w:rPr>
          <w:rFonts w:ascii="Arial" w:cs="Arial" w:eastAsia="Arial" w:hAnsi="Arial"/>
          <w:sz w:val="17"/>
          <w:szCs w:val="17"/>
          <w:b w:val="1"/>
          <w:bCs w:val="1"/>
          <w:color w:val="231F20"/>
        </w:rPr>
        <w:t>In October 2022, we entered into the Loan Agreement as described above. Upon closing of the Loan Agreement, we drew $10.0 million. Under the original terms of the Loan Agreement, we had the right to draw an additional $40.0 million through the end of 2023. A further $50.0 million was potentially available to us, $25.0 million upon the achievement of pre-determined development milestones and $25.0 million at the Lenders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sole discretion. For a description of the terms of the Loan Agreement, see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Note 6. Term Loan</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to our consolidated financial statements included elsewhere in this Annual Report on Form 10-K. On May 31, 2023, we entered into a second amendment to the Loan Agreement. The primary purpose of the second amendment was to reduce the percentage of the amount required to be held in our collateral account with SVB-First Citizens from 100% to not less than 50% of the aggregate dollar value of all our collateral accounts.</w:t>
      </w:r>
    </w:p>
    <w:p>
      <w:pPr>
        <w:spacing w:after="0" w:line="131" w:lineRule="exact"/>
        <w:rPr>
          <w:sz w:val="20"/>
          <w:szCs w:val="20"/>
          <w:color w:val="auto"/>
        </w:rPr>
      </w:pPr>
    </w:p>
    <w:p>
      <w:pPr>
        <w:ind w:firstLine="475"/>
        <w:spacing w:after="0" w:line="222" w:lineRule="exact"/>
        <w:rPr>
          <w:sz w:val="20"/>
          <w:szCs w:val="20"/>
          <w:color w:val="auto"/>
        </w:rPr>
      </w:pPr>
      <w:r>
        <w:rPr>
          <w:rFonts w:ascii="Arial" w:cs="Arial" w:eastAsia="Arial" w:hAnsi="Arial"/>
          <w:sz w:val="16"/>
          <w:szCs w:val="16"/>
          <w:b w:val="1"/>
          <w:bCs w:val="1"/>
          <w:color w:val="231F20"/>
        </w:rPr>
        <w:t>In March 2023, SVB was closed by the California Department of Financial Protection and Innovation, which appointed the FDIC to act as receiver. The FDIC created SVBB as successor to SVB. First Citizens Bank acquired SVBB from the FDIC and operates SVBB as SVB-First Citizens. While we have cash in operating accounts with SVB, the majority of our cash, cash equivalents and investments are deposited in custodial accounts held by U.S. Bank for which SVB Asset Management is the investment advisor. There has been no material negative impact to our cash liquidity as a result of the closure of SVB or the subsequent acquisition of SVBB by First Citizens Bank. Under the Loan Agreement, 50% of the funding comes from SVB, one of the three Lenders. Given the SVBB acquisition by First Citizens Bank, SVB-First Citizens will continue to fulfill SVB</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obligations under the Loan Agreement.</w:t>
      </w:r>
    </w:p>
    <w:p>
      <w:pPr>
        <w:spacing w:after="0" w:line="126" w:lineRule="exact"/>
        <w:rPr>
          <w:sz w:val="20"/>
          <w:szCs w:val="20"/>
          <w:color w:val="auto"/>
        </w:rPr>
      </w:pPr>
    </w:p>
    <w:p>
      <w:pPr>
        <w:ind w:right="60" w:firstLine="475"/>
        <w:spacing w:after="0" w:line="222" w:lineRule="exact"/>
        <w:rPr>
          <w:sz w:val="20"/>
          <w:szCs w:val="20"/>
          <w:color w:val="auto"/>
        </w:rPr>
      </w:pPr>
      <w:r>
        <w:rPr>
          <w:rFonts w:ascii="Arial" w:cs="Arial" w:eastAsia="Arial" w:hAnsi="Arial"/>
          <w:sz w:val="17"/>
          <w:szCs w:val="17"/>
          <w:b w:val="1"/>
          <w:bCs w:val="1"/>
          <w:color w:val="231F20"/>
        </w:rPr>
        <w:t>In October 2023, we completed the October 2023 Offering. In the follow-on public offering, we issued and sold an aggregate of 8,663,793 shares of common stock, including the underwriters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exercise in full of their overallotment option of 1,293,103 shares of common stock, and, in lieu of common stock to certain investors, pre-funded warrants to purchase 1,250,000 shares of common stock at a public offering price of $6.38 per share and $6.379 per pre-funded warrant. Net proceeds were approximately $58.9 million, after deducting underwriting discounts and commissions of $3.8 million and offering-related expenses of $0.6 million. As of December 31, 2024, no shares underlying the pre-funded warrants had been exercised.</w:t>
      </w:r>
    </w:p>
    <w:p>
      <w:pPr>
        <w:sectPr>
          <w:pgSz w:w="12240" w:h="15840" w:orient="portrait"/>
          <w:cols w:equalWidth="0" w:num="1">
            <w:col w:w="10460"/>
          </w:cols>
          <w:pgMar w:left="880" w:top="1165" w:right="90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231F20"/>
        </w:rPr>
        <w:t>89</w:t>
      </w:r>
    </w:p>
    <w:p>
      <w:pPr>
        <w:sectPr>
          <w:pgSz w:w="12240" w:h="15840" w:orient="portrait"/>
          <w:cols w:equalWidth="0" w:num="1">
            <w:col w:w="10460"/>
          </w:cols>
          <w:pgMar w:left="880" w:top="1165" w:right="900" w:bottom="390" w:gutter="0" w:footer="0" w:header="0"/>
          <w:type w:val="continuous"/>
        </w:sectPr>
      </w:pPr>
    </w:p>
    <w:bookmarkStart w:id="97" w:name="page98"/>
    <w:bookmarkEnd w:id="97"/>
    <w:p>
      <w:pPr>
        <w:ind w:firstLine="475"/>
        <w:spacing w:after="0" w:line="298" w:lineRule="auto"/>
        <w:rPr>
          <w:sz w:val="20"/>
          <w:szCs w:val="20"/>
          <w:color w:val="auto"/>
        </w:rPr>
      </w:pPr>
      <w:r>
        <w:rPr>
          <w:rFonts w:ascii="Arial" w:cs="Arial" w:eastAsia="Arial" w:hAnsi="Arial"/>
          <w:sz w:val="16"/>
          <w:szCs w:val="16"/>
          <w:b w:val="1"/>
          <w:bCs w:val="1"/>
          <w:color w:val="231F20"/>
        </w:rPr>
        <w:t>In December 2023, we entered into a third amendment to the Loan Agreement. The primary purpose of the third amendment was to (i) extend the draw period for the first tranche loans from December 31, 2023 to June 30, 2024, (ii) add as a condition for the funding of any first tranche loans after the effective date of the amendment, the requirement that the Phase 2 portion of the ASPEN-06 study in gastric/GEJ cancer either remains ongoing or the achievement of a milestone related to the development of the ASPEN-06 study, and (iii) add a contingency fee in the amount of $0.6 million to the Lenders if the Company prepays any of the loans under the Loan Agreement other than in connection with refinancing of the Loan Agreement with the Lenders and their affiliates.</w:t>
      </w:r>
    </w:p>
    <w:p>
      <w:pPr>
        <w:spacing w:after="0" w:line="86" w:lineRule="exact"/>
        <w:rPr>
          <w:sz w:val="20"/>
          <w:szCs w:val="20"/>
          <w:color w:val="auto"/>
        </w:rPr>
      </w:pPr>
    </w:p>
    <w:p>
      <w:pPr>
        <w:ind w:right="120" w:firstLine="475"/>
        <w:spacing w:after="0" w:line="222" w:lineRule="exact"/>
        <w:rPr>
          <w:sz w:val="20"/>
          <w:szCs w:val="20"/>
          <w:color w:val="auto"/>
        </w:rPr>
      </w:pPr>
      <w:r>
        <w:rPr>
          <w:rFonts w:ascii="Arial" w:cs="Arial" w:eastAsia="Arial" w:hAnsi="Arial"/>
          <w:sz w:val="17"/>
          <w:szCs w:val="17"/>
          <w:b w:val="1"/>
          <w:bCs w:val="1"/>
          <w:color w:val="231F20"/>
        </w:rPr>
        <w:t>We decided not to draw down on any portion of the $40.0 million available to us under the Loan Agreement by the deadline of June 30, 2024. As a result of this decision, the $40.0 million was added to the $25.0 million available upon the achievement of pre-determined development milestones for a total of $65.0 million available, split equally between each of the two tranches. We did not achieve all of the requirements needed to gain access to each of the two tranches available upon the achievement of pre-determined development milestones by the deadline of December 31, 2024. As a result, only the $25.0 million tranche available at the Lenders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sole discretion was available to us as of December 31, 2024.</w:t>
      </w:r>
    </w:p>
    <w:p>
      <w:pPr>
        <w:spacing w:after="0" w:line="128" w:lineRule="exact"/>
        <w:rPr>
          <w:sz w:val="20"/>
          <w:szCs w:val="20"/>
          <w:color w:val="auto"/>
        </w:rPr>
      </w:pPr>
    </w:p>
    <w:p>
      <w:pPr>
        <w:ind w:right="260" w:firstLine="475"/>
        <w:spacing w:after="0" w:line="243" w:lineRule="auto"/>
        <w:rPr>
          <w:sz w:val="20"/>
          <w:szCs w:val="20"/>
          <w:color w:val="auto"/>
        </w:rPr>
      </w:pPr>
      <w:r>
        <w:rPr>
          <w:rFonts w:ascii="Arial" w:cs="Arial" w:eastAsia="Arial" w:hAnsi="Arial"/>
          <w:sz w:val="19"/>
          <w:szCs w:val="19"/>
          <w:b w:val="1"/>
          <w:bCs w:val="1"/>
          <w:color w:val="231F20"/>
        </w:rPr>
        <w:t>We believe our existing cash, cash equivalents and investments will enable us to fund our operating expenses and capital expenditure requirements into the fourth quarter of 2026. Additionally, the Company also has the ability to further utilize the ATM program. We have based these estimates on assumptions in which actuals may materially differ, and we could utilize our available capital resources sooner than we expect.</w:t>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Cash Flows</w:t>
      </w:r>
    </w:p>
    <w:p>
      <w:pPr>
        <w:spacing w:after="0" w:line="118" w:lineRule="exact"/>
        <w:rPr>
          <w:sz w:val="20"/>
          <w:szCs w:val="20"/>
          <w:color w:val="auto"/>
        </w:rPr>
      </w:pPr>
    </w:p>
    <w:p>
      <w:pPr>
        <w:ind w:right="20" w:firstLine="475"/>
        <w:spacing w:after="0" w:line="234" w:lineRule="auto"/>
        <w:rPr>
          <w:sz w:val="20"/>
          <w:szCs w:val="20"/>
          <w:color w:val="auto"/>
        </w:rPr>
      </w:pPr>
      <w:r>
        <w:rPr>
          <w:rFonts w:ascii="Arial" w:cs="Arial" w:eastAsia="Arial" w:hAnsi="Arial"/>
          <w:sz w:val="19"/>
          <w:szCs w:val="19"/>
          <w:b w:val="1"/>
          <w:bCs w:val="1"/>
          <w:color w:val="231F20"/>
        </w:rPr>
        <w:t>The following table presents a summary of the net cash flow activity for the years ended December 31, 2024, 2023 and 2022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9"/>
                <w:szCs w:val="19"/>
                <w:b w:val="1"/>
                <w:bCs w:val="1"/>
                <w:color w:val="231F20"/>
                <w:w w:val="93"/>
              </w:rPr>
              <w:t>Year Ended</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4"/>
        </w:trPr>
        <w:tc>
          <w:tcPr>
            <w:tcW w:w="5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1120" w:type="dxa"/>
            <w:vAlign w:val="bottom"/>
            <w:tcBorders>
              <w:bottom w:val="single" w:sz="8" w:color="231F20"/>
            </w:tcBorders>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580" w:type="dxa"/>
            <w:vAlign w:val="bottom"/>
            <w:tcBorders>
              <w:bottom w:val="single" w:sz="8" w:color="231F20"/>
            </w:tcBorders>
            <w:gridSpan w:val="2"/>
          </w:tcPr>
          <w:p>
            <w:pPr>
              <w:jc w:val="center"/>
              <w:ind w:right="400"/>
              <w:spacing w:after="0"/>
              <w:rPr>
                <w:sz w:val="20"/>
                <w:szCs w:val="20"/>
                <w:color w:val="auto"/>
              </w:rPr>
            </w:pPr>
            <w:r>
              <w:rPr>
                <w:rFonts w:ascii="Arial" w:cs="Arial" w:eastAsia="Arial" w:hAnsi="Arial"/>
                <w:sz w:val="19"/>
                <w:szCs w:val="19"/>
                <w:b w:val="1"/>
                <w:bCs w:val="1"/>
                <w:color w:val="231F20"/>
                <w:w w:val="92"/>
              </w:rPr>
              <w:t>December 31,</w:t>
            </w:r>
          </w:p>
        </w:tc>
        <w:tc>
          <w:tcPr>
            <w:tcW w:w="300" w:type="dxa"/>
            <w:vAlign w:val="bottom"/>
            <w:tcBorders>
              <w:bottom w:val="single" w:sz="8" w:color="231F20"/>
            </w:tcBorders>
          </w:tcPr>
          <w:p>
            <w:pPr>
              <w:spacing w:after="0"/>
              <w:rPr>
                <w:sz w:val="19"/>
                <w:szCs w:val="19"/>
                <w:color w:val="auto"/>
              </w:rPr>
            </w:pPr>
          </w:p>
        </w:tc>
        <w:tc>
          <w:tcPr>
            <w:tcW w:w="1140" w:type="dxa"/>
            <w:vAlign w:val="bottom"/>
            <w:tcBorders>
              <w:bottom w:val="single" w:sz="8" w:color="231F20"/>
            </w:tcBorders>
          </w:tcPr>
          <w:p>
            <w:pPr>
              <w:spacing w:after="0"/>
              <w:rPr>
                <w:sz w:val="19"/>
                <w:szCs w:val="19"/>
                <w:color w:val="auto"/>
              </w:rPr>
            </w:pPr>
          </w:p>
        </w:tc>
        <w:tc>
          <w:tcPr>
            <w:tcW w:w="60" w:type="dxa"/>
            <w:vAlign w:val="bottom"/>
          </w:tcPr>
          <w:p>
            <w:pPr>
              <w:spacing w:after="0"/>
              <w:rPr>
                <w:sz w:val="19"/>
                <w:szCs w:val="19"/>
                <w:color w:val="auto"/>
              </w:rPr>
            </w:pPr>
          </w:p>
        </w:tc>
      </w:tr>
      <w:tr>
        <w:trPr>
          <w:trHeight w:val="212"/>
        </w:trPr>
        <w:tc>
          <w:tcPr>
            <w:tcW w:w="5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1120" w:type="dxa"/>
            <w:vAlign w:val="bottom"/>
            <w:tcBorders>
              <w:bottom w:val="single" w:sz="8" w:color="231F20"/>
            </w:tcBorders>
          </w:tcPr>
          <w:p>
            <w:pPr>
              <w:jc w:val="right"/>
              <w:ind w:right="423"/>
              <w:spacing w:after="0" w:line="212" w:lineRule="exact"/>
              <w:rPr>
                <w:sz w:val="20"/>
                <w:szCs w:val="20"/>
                <w:color w:val="auto"/>
              </w:rPr>
            </w:pPr>
            <w:r>
              <w:rPr>
                <w:rFonts w:ascii="Arial" w:cs="Arial" w:eastAsia="Arial" w:hAnsi="Arial"/>
                <w:sz w:val="19"/>
                <w:szCs w:val="19"/>
                <w:b w:val="1"/>
                <w:bCs w:val="1"/>
                <w:color w:val="231F20"/>
              </w:rPr>
              <w:t>2024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231F20"/>
            </w:tcBorders>
          </w:tcPr>
          <w:p>
            <w:pPr>
              <w:spacing w:after="0"/>
              <w:rPr>
                <w:sz w:val="18"/>
                <w:szCs w:val="18"/>
                <w:color w:val="auto"/>
              </w:rPr>
            </w:pPr>
          </w:p>
        </w:tc>
        <w:tc>
          <w:tcPr>
            <w:tcW w:w="1300" w:type="dxa"/>
            <w:vAlign w:val="bottom"/>
            <w:tcBorders>
              <w:bottom w:val="single" w:sz="8" w:color="231F20"/>
            </w:tcBorders>
          </w:tcPr>
          <w:p>
            <w:pPr>
              <w:jc w:val="center"/>
              <w:ind w:right="23"/>
              <w:spacing w:after="0" w:line="212" w:lineRule="exact"/>
              <w:rPr>
                <w:sz w:val="20"/>
                <w:szCs w:val="20"/>
                <w:color w:val="auto"/>
              </w:rPr>
            </w:pPr>
            <w:r>
              <w:rPr>
                <w:rFonts w:ascii="Arial" w:cs="Arial" w:eastAsia="Arial" w:hAnsi="Arial"/>
                <w:sz w:val="19"/>
                <w:szCs w:val="19"/>
                <w:b w:val="1"/>
                <w:bCs w:val="1"/>
                <w:color w:val="231F20"/>
                <w:w w:val="89"/>
              </w:rPr>
              <w:t>2023</w:t>
            </w:r>
          </w:p>
        </w:tc>
        <w:tc>
          <w:tcPr>
            <w:tcW w:w="280" w:type="dxa"/>
            <w:vAlign w:val="bottom"/>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1140" w:type="dxa"/>
            <w:vAlign w:val="bottom"/>
            <w:tcBorders>
              <w:bottom w:val="single" w:sz="8" w:color="231F20"/>
            </w:tcBorders>
          </w:tcPr>
          <w:p>
            <w:pPr>
              <w:jc w:val="right"/>
              <w:ind w:right="443"/>
              <w:spacing w:after="0" w:line="212" w:lineRule="exact"/>
              <w:rPr>
                <w:sz w:val="20"/>
                <w:szCs w:val="20"/>
                <w:color w:val="auto"/>
              </w:rPr>
            </w:pPr>
            <w:r>
              <w:rPr>
                <w:rFonts w:ascii="Arial" w:cs="Arial" w:eastAsia="Arial" w:hAnsi="Arial"/>
                <w:sz w:val="19"/>
                <w:szCs w:val="19"/>
                <w:b w:val="1"/>
                <w:bCs w:val="1"/>
                <w:color w:val="231F20"/>
              </w:rPr>
              <w:t>2022</w:t>
            </w:r>
          </w:p>
        </w:tc>
        <w:tc>
          <w:tcPr>
            <w:tcW w:w="60" w:type="dxa"/>
            <w:vAlign w:val="bottom"/>
          </w:tcPr>
          <w:p>
            <w:pPr>
              <w:spacing w:after="0"/>
              <w:rPr>
                <w:sz w:val="18"/>
                <w:szCs w:val="18"/>
                <w:color w:val="auto"/>
              </w:rPr>
            </w:pPr>
          </w:p>
        </w:tc>
      </w:tr>
      <w:tr>
        <w:trPr>
          <w:trHeight w:val="213"/>
        </w:trPr>
        <w:tc>
          <w:tcPr>
            <w:tcW w:w="5000" w:type="dxa"/>
            <w:vAlign w:val="bottom"/>
          </w:tcPr>
          <w:p>
            <w:pPr>
              <w:spacing w:after="0" w:line="213" w:lineRule="exact"/>
              <w:rPr>
                <w:sz w:val="20"/>
                <w:szCs w:val="20"/>
                <w:color w:val="auto"/>
              </w:rPr>
            </w:pPr>
            <w:r>
              <w:rPr>
                <w:rFonts w:ascii="Arial" w:cs="Arial" w:eastAsia="Arial" w:hAnsi="Arial"/>
                <w:sz w:val="19"/>
                <w:szCs w:val="19"/>
                <w:b w:val="1"/>
                <w:bCs w:val="1"/>
                <w:color w:val="231F20"/>
              </w:rPr>
              <w:t>Net cash provided by (used in):</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5000" w:type="dxa"/>
            <w:vAlign w:val="bottom"/>
          </w:tcPr>
          <w:p>
            <w:pPr>
              <w:ind w:left="200"/>
              <w:spacing w:after="0"/>
              <w:rPr>
                <w:sz w:val="20"/>
                <w:szCs w:val="20"/>
                <w:color w:val="auto"/>
              </w:rPr>
            </w:pPr>
            <w:r>
              <w:rPr>
                <w:rFonts w:ascii="Arial" w:cs="Arial" w:eastAsia="Arial" w:hAnsi="Arial"/>
                <w:sz w:val="19"/>
                <w:szCs w:val="19"/>
                <w:b w:val="1"/>
                <w:bCs w:val="1"/>
                <w:color w:val="231F20"/>
              </w:rPr>
              <w:t>Operating activities</w:t>
            </w:r>
          </w:p>
        </w:tc>
        <w:tc>
          <w:tcPr>
            <w:tcW w:w="840" w:type="dxa"/>
            <w:vAlign w:val="bottom"/>
            <w:gridSpan w:val="2"/>
          </w:tcPr>
          <w:p>
            <w:pPr>
              <w:jc w:val="right"/>
              <w:ind w:right="220"/>
              <w:spacing w:after="0"/>
              <w:rPr>
                <w:sz w:val="20"/>
                <w:szCs w:val="20"/>
                <w:color w:val="auto"/>
              </w:rPr>
            </w:pPr>
            <w:r>
              <w:rPr>
                <w:rFonts w:ascii="Arial" w:cs="Arial" w:eastAsia="Arial" w:hAnsi="Arial"/>
                <w:sz w:val="19"/>
                <w:szCs w:val="19"/>
                <w:b w:val="1"/>
                <w:bCs w:val="1"/>
                <w:color w:val="231F20"/>
              </w:rPr>
              <w:t>$</w:t>
            </w:r>
          </w:p>
        </w:tc>
        <w:tc>
          <w:tcPr>
            <w:tcW w:w="130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231F20"/>
              </w:rPr>
              <w:t>(121,912)</w:t>
            </w:r>
          </w:p>
        </w:tc>
        <w:tc>
          <w:tcPr>
            <w:tcW w:w="220" w:type="dxa"/>
            <w:vAlign w:val="bottom"/>
            <w:gridSpan w:val="2"/>
          </w:tcPr>
          <w:p>
            <w:pPr>
              <w:jc w:val="right"/>
              <w:ind w:right="20"/>
              <w:spacing w:after="0"/>
              <w:rPr>
                <w:sz w:val="20"/>
                <w:szCs w:val="20"/>
                <w:color w:val="auto"/>
              </w:rPr>
            </w:pPr>
            <w:r>
              <w:rPr>
                <w:rFonts w:ascii="Arial" w:cs="Arial" w:eastAsia="Arial" w:hAnsi="Arial"/>
                <w:sz w:val="19"/>
                <w:szCs w:val="19"/>
                <w:b w:val="1"/>
                <w:bCs w:val="1"/>
                <w:color w:val="231F20"/>
              </w:rPr>
              <w:t>$</w:t>
            </w:r>
          </w:p>
        </w:tc>
        <w:tc>
          <w:tcPr>
            <w:tcW w:w="1580" w:type="dxa"/>
            <w:vAlign w:val="bottom"/>
            <w:gridSpan w:val="2"/>
          </w:tcPr>
          <w:p>
            <w:pPr>
              <w:jc w:val="right"/>
              <w:ind w:right="200"/>
              <w:spacing w:after="0"/>
              <w:rPr>
                <w:sz w:val="20"/>
                <w:szCs w:val="20"/>
                <w:color w:val="auto"/>
              </w:rPr>
            </w:pPr>
            <w:r>
              <w:rPr>
                <w:rFonts w:ascii="Arial" w:cs="Arial" w:eastAsia="Arial" w:hAnsi="Arial"/>
                <w:sz w:val="19"/>
                <w:szCs w:val="19"/>
                <w:b w:val="1"/>
                <w:bCs w:val="1"/>
                <w:color w:val="231F20"/>
              </w:rPr>
              <w:t>(130,364)</w:t>
            </w:r>
          </w:p>
        </w:tc>
        <w:tc>
          <w:tcPr>
            <w:tcW w:w="300" w:type="dxa"/>
            <w:vAlign w:val="bottom"/>
          </w:tcPr>
          <w:p>
            <w:pPr>
              <w:jc w:val="right"/>
              <w:ind w:right="103"/>
              <w:spacing w:after="0"/>
              <w:rPr>
                <w:sz w:val="20"/>
                <w:szCs w:val="20"/>
                <w:color w:val="auto"/>
              </w:rPr>
            </w:pPr>
            <w:r>
              <w:rPr>
                <w:rFonts w:ascii="Arial" w:cs="Arial" w:eastAsia="Arial" w:hAnsi="Arial"/>
                <w:sz w:val="19"/>
                <w:szCs w:val="19"/>
                <w:b w:val="1"/>
                <w:bCs w:val="1"/>
                <w:color w:val="231F20"/>
                <w:w w:val="75"/>
              </w:rPr>
              <w:t>$</w:t>
            </w:r>
          </w:p>
        </w:tc>
        <w:tc>
          <w:tcPr>
            <w:tcW w:w="1200" w:type="dxa"/>
            <w:vAlign w:val="bottom"/>
            <w:gridSpan w:val="2"/>
          </w:tcPr>
          <w:p>
            <w:pPr>
              <w:jc w:val="right"/>
              <w:spacing w:after="0"/>
              <w:rPr>
                <w:sz w:val="20"/>
                <w:szCs w:val="20"/>
                <w:color w:val="auto"/>
              </w:rPr>
            </w:pPr>
            <w:r>
              <w:rPr>
                <w:rFonts w:ascii="Arial" w:cs="Arial" w:eastAsia="Arial" w:hAnsi="Arial"/>
                <w:sz w:val="19"/>
                <w:szCs w:val="19"/>
                <w:b w:val="1"/>
                <w:bCs w:val="1"/>
                <w:color w:val="231F20"/>
              </w:rPr>
              <w:t>(89,223)</w:t>
            </w:r>
          </w:p>
        </w:tc>
      </w:tr>
      <w:tr>
        <w:trPr>
          <w:trHeight w:val="223"/>
        </w:trPr>
        <w:tc>
          <w:tcPr>
            <w:tcW w:w="5000" w:type="dxa"/>
            <w:vAlign w:val="bottom"/>
          </w:tcPr>
          <w:p>
            <w:pPr>
              <w:ind w:left="200"/>
              <w:spacing w:after="0"/>
              <w:rPr>
                <w:sz w:val="20"/>
                <w:szCs w:val="20"/>
                <w:color w:val="auto"/>
              </w:rPr>
            </w:pPr>
            <w:r>
              <w:rPr>
                <w:rFonts w:ascii="Arial" w:cs="Arial" w:eastAsia="Arial" w:hAnsi="Arial"/>
                <w:sz w:val="19"/>
                <w:szCs w:val="19"/>
                <w:b w:val="1"/>
                <w:bCs w:val="1"/>
                <w:color w:val="231F20"/>
              </w:rPr>
              <w:t>Investing activities</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9"/>
                <w:szCs w:val="19"/>
                <w:b w:val="1"/>
                <w:bCs w:val="1"/>
                <w:color w:val="231F20"/>
              </w:rPr>
              <w:t>86,256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9"/>
                <w:szCs w:val="19"/>
                <w:b w:val="1"/>
                <w:bCs w:val="1"/>
                <w:color w:val="231F20"/>
              </w:rPr>
              <w:t>44,657</w:t>
            </w:r>
          </w:p>
        </w:tc>
        <w:tc>
          <w:tcPr>
            <w:tcW w:w="3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9"/>
                <w:szCs w:val="19"/>
                <w:b w:val="1"/>
                <w:bCs w:val="1"/>
                <w:color w:val="231F20"/>
              </w:rPr>
              <w:t>(235,416)</w:t>
            </w:r>
          </w:p>
        </w:tc>
      </w:tr>
      <w:tr>
        <w:trPr>
          <w:trHeight w:val="224"/>
        </w:trPr>
        <w:tc>
          <w:tcPr>
            <w:tcW w:w="5000" w:type="dxa"/>
            <w:vAlign w:val="bottom"/>
          </w:tcPr>
          <w:p>
            <w:pPr>
              <w:ind w:left="200"/>
              <w:spacing w:after="0"/>
              <w:rPr>
                <w:sz w:val="20"/>
                <w:szCs w:val="20"/>
                <w:color w:val="auto"/>
              </w:rPr>
            </w:pPr>
            <w:r>
              <w:rPr>
                <w:rFonts w:ascii="Arial" w:cs="Arial" w:eastAsia="Arial" w:hAnsi="Arial"/>
                <w:sz w:val="19"/>
                <w:szCs w:val="19"/>
                <w:b w:val="1"/>
                <w:bCs w:val="1"/>
                <w:color w:val="231F20"/>
              </w:rPr>
              <w:t>Financing activities</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9"/>
                <w:szCs w:val="19"/>
                <w:b w:val="1"/>
                <w:bCs w:val="1"/>
                <w:color w:val="231F20"/>
              </w:rPr>
              <w:t>30,817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9"/>
                <w:szCs w:val="19"/>
                <w:b w:val="1"/>
                <w:bCs w:val="1"/>
                <w:color w:val="231F20"/>
              </w:rPr>
              <w:t>59,291</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9"/>
                <w:szCs w:val="19"/>
                <w:b w:val="1"/>
                <w:bCs w:val="1"/>
                <w:color w:val="231F20"/>
              </w:rPr>
              <w:t>9,860</w:t>
            </w:r>
          </w:p>
        </w:tc>
        <w:tc>
          <w:tcPr>
            <w:tcW w:w="60" w:type="dxa"/>
            <w:vAlign w:val="bottom"/>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1120" w:type="dxa"/>
            <w:vAlign w:val="bottom"/>
            <w:shd w:val="clear" w:color="auto" w:fill="231F2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1300" w:type="dxa"/>
            <w:vAlign w:val="bottom"/>
            <w:shd w:val="clear" w:color="auto" w:fill="231F2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1140" w:type="dxa"/>
            <w:vAlign w:val="bottom"/>
            <w:shd w:val="clear" w:color="auto" w:fill="231F2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2"/>
        </w:trPr>
        <w:tc>
          <w:tcPr>
            <w:tcW w:w="5000" w:type="dxa"/>
            <w:vAlign w:val="bottom"/>
          </w:tcPr>
          <w:p>
            <w:pPr>
              <w:spacing w:after="0" w:line="212" w:lineRule="exact"/>
              <w:rPr>
                <w:sz w:val="20"/>
                <w:szCs w:val="20"/>
                <w:color w:val="auto"/>
              </w:rPr>
            </w:pPr>
            <w:r>
              <w:rPr>
                <w:rFonts w:ascii="Arial" w:cs="Arial" w:eastAsia="Arial" w:hAnsi="Arial"/>
                <w:sz w:val="19"/>
                <w:szCs w:val="19"/>
                <w:b w:val="1"/>
                <w:bCs w:val="1"/>
                <w:color w:val="231F20"/>
                <w:w w:val="93"/>
              </w:rPr>
              <w:t>Net decrease in cash, cash equivalents and restricted cash</w:t>
            </w:r>
          </w:p>
        </w:tc>
        <w:tc>
          <w:tcPr>
            <w:tcW w:w="840" w:type="dxa"/>
            <w:vAlign w:val="bottom"/>
            <w:gridSpan w:val="2"/>
          </w:tcPr>
          <w:p>
            <w:pPr>
              <w:jc w:val="right"/>
              <w:ind w:right="220"/>
              <w:spacing w:after="0" w:line="212" w:lineRule="exact"/>
              <w:rPr>
                <w:sz w:val="20"/>
                <w:szCs w:val="20"/>
                <w:color w:val="auto"/>
              </w:rPr>
            </w:pPr>
            <w:r>
              <w:rPr>
                <w:rFonts w:ascii="Arial" w:cs="Arial" w:eastAsia="Arial" w:hAnsi="Arial"/>
                <w:sz w:val="19"/>
                <w:szCs w:val="19"/>
                <w:b w:val="1"/>
                <w:bCs w:val="1"/>
                <w:color w:val="231F20"/>
              </w:rPr>
              <w:t>$</w:t>
            </w:r>
          </w:p>
        </w:tc>
        <w:tc>
          <w:tcPr>
            <w:tcW w:w="1300" w:type="dxa"/>
            <w:vAlign w:val="bottom"/>
            <w:gridSpan w:val="2"/>
          </w:tcPr>
          <w:p>
            <w:pPr>
              <w:jc w:val="right"/>
              <w:ind w:right="120"/>
              <w:spacing w:after="0" w:line="212" w:lineRule="exact"/>
              <w:rPr>
                <w:sz w:val="20"/>
                <w:szCs w:val="20"/>
                <w:color w:val="auto"/>
              </w:rPr>
            </w:pPr>
            <w:r>
              <w:rPr>
                <w:rFonts w:ascii="Arial" w:cs="Arial" w:eastAsia="Arial" w:hAnsi="Arial"/>
                <w:sz w:val="19"/>
                <w:szCs w:val="19"/>
                <w:b w:val="1"/>
                <w:bCs w:val="1"/>
                <w:color w:val="231F20"/>
              </w:rPr>
              <w:t>(4,839)</w:t>
            </w:r>
          </w:p>
        </w:tc>
        <w:tc>
          <w:tcPr>
            <w:tcW w:w="220" w:type="dxa"/>
            <w:vAlign w:val="bottom"/>
            <w:gridSpan w:val="2"/>
          </w:tcPr>
          <w:p>
            <w:pPr>
              <w:jc w:val="right"/>
              <w:ind w:right="20"/>
              <w:spacing w:after="0" w:line="212" w:lineRule="exact"/>
              <w:rPr>
                <w:sz w:val="20"/>
                <w:szCs w:val="20"/>
                <w:color w:val="auto"/>
              </w:rPr>
            </w:pPr>
            <w:r>
              <w:rPr>
                <w:rFonts w:ascii="Arial" w:cs="Arial" w:eastAsia="Arial" w:hAnsi="Arial"/>
                <w:sz w:val="19"/>
                <w:szCs w:val="19"/>
                <w:b w:val="1"/>
                <w:bCs w:val="1"/>
                <w:color w:val="231F20"/>
              </w:rPr>
              <w:t>$</w:t>
            </w:r>
          </w:p>
        </w:tc>
        <w:tc>
          <w:tcPr>
            <w:tcW w:w="1580" w:type="dxa"/>
            <w:vAlign w:val="bottom"/>
            <w:gridSpan w:val="2"/>
          </w:tcPr>
          <w:p>
            <w:pPr>
              <w:jc w:val="right"/>
              <w:ind w:right="200"/>
              <w:spacing w:after="0" w:line="212" w:lineRule="exact"/>
              <w:rPr>
                <w:sz w:val="20"/>
                <w:szCs w:val="20"/>
                <w:color w:val="auto"/>
              </w:rPr>
            </w:pPr>
            <w:r>
              <w:rPr>
                <w:rFonts w:ascii="Arial" w:cs="Arial" w:eastAsia="Arial" w:hAnsi="Arial"/>
                <w:sz w:val="19"/>
                <w:szCs w:val="19"/>
                <w:b w:val="1"/>
                <w:bCs w:val="1"/>
                <w:color w:val="231F20"/>
              </w:rPr>
              <w:t>(26,416)</w:t>
            </w:r>
          </w:p>
        </w:tc>
        <w:tc>
          <w:tcPr>
            <w:tcW w:w="300" w:type="dxa"/>
            <w:vAlign w:val="bottom"/>
          </w:tcPr>
          <w:p>
            <w:pPr>
              <w:jc w:val="right"/>
              <w:ind w:right="103"/>
              <w:spacing w:after="0" w:line="212" w:lineRule="exact"/>
              <w:rPr>
                <w:sz w:val="20"/>
                <w:szCs w:val="20"/>
                <w:color w:val="auto"/>
              </w:rPr>
            </w:pPr>
            <w:r>
              <w:rPr>
                <w:rFonts w:ascii="Arial" w:cs="Arial" w:eastAsia="Arial" w:hAnsi="Arial"/>
                <w:sz w:val="19"/>
                <w:szCs w:val="19"/>
                <w:b w:val="1"/>
                <w:bCs w:val="1"/>
                <w:color w:val="231F20"/>
                <w:w w:val="75"/>
              </w:rPr>
              <w:t>$</w:t>
            </w:r>
          </w:p>
        </w:tc>
        <w:tc>
          <w:tcPr>
            <w:tcW w:w="1200" w:type="dxa"/>
            <w:vAlign w:val="bottom"/>
            <w:gridSpan w:val="2"/>
          </w:tcPr>
          <w:p>
            <w:pPr>
              <w:jc w:val="right"/>
              <w:spacing w:after="0" w:line="212" w:lineRule="exact"/>
              <w:rPr>
                <w:sz w:val="20"/>
                <w:szCs w:val="20"/>
                <w:color w:val="auto"/>
              </w:rPr>
            </w:pPr>
            <w:r>
              <w:rPr>
                <w:rFonts w:ascii="Arial" w:cs="Arial" w:eastAsia="Arial" w:hAnsi="Arial"/>
                <w:sz w:val="19"/>
                <w:szCs w:val="19"/>
                <w:b w:val="1"/>
                <w:bCs w:val="1"/>
                <w:color w:val="231F20"/>
              </w:rPr>
              <w:t>(314,779)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3497580</wp:posOffset>
            </wp:positionH>
            <wp:positionV relativeFrom="paragraph">
              <wp:posOffset>-11430</wp:posOffset>
            </wp:positionV>
            <wp:extent cx="3102610" cy="5461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102610" cy="5461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Operating Activities</w:t>
      </w:r>
    </w:p>
    <w:p>
      <w:pPr>
        <w:spacing w:after="0" w:line="128"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231F20"/>
        </w:rPr>
        <w:t>In the year ended December 31, 2024, net cash used in operating activities of $121.9 million was attributable to a net loss of</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$134.9 million and a decrease in net operating assets and liabilities of $12.4 million offset by non-cash charges of $25.4 million.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change in operating assets and liabilities was primarily due to a decrease in accounts payable and accrued expenses and other current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liabilities of $17.0 million primarily due to timing of invoices and payments and a decrease in other assets of $7.4 million offset by an</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increase in prepaid and other current assets of $0.7 million and a decrease in other non-current liabilities of $2.1 million. Non-cash</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charges consisted primarily of stock-based compensation expense of $27.1 million, non-cash lease costs of $1.8 million, and</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depreciation and amortization costs of $0.9 million offset by net amortization of premiums and accretion of discounts on investments</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of $4.7 million.</w:t>
      </w:r>
    </w:p>
    <w:p>
      <w:pPr>
        <w:spacing w:after="0" w:line="128"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231F20"/>
        </w:rPr>
        <w:t>In the year ended December 31, 2023, net cash used in operating activities of $130.4 million was attributable to a net loss of</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$160.8 million, offset by non-cash charges of $22.1 million and an increase in net operating assets and liabilities of $8.3 million. Non-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cash charges consisted primarily of stock-based compensation expense of $26.3 million, non-cash lease costs of $1.3 million, and</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depreciation and amortization costs of $0.8 million offset by net amortization of premiums and accretion of discounts on investments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of $6.5 million. The change in operating assets and liabilities was primarily due to an increase in accounts payable and accrued</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expenses and other current liabilities of $10.6 million primarily due to timing of invoices and payments and a decrease in other assets</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of $1.4 million offset by an increase in prepaid and other current assets of $1.3 million and a decrease in other non-current liabilities</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of $2.4 million.</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Investing Activities</w:t>
      </w:r>
    </w:p>
    <w:p>
      <w:pPr>
        <w:spacing w:after="0" w:line="128" w:lineRule="exact"/>
        <w:rPr>
          <w:sz w:val="20"/>
          <w:szCs w:val="20"/>
          <w:color w:val="auto"/>
        </w:rPr>
      </w:pPr>
    </w:p>
    <w:p>
      <w:pPr>
        <w:ind w:right="520" w:firstLine="475"/>
        <w:spacing w:after="0" w:line="242" w:lineRule="auto"/>
        <w:rPr>
          <w:sz w:val="20"/>
          <w:szCs w:val="20"/>
          <w:color w:val="auto"/>
        </w:rPr>
      </w:pPr>
      <w:r>
        <w:rPr>
          <w:rFonts w:ascii="Arial" w:cs="Arial" w:eastAsia="Arial" w:hAnsi="Arial"/>
          <w:sz w:val="19"/>
          <w:szCs w:val="19"/>
          <w:b w:val="1"/>
          <w:bCs w:val="1"/>
          <w:color w:val="231F20"/>
        </w:rPr>
        <w:t>In the year ended December 31, 2024, net cash provided by investing activities of $86.3 million was attributable to cash received for maturities of investments of $194.1 million, offset by purchases of short-term and long-term investments of $107.4 million and purchases of property and equipment of $0.4 million.</w:t>
      </w:r>
    </w:p>
    <w:p>
      <w:pPr>
        <w:spacing w:after="0" w:line="124" w:lineRule="exact"/>
        <w:rPr>
          <w:sz w:val="20"/>
          <w:szCs w:val="20"/>
          <w:color w:val="auto"/>
        </w:rPr>
      </w:pPr>
    </w:p>
    <w:p>
      <w:pPr>
        <w:ind w:right="520" w:firstLine="475"/>
        <w:spacing w:after="0" w:line="242" w:lineRule="auto"/>
        <w:rPr>
          <w:sz w:val="20"/>
          <w:szCs w:val="20"/>
          <w:color w:val="auto"/>
        </w:rPr>
      </w:pPr>
      <w:r>
        <w:rPr>
          <w:rFonts w:ascii="Arial" w:cs="Arial" w:eastAsia="Arial" w:hAnsi="Arial"/>
          <w:sz w:val="19"/>
          <w:szCs w:val="19"/>
          <w:b w:val="1"/>
          <w:bCs w:val="1"/>
          <w:color w:val="231F20"/>
        </w:rPr>
        <w:t>In the year ended December 31, 2023, net cash provided by investing activities of $44.7 million was attributable to cash received for maturities of investments of $292.6 million, offset by purchases of short-term and long-term investments of $246.6 million and purchases of property and equipment of $1.3 million.</w:t>
      </w:r>
    </w:p>
    <w:p>
      <w:pPr>
        <w:sectPr>
          <w:pgSz w:w="12240" w:h="15840" w:orient="portrait"/>
          <w:cols w:equalWidth="0" w:num="1">
            <w:col w:w="10440"/>
          </w:cols>
          <w:pgMar w:left="880" w:top="1165" w:right="920" w:bottom="39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231F20"/>
        </w:rPr>
        <w:t>90</w:t>
      </w:r>
    </w:p>
    <w:p>
      <w:pPr>
        <w:sectPr>
          <w:pgSz w:w="12240" w:h="15840" w:orient="portrait"/>
          <w:cols w:equalWidth="0" w:num="1">
            <w:col w:w="10440"/>
          </w:cols>
          <w:pgMar w:left="880" w:top="1165" w:right="920" w:bottom="390" w:gutter="0" w:footer="0" w:header="0"/>
          <w:type w:val="continuous"/>
        </w:sectPr>
      </w:pPr>
    </w:p>
    <w:bookmarkStart w:id="98" w:name="page99"/>
    <w:bookmarkEnd w:id="98"/>
    <w:p>
      <w:pPr>
        <w:spacing w:after="0"/>
        <w:rPr>
          <w:sz w:val="20"/>
          <w:szCs w:val="20"/>
          <w:color w:val="auto"/>
        </w:rPr>
      </w:pPr>
      <w:r>
        <w:rPr>
          <w:rFonts w:ascii="Arial" w:cs="Arial" w:eastAsia="Arial" w:hAnsi="Arial"/>
          <w:sz w:val="19"/>
          <w:szCs w:val="19"/>
          <w:b w:val="1"/>
          <w:bCs w:val="1"/>
          <w:color w:val="231F20"/>
        </w:rPr>
        <w:t>Financing Activities</w:t>
      </w:r>
    </w:p>
    <w:p>
      <w:pPr>
        <w:spacing w:after="0" w:line="128" w:lineRule="exact"/>
        <w:rPr>
          <w:sz w:val="20"/>
          <w:szCs w:val="20"/>
          <w:color w:val="auto"/>
        </w:rPr>
      </w:pPr>
    </w:p>
    <w:p>
      <w:pPr>
        <w:ind w:right="160" w:firstLine="475"/>
        <w:spacing w:after="0" w:line="261" w:lineRule="auto"/>
        <w:rPr>
          <w:sz w:val="20"/>
          <w:szCs w:val="20"/>
          <w:color w:val="auto"/>
        </w:rPr>
      </w:pPr>
      <w:r>
        <w:rPr>
          <w:rFonts w:ascii="Arial" w:cs="Arial" w:eastAsia="Arial" w:hAnsi="Arial"/>
          <w:sz w:val="18"/>
          <w:szCs w:val="18"/>
          <w:b w:val="1"/>
          <w:bCs w:val="1"/>
          <w:color w:val="231F20"/>
        </w:rPr>
        <w:t>In the year ended December 31, 2024, net cash provided by financing activities of $30.8 million was attributable to proceeds from our ATM offering, net of commissions, of $29.7 million, proceeds from the exercise of stock options under equity incentive plans of $1.6 million, and proceeds from issuance of common stock pursuant to employee stock purchase plan of $0.4 million, offset by principal payments on finance leases of $0.8 million.</w:t>
      </w:r>
    </w:p>
    <w:p>
      <w:pPr>
        <w:spacing w:after="0" w:line="108" w:lineRule="exact"/>
        <w:rPr>
          <w:sz w:val="20"/>
          <w:szCs w:val="20"/>
          <w:color w:val="auto"/>
        </w:rPr>
      </w:pPr>
    </w:p>
    <w:p>
      <w:pPr>
        <w:ind w:right="300" w:firstLine="475"/>
        <w:spacing w:after="0" w:line="281" w:lineRule="auto"/>
        <w:rPr>
          <w:sz w:val="20"/>
          <w:szCs w:val="20"/>
          <w:color w:val="auto"/>
        </w:rPr>
      </w:pPr>
      <w:r>
        <w:rPr>
          <w:rFonts w:ascii="Arial" w:cs="Arial" w:eastAsia="Arial" w:hAnsi="Arial"/>
          <w:sz w:val="17"/>
          <w:szCs w:val="17"/>
          <w:b w:val="1"/>
          <w:bCs w:val="1"/>
          <w:color w:val="231F20"/>
        </w:rPr>
        <w:t>In the year ended December 31, 2023, net cash provided by financing activities of $59.3 million was attributable to proceeds from equity offerings, net of underwriter discounts and issuance costs, of $58.9 million, proceeds from issuance of common stock pursuant to employee stock purchase plan of $0.5 million, and proceeds from the exercise of stock options under equity incentive plans of $0.3 million, offset by principal payments on finance leases of $0.4 million.</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Off-Balance Sheet Arrangements</w:t>
      </w:r>
    </w:p>
    <w:p>
      <w:pPr>
        <w:spacing w:after="0" w:line="108" w:lineRule="exact"/>
        <w:rPr>
          <w:sz w:val="20"/>
          <w:szCs w:val="20"/>
          <w:color w:val="auto"/>
        </w:rPr>
      </w:pPr>
    </w:p>
    <w:p>
      <w:pPr>
        <w:ind w:right="220" w:firstLine="475"/>
        <w:spacing w:after="0" w:line="227" w:lineRule="auto"/>
        <w:rPr>
          <w:sz w:val="20"/>
          <w:szCs w:val="20"/>
          <w:color w:val="auto"/>
        </w:rPr>
      </w:pPr>
      <w:r>
        <w:rPr>
          <w:rFonts w:ascii="Arial" w:cs="Arial" w:eastAsia="Arial" w:hAnsi="Arial"/>
          <w:sz w:val="19"/>
          <w:szCs w:val="19"/>
          <w:b w:val="1"/>
          <w:bCs w:val="1"/>
          <w:color w:val="231F20"/>
        </w:rPr>
        <w:t>During the period presented, we did not have, nor do we currently have, any off-balance sheet arrangements, as defined in the rules and regulations of the SEC.</w:t>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Critical Accounting Estimates</w:t>
      </w:r>
    </w:p>
    <w:p>
      <w:pPr>
        <w:spacing w:after="0" w:line="125" w:lineRule="exact"/>
        <w:rPr>
          <w:sz w:val="20"/>
          <w:szCs w:val="20"/>
          <w:color w:val="auto"/>
        </w:rPr>
      </w:pPr>
    </w:p>
    <w:p>
      <w:pPr>
        <w:ind w:right="80" w:firstLine="475"/>
        <w:spacing w:after="0" w:line="222" w:lineRule="exact"/>
        <w:rPr>
          <w:sz w:val="20"/>
          <w:szCs w:val="20"/>
          <w:color w:val="auto"/>
        </w:rPr>
      </w:pPr>
      <w:r>
        <w:rPr>
          <w:rFonts w:ascii="Arial" w:cs="Arial" w:eastAsia="Arial" w:hAnsi="Arial"/>
          <w:sz w:val="17"/>
          <w:szCs w:val="17"/>
          <w:b w:val="1"/>
          <w:bCs w:val="1"/>
          <w:color w:val="231F20"/>
        </w:rPr>
        <w:t>Our management</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discussion and analysis of financial condition and results of operations is based on our financial statements, which have been prepared in accordance with generally accepted accounting principles in the United States, or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significantly from these estimates under different assumptions or conditions.</w:t>
      </w:r>
    </w:p>
    <w:p>
      <w:pPr>
        <w:spacing w:after="0" w:line="128" w:lineRule="exact"/>
        <w:rPr>
          <w:sz w:val="20"/>
          <w:szCs w:val="20"/>
          <w:color w:val="auto"/>
        </w:rPr>
      </w:pPr>
    </w:p>
    <w:p>
      <w:pPr>
        <w:ind w:right="180" w:firstLine="475"/>
        <w:spacing w:after="0" w:line="262" w:lineRule="auto"/>
        <w:rPr>
          <w:sz w:val="20"/>
          <w:szCs w:val="20"/>
          <w:color w:val="auto"/>
        </w:rPr>
      </w:pPr>
      <w:r>
        <w:rPr>
          <w:rFonts w:ascii="Arial" w:cs="Arial" w:eastAsia="Arial" w:hAnsi="Arial"/>
          <w:sz w:val="18"/>
          <w:szCs w:val="18"/>
          <w:b w:val="1"/>
          <w:bCs w:val="1"/>
          <w:color w:val="231F20"/>
        </w:rPr>
        <w:t>Our significant accounting policies are more fully described in the notes to our audited consolidated financial statements elsewhere in this Annual Report on Form 10-K. We believe that the following accounting policy reflects the most critical judgments and estimation uncertainty used in the preparation of our Consolidated Financial Results.</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Clinical and Contract Manufacturing Accruals</w:t>
      </w:r>
    </w:p>
    <w:p>
      <w:pPr>
        <w:spacing w:after="0" w:line="128" w:lineRule="exact"/>
        <w:rPr>
          <w:sz w:val="20"/>
          <w:szCs w:val="20"/>
          <w:color w:val="auto"/>
        </w:rPr>
      </w:pPr>
    </w:p>
    <w:p>
      <w:pPr>
        <w:ind w:firstLine="475"/>
        <w:spacing w:after="0" w:line="294" w:lineRule="auto"/>
        <w:rPr>
          <w:sz w:val="20"/>
          <w:szCs w:val="20"/>
          <w:color w:val="auto"/>
        </w:rPr>
      </w:pPr>
      <w:r>
        <w:rPr>
          <w:rFonts w:ascii="Arial" w:cs="Arial" w:eastAsia="Arial" w:hAnsi="Arial"/>
          <w:sz w:val="16"/>
          <w:szCs w:val="16"/>
          <w:b w:val="1"/>
          <w:bCs w:val="1"/>
          <w:color w:val="231F20"/>
        </w:rPr>
        <w:t>We record accruals for estimated costs of research, preclinical studies and clinical trials, and manufacturing development, which are a significant component of research and development expenses. A substantial portion of our ongoing research and development activities are conducted by third-party service providers, including CROs and contract manufacturing organizations, or CMOs. Our contracts with CROs generally include pass-through fees such as regulatory expenses, investigator fees, travel costs and other miscellaneous costs, including shipping and printing fees. Similarly, our contracts with CMOs generally include pass-through fees such as raw materials and other miscellaneous costs, including shipping. The financial terms of these contracts are subject to negotiations, which vary from contract to contract and may result in payment flows that do not match the periods over which materials or services are provided to us under such contracts. We accrue the costs incurred under agreements with these third parties based on estimates of actual work completed but not yet invoiced in accordance with the respective agreements. We determine the estimated costs through discussions with internal personnel and external service providers as to the progress or stage of completion of the services and the agreed-upon fees to be paid for such services. To assist in our estimates, we rely upon the receipt of timely and accurate reporting from our clinical and non-clinical studies and other third-party vendors.</w:t>
      </w:r>
    </w:p>
    <w:p>
      <w:pPr>
        <w:spacing w:after="0" w:line="87" w:lineRule="exact"/>
        <w:rPr>
          <w:sz w:val="20"/>
          <w:szCs w:val="20"/>
          <w:color w:val="auto"/>
        </w:rPr>
      </w:pPr>
    </w:p>
    <w:p>
      <w:pPr>
        <w:ind w:firstLine="475"/>
        <w:spacing w:after="0" w:line="295" w:lineRule="auto"/>
        <w:rPr>
          <w:sz w:val="20"/>
          <w:szCs w:val="20"/>
          <w:color w:val="auto"/>
        </w:rPr>
      </w:pPr>
      <w:r>
        <w:rPr>
          <w:rFonts w:ascii="Arial" w:cs="Arial" w:eastAsia="Arial" w:hAnsi="Arial"/>
          <w:sz w:val="16"/>
          <w:szCs w:val="16"/>
          <w:b w:val="1"/>
          <w:bCs w:val="1"/>
          <w:color w:val="231F20"/>
        </w:rPr>
        <w:t>We make judgments and estimates in determining the accrual balance related to our CMOs at the end of each reporting period based on discussion with internal personnel who work directly and meet regularly with the CMOs. As actual costs become known, we adjust our accruals. Although we do not expect our estimates to be materially different from amounts actually incurred, our understanding of the status and timing of services performed relative to the actual status and timing of services performed may vary and could result in reporting amounts that are too high or too low in any particular period. Through December 31, 2024, there have been no material differences from our accrued estimated expenses to the actual clinical trial and manufacturing development expenses. However, variations in the assumptions used to estimate accruals, including, but not limited to, the number of patients enrolled, the rate of patient enrollment, the actual services performed, and related costs may vary from our estimates, resulting in adjustments to clinical trial expense and manufacturing costs in future periods. Changes in these estimates that result in material changes to our accruals could materially affect our financial position and results of our operations.</w:t>
      </w:r>
    </w:p>
    <w:p>
      <w:pPr>
        <w:sectPr>
          <w:pgSz w:w="12240" w:h="15840" w:orient="portrait"/>
          <w:cols w:equalWidth="0" w:num="1">
            <w:col w:w="10460"/>
          </w:cols>
          <w:pgMar w:left="880" w:top="1160" w:right="90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231F20"/>
        </w:rPr>
        <w:t>91</w:t>
      </w:r>
    </w:p>
    <w:p>
      <w:pPr>
        <w:sectPr>
          <w:pgSz w:w="12240" w:h="15840" w:orient="portrait"/>
          <w:cols w:equalWidth="0" w:num="1">
            <w:col w:w="10460"/>
          </w:cols>
          <w:pgMar w:left="880" w:top="1160" w:right="900" w:bottom="390" w:gutter="0" w:footer="0" w:header="0"/>
          <w:type w:val="continuous"/>
        </w:sectPr>
      </w:pPr>
    </w:p>
    <w:bookmarkStart w:id="99" w:name="page100"/>
    <w:bookmarkEnd w:id="99"/>
    <w:p>
      <w:pPr>
        <w:spacing w:after="0"/>
        <w:rPr>
          <w:sz w:val="20"/>
          <w:szCs w:val="20"/>
          <w:color w:val="auto"/>
        </w:rPr>
      </w:pPr>
      <w:r>
        <w:rPr>
          <w:rFonts w:ascii="Arial" w:cs="Arial" w:eastAsia="Arial" w:hAnsi="Arial"/>
          <w:sz w:val="19"/>
          <w:szCs w:val="19"/>
          <w:b w:val="1"/>
          <w:bCs w:val="1"/>
          <w:color w:val="231F20"/>
        </w:rPr>
        <w:t>Recent Accounting Pronouncements</w:t>
      </w:r>
    </w:p>
    <w:p>
      <w:pPr>
        <w:spacing w:after="0" w:line="128" w:lineRule="exact"/>
        <w:rPr>
          <w:sz w:val="20"/>
          <w:szCs w:val="20"/>
          <w:color w:val="auto"/>
        </w:rPr>
      </w:pPr>
    </w:p>
    <w:p>
      <w:pPr>
        <w:ind w:right="280" w:firstLine="475"/>
        <w:spacing w:after="0" w:line="220" w:lineRule="exact"/>
        <w:rPr>
          <w:sz w:val="20"/>
          <w:szCs w:val="20"/>
          <w:color w:val="auto"/>
        </w:rPr>
      </w:pPr>
      <w:r>
        <w:rPr>
          <w:rFonts w:ascii="Arial" w:cs="Arial" w:eastAsia="Arial" w:hAnsi="Arial"/>
          <w:sz w:val="18"/>
          <w:szCs w:val="18"/>
          <w:b w:val="1"/>
          <w:bCs w:val="1"/>
          <w:color w:val="231F20"/>
        </w:rPr>
        <w:t xml:space="preserve">See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Note 2. Significant Accounting Policies</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 of the Notes to Consolidated Financial Statements in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Item 8. Financial Statements and Supplementary Data</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 for a full description of recent accounting pronouncements, including the respective expected dates of adoption and estimated effects, if any, on our consolidated financial statements.</w:t>
      </w:r>
    </w:p>
    <w:p>
      <w:pPr>
        <w:spacing w:after="0" w:line="35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7A. Quantitative and Qualitative Disclosures About Market Risk.</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Interest Rate Risk</w:t>
      </w:r>
    </w:p>
    <w:p>
      <w:pPr>
        <w:spacing w:after="0" w:line="125"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231F20"/>
        </w:rPr>
        <w:t>We are exposed to market risks in the ordinary course of our business. These risks primarily include interest rate sensitivities.</w:t>
      </w:r>
    </w:p>
    <w:p>
      <w:pPr>
        <w:spacing w:after="0" w:line="157" w:lineRule="exact"/>
        <w:rPr>
          <w:sz w:val="20"/>
          <w:szCs w:val="20"/>
          <w:color w:val="auto"/>
        </w:rPr>
      </w:pPr>
    </w:p>
    <w:p>
      <w:pPr>
        <w:ind w:firstLine="475"/>
        <w:spacing w:after="0" w:line="259" w:lineRule="auto"/>
        <w:rPr>
          <w:sz w:val="20"/>
          <w:szCs w:val="20"/>
          <w:color w:val="auto"/>
        </w:rPr>
      </w:pPr>
      <w:r>
        <w:rPr>
          <w:rFonts w:ascii="Arial" w:cs="Arial" w:eastAsia="Arial" w:hAnsi="Arial"/>
          <w:sz w:val="18"/>
          <w:szCs w:val="18"/>
          <w:b w:val="1"/>
          <w:bCs w:val="1"/>
          <w:color w:val="231F20"/>
        </w:rPr>
        <w:t>As of December 31, 2024, we had cash, cash equivalents and investments of $131.3 million. We generally hold our cash and cash equivalents in interest-bearing bank accounts and money market funds. We have invested primarily in U.S. Treasury securities, U.S. government agency securities, corporate debt securities, commercial paper and asset-backed securities and all our investments are classified as available-for-sale. Our primary exposure to market risk is interest rate sensitivity, which is affected by changes in the general level of U.S. interest rates. An immediate 100 basis point change in interest rates would not have a material effect on the fair market value of our cash, cash equivalents and investments.</w:t>
      </w:r>
    </w:p>
    <w:p>
      <w:pPr>
        <w:spacing w:after="0" w:line="114" w:lineRule="exact"/>
        <w:rPr>
          <w:sz w:val="20"/>
          <w:szCs w:val="20"/>
          <w:color w:val="auto"/>
        </w:rPr>
      </w:pPr>
    </w:p>
    <w:p>
      <w:pPr>
        <w:ind w:right="120" w:firstLine="475"/>
        <w:spacing w:after="0" w:line="243" w:lineRule="auto"/>
        <w:rPr>
          <w:sz w:val="20"/>
          <w:szCs w:val="20"/>
          <w:color w:val="auto"/>
        </w:rPr>
      </w:pPr>
      <w:r>
        <w:rPr>
          <w:rFonts w:ascii="Arial" w:cs="Arial" w:eastAsia="Arial" w:hAnsi="Arial"/>
          <w:sz w:val="19"/>
          <w:szCs w:val="19"/>
          <w:b w:val="1"/>
          <w:bCs w:val="1"/>
          <w:color w:val="231F20"/>
        </w:rPr>
        <w:t>As of December 31, 2024, we had borrowings of $10.0 million outstanding under the Loan Agreement. Borrowings under the Loan Agreement bear interest at a floating rate per annum equal to the greater of (i) 1-month term SOFR, and (ii) 2.33%, plus 6.25%. An immediate 10% change in the 1-month term SOFR would not have a material impact on our debt-related obligations, financial position or results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Credit Risk</w:t>
      </w:r>
    </w:p>
    <w:p>
      <w:pPr>
        <w:spacing w:after="0" w:line="125" w:lineRule="exact"/>
        <w:rPr>
          <w:sz w:val="20"/>
          <w:szCs w:val="20"/>
          <w:color w:val="auto"/>
        </w:rPr>
      </w:pPr>
    </w:p>
    <w:p>
      <w:pPr>
        <w:ind w:right="20" w:firstLine="475"/>
        <w:spacing w:after="0" w:line="222" w:lineRule="exact"/>
        <w:rPr>
          <w:sz w:val="20"/>
          <w:szCs w:val="20"/>
          <w:color w:val="auto"/>
        </w:rPr>
      </w:pPr>
      <w:r>
        <w:rPr>
          <w:rFonts w:ascii="Arial" w:cs="Arial" w:eastAsia="Arial" w:hAnsi="Arial"/>
          <w:sz w:val="17"/>
          <w:szCs w:val="17"/>
          <w:b w:val="1"/>
          <w:bCs w:val="1"/>
          <w:color w:val="231F20"/>
        </w:rPr>
        <w:t>Financial instruments that potentially subject the Company to concentration of credit risk consist of cash, cash equivalents and investments. The Company invests its cash equivalents in highly rated money market funds.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investments consist of debt securities issued by highly rated corporate entities, the U.S. federal government or state and local governments.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exposure to any individual corporate entity is limited by our investment policy. Deposits may exceed federally insured limits, and the Company is exposed to credit risk on deposits in the event of default by the financial institutions to the extent account balances exceed the amount insured by the Federal Deposit Insurance Corporation (FDIC).</w:t>
      </w:r>
    </w:p>
    <w:p>
      <w:pPr>
        <w:spacing w:after="0" w:line="126" w:lineRule="exact"/>
        <w:rPr>
          <w:sz w:val="20"/>
          <w:szCs w:val="20"/>
          <w:color w:val="auto"/>
        </w:rPr>
      </w:pPr>
    </w:p>
    <w:p>
      <w:pPr>
        <w:ind w:firstLine="475"/>
        <w:spacing w:after="0" w:line="222" w:lineRule="exact"/>
        <w:rPr>
          <w:sz w:val="20"/>
          <w:szCs w:val="20"/>
          <w:color w:val="auto"/>
        </w:rPr>
      </w:pPr>
      <w:r>
        <w:rPr>
          <w:rFonts w:ascii="Arial" w:cs="Arial" w:eastAsia="Arial" w:hAnsi="Arial"/>
          <w:sz w:val="18"/>
          <w:szCs w:val="18"/>
          <w:b w:val="1"/>
          <w:bCs w:val="1"/>
          <w:color w:val="231F20"/>
        </w:rPr>
        <w:t>The Company is continuing to monitor any events involving limited liquidity, defaults, non-performance or other adverse developments that affect financial institutions or other companies in the financial services industry or the financial services industry generally, including Silicon Valley Bank (SVB). In March 2023, SVB, where the Company maintained operating accounts with a cash balance of less than 1% of the Company</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total cash, cash equivalents and investments, was closed by the California Department of Financial Protection and Innovation, which appointed the FDIC to act as receiver. The FDIC created Silicon Valley Bridge Bank, N.A. (SVBB) as successor to SVB. First Citizens BancShares, Inc. (First Citizens Bank) acquired SVBB from the FDIC and assumed all of SVB</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deposits and loans. In light of the foregoing, the Company does not believe that it had exposure to loss as a result of SVB</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receivership.</w:t>
      </w:r>
    </w:p>
    <w:p>
      <w:pPr>
        <w:spacing w:after="0" w:line="127" w:lineRule="exact"/>
        <w:rPr>
          <w:sz w:val="20"/>
          <w:szCs w:val="20"/>
          <w:color w:val="auto"/>
        </w:rPr>
      </w:pPr>
    </w:p>
    <w:p>
      <w:pPr>
        <w:ind w:right="180" w:firstLine="475"/>
        <w:spacing w:after="0" w:line="239" w:lineRule="auto"/>
        <w:rPr>
          <w:sz w:val="20"/>
          <w:szCs w:val="20"/>
          <w:color w:val="auto"/>
        </w:rPr>
      </w:pPr>
      <w:r>
        <w:rPr>
          <w:rFonts w:ascii="Arial" w:cs="Arial" w:eastAsia="Arial" w:hAnsi="Arial"/>
          <w:sz w:val="19"/>
          <w:szCs w:val="19"/>
          <w:b w:val="1"/>
          <w:bCs w:val="1"/>
          <w:color w:val="231F20"/>
        </w:rPr>
        <w:t>During the periods presented, the Company has not experienced any realized losses on its deposits of cash, cash equivalents or investments.</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Foreign Currency Risk</w:t>
      </w:r>
    </w:p>
    <w:p>
      <w:pPr>
        <w:spacing w:after="0" w:line="128" w:lineRule="exact"/>
        <w:rPr>
          <w:sz w:val="20"/>
          <w:szCs w:val="20"/>
          <w:color w:val="auto"/>
        </w:rPr>
      </w:pPr>
    </w:p>
    <w:p>
      <w:pPr>
        <w:ind w:right="20" w:firstLine="475"/>
        <w:spacing w:after="0" w:line="299" w:lineRule="auto"/>
        <w:rPr>
          <w:sz w:val="20"/>
          <w:szCs w:val="20"/>
          <w:color w:val="auto"/>
        </w:rPr>
      </w:pPr>
      <w:r>
        <w:rPr>
          <w:rFonts w:ascii="Arial" w:cs="Arial" w:eastAsia="Arial" w:hAnsi="Arial"/>
          <w:sz w:val="16"/>
          <w:szCs w:val="16"/>
          <w:b w:val="1"/>
          <w:bCs w:val="1"/>
          <w:color w:val="231F20"/>
        </w:rPr>
        <w:t>Our expenses are generally denominated in U.S. dollars. However, we have entered into a limited number of contracts with vendors for services with payments denominated in foreign currencies, primarily the euro. We are subject to foreign currency transaction gains or losses on our contracts denominated in foreign currencies. To date, foreign currency transaction gains and losses have not been material to our consolidated financial statements, and we have not had a formal hedging program with respect to foreign currency. A 10.0% increase or decrease in current exchange rates would not have a material impact on our financial results.</w:t>
      </w:r>
    </w:p>
    <w:p>
      <w:pPr>
        <w:spacing w:after="0" w:line="31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8. Financial Statements and Supplementary Data.</w:t>
      </w:r>
    </w:p>
    <w:p>
      <w:pPr>
        <w:sectPr>
          <w:pgSz w:w="12240" w:h="15840" w:orient="portrait"/>
          <w:cols w:equalWidth="0" w:num="1">
            <w:col w:w="10480"/>
          </w:cols>
          <w:pgMar w:left="880" w:top="1160" w:right="88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92</w:t>
      </w:r>
    </w:p>
    <w:p>
      <w:pPr>
        <w:sectPr>
          <w:pgSz w:w="12240" w:h="15840" w:orient="portrait"/>
          <w:cols w:equalWidth="0" w:num="1">
            <w:col w:w="10480"/>
          </w:cols>
          <w:pgMar w:left="880" w:top="1160" w:right="880" w:bottom="39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218"/>
        </w:trPr>
        <w:tc>
          <w:tcPr>
            <w:tcW w:w="8580" w:type="dxa"/>
            <w:vAlign w:val="bottom"/>
          </w:tcPr>
          <w:p>
            <w:pPr>
              <w:ind w:left="3500"/>
              <w:spacing w:after="0"/>
              <w:rPr>
                <w:sz w:val="20"/>
                <w:szCs w:val="20"/>
                <w:color w:val="auto"/>
              </w:rPr>
            </w:pPr>
            <w:r>
              <w:rPr>
                <w:rFonts w:ascii="Arial" w:cs="Arial" w:eastAsia="Arial" w:hAnsi="Arial"/>
                <w:sz w:val="19"/>
                <w:szCs w:val="19"/>
                <w:b w:val="1"/>
                <w:bCs w:val="1"/>
                <w:color w:val="231F20"/>
              </w:rPr>
              <w:t>INDEX TO FINANCIAL STATEMENTS</w:t>
            </w:r>
          </w:p>
        </w:tc>
        <w:tc>
          <w:tcPr>
            <w:tcW w:w="1880" w:type="dxa"/>
            <w:vAlign w:val="bottom"/>
          </w:tcPr>
          <w:p>
            <w:pPr>
              <w:spacing w:after="0"/>
              <w:rPr>
                <w:sz w:val="18"/>
                <w:szCs w:val="18"/>
                <w:color w:val="auto"/>
              </w:rPr>
            </w:pPr>
          </w:p>
        </w:tc>
      </w:tr>
      <w:tr>
        <w:trPr>
          <w:trHeight w:val="461"/>
        </w:trPr>
        <w:tc>
          <w:tcPr>
            <w:tcW w:w="8580" w:type="dxa"/>
            <w:vAlign w:val="bottom"/>
          </w:tcPr>
          <w:p>
            <w:pPr>
              <w:spacing w:after="0"/>
              <w:rPr>
                <w:sz w:val="20"/>
                <w:szCs w:val="20"/>
                <w:color w:val="auto"/>
              </w:rPr>
            </w:pPr>
            <w:r>
              <w:rPr>
                <w:rFonts w:ascii="Arial" w:cs="Arial" w:eastAsia="Arial" w:hAnsi="Arial"/>
                <w:sz w:val="19"/>
                <w:szCs w:val="19"/>
                <w:b w:val="1"/>
                <w:bCs w:val="1"/>
                <w:color w:val="231F20"/>
              </w:rPr>
              <w:t>Report of Independent Registered Public Accounting Firm (PCAOB ID: 185)</w:t>
            </w:r>
          </w:p>
        </w:tc>
        <w:tc>
          <w:tcPr>
            <w:tcW w:w="1880" w:type="dxa"/>
            <w:vAlign w:val="bottom"/>
          </w:tcPr>
          <w:p>
            <w:pPr>
              <w:jc w:val="right"/>
              <w:spacing w:after="0"/>
              <w:rPr>
                <w:sz w:val="20"/>
                <w:szCs w:val="20"/>
                <w:color w:val="auto"/>
              </w:rPr>
            </w:pPr>
            <w:r>
              <w:rPr>
                <w:rFonts w:ascii="Arial" w:cs="Arial" w:eastAsia="Arial" w:hAnsi="Arial"/>
                <w:sz w:val="19"/>
                <w:szCs w:val="19"/>
                <w:b w:val="1"/>
                <w:bCs w:val="1"/>
                <w:color w:val="231F20"/>
              </w:rPr>
              <w:t>94</w:t>
            </w:r>
          </w:p>
        </w:tc>
      </w:tr>
      <w:tr>
        <w:trPr>
          <w:trHeight w:val="386"/>
        </w:trPr>
        <w:tc>
          <w:tcPr>
            <w:tcW w:w="8580" w:type="dxa"/>
            <w:vAlign w:val="bottom"/>
          </w:tcPr>
          <w:p>
            <w:pPr>
              <w:spacing w:after="0"/>
              <w:rPr>
                <w:sz w:val="20"/>
                <w:szCs w:val="20"/>
                <w:color w:val="auto"/>
              </w:rPr>
            </w:pPr>
            <w:r>
              <w:rPr>
                <w:rFonts w:ascii="Arial" w:cs="Arial" w:eastAsia="Arial" w:hAnsi="Arial"/>
                <w:sz w:val="19"/>
                <w:szCs w:val="19"/>
                <w:b w:val="1"/>
                <w:bCs w:val="1"/>
                <w:color w:val="231F20"/>
              </w:rPr>
              <w:t>Consolidated Balance Sheets</w:t>
            </w:r>
          </w:p>
        </w:tc>
        <w:tc>
          <w:tcPr>
            <w:tcW w:w="1880" w:type="dxa"/>
            <w:vAlign w:val="bottom"/>
          </w:tcPr>
          <w:p>
            <w:pPr>
              <w:jc w:val="right"/>
              <w:spacing w:after="0"/>
              <w:rPr>
                <w:sz w:val="20"/>
                <w:szCs w:val="20"/>
                <w:color w:val="auto"/>
              </w:rPr>
            </w:pPr>
            <w:r>
              <w:rPr>
                <w:rFonts w:ascii="Arial" w:cs="Arial" w:eastAsia="Arial" w:hAnsi="Arial"/>
                <w:sz w:val="19"/>
                <w:szCs w:val="19"/>
                <w:b w:val="1"/>
                <w:bCs w:val="1"/>
                <w:color w:val="231F20"/>
              </w:rPr>
              <w:t>95</w:t>
            </w:r>
          </w:p>
        </w:tc>
      </w:tr>
      <w:tr>
        <w:trPr>
          <w:trHeight w:val="386"/>
        </w:trPr>
        <w:tc>
          <w:tcPr>
            <w:tcW w:w="8580" w:type="dxa"/>
            <w:vAlign w:val="bottom"/>
          </w:tcPr>
          <w:p>
            <w:pPr>
              <w:spacing w:after="0"/>
              <w:rPr>
                <w:sz w:val="20"/>
                <w:szCs w:val="20"/>
                <w:color w:val="auto"/>
              </w:rPr>
            </w:pPr>
            <w:r>
              <w:rPr>
                <w:rFonts w:ascii="Arial" w:cs="Arial" w:eastAsia="Arial" w:hAnsi="Arial"/>
                <w:sz w:val="19"/>
                <w:szCs w:val="19"/>
                <w:b w:val="1"/>
                <w:bCs w:val="1"/>
                <w:color w:val="231F20"/>
              </w:rPr>
              <w:t>Consolidated Statements of Operations</w:t>
            </w:r>
          </w:p>
        </w:tc>
        <w:tc>
          <w:tcPr>
            <w:tcW w:w="1880" w:type="dxa"/>
            <w:vAlign w:val="bottom"/>
          </w:tcPr>
          <w:p>
            <w:pPr>
              <w:jc w:val="right"/>
              <w:spacing w:after="0"/>
              <w:rPr>
                <w:sz w:val="20"/>
                <w:szCs w:val="20"/>
                <w:color w:val="auto"/>
              </w:rPr>
            </w:pPr>
            <w:r>
              <w:rPr>
                <w:rFonts w:ascii="Arial" w:cs="Arial" w:eastAsia="Arial" w:hAnsi="Arial"/>
                <w:sz w:val="19"/>
                <w:szCs w:val="19"/>
                <w:b w:val="1"/>
                <w:bCs w:val="1"/>
                <w:color w:val="231F20"/>
              </w:rPr>
              <w:t>96</w:t>
            </w:r>
          </w:p>
        </w:tc>
      </w:tr>
      <w:tr>
        <w:trPr>
          <w:trHeight w:val="386"/>
        </w:trPr>
        <w:tc>
          <w:tcPr>
            <w:tcW w:w="8580" w:type="dxa"/>
            <w:vAlign w:val="bottom"/>
          </w:tcPr>
          <w:p>
            <w:pPr>
              <w:spacing w:after="0"/>
              <w:rPr>
                <w:sz w:val="20"/>
                <w:szCs w:val="20"/>
                <w:color w:val="auto"/>
              </w:rPr>
            </w:pPr>
            <w:r>
              <w:rPr>
                <w:rFonts w:ascii="Arial" w:cs="Arial" w:eastAsia="Arial" w:hAnsi="Arial"/>
                <w:sz w:val="19"/>
                <w:szCs w:val="19"/>
                <w:b w:val="1"/>
                <w:bCs w:val="1"/>
                <w:color w:val="231F20"/>
              </w:rPr>
              <w:t>Consolidated Statements of Comprehensive Loss</w:t>
            </w:r>
          </w:p>
        </w:tc>
        <w:tc>
          <w:tcPr>
            <w:tcW w:w="1880" w:type="dxa"/>
            <w:vAlign w:val="bottom"/>
          </w:tcPr>
          <w:p>
            <w:pPr>
              <w:jc w:val="right"/>
              <w:spacing w:after="0"/>
              <w:rPr>
                <w:sz w:val="20"/>
                <w:szCs w:val="20"/>
                <w:color w:val="auto"/>
              </w:rPr>
            </w:pPr>
            <w:r>
              <w:rPr>
                <w:rFonts w:ascii="Arial" w:cs="Arial" w:eastAsia="Arial" w:hAnsi="Arial"/>
                <w:sz w:val="19"/>
                <w:szCs w:val="19"/>
                <w:b w:val="1"/>
                <w:bCs w:val="1"/>
                <w:color w:val="231F20"/>
              </w:rPr>
              <w:t>97</w:t>
            </w:r>
          </w:p>
        </w:tc>
      </w:tr>
      <w:tr>
        <w:trPr>
          <w:trHeight w:val="386"/>
        </w:trPr>
        <w:tc>
          <w:tcPr>
            <w:tcW w:w="8580" w:type="dxa"/>
            <w:vAlign w:val="bottom"/>
          </w:tcPr>
          <w:p>
            <w:pPr>
              <w:spacing w:after="0" w:line="231" w:lineRule="exact"/>
              <w:rPr>
                <w:sz w:val="20"/>
                <w:szCs w:val="20"/>
                <w:color w:val="auto"/>
              </w:rPr>
            </w:pPr>
            <w:r>
              <w:rPr>
                <w:rFonts w:ascii="Arial" w:cs="Arial" w:eastAsia="Arial" w:hAnsi="Arial"/>
                <w:sz w:val="19"/>
                <w:szCs w:val="19"/>
                <w:b w:val="1"/>
                <w:bCs w:val="1"/>
                <w:color w:val="231F20"/>
              </w:rPr>
              <w:t>Consolidated Statements of Stockholders</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Equity</w:t>
            </w:r>
          </w:p>
        </w:tc>
        <w:tc>
          <w:tcPr>
            <w:tcW w:w="1880" w:type="dxa"/>
            <w:vAlign w:val="bottom"/>
          </w:tcPr>
          <w:p>
            <w:pPr>
              <w:jc w:val="right"/>
              <w:spacing w:after="0"/>
              <w:rPr>
                <w:sz w:val="20"/>
                <w:szCs w:val="20"/>
                <w:color w:val="auto"/>
              </w:rPr>
            </w:pPr>
            <w:r>
              <w:rPr>
                <w:rFonts w:ascii="Arial" w:cs="Arial" w:eastAsia="Arial" w:hAnsi="Arial"/>
                <w:sz w:val="19"/>
                <w:szCs w:val="19"/>
                <w:b w:val="1"/>
                <w:bCs w:val="1"/>
                <w:color w:val="231F20"/>
              </w:rPr>
              <w:t>98</w:t>
            </w:r>
          </w:p>
        </w:tc>
      </w:tr>
      <w:tr>
        <w:trPr>
          <w:trHeight w:val="386"/>
        </w:trPr>
        <w:tc>
          <w:tcPr>
            <w:tcW w:w="8580" w:type="dxa"/>
            <w:vAlign w:val="bottom"/>
          </w:tcPr>
          <w:p>
            <w:pPr>
              <w:spacing w:after="0"/>
              <w:rPr>
                <w:sz w:val="20"/>
                <w:szCs w:val="20"/>
                <w:color w:val="auto"/>
              </w:rPr>
            </w:pPr>
            <w:r>
              <w:rPr>
                <w:rFonts w:ascii="Arial" w:cs="Arial" w:eastAsia="Arial" w:hAnsi="Arial"/>
                <w:sz w:val="19"/>
                <w:szCs w:val="19"/>
                <w:b w:val="1"/>
                <w:bCs w:val="1"/>
                <w:color w:val="231F20"/>
              </w:rPr>
              <w:t>Consolidated Statements of Cash Flows</w:t>
            </w:r>
          </w:p>
        </w:tc>
        <w:tc>
          <w:tcPr>
            <w:tcW w:w="1880" w:type="dxa"/>
            <w:vAlign w:val="bottom"/>
          </w:tcPr>
          <w:p>
            <w:pPr>
              <w:jc w:val="right"/>
              <w:spacing w:after="0"/>
              <w:rPr>
                <w:sz w:val="20"/>
                <w:szCs w:val="20"/>
                <w:color w:val="auto"/>
              </w:rPr>
            </w:pPr>
            <w:r>
              <w:rPr>
                <w:rFonts w:ascii="Arial" w:cs="Arial" w:eastAsia="Arial" w:hAnsi="Arial"/>
                <w:sz w:val="19"/>
                <w:szCs w:val="19"/>
                <w:b w:val="1"/>
                <w:bCs w:val="1"/>
                <w:color w:val="231F20"/>
              </w:rPr>
              <w:t>99</w:t>
            </w:r>
          </w:p>
        </w:tc>
      </w:tr>
      <w:tr>
        <w:trPr>
          <w:trHeight w:val="384"/>
        </w:trPr>
        <w:tc>
          <w:tcPr>
            <w:tcW w:w="8580" w:type="dxa"/>
            <w:vAlign w:val="bottom"/>
          </w:tcPr>
          <w:p>
            <w:pPr>
              <w:spacing w:after="0"/>
              <w:rPr>
                <w:sz w:val="20"/>
                <w:szCs w:val="20"/>
                <w:color w:val="auto"/>
              </w:rPr>
            </w:pPr>
            <w:r>
              <w:rPr>
                <w:rFonts w:ascii="Arial" w:cs="Arial" w:eastAsia="Arial" w:hAnsi="Arial"/>
                <w:sz w:val="19"/>
                <w:szCs w:val="19"/>
                <w:b w:val="1"/>
                <w:bCs w:val="1"/>
                <w:color w:val="231F20"/>
              </w:rPr>
              <w:t>Notes to Consolidated Financial Statements</w:t>
            </w:r>
          </w:p>
        </w:tc>
        <w:tc>
          <w:tcPr>
            <w:tcW w:w="1880" w:type="dxa"/>
            <w:vAlign w:val="bottom"/>
          </w:tcPr>
          <w:p>
            <w:pPr>
              <w:jc w:val="right"/>
              <w:spacing w:after="0"/>
              <w:rPr>
                <w:sz w:val="20"/>
                <w:szCs w:val="20"/>
                <w:color w:val="auto"/>
              </w:rPr>
            </w:pPr>
            <w:r>
              <w:rPr>
                <w:rFonts w:ascii="Arial" w:cs="Arial" w:eastAsia="Arial" w:hAnsi="Arial"/>
                <w:sz w:val="19"/>
                <w:szCs w:val="19"/>
                <w:b w:val="1"/>
                <w:bCs w:val="1"/>
                <w:color w:val="231F20"/>
              </w:rPr>
              <w:t>100</w:t>
            </w:r>
          </w:p>
        </w:tc>
      </w:tr>
    </w:tbl>
    <w:p>
      <w:pPr>
        <w:spacing w:after="0" w:line="200" w:lineRule="exact"/>
        <w:rPr>
          <w:sz w:val="20"/>
          <w:szCs w:val="20"/>
          <w:color w:val="auto"/>
        </w:rPr>
      </w:pPr>
    </w:p>
    <w:p>
      <w:pPr>
        <w:sectPr>
          <w:pgSz w:w="12240" w:h="15840" w:orient="portrait"/>
          <w:cols w:equalWidth="0" w:num="1">
            <w:col w:w="10460"/>
          </w:cols>
          <w:pgMar w:left="880" w:top="1160" w:right="90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231F20"/>
        </w:rPr>
        <w:t>93</w:t>
      </w:r>
    </w:p>
    <w:p>
      <w:pPr>
        <w:sectPr>
          <w:pgSz w:w="12240" w:h="15840" w:orient="portrait"/>
          <w:cols w:equalWidth="0" w:num="1">
            <w:col w:w="10460"/>
          </w:cols>
          <w:pgMar w:left="880" w:top="1160" w:right="900" w:bottom="390" w:gutter="0" w:footer="0" w:header="0"/>
          <w:type w:val="continuous"/>
        </w:sectPr>
      </w:pPr>
    </w:p>
    <w:bookmarkStart w:id="101" w:name="page102"/>
    <w:bookmarkEnd w:id="101"/>
    <w:p>
      <w:pPr>
        <w:ind w:left="2800"/>
        <w:spacing w:after="0"/>
        <w:rPr>
          <w:sz w:val="20"/>
          <w:szCs w:val="20"/>
          <w:color w:val="auto"/>
        </w:rPr>
      </w:pPr>
      <w:r>
        <w:rPr>
          <w:rFonts w:ascii="Arial" w:cs="Arial" w:eastAsia="Arial" w:hAnsi="Arial"/>
          <w:sz w:val="19"/>
          <w:szCs w:val="19"/>
          <w:b w:val="1"/>
          <w:bCs w:val="1"/>
          <w:color w:val="231F20"/>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To the Stockholders and the Board of Directors</w:t>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ALX Oncology Holdings Inc.:</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Opinion on the Consolidated Financial Statements</w:t>
      </w:r>
    </w:p>
    <w:p>
      <w:pPr>
        <w:spacing w:after="0" w:line="166" w:lineRule="exact"/>
        <w:rPr>
          <w:sz w:val="20"/>
          <w:szCs w:val="20"/>
          <w:color w:val="auto"/>
        </w:rPr>
      </w:pPr>
    </w:p>
    <w:p>
      <w:pPr>
        <w:spacing w:after="0" w:line="222" w:lineRule="exact"/>
        <w:rPr>
          <w:sz w:val="20"/>
          <w:szCs w:val="20"/>
          <w:color w:val="auto"/>
        </w:rPr>
      </w:pPr>
      <w:r>
        <w:rPr>
          <w:rFonts w:ascii="Arial" w:cs="Arial" w:eastAsia="Arial" w:hAnsi="Arial"/>
          <w:sz w:val="18"/>
          <w:szCs w:val="18"/>
          <w:b w:val="1"/>
          <w:bCs w:val="1"/>
          <w:color w:val="231F20"/>
        </w:rPr>
        <w:t>We have audited the accompanying consolidated balance sheets of ALX Oncology Holdings Inc. and subsidiaries (the Company) as of December 31, 2024 and December 31, 2023, the related consolidated statements of operations, comprehensive loss, stockholders</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 equity, and cash flows for each of the years in the three-year period ended December 31, 2024, and the related notes (collectively, the consolidated financial statements). In our opinion, the consolidated financial statements present fairly, in all material respects, the financial position of the Company as of December 31, 2024 and December 31, 2023, and the results of its operations and its cash flows for each of the years in the three-year period ended December 31, 2024, in conformity with U.S. generally accepted accounting principles.</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Basis for Opinion</w:t>
      </w:r>
    </w:p>
    <w:p>
      <w:pPr>
        <w:spacing w:after="0" w:line="166" w:lineRule="exact"/>
        <w:rPr>
          <w:sz w:val="20"/>
          <w:szCs w:val="20"/>
          <w:color w:val="auto"/>
        </w:rPr>
      </w:pPr>
    </w:p>
    <w:p>
      <w:pPr>
        <w:ind w:right="160"/>
        <w:spacing w:after="0" w:line="221" w:lineRule="exact"/>
        <w:rPr>
          <w:sz w:val="20"/>
          <w:szCs w:val="20"/>
          <w:color w:val="auto"/>
        </w:rPr>
      </w:pPr>
      <w:r>
        <w:rPr>
          <w:rFonts w:ascii="Arial" w:cs="Arial" w:eastAsia="Arial" w:hAnsi="Arial"/>
          <w:sz w:val="19"/>
          <w:szCs w:val="19"/>
          <w:b w:val="1"/>
          <w:bCs w:val="1"/>
          <w:color w:val="231F20"/>
        </w:rPr>
        <w:t>These consolidated financial statements are the responsibility of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ind w:right="100"/>
        <w:spacing w:after="0" w:line="222" w:lineRule="exact"/>
        <w:rPr>
          <w:sz w:val="20"/>
          <w:szCs w:val="20"/>
          <w:color w:val="auto"/>
        </w:rPr>
      </w:pPr>
      <w:r>
        <w:rPr>
          <w:rFonts w:ascii="Arial" w:cs="Arial" w:eastAsia="Arial" w:hAnsi="Arial"/>
          <w:sz w:val="18"/>
          <w:szCs w:val="18"/>
          <w:b w:val="1"/>
          <w:bCs w:val="1"/>
          <w:color w:val="231F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internal control over financial reporting. Accordingly, we express no such opinion.</w:t>
      </w:r>
    </w:p>
    <w:p>
      <w:pPr>
        <w:spacing w:after="0" w:line="169"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b w:val="1"/>
          <w:bCs w:val="1"/>
          <w:color w:val="231F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Critical Audit Matters</w:t>
      </w:r>
    </w:p>
    <w:p>
      <w:pPr>
        <w:spacing w:after="0" w:line="166" w:lineRule="exact"/>
        <w:rPr>
          <w:sz w:val="20"/>
          <w:szCs w:val="20"/>
          <w:color w:val="auto"/>
        </w:rPr>
      </w:pPr>
    </w:p>
    <w:p>
      <w:pPr>
        <w:ind w:right="180"/>
        <w:spacing w:after="0" w:line="243" w:lineRule="auto"/>
        <w:rPr>
          <w:sz w:val="20"/>
          <w:szCs w:val="20"/>
          <w:color w:val="auto"/>
        </w:rPr>
      </w:pPr>
      <w:r>
        <w:rPr>
          <w:rFonts w:ascii="Arial" w:cs="Arial" w:eastAsia="Arial" w:hAnsi="Arial"/>
          <w:sz w:val="19"/>
          <w:szCs w:val="19"/>
          <w:b w:val="1"/>
          <w:bCs w:val="1"/>
          <w:color w:val="231F20"/>
        </w:rPr>
        <w:t>Critical audit matters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We determined that there are no critical audit matters.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/s/ KPMG LLP</w:t>
      </w:r>
    </w:p>
    <w:p>
      <w:pPr>
        <w:spacing w:after="0" w:line="149" w:lineRule="exact"/>
        <w:rPr>
          <w:sz w:val="20"/>
          <w:szCs w:val="20"/>
          <w:color w:val="auto"/>
        </w:rPr>
      </w:pPr>
    </w:p>
    <w:p>
      <w:pPr>
        <w:spacing w:after="0" w:line="231" w:lineRule="exact"/>
        <w:rPr>
          <w:sz w:val="20"/>
          <w:szCs w:val="20"/>
          <w:color w:val="auto"/>
        </w:rPr>
      </w:pPr>
      <w:r>
        <w:rPr>
          <w:rFonts w:ascii="Arial" w:cs="Arial" w:eastAsia="Arial" w:hAnsi="Arial"/>
          <w:sz w:val="19"/>
          <w:szCs w:val="19"/>
          <w:b w:val="1"/>
          <w:bCs w:val="1"/>
          <w:color w:val="231F20"/>
        </w:rPr>
        <w:t>We have served as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auditor since 2016.</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San Francisco, California</w:t>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March 6, 2025</w:t>
      </w:r>
    </w:p>
    <w:p>
      <w:pPr>
        <w:sectPr>
          <w:pgSz w:w="12240" w:h="15840" w:orient="portrait"/>
          <w:cols w:equalWidth="0" w:num="1">
            <w:col w:w="10480"/>
          </w:cols>
          <w:pgMar w:left="880" w:top="1160" w:right="88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1F20"/>
        </w:rPr>
        <w:t>94</w:t>
      </w:r>
    </w:p>
    <w:p>
      <w:pPr>
        <w:sectPr>
          <w:pgSz w:w="12240" w:h="15840" w:orient="portrait"/>
          <w:cols w:equalWidth="0" w:num="1">
            <w:col w:w="10480"/>
          </w:cols>
          <w:pgMar w:left="880" w:top="1160" w:right="880" w:bottom="390" w:gutter="0" w:footer="0" w:header="0"/>
          <w:type w:val="continuous"/>
        </w:sectPr>
      </w:pPr>
    </w:p>
    <w:bookmarkStart w:id="102" w:name="page103"/>
    <w:bookmarkEnd w:id="102"/>
    <w:p>
      <w:pPr>
        <w:jc w:val="center"/>
        <w:ind w:right="-39"/>
        <w:spacing w:after="0"/>
        <w:rPr>
          <w:sz w:val="20"/>
          <w:szCs w:val="20"/>
          <w:color w:val="auto"/>
        </w:rPr>
      </w:pPr>
      <w:r>
        <w:rPr>
          <w:rFonts w:ascii="Arial" w:cs="Arial" w:eastAsia="Arial" w:hAnsi="Arial"/>
          <w:sz w:val="19"/>
          <w:szCs w:val="19"/>
          <w:b w:val="1"/>
          <w:bCs w:val="1"/>
          <w:color w:val="231F20"/>
        </w:rPr>
        <w:t>ALX ONCOLOGY HOLDINGS INC.</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231F20"/>
        </w:rPr>
        <w:t>Consolidated Balance Sheets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231F20"/>
        </w:rPr>
        <w:t>(in thousands, except share and per share data)</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440"/>
              <w:spacing w:after="0"/>
              <w:rPr>
                <w:sz w:val="20"/>
                <w:szCs w:val="20"/>
                <w:color w:val="auto"/>
              </w:rPr>
            </w:pPr>
            <w:r>
              <w:rPr>
                <w:rFonts w:ascii="Arial" w:cs="Arial" w:eastAsia="Arial" w:hAnsi="Arial"/>
                <w:sz w:val="19"/>
                <w:szCs w:val="19"/>
                <w:b w:val="1"/>
                <w:bCs w:val="1"/>
                <w:color w:val="231F20"/>
                <w:w w:val="97"/>
              </w:rPr>
              <w:t>December 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9"/>
                <w:szCs w:val="19"/>
                <w:b w:val="1"/>
                <w:bCs w:val="1"/>
                <w:color w:val="231F20"/>
                <w:w w:val="95"/>
              </w:rPr>
              <w:t>December 31,</w:t>
            </w:r>
          </w:p>
        </w:tc>
      </w:tr>
      <w:tr>
        <w:trPr>
          <w:trHeight w:val="235"/>
        </w:trPr>
        <w:tc>
          <w:tcPr>
            <w:tcW w:w="6780" w:type="dxa"/>
            <w:vAlign w:val="bottom"/>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1480" w:type="dxa"/>
            <w:vAlign w:val="bottom"/>
            <w:tcBorders>
              <w:bottom w:val="single" w:sz="8" w:color="231F20"/>
            </w:tcBorders>
          </w:tcPr>
          <w:p>
            <w:pPr>
              <w:jc w:val="right"/>
              <w:ind w:right="543"/>
              <w:spacing w:after="0"/>
              <w:rPr>
                <w:sz w:val="20"/>
                <w:szCs w:val="20"/>
                <w:color w:val="auto"/>
              </w:rPr>
            </w:pPr>
            <w:r>
              <w:rPr>
                <w:rFonts w:ascii="Arial" w:cs="Arial" w:eastAsia="Arial" w:hAnsi="Arial"/>
                <w:sz w:val="19"/>
                <w:szCs w:val="19"/>
                <w:b w:val="1"/>
                <w:bCs w:val="1"/>
                <w:color w:val="231F20"/>
              </w:rPr>
              <w:t>2024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1480" w:type="dxa"/>
            <w:vAlign w:val="bottom"/>
            <w:tcBorders>
              <w:bottom w:val="single" w:sz="8" w:color="231F20"/>
            </w:tcBorders>
          </w:tcPr>
          <w:p>
            <w:pPr>
              <w:jc w:val="right"/>
              <w:ind w:right="543"/>
              <w:spacing w:after="0"/>
              <w:rPr>
                <w:sz w:val="20"/>
                <w:szCs w:val="20"/>
                <w:color w:val="auto"/>
              </w:rPr>
            </w:pPr>
            <w:r>
              <w:rPr>
                <w:rFonts w:ascii="Arial" w:cs="Arial" w:eastAsia="Arial" w:hAnsi="Arial"/>
                <w:sz w:val="19"/>
                <w:szCs w:val="19"/>
                <w:b w:val="1"/>
                <w:bCs w:val="1"/>
                <w:color w:val="231F20"/>
              </w:rPr>
              <w:t>2023</w:t>
            </w:r>
          </w:p>
        </w:tc>
        <w:tc>
          <w:tcPr>
            <w:tcW w:w="60" w:type="dxa"/>
            <w:vAlign w:val="bottom"/>
          </w:tcPr>
          <w:p>
            <w:pPr>
              <w:spacing w:after="0"/>
              <w:rPr>
                <w:sz w:val="20"/>
                <w:szCs w:val="20"/>
                <w:color w:val="auto"/>
              </w:rPr>
            </w:pPr>
          </w:p>
        </w:tc>
      </w:tr>
      <w:tr>
        <w:trPr>
          <w:trHeight w:val="227"/>
        </w:trPr>
        <w:tc>
          <w:tcPr>
            <w:tcW w:w="6780" w:type="dxa"/>
            <w:vAlign w:val="bottom"/>
          </w:tcPr>
          <w:p>
            <w:pPr>
              <w:spacing w:after="0"/>
              <w:rPr>
                <w:sz w:val="20"/>
                <w:szCs w:val="20"/>
                <w:color w:val="auto"/>
              </w:rPr>
            </w:pPr>
            <w:r>
              <w:rPr>
                <w:rFonts w:ascii="Arial" w:cs="Arial" w:eastAsia="Arial" w:hAnsi="Arial"/>
                <w:sz w:val="19"/>
                <w:szCs w:val="19"/>
                <w:b w:val="1"/>
                <w:bCs w:val="1"/>
                <w:color w:val="231F20"/>
              </w:rPr>
              <w:t>Assets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6780" w:type="dxa"/>
            <w:vAlign w:val="bottom"/>
          </w:tcPr>
          <w:p>
            <w:pPr>
              <w:spacing w:after="0"/>
              <w:rPr>
                <w:sz w:val="20"/>
                <w:szCs w:val="20"/>
                <w:color w:val="auto"/>
              </w:rPr>
            </w:pPr>
            <w:r>
              <w:rPr>
                <w:rFonts w:ascii="Arial" w:cs="Arial" w:eastAsia="Arial" w:hAnsi="Arial"/>
                <w:sz w:val="19"/>
                <w:szCs w:val="19"/>
                <w:b w:val="1"/>
                <w:bCs w:val="1"/>
                <w:color w:val="231F20"/>
              </w:rPr>
              <w:t>Current assets:</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5"/>
        </w:trPr>
        <w:tc>
          <w:tcPr>
            <w:tcW w:w="6780" w:type="dxa"/>
            <w:vAlign w:val="bottom"/>
          </w:tcPr>
          <w:p>
            <w:pPr>
              <w:ind w:left="200"/>
              <w:spacing w:after="0"/>
              <w:rPr>
                <w:sz w:val="20"/>
                <w:szCs w:val="20"/>
                <w:color w:val="auto"/>
              </w:rPr>
            </w:pPr>
            <w:r>
              <w:rPr>
                <w:rFonts w:ascii="Arial" w:cs="Arial" w:eastAsia="Arial" w:hAnsi="Arial"/>
                <w:sz w:val="19"/>
                <w:szCs w:val="19"/>
                <w:b w:val="1"/>
                <w:bCs w:val="1"/>
                <w:color w:val="231F20"/>
              </w:rPr>
              <w:t>Cash and cash equivalents</w:t>
            </w:r>
          </w:p>
        </w:tc>
        <w:tc>
          <w:tcPr>
            <w:tcW w:w="160" w:type="dxa"/>
            <w:vAlign w:val="bottom"/>
          </w:tcPr>
          <w:p>
            <w:pPr>
              <w:jc w:val="right"/>
              <w:spacing w:after="0"/>
              <w:rPr>
                <w:sz w:val="20"/>
                <w:szCs w:val="20"/>
                <w:color w:val="auto"/>
              </w:rPr>
            </w:pPr>
            <w:r>
              <w:rPr>
                <w:rFonts w:ascii="Arial" w:cs="Arial" w:eastAsia="Arial" w:hAnsi="Arial"/>
                <w:sz w:val="19"/>
                <w:szCs w:val="19"/>
                <w:b w:val="1"/>
                <w:bCs w:val="1"/>
                <w:color w:val="231F20"/>
                <w:w w:val="75"/>
              </w:rPr>
              <w:t>$</w:t>
            </w:r>
          </w:p>
        </w:tc>
        <w:tc>
          <w:tcPr>
            <w:tcW w:w="1480" w:type="dxa"/>
            <w:vAlign w:val="bottom"/>
          </w:tcPr>
          <w:p>
            <w:pPr>
              <w:jc w:val="right"/>
              <w:spacing w:after="0"/>
              <w:rPr>
                <w:sz w:val="20"/>
                <w:szCs w:val="20"/>
                <w:color w:val="auto"/>
              </w:rPr>
            </w:pPr>
            <w:r>
              <w:rPr>
                <w:rFonts w:ascii="Arial" w:cs="Arial" w:eastAsia="Arial" w:hAnsi="Arial"/>
                <w:sz w:val="19"/>
                <w:szCs w:val="19"/>
                <w:b w:val="1"/>
                <w:bCs w:val="1"/>
                <w:color w:val="231F20"/>
              </w:rPr>
              <w:t>17,567</w:t>
            </w:r>
          </w:p>
        </w:tc>
        <w:tc>
          <w:tcPr>
            <w:tcW w:w="180" w:type="dxa"/>
            <w:vAlign w:val="bottom"/>
          </w:tcPr>
          <w:p>
            <w:pPr>
              <w:spacing w:after="0"/>
              <w:rPr>
                <w:sz w:val="20"/>
                <w:szCs w:val="20"/>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231F20"/>
              </w:rPr>
              <w:t>$</w:t>
            </w:r>
          </w:p>
        </w:tc>
        <w:tc>
          <w:tcPr>
            <w:tcW w:w="1480" w:type="dxa"/>
            <w:vAlign w:val="bottom"/>
          </w:tcPr>
          <w:p>
            <w:pPr>
              <w:jc w:val="right"/>
              <w:spacing w:after="0"/>
              <w:rPr>
                <w:sz w:val="20"/>
                <w:szCs w:val="20"/>
                <w:color w:val="auto"/>
              </w:rPr>
            </w:pPr>
            <w:r>
              <w:rPr>
                <w:rFonts w:ascii="Arial" w:cs="Arial" w:eastAsia="Arial" w:hAnsi="Arial"/>
                <w:sz w:val="19"/>
                <w:szCs w:val="19"/>
                <w:b w:val="1"/>
                <w:bCs w:val="1"/>
                <w:color w:val="231F20"/>
              </w:rPr>
              <w:t>22,406</w:t>
            </w:r>
          </w:p>
        </w:tc>
        <w:tc>
          <w:tcPr>
            <w:tcW w:w="60" w:type="dxa"/>
            <w:vAlign w:val="bottom"/>
          </w:tcPr>
          <w:p>
            <w:pPr>
              <w:spacing w:after="0"/>
              <w:rPr>
                <w:sz w:val="20"/>
                <w:szCs w:val="20"/>
                <w:color w:val="auto"/>
              </w:rPr>
            </w:pPr>
          </w:p>
        </w:tc>
      </w:tr>
      <w:tr>
        <w:trPr>
          <w:trHeight w:val="238"/>
        </w:trPr>
        <w:tc>
          <w:tcPr>
            <w:tcW w:w="6780" w:type="dxa"/>
            <w:vAlign w:val="bottom"/>
          </w:tcPr>
          <w:p>
            <w:pPr>
              <w:ind w:left="200"/>
              <w:spacing w:after="0"/>
              <w:rPr>
                <w:sz w:val="20"/>
                <w:szCs w:val="20"/>
                <w:color w:val="auto"/>
              </w:rPr>
            </w:pPr>
            <w:r>
              <w:rPr>
                <w:rFonts w:ascii="Arial" w:cs="Arial" w:eastAsia="Arial" w:hAnsi="Arial"/>
                <w:sz w:val="19"/>
                <w:szCs w:val="19"/>
                <w:b w:val="1"/>
                <w:bCs w:val="1"/>
                <w:color w:val="231F20"/>
              </w:rPr>
              <w:t>Short-term investments</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9"/>
                <w:szCs w:val="19"/>
                <w:b w:val="1"/>
                <w:bCs w:val="1"/>
                <w:color w:val="231F20"/>
              </w:rPr>
              <w:t>110,190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9"/>
                <w:szCs w:val="19"/>
                <w:b w:val="1"/>
                <w:bCs w:val="1"/>
                <w:color w:val="231F20"/>
              </w:rPr>
              <w:t>160,330</w:t>
            </w:r>
          </w:p>
        </w:tc>
        <w:tc>
          <w:tcPr>
            <w:tcW w:w="60" w:type="dxa"/>
            <w:vAlign w:val="bottom"/>
          </w:tcPr>
          <w:p>
            <w:pPr>
              <w:spacing w:after="0"/>
              <w:rPr>
                <w:sz w:val="20"/>
                <w:szCs w:val="20"/>
                <w:color w:val="auto"/>
              </w:rPr>
            </w:pPr>
          </w:p>
        </w:tc>
      </w:tr>
      <w:tr>
        <w:trPr>
          <w:trHeight w:val="237"/>
        </w:trPr>
        <w:tc>
          <w:tcPr>
            <w:tcW w:w="6780" w:type="dxa"/>
            <w:vAlign w:val="bottom"/>
          </w:tcPr>
          <w:p>
            <w:pPr>
              <w:ind w:left="200"/>
              <w:spacing w:after="0"/>
              <w:rPr>
                <w:sz w:val="20"/>
                <w:szCs w:val="20"/>
                <w:color w:val="auto"/>
              </w:rPr>
            </w:pPr>
            <w:r>
              <w:rPr>
                <w:rFonts w:ascii="Arial" w:cs="Arial" w:eastAsia="Arial" w:hAnsi="Arial"/>
                <w:sz w:val="19"/>
                <w:szCs w:val="19"/>
                <w:b w:val="1"/>
                <w:bCs w:val="1"/>
                <w:color w:val="231F20"/>
              </w:rPr>
              <w:t>Prepaid expenses and other current assets</w:t>
            </w:r>
          </w:p>
        </w:tc>
        <w:tc>
          <w:tcPr>
            <w:tcW w:w="160" w:type="dxa"/>
            <w:vAlign w:val="bottom"/>
            <w:tcBorders>
              <w:bottom w:val="single" w:sz="8" w:color="231F20"/>
            </w:tcBorders>
          </w:tcPr>
          <w:p>
            <w:pPr>
              <w:spacing w:after="0"/>
              <w:rPr>
                <w:sz w:val="20"/>
                <w:szCs w:val="20"/>
                <w:color w:val="auto"/>
              </w:rPr>
            </w:pPr>
          </w:p>
        </w:tc>
        <w:tc>
          <w:tcPr>
            <w:tcW w:w="148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6,595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148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5,923</w:t>
            </w:r>
          </w:p>
        </w:tc>
        <w:tc>
          <w:tcPr>
            <w:tcW w:w="60" w:type="dxa"/>
            <w:vAlign w:val="bottom"/>
          </w:tcPr>
          <w:p>
            <w:pPr>
              <w:spacing w:after="0"/>
              <w:rPr>
                <w:sz w:val="20"/>
                <w:szCs w:val="20"/>
                <w:color w:val="auto"/>
              </w:rPr>
            </w:pPr>
          </w:p>
        </w:tc>
      </w:tr>
      <w:tr>
        <w:trPr>
          <w:trHeight w:val="225"/>
        </w:trPr>
        <w:tc>
          <w:tcPr>
            <w:tcW w:w="6780" w:type="dxa"/>
            <w:vAlign w:val="bottom"/>
          </w:tcPr>
          <w:p>
            <w:pPr>
              <w:ind w:left="380"/>
              <w:spacing w:after="0"/>
              <w:rPr>
                <w:sz w:val="20"/>
                <w:szCs w:val="20"/>
                <w:color w:val="auto"/>
              </w:rPr>
            </w:pPr>
            <w:r>
              <w:rPr>
                <w:rFonts w:ascii="Arial" w:cs="Arial" w:eastAsia="Arial" w:hAnsi="Arial"/>
                <w:sz w:val="19"/>
                <w:szCs w:val="19"/>
                <w:b w:val="1"/>
                <w:bCs w:val="1"/>
                <w:color w:val="231F20"/>
              </w:rPr>
              <w:t>Total current assets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9"/>
                <w:szCs w:val="19"/>
                <w:b w:val="1"/>
                <w:bCs w:val="1"/>
                <w:color w:val="231F20"/>
              </w:rPr>
              <w:t>134,352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9"/>
                <w:szCs w:val="19"/>
                <w:b w:val="1"/>
                <w:bCs w:val="1"/>
                <w:color w:val="231F20"/>
              </w:rPr>
              <w:t>188,659</w:t>
            </w:r>
          </w:p>
        </w:tc>
        <w:tc>
          <w:tcPr>
            <w:tcW w:w="60" w:type="dxa"/>
            <w:vAlign w:val="bottom"/>
          </w:tcPr>
          <w:p>
            <w:pPr>
              <w:spacing w:after="0"/>
              <w:rPr>
                <w:sz w:val="19"/>
                <w:szCs w:val="19"/>
                <w:color w:val="auto"/>
              </w:rPr>
            </w:pPr>
          </w:p>
        </w:tc>
      </w:tr>
      <w:tr>
        <w:trPr>
          <w:trHeight w:val="238"/>
        </w:trPr>
        <w:tc>
          <w:tcPr>
            <w:tcW w:w="6780" w:type="dxa"/>
            <w:vAlign w:val="bottom"/>
          </w:tcPr>
          <w:p>
            <w:pPr>
              <w:spacing w:after="0"/>
              <w:rPr>
                <w:sz w:val="20"/>
                <w:szCs w:val="20"/>
                <w:color w:val="auto"/>
              </w:rPr>
            </w:pPr>
            <w:r>
              <w:rPr>
                <w:rFonts w:ascii="Arial" w:cs="Arial" w:eastAsia="Arial" w:hAnsi="Arial"/>
                <w:sz w:val="19"/>
                <w:szCs w:val="19"/>
                <w:b w:val="1"/>
                <w:bCs w:val="1"/>
                <w:color w:val="231F20"/>
              </w:rPr>
              <w:t>Property and equipment, net</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9"/>
                <w:szCs w:val="19"/>
                <w:b w:val="1"/>
                <w:bCs w:val="1"/>
                <w:color w:val="231F20"/>
              </w:rPr>
              <w:t>2,905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9"/>
                <w:szCs w:val="19"/>
                <w:b w:val="1"/>
                <w:bCs w:val="1"/>
                <w:color w:val="231F20"/>
              </w:rPr>
              <w:t>3,589</w:t>
            </w:r>
          </w:p>
        </w:tc>
        <w:tc>
          <w:tcPr>
            <w:tcW w:w="60" w:type="dxa"/>
            <w:vAlign w:val="bottom"/>
          </w:tcPr>
          <w:p>
            <w:pPr>
              <w:spacing w:after="0"/>
              <w:rPr>
                <w:sz w:val="20"/>
                <w:szCs w:val="20"/>
                <w:color w:val="auto"/>
              </w:rPr>
            </w:pPr>
          </w:p>
        </w:tc>
      </w:tr>
      <w:tr>
        <w:trPr>
          <w:trHeight w:val="235"/>
        </w:trPr>
        <w:tc>
          <w:tcPr>
            <w:tcW w:w="6780" w:type="dxa"/>
            <w:vAlign w:val="bottom"/>
          </w:tcPr>
          <w:p>
            <w:pPr>
              <w:spacing w:after="0"/>
              <w:rPr>
                <w:sz w:val="20"/>
                <w:szCs w:val="20"/>
                <w:color w:val="auto"/>
              </w:rPr>
            </w:pPr>
            <w:r>
              <w:rPr>
                <w:rFonts w:ascii="Arial" w:cs="Arial" w:eastAsia="Arial" w:hAnsi="Arial"/>
                <w:sz w:val="19"/>
                <w:szCs w:val="19"/>
                <w:b w:val="1"/>
                <w:bCs w:val="1"/>
                <w:color w:val="231F20"/>
              </w:rPr>
              <w:t>Long-term investments</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9"/>
                <w:szCs w:val="19"/>
                <w:b w:val="1"/>
                <w:bCs w:val="1"/>
                <w:color w:val="231F20"/>
              </w:rPr>
              <w:t>3,524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9"/>
                <w:szCs w:val="19"/>
                <w:b w:val="1"/>
                <w:bCs w:val="1"/>
                <w:color w:val="231F20"/>
              </w:rPr>
              <w:t>35,411</w:t>
            </w:r>
          </w:p>
        </w:tc>
        <w:tc>
          <w:tcPr>
            <w:tcW w:w="60" w:type="dxa"/>
            <w:vAlign w:val="bottom"/>
          </w:tcPr>
          <w:p>
            <w:pPr>
              <w:spacing w:after="0"/>
              <w:rPr>
                <w:sz w:val="20"/>
                <w:szCs w:val="20"/>
                <w:color w:val="auto"/>
              </w:rPr>
            </w:pPr>
          </w:p>
        </w:tc>
      </w:tr>
      <w:tr>
        <w:trPr>
          <w:trHeight w:val="239"/>
        </w:trPr>
        <w:tc>
          <w:tcPr>
            <w:tcW w:w="6780" w:type="dxa"/>
            <w:vAlign w:val="bottom"/>
          </w:tcPr>
          <w:p>
            <w:pPr>
              <w:spacing w:after="0"/>
              <w:rPr>
                <w:sz w:val="20"/>
                <w:szCs w:val="20"/>
                <w:color w:val="auto"/>
              </w:rPr>
            </w:pPr>
            <w:r>
              <w:rPr>
                <w:rFonts w:ascii="Arial" w:cs="Arial" w:eastAsia="Arial" w:hAnsi="Arial"/>
                <w:sz w:val="19"/>
                <w:szCs w:val="19"/>
                <w:b w:val="1"/>
                <w:bCs w:val="1"/>
                <w:color w:val="231F20"/>
              </w:rPr>
              <w:t>Other assets</w:t>
            </w:r>
          </w:p>
        </w:tc>
        <w:tc>
          <w:tcPr>
            <w:tcW w:w="160" w:type="dxa"/>
            <w:vAlign w:val="bottom"/>
            <w:tcBorders>
              <w:bottom w:val="single" w:sz="8" w:color="231F20"/>
            </w:tcBorders>
          </w:tcPr>
          <w:p>
            <w:pPr>
              <w:spacing w:after="0"/>
              <w:rPr>
                <w:sz w:val="20"/>
                <w:szCs w:val="20"/>
                <w:color w:val="auto"/>
              </w:rPr>
            </w:pPr>
          </w:p>
        </w:tc>
        <w:tc>
          <w:tcPr>
            <w:tcW w:w="148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6,994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148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14,894</w:t>
            </w:r>
          </w:p>
        </w:tc>
        <w:tc>
          <w:tcPr>
            <w:tcW w:w="60" w:type="dxa"/>
            <w:vAlign w:val="bottom"/>
          </w:tcPr>
          <w:p>
            <w:pPr>
              <w:spacing w:after="0"/>
              <w:rPr>
                <w:sz w:val="20"/>
                <w:szCs w:val="20"/>
                <w:color w:val="auto"/>
              </w:rPr>
            </w:pPr>
          </w:p>
        </w:tc>
      </w:tr>
      <w:tr>
        <w:trPr>
          <w:trHeight w:val="226"/>
        </w:trPr>
        <w:tc>
          <w:tcPr>
            <w:tcW w:w="6780" w:type="dxa"/>
            <w:vAlign w:val="bottom"/>
          </w:tcPr>
          <w:p>
            <w:pPr>
              <w:ind w:left="380"/>
              <w:spacing w:after="0"/>
              <w:rPr>
                <w:sz w:val="20"/>
                <w:szCs w:val="20"/>
                <w:color w:val="auto"/>
              </w:rPr>
            </w:pPr>
            <w:r>
              <w:rPr>
                <w:rFonts w:ascii="Arial" w:cs="Arial" w:eastAsia="Arial" w:hAnsi="Arial"/>
                <w:sz w:val="19"/>
                <w:szCs w:val="19"/>
                <w:b w:val="1"/>
                <w:bCs w:val="1"/>
                <w:color w:val="231F20"/>
              </w:rPr>
              <w:t>Total assets</w:t>
            </w:r>
          </w:p>
        </w:tc>
        <w:tc>
          <w:tcPr>
            <w:tcW w:w="160" w:type="dxa"/>
            <w:vAlign w:val="bottom"/>
          </w:tcPr>
          <w:p>
            <w:pPr>
              <w:jc w:val="right"/>
              <w:spacing w:after="0"/>
              <w:rPr>
                <w:sz w:val="20"/>
                <w:szCs w:val="20"/>
                <w:color w:val="auto"/>
              </w:rPr>
            </w:pPr>
            <w:r>
              <w:rPr>
                <w:rFonts w:ascii="Arial" w:cs="Arial" w:eastAsia="Arial" w:hAnsi="Arial"/>
                <w:sz w:val="19"/>
                <w:szCs w:val="19"/>
                <w:b w:val="1"/>
                <w:bCs w:val="1"/>
                <w:color w:val="231F20"/>
                <w:w w:val="75"/>
              </w:rPr>
              <w:t>$</w:t>
            </w:r>
          </w:p>
        </w:tc>
        <w:tc>
          <w:tcPr>
            <w:tcW w:w="1480" w:type="dxa"/>
            <w:vAlign w:val="bottom"/>
          </w:tcPr>
          <w:p>
            <w:pPr>
              <w:jc w:val="right"/>
              <w:spacing w:after="0"/>
              <w:rPr>
                <w:sz w:val="20"/>
                <w:szCs w:val="20"/>
                <w:color w:val="auto"/>
              </w:rPr>
            </w:pPr>
            <w:r>
              <w:rPr>
                <w:rFonts w:ascii="Arial" w:cs="Arial" w:eastAsia="Arial" w:hAnsi="Arial"/>
                <w:sz w:val="19"/>
                <w:szCs w:val="19"/>
                <w:b w:val="1"/>
                <w:bCs w:val="1"/>
                <w:color w:val="231F20"/>
              </w:rPr>
              <w:t>147,775</w:t>
            </w:r>
          </w:p>
        </w:tc>
        <w:tc>
          <w:tcPr>
            <w:tcW w:w="180" w:type="dxa"/>
            <w:vAlign w:val="bottom"/>
          </w:tcPr>
          <w:p>
            <w:pPr>
              <w:spacing w:after="0"/>
              <w:rPr>
                <w:sz w:val="19"/>
                <w:szCs w:val="19"/>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231F20"/>
              </w:rPr>
              <w:t>$</w:t>
            </w:r>
          </w:p>
        </w:tc>
        <w:tc>
          <w:tcPr>
            <w:tcW w:w="1480" w:type="dxa"/>
            <w:vAlign w:val="bottom"/>
          </w:tcPr>
          <w:p>
            <w:pPr>
              <w:jc w:val="right"/>
              <w:spacing w:after="0"/>
              <w:rPr>
                <w:sz w:val="20"/>
                <w:szCs w:val="20"/>
                <w:color w:val="auto"/>
              </w:rPr>
            </w:pPr>
            <w:r>
              <w:rPr>
                <w:rFonts w:ascii="Arial" w:cs="Arial" w:eastAsia="Arial" w:hAnsi="Arial"/>
                <w:sz w:val="19"/>
                <w:szCs w:val="19"/>
                <w:b w:val="1"/>
                <w:bCs w:val="1"/>
                <w:color w:val="231F20"/>
              </w:rPr>
              <w:t>242,553</w:t>
            </w:r>
          </w:p>
        </w:tc>
        <w:tc>
          <w:tcPr>
            <w:tcW w:w="60" w:type="dxa"/>
            <w:vAlign w:val="bottom"/>
          </w:tcPr>
          <w:p>
            <w:pPr>
              <w:spacing w:after="0"/>
              <w:rPr>
                <w:sz w:val="19"/>
                <w:szCs w:val="19"/>
                <w:color w:val="auto"/>
              </w:rPr>
            </w:pPr>
          </w:p>
        </w:tc>
      </w:tr>
      <w:tr>
        <w:trPr>
          <w:trHeight w:val="516"/>
        </w:trPr>
        <w:tc>
          <w:tcPr>
            <w:tcW w:w="6780" w:type="dxa"/>
            <w:vAlign w:val="bottom"/>
          </w:tcPr>
          <w:p>
            <w:pPr>
              <w:spacing w:after="0" w:line="231" w:lineRule="exact"/>
              <w:rPr>
                <w:sz w:val="20"/>
                <w:szCs w:val="20"/>
                <w:color w:val="auto"/>
              </w:rPr>
            </w:pPr>
            <w:r>
              <w:rPr>
                <w:rFonts w:ascii="Arial" w:cs="Arial" w:eastAsia="Arial" w:hAnsi="Arial"/>
                <w:sz w:val="19"/>
                <w:szCs w:val="19"/>
                <w:b w:val="1"/>
                <w:bCs w:val="1"/>
                <w:color w:val="231F20"/>
              </w:rPr>
              <w:t>Liabilities and stockholders</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equity</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8"/>
        </w:trPr>
        <w:tc>
          <w:tcPr>
            <w:tcW w:w="6780" w:type="dxa"/>
            <w:vAlign w:val="bottom"/>
          </w:tcPr>
          <w:p>
            <w:pPr>
              <w:spacing w:after="0"/>
              <w:rPr>
                <w:sz w:val="20"/>
                <w:szCs w:val="20"/>
                <w:color w:val="auto"/>
              </w:rPr>
            </w:pPr>
            <w:r>
              <w:rPr>
                <w:rFonts w:ascii="Arial" w:cs="Arial" w:eastAsia="Arial" w:hAnsi="Arial"/>
                <w:sz w:val="19"/>
                <w:szCs w:val="19"/>
                <w:b w:val="1"/>
                <w:bCs w:val="1"/>
                <w:color w:val="231F20"/>
              </w:rPr>
              <w:t>Current liabilities:</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5"/>
        </w:trPr>
        <w:tc>
          <w:tcPr>
            <w:tcW w:w="6780" w:type="dxa"/>
            <w:vAlign w:val="bottom"/>
          </w:tcPr>
          <w:p>
            <w:pPr>
              <w:ind w:left="200"/>
              <w:spacing w:after="0"/>
              <w:rPr>
                <w:sz w:val="20"/>
                <w:szCs w:val="20"/>
                <w:color w:val="auto"/>
              </w:rPr>
            </w:pPr>
            <w:r>
              <w:rPr>
                <w:rFonts w:ascii="Arial" w:cs="Arial" w:eastAsia="Arial" w:hAnsi="Arial"/>
                <w:sz w:val="19"/>
                <w:szCs w:val="19"/>
                <w:b w:val="1"/>
                <w:bCs w:val="1"/>
                <w:color w:val="231F20"/>
              </w:rPr>
              <w:t>Accounts payable</w:t>
            </w:r>
          </w:p>
        </w:tc>
        <w:tc>
          <w:tcPr>
            <w:tcW w:w="160" w:type="dxa"/>
            <w:vAlign w:val="bottom"/>
          </w:tcPr>
          <w:p>
            <w:pPr>
              <w:jc w:val="right"/>
              <w:spacing w:after="0"/>
              <w:rPr>
                <w:sz w:val="20"/>
                <w:szCs w:val="20"/>
                <w:color w:val="auto"/>
              </w:rPr>
            </w:pPr>
            <w:r>
              <w:rPr>
                <w:rFonts w:ascii="Arial" w:cs="Arial" w:eastAsia="Arial" w:hAnsi="Arial"/>
                <w:sz w:val="19"/>
                <w:szCs w:val="19"/>
                <w:b w:val="1"/>
                <w:bCs w:val="1"/>
                <w:color w:val="231F20"/>
                <w:w w:val="75"/>
              </w:rPr>
              <w:t>$</w:t>
            </w:r>
          </w:p>
        </w:tc>
        <w:tc>
          <w:tcPr>
            <w:tcW w:w="1480" w:type="dxa"/>
            <w:vAlign w:val="bottom"/>
          </w:tcPr>
          <w:p>
            <w:pPr>
              <w:jc w:val="right"/>
              <w:spacing w:after="0"/>
              <w:rPr>
                <w:sz w:val="20"/>
                <w:szCs w:val="20"/>
                <w:color w:val="auto"/>
              </w:rPr>
            </w:pPr>
            <w:r>
              <w:rPr>
                <w:rFonts w:ascii="Arial" w:cs="Arial" w:eastAsia="Arial" w:hAnsi="Arial"/>
                <w:sz w:val="19"/>
                <w:szCs w:val="19"/>
                <w:b w:val="1"/>
                <w:bCs w:val="1"/>
                <w:color w:val="231F20"/>
              </w:rPr>
              <w:t>4,497</w:t>
            </w:r>
          </w:p>
        </w:tc>
        <w:tc>
          <w:tcPr>
            <w:tcW w:w="180" w:type="dxa"/>
            <w:vAlign w:val="bottom"/>
          </w:tcPr>
          <w:p>
            <w:pPr>
              <w:spacing w:after="0"/>
              <w:rPr>
                <w:sz w:val="20"/>
                <w:szCs w:val="20"/>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231F20"/>
              </w:rPr>
              <w:t>$</w:t>
            </w:r>
          </w:p>
        </w:tc>
        <w:tc>
          <w:tcPr>
            <w:tcW w:w="1480" w:type="dxa"/>
            <w:vAlign w:val="bottom"/>
          </w:tcPr>
          <w:p>
            <w:pPr>
              <w:jc w:val="right"/>
              <w:spacing w:after="0"/>
              <w:rPr>
                <w:sz w:val="20"/>
                <w:szCs w:val="20"/>
                <w:color w:val="auto"/>
              </w:rPr>
            </w:pPr>
            <w:r>
              <w:rPr>
                <w:rFonts w:ascii="Arial" w:cs="Arial" w:eastAsia="Arial" w:hAnsi="Arial"/>
                <w:sz w:val="19"/>
                <w:szCs w:val="19"/>
                <w:b w:val="1"/>
                <w:bCs w:val="1"/>
                <w:color w:val="231F20"/>
              </w:rPr>
              <w:t>8,591</w:t>
            </w:r>
          </w:p>
        </w:tc>
        <w:tc>
          <w:tcPr>
            <w:tcW w:w="60" w:type="dxa"/>
            <w:vAlign w:val="bottom"/>
          </w:tcPr>
          <w:p>
            <w:pPr>
              <w:spacing w:after="0"/>
              <w:rPr>
                <w:sz w:val="20"/>
                <w:szCs w:val="20"/>
                <w:color w:val="auto"/>
              </w:rPr>
            </w:pPr>
          </w:p>
        </w:tc>
      </w:tr>
      <w:tr>
        <w:trPr>
          <w:trHeight w:val="238"/>
        </w:trPr>
        <w:tc>
          <w:tcPr>
            <w:tcW w:w="6780" w:type="dxa"/>
            <w:vAlign w:val="bottom"/>
          </w:tcPr>
          <w:p>
            <w:pPr>
              <w:ind w:left="200"/>
              <w:spacing w:after="0"/>
              <w:rPr>
                <w:sz w:val="20"/>
                <w:szCs w:val="20"/>
                <w:color w:val="auto"/>
              </w:rPr>
            </w:pPr>
            <w:r>
              <w:rPr>
                <w:rFonts w:ascii="Arial" w:cs="Arial" w:eastAsia="Arial" w:hAnsi="Arial"/>
                <w:sz w:val="19"/>
                <w:szCs w:val="19"/>
                <w:b w:val="1"/>
                <w:bCs w:val="1"/>
                <w:color w:val="231F20"/>
              </w:rPr>
              <w:t>Payable and accrued liabilities due to related party</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9"/>
                <w:szCs w:val="19"/>
                <w:b w:val="1"/>
                <w:bCs w:val="1"/>
                <w:color w:val="231F20"/>
              </w:rPr>
              <w:t>149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9"/>
                <w:szCs w:val="19"/>
                <w:b w:val="1"/>
                <w:bCs w:val="1"/>
                <w:color w:val="231F20"/>
              </w:rPr>
              <w:t>543</w:t>
            </w:r>
          </w:p>
        </w:tc>
        <w:tc>
          <w:tcPr>
            <w:tcW w:w="60" w:type="dxa"/>
            <w:vAlign w:val="bottom"/>
          </w:tcPr>
          <w:p>
            <w:pPr>
              <w:spacing w:after="0"/>
              <w:rPr>
                <w:sz w:val="20"/>
                <w:szCs w:val="20"/>
                <w:color w:val="auto"/>
              </w:rPr>
            </w:pPr>
          </w:p>
        </w:tc>
      </w:tr>
      <w:tr>
        <w:trPr>
          <w:trHeight w:val="238"/>
        </w:trPr>
        <w:tc>
          <w:tcPr>
            <w:tcW w:w="6780" w:type="dxa"/>
            <w:vAlign w:val="bottom"/>
          </w:tcPr>
          <w:p>
            <w:pPr>
              <w:ind w:left="200"/>
              <w:spacing w:after="0"/>
              <w:rPr>
                <w:sz w:val="20"/>
                <w:szCs w:val="20"/>
                <w:color w:val="auto"/>
              </w:rPr>
            </w:pPr>
            <w:r>
              <w:rPr>
                <w:rFonts w:ascii="Arial" w:cs="Arial" w:eastAsia="Arial" w:hAnsi="Arial"/>
                <w:sz w:val="19"/>
                <w:szCs w:val="19"/>
                <w:b w:val="1"/>
                <w:bCs w:val="1"/>
                <w:color w:val="231F20"/>
              </w:rPr>
              <w:t>Term loan, current</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9"/>
                <w:szCs w:val="19"/>
                <w:b w:val="1"/>
                <w:bCs w:val="1"/>
                <w:color w:val="231F20"/>
              </w:rPr>
              <w:t>435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231F20"/>
              </w:rPr>
              <w:t></w:t>
            </w:r>
          </w:p>
        </w:tc>
        <w:tc>
          <w:tcPr>
            <w:tcW w:w="60" w:type="dxa"/>
            <w:vAlign w:val="bottom"/>
          </w:tcPr>
          <w:p>
            <w:pPr>
              <w:spacing w:after="0"/>
              <w:rPr>
                <w:sz w:val="20"/>
                <w:szCs w:val="20"/>
                <w:color w:val="auto"/>
              </w:rPr>
            </w:pPr>
          </w:p>
        </w:tc>
      </w:tr>
      <w:tr>
        <w:trPr>
          <w:trHeight w:val="236"/>
        </w:trPr>
        <w:tc>
          <w:tcPr>
            <w:tcW w:w="6780" w:type="dxa"/>
            <w:vAlign w:val="bottom"/>
          </w:tcPr>
          <w:p>
            <w:pPr>
              <w:ind w:left="200"/>
              <w:spacing w:after="0"/>
              <w:rPr>
                <w:sz w:val="20"/>
                <w:szCs w:val="20"/>
                <w:color w:val="auto"/>
              </w:rPr>
            </w:pPr>
            <w:r>
              <w:rPr>
                <w:rFonts w:ascii="Arial" w:cs="Arial" w:eastAsia="Arial" w:hAnsi="Arial"/>
                <w:sz w:val="19"/>
                <w:szCs w:val="19"/>
                <w:b w:val="1"/>
                <w:bCs w:val="1"/>
                <w:color w:val="231F20"/>
              </w:rPr>
              <w:t>Accrued expenses and other current liabilities</w:t>
            </w:r>
          </w:p>
        </w:tc>
        <w:tc>
          <w:tcPr>
            <w:tcW w:w="160" w:type="dxa"/>
            <w:vAlign w:val="bottom"/>
            <w:tcBorders>
              <w:bottom w:val="single" w:sz="8" w:color="231F20"/>
            </w:tcBorders>
          </w:tcPr>
          <w:p>
            <w:pPr>
              <w:spacing w:after="0"/>
              <w:rPr>
                <w:sz w:val="20"/>
                <w:szCs w:val="20"/>
                <w:color w:val="auto"/>
              </w:rPr>
            </w:pPr>
          </w:p>
        </w:tc>
        <w:tc>
          <w:tcPr>
            <w:tcW w:w="148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13,419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148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26,867</w:t>
            </w:r>
          </w:p>
        </w:tc>
        <w:tc>
          <w:tcPr>
            <w:tcW w:w="60" w:type="dxa"/>
            <w:vAlign w:val="bottom"/>
          </w:tcPr>
          <w:p>
            <w:pPr>
              <w:spacing w:after="0"/>
              <w:rPr>
                <w:sz w:val="20"/>
                <w:szCs w:val="20"/>
                <w:color w:val="auto"/>
              </w:rPr>
            </w:pPr>
          </w:p>
        </w:tc>
      </w:tr>
      <w:tr>
        <w:trPr>
          <w:trHeight w:val="226"/>
        </w:trPr>
        <w:tc>
          <w:tcPr>
            <w:tcW w:w="6780" w:type="dxa"/>
            <w:vAlign w:val="bottom"/>
          </w:tcPr>
          <w:p>
            <w:pPr>
              <w:ind w:left="380"/>
              <w:spacing w:after="0"/>
              <w:rPr>
                <w:sz w:val="20"/>
                <w:szCs w:val="20"/>
                <w:color w:val="auto"/>
              </w:rPr>
            </w:pPr>
            <w:r>
              <w:rPr>
                <w:rFonts w:ascii="Arial" w:cs="Arial" w:eastAsia="Arial" w:hAnsi="Arial"/>
                <w:sz w:val="19"/>
                <w:szCs w:val="19"/>
                <w:b w:val="1"/>
                <w:bCs w:val="1"/>
                <w:color w:val="231F20"/>
              </w:rPr>
              <w:t>Total current liabilities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9"/>
                <w:szCs w:val="19"/>
                <w:b w:val="1"/>
                <w:bCs w:val="1"/>
                <w:color w:val="231F20"/>
              </w:rPr>
              <w:t>18,500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9"/>
                <w:szCs w:val="19"/>
                <w:b w:val="1"/>
                <w:bCs w:val="1"/>
                <w:color w:val="231F20"/>
              </w:rPr>
              <w:t>36,001</w:t>
            </w:r>
          </w:p>
        </w:tc>
        <w:tc>
          <w:tcPr>
            <w:tcW w:w="60" w:type="dxa"/>
            <w:vAlign w:val="bottom"/>
          </w:tcPr>
          <w:p>
            <w:pPr>
              <w:spacing w:after="0"/>
              <w:rPr>
                <w:sz w:val="19"/>
                <w:szCs w:val="19"/>
                <w:color w:val="auto"/>
              </w:rPr>
            </w:pPr>
          </w:p>
        </w:tc>
      </w:tr>
      <w:tr>
        <w:trPr>
          <w:trHeight w:val="235"/>
        </w:trPr>
        <w:tc>
          <w:tcPr>
            <w:tcW w:w="6780" w:type="dxa"/>
            <w:vAlign w:val="bottom"/>
          </w:tcPr>
          <w:p>
            <w:pPr>
              <w:spacing w:after="0"/>
              <w:rPr>
                <w:sz w:val="20"/>
                <w:szCs w:val="20"/>
                <w:color w:val="auto"/>
              </w:rPr>
            </w:pPr>
            <w:r>
              <w:rPr>
                <w:rFonts w:ascii="Arial" w:cs="Arial" w:eastAsia="Arial" w:hAnsi="Arial"/>
                <w:sz w:val="19"/>
                <w:szCs w:val="19"/>
                <w:b w:val="1"/>
                <w:bCs w:val="1"/>
                <w:color w:val="231F20"/>
              </w:rPr>
              <w:t>Term loan, non-current</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9"/>
                <w:szCs w:val="19"/>
                <w:b w:val="1"/>
                <w:bCs w:val="1"/>
                <w:color w:val="231F20"/>
              </w:rPr>
              <w:t>9,469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9"/>
                <w:szCs w:val="19"/>
                <w:b w:val="1"/>
                <w:bCs w:val="1"/>
                <w:color w:val="231F20"/>
              </w:rPr>
              <w:t>9,639</w:t>
            </w:r>
          </w:p>
        </w:tc>
        <w:tc>
          <w:tcPr>
            <w:tcW w:w="60" w:type="dxa"/>
            <w:vAlign w:val="bottom"/>
          </w:tcPr>
          <w:p>
            <w:pPr>
              <w:spacing w:after="0"/>
              <w:rPr>
                <w:sz w:val="20"/>
                <w:szCs w:val="20"/>
                <w:color w:val="auto"/>
              </w:rPr>
            </w:pPr>
          </w:p>
        </w:tc>
      </w:tr>
      <w:tr>
        <w:trPr>
          <w:trHeight w:val="239"/>
        </w:trPr>
        <w:tc>
          <w:tcPr>
            <w:tcW w:w="6780" w:type="dxa"/>
            <w:vAlign w:val="bottom"/>
          </w:tcPr>
          <w:p>
            <w:pPr>
              <w:spacing w:after="0"/>
              <w:rPr>
                <w:sz w:val="20"/>
                <w:szCs w:val="20"/>
                <w:color w:val="auto"/>
              </w:rPr>
            </w:pPr>
            <w:r>
              <w:rPr>
                <w:rFonts w:ascii="Arial" w:cs="Arial" w:eastAsia="Arial" w:hAnsi="Arial"/>
                <w:sz w:val="19"/>
                <w:szCs w:val="19"/>
                <w:b w:val="1"/>
                <w:bCs w:val="1"/>
                <w:color w:val="231F20"/>
              </w:rPr>
              <w:t>Other non-current liabilities</w:t>
            </w:r>
          </w:p>
        </w:tc>
        <w:tc>
          <w:tcPr>
            <w:tcW w:w="160" w:type="dxa"/>
            <w:vAlign w:val="bottom"/>
            <w:tcBorders>
              <w:bottom w:val="single" w:sz="8" w:color="231F20"/>
            </w:tcBorders>
          </w:tcPr>
          <w:p>
            <w:pPr>
              <w:spacing w:after="0"/>
              <w:rPr>
                <w:sz w:val="20"/>
                <w:szCs w:val="20"/>
                <w:color w:val="auto"/>
              </w:rPr>
            </w:pPr>
          </w:p>
        </w:tc>
        <w:tc>
          <w:tcPr>
            <w:tcW w:w="148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6,188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148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7,201</w:t>
            </w:r>
          </w:p>
        </w:tc>
        <w:tc>
          <w:tcPr>
            <w:tcW w:w="60" w:type="dxa"/>
            <w:vAlign w:val="bottom"/>
          </w:tcPr>
          <w:p>
            <w:pPr>
              <w:spacing w:after="0"/>
              <w:rPr>
                <w:sz w:val="20"/>
                <w:szCs w:val="20"/>
                <w:color w:val="auto"/>
              </w:rPr>
            </w:pPr>
          </w:p>
        </w:tc>
      </w:tr>
      <w:tr>
        <w:trPr>
          <w:trHeight w:val="226"/>
        </w:trPr>
        <w:tc>
          <w:tcPr>
            <w:tcW w:w="6780" w:type="dxa"/>
            <w:vAlign w:val="bottom"/>
          </w:tcPr>
          <w:p>
            <w:pPr>
              <w:ind w:left="380"/>
              <w:spacing w:after="0"/>
              <w:rPr>
                <w:sz w:val="20"/>
                <w:szCs w:val="20"/>
                <w:color w:val="auto"/>
              </w:rPr>
            </w:pPr>
            <w:r>
              <w:rPr>
                <w:rFonts w:ascii="Arial" w:cs="Arial" w:eastAsia="Arial" w:hAnsi="Arial"/>
                <w:sz w:val="19"/>
                <w:szCs w:val="19"/>
                <w:b w:val="1"/>
                <w:bCs w:val="1"/>
                <w:color w:val="231F20"/>
              </w:rPr>
              <w:t>Total liabilities</w:t>
            </w:r>
          </w:p>
        </w:tc>
        <w:tc>
          <w:tcPr>
            <w:tcW w:w="160" w:type="dxa"/>
            <w:vAlign w:val="bottom"/>
            <w:tcBorders>
              <w:bottom w:val="single" w:sz="8" w:color="231F20"/>
            </w:tcBorders>
          </w:tcPr>
          <w:p>
            <w:pPr>
              <w:spacing w:after="0"/>
              <w:rPr>
                <w:sz w:val="19"/>
                <w:szCs w:val="19"/>
                <w:color w:val="auto"/>
              </w:rPr>
            </w:pPr>
          </w:p>
        </w:tc>
        <w:tc>
          <w:tcPr>
            <w:tcW w:w="148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34,157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148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52,841</w:t>
            </w:r>
          </w:p>
        </w:tc>
        <w:tc>
          <w:tcPr>
            <w:tcW w:w="60" w:type="dxa"/>
            <w:vAlign w:val="bottom"/>
          </w:tcPr>
          <w:p>
            <w:pPr>
              <w:spacing w:after="0"/>
              <w:rPr>
                <w:sz w:val="19"/>
                <w:szCs w:val="19"/>
                <w:color w:val="auto"/>
              </w:rPr>
            </w:pPr>
          </w:p>
        </w:tc>
      </w:tr>
      <w:tr>
        <w:trPr>
          <w:trHeight w:val="225"/>
        </w:trPr>
        <w:tc>
          <w:tcPr>
            <w:tcW w:w="6780" w:type="dxa"/>
            <w:vAlign w:val="bottom"/>
          </w:tcPr>
          <w:p>
            <w:pPr>
              <w:spacing w:after="0"/>
              <w:rPr>
                <w:sz w:val="20"/>
                <w:szCs w:val="20"/>
                <w:color w:val="auto"/>
              </w:rPr>
            </w:pPr>
            <w:r>
              <w:rPr>
                <w:rFonts w:ascii="Arial" w:cs="Arial" w:eastAsia="Arial" w:hAnsi="Arial"/>
                <w:sz w:val="19"/>
                <w:szCs w:val="19"/>
                <w:b w:val="1"/>
                <w:bCs w:val="1"/>
                <w:color w:val="231F20"/>
              </w:rPr>
              <w:t>Commitments and contingencies (Note 12)</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6780" w:type="dxa"/>
            <w:vAlign w:val="bottom"/>
          </w:tcPr>
          <w:p>
            <w:pPr>
              <w:spacing w:after="0" w:line="231" w:lineRule="exact"/>
              <w:rPr>
                <w:sz w:val="20"/>
                <w:szCs w:val="20"/>
                <w:color w:val="auto"/>
              </w:rPr>
            </w:pPr>
            <w:r>
              <w:rPr>
                <w:rFonts w:ascii="Arial" w:cs="Arial" w:eastAsia="Arial" w:hAnsi="Arial"/>
                <w:sz w:val="19"/>
                <w:szCs w:val="19"/>
                <w:b w:val="1"/>
                <w:bCs w:val="1"/>
                <w:color w:val="231F20"/>
              </w:rPr>
              <w:t>Stockholders</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equity</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6780" w:type="dxa"/>
            <w:vAlign w:val="bottom"/>
          </w:tcPr>
          <w:p>
            <w:pPr>
              <w:ind w:left="200"/>
              <w:spacing w:after="0"/>
              <w:rPr>
                <w:sz w:val="20"/>
                <w:szCs w:val="20"/>
                <w:color w:val="auto"/>
              </w:rPr>
            </w:pPr>
            <w:r>
              <w:rPr>
                <w:rFonts w:ascii="Arial" w:cs="Arial" w:eastAsia="Arial" w:hAnsi="Arial"/>
                <w:sz w:val="19"/>
                <w:szCs w:val="19"/>
                <w:b w:val="1"/>
                <w:bCs w:val="1"/>
                <w:color w:val="231F20"/>
              </w:rPr>
              <w:t>Common stock, $0.001 par value; 1,000,000,000 shares authorized</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1"/>
        </w:trPr>
        <w:tc>
          <w:tcPr>
            <w:tcW w:w="6780" w:type="dxa"/>
            <w:vAlign w:val="bottom"/>
          </w:tcPr>
          <w:p>
            <w:pPr>
              <w:ind w:left="440"/>
              <w:spacing w:after="0"/>
              <w:rPr>
                <w:sz w:val="20"/>
                <w:szCs w:val="20"/>
                <w:color w:val="auto"/>
              </w:rPr>
            </w:pPr>
            <w:r>
              <w:rPr>
                <w:rFonts w:ascii="Arial" w:cs="Arial" w:eastAsia="Arial" w:hAnsi="Arial"/>
                <w:sz w:val="19"/>
                <w:szCs w:val="19"/>
                <w:b w:val="1"/>
                <w:bCs w:val="1"/>
                <w:color w:val="231F20"/>
              </w:rPr>
              <w:t>as of December 31, 2024 and December 31, 2023; 53,052,912 and</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6780" w:type="dxa"/>
            <w:vAlign w:val="bottom"/>
          </w:tcPr>
          <w:p>
            <w:pPr>
              <w:ind w:left="440"/>
              <w:spacing w:after="0"/>
              <w:rPr>
                <w:sz w:val="20"/>
                <w:szCs w:val="20"/>
                <w:color w:val="auto"/>
              </w:rPr>
            </w:pPr>
            <w:r>
              <w:rPr>
                <w:rFonts w:ascii="Arial" w:cs="Arial" w:eastAsia="Arial" w:hAnsi="Arial"/>
                <w:sz w:val="19"/>
                <w:szCs w:val="19"/>
                <w:b w:val="1"/>
                <w:bCs w:val="1"/>
                <w:color w:val="231F20"/>
              </w:rPr>
              <w:t>49,951,989 shares issued and outstanding as of December 31, 2024</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6780" w:type="dxa"/>
            <w:vAlign w:val="bottom"/>
          </w:tcPr>
          <w:p>
            <w:pPr>
              <w:ind w:left="440"/>
              <w:spacing w:after="0"/>
              <w:rPr>
                <w:sz w:val="20"/>
                <w:szCs w:val="20"/>
                <w:color w:val="auto"/>
              </w:rPr>
            </w:pPr>
            <w:r>
              <w:rPr>
                <w:rFonts w:ascii="Arial" w:cs="Arial" w:eastAsia="Arial" w:hAnsi="Arial"/>
                <w:sz w:val="19"/>
                <w:szCs w:val="19"/>
                <w:b w:val="1"/>
                <w:bCs w:val="1"/>
                <w:color w:val="231F20"/>
              </w:rPr>
              <w:t>and December 31, 2023, respectively</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9"/>
                <w:szCs w:val="19"/>
                <w:b w:val="1"/>
                <w:bCs w:val="1"/>
                <w:color w:val="231F20"/>
              </w:rPr>
              <w:t>53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9"/>
                <w:szCs w:val="19"/>
                <w:b w:val="1"/>
                <w:bCs w:val="1"/>
                <w:color w:val="231F20"/>
              </w:rPr>
              <w:t>50</w:t>
            </w:r>
          </w:p>
        </w:tc>
        <w:tc>
          <w:tcPr>
            <w:tcW w:w="60" w:type="dxa"/>
            <w:vAlign w:val="bottom"/>
          </w:tcPr>
          <w:p>
            <w:pPr>
              <w:spacing w:after="0"/>
              <w:rPr>
                <w:sz w:val="19"/>
                <w:szCs w:val="19"/>
                <w:color w:val="auto"/>
              </w:rPr>
            </w:pPr>
          </w:p>
        </w:tc>
      </w:tr>
      <w:tr>
        <w:trPr>
          <w:trHeight w:val="238"/>
        </w:trPr>
        <w:tc>
          <w:tcPr>
            <w:tcW w:w="6780" w:type="dxa"/>
            <w:vAlign w:val="bottom"/>
          </w:tcPr>
          <w:p>
            <w:pPr>
              <w:ind w:left="200"/>
              <w:spacing w:after="0"/>
              <w:rPr>
                <w:sz w:val="20"/>
                <w:szCs w:val="20"/>
                <w:color w:val="auto"/>
              </w:rPr>
            </w:pPr>
            <w:r>
              <w:rPr>
                <w:rFonts w:ascii="Arial" w:cs="Arial" w:eastAsia="Arial" w:hAnsi="Arial"/>
                <w:sz w:val="19"/>
                <w:szCs w:val="19"/>
                <w:b w:val="1"/>
                <w:bCs w:val="1"/>
                <w:color w:val="231F20"/>
              </w:rPr>
              <w:t>Additional paid-in capital</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9"/>
                <w:szCs w:val="19"/>
                <w:b w:val="1"/>
                <w:bCs w:val="1"/>
                <w:color w:val="231F20"/>
              </w:rPr>
              <w:t>734,412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9"/>
                <w:szCs w:val="19"/>
                <w:b w:val="1"/>
                <w:bCs w:val="1"/>
                <w:color w:val="231F20"/>
              </w:rPr>
              <w:t>675,678</w:t>
            </w:r>
          </w:p>
        </w:tc>
        <w:tc>
          <w:tcPr>
            <w:tcW w:w="60" w:type="dxa"/>
            <w:vAlign w:val="bottom"/>
          </w:tcPr>
          <w:p>
            <w:pPr>
              <w:spacing w:after="0"/>
              <w:rPr>
                <w:sz w:val="20"/>
                <w:szCs w:val="20"/>
                <w:color w:val="auto"/>
              </w:rPr>
            </w:pPr>
          </w:p>
        </w:tc>
      </w:tr>
      <w:tr>
        <w:trPr>
          <w:trHeight w:val="238"/>
        </w:trPr>
        <w:tc>
          <w:tcPr>
            <w:tcW w:w="6780" w:type="dxa"/>
            <w:vAlign w:val="bottom"/>
          </w:tcPr>
          <w:p>
            <w:pPr>
              <w:ind w:left="200"/>
              <w:spacing w:after="0"/>
              <w:rPr>
                <w:sz w:val="20"/>
                <w:szCs w:val="20"/>
                <w:color w:val="auto"/>
              </w:rPr>
            </w:pPr>
            <w:r>
              <w:rPr>
                <w:rFonts w:ascii="Arial" w:cs="Arial" w:eastAsia="Arial" w:hAnsi="Arial"/>
                <w:sz w:val="19"/>
                <w:szCs w:val="19"/>
                <w:b w:val="1"/>
                <w:bCs w:val="1"/>
                <w:color w:val="231F20"/>
              </w:rPr>
              <w:t>Accumulated other comprehensive income</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9"/>
                <w:szCs w:val="19"/>
                <w:b w:val="1"/>
                <w:bCs w:val="1"/>
                <w:color w:val="231F20"/>
              </w:rPr>
              <w:t>275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9"/>
                <w:szCs w:val="19"/>
                <w:b w:val="1"/>
                <w:bCs w:val="1"/>
                <w:color w:val="231F20"/>
              </w:rPr>
              <w:t>256</w:t>
            </w:r>
          </w:p>
        </w:tc>
        <w:tc>
          <w:tcPr>
            <w:tcW w:w="60" w:type="dxa"/>
            <w:vAlign w:val="bottom"/>
          </w:tcPr>
          <w:p>
            <w:pPr>
              <w:spacing w:after="0"/>
              <w:rPr>
                <w:sz w:val="20"/>
                <w:szCs w:val="20"/>
                <w:color w:val="auto"/>
              </w:rPr>
            </w:pPr>
          </w:p>
        </w:tc>
      </w:tr>
      <w:tr>
        <w:trPr>
          <w:trHeight w:val="236"/>
        </w:trPr>
        <w:tc>
          <w:tcPr>
            <w:tcW w:w="6780" w:type="dxa"/>
            <w:vAlign w:val="bottom"/>
          </w:tcPr>
          <w:p>
            <w:pPr>
              <w:ind w:left="200"/>
              <w:spacing w:after="0"/>
              <w:rPr>
                <w:sz w:val="20"/>
                <w:szCs w:val="20"/>
                <w:color w:val="auto"/>
              </w:rPr>
            </w:pPr>
            <w:r>
              <w:rPr>
                <w:rFonts w:ascii="Arial" w:cs="Arial" w:eastAsia="Arial" w:hAnsi="Arial"/>
                <w:sz w:val="19"/>
                <w:szCs w:val="19"/>
                <w:b w:val="1"/>
                <w:bCs w:val="1"/>
                <w:color w:val="231F20"/>
              </w:rPr>
              <w:t>Accumulated deficit</w:t>
            </w:r>
          </w:p>
        </w:tc>
        <w:tc>
          <w:tcPr>
            <w:tcW w:w="160" w:type="dxa"/>
            <w:vAlign w:val="bottom"/>
          </w:tcPr>
          <w:p>
            <w:pPr>
              <w:spacing w:after="0"/>
              <w:rPr>
                <w:sz w:val="20"/>
                <w:szCs w:val="20"/>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231F20"/>
              </w:rPr>
              <w:t>(621,122)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Arial" w:cs="Arial" w:eastAsia="Arial" w:hAnsi="Arial"/>
                <w:sz w:val="19"/>
                <w:szCs w:val="19"/>
                <w:b w:val="1"/>
                <w:bCs w:val="1"/>
                <w:color w:val="231F20"/>
              </w:rPr>
              <w:t>(486,272)</w:t>
            </w:r>
          </w:p>
        </w:tc>
      </w:tr>
      <w:tr>
        <w:trPr>
          <w:trHeight w:val="226"/>
        </w:trPr>
        <w:tc>
          <w:tcPr>
            <w:tcW w:w="6780" w:type="dxa"/>
            <w:vAlign w:val="bottom"/>
          </w:tcPr>
          <w:p>
            <w:pPr>
              <w:ind w:left="380"/>
              <w:spacing w:after="0" w:line="226" w:lineRule="exact"/>
              <w:rPr>
                <w:sz w:val="20"/>
                <w:szCs w:val="20"/>
                <w:color w:val="auto"/>
              </w:rPr>
            </w:pPr>
            <w:r>
              <w:rPr>
                <w:rFonts w:ascii="Arial" w:cs="Arial" w:eastAsia="Arial" w:hAnsi="Arial"/>
                <w:sz w:val="19"/>
                <w:szCs w:val="19"/>
                <w:b w:val="1"/>
                <w:bCs w:val="1"/>
                <w:color w:val="231F20"/>
              </w:rPr>
              <w:t>Total stockholders</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equity</w:t>
            </w:r>
          </w:p>
        </w:tc>
        <w:tc>
          <w:tcPr>
            <w:tcW w:w="160" w:type="dxa"/>
            <w:vAlign w:val="bottom"/>
            <w:tcBorders>
              <w:top w:val="single" w:sz="8" w:color="231F20"/>
              <w:bottom w:val="single" w:sz="8" w:color="231F20"/>
            </w:tcBorders>
          </w:tcPr>
          <w:p>
            <w:pPr>
              <w:spacing w:after="0"/>
              <w:rPr>
                <w:sz w:val="19"/>
                <w:szCs w:val="19"/>
                <w:color w:val="auto"/>
              </w:rPr>
            </w:pPr>
          </w:p>
        </w:tc>
        <w:tc>
          <w:tcPr>
            <w:tcW w:w="1480" w:type="dxa"/>
            <w:vAlign w:val="bottom"/>
            <w:tcBorders>
              <w:top w:val="single" w:sz="8" w:color="231F20"/>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113,618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231F20"/>
              <w:bottom w:val="single" w:sz="8" w:color="231F20"/>
            </w:tcBorders>
          </w:tcPr>
          <w:p>
            <w:pPr>
              <w:spacing w:after="0"/>
              <w:rPr>
                <w:sz w:val="19"/>
                <w:szCs w:val="19"/>
                <w:color w:val="auto"/>
              </w:rPr>
            </w:pPr>
          </w:p>
        </w:tc>
        <w:tc>
          <w:tcPr>
            <w:tcW w:w="1480" w:type="dxa"/>
            <w:vAlign w:val="bottom"/>
            <w:tcBorders>
              <w:top w:val="single" w:sz="8" w:color="231F20"/>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189,712</w:t>
            </w:r>
          </w:p>
        </w:tc>
        <w:tc>
          <w:tcPr>
            <w:tcW w:w="60" w:type="dxa"/>
            <w:vAlign w:val="bottom"/>
          </w:tcPr>
          <w:p>
            <w:pPr>
              <w:spacing w:after="0"/>
              <w:rPr>
                <w:sz w:val="19"/>
                <w:szCs w:val="19"/>
                <w:color w:val="auto"/>
              </w:rPr>
            </w:pPr>
          </w:p>
        </w:tc>
      </w:tr>
      <w:tr>
        <w:trPr>
          <w:trHeight w:val="228"/>
        </w:trPr>
        <w:tc>
          <w:tcPr>
            <w:tcW w:w="6780" w:type="dxa"/>
            <w:vAlign w:val="bottom"/>
          </w:tcPr>
          <w:p>
            <w:pPr>
              <w:ind w:left="380"/>
              <w:spacing w:after="0" w:line="228" w:lineRule="exact"/>
              <w:rPr>
                <w:sz w:val="20"/>
                <w:szCs w:val="20"/>
                <w:color w:val="auto"/>
              </w:rPr>
            </w:pPr>
            <w:r>
              <w:rPr>
                <w:rFonts w:ascii="Arial" w:cs="Arial" w:eastAsia="Arial" w:hAnsi="Arial"/>
                <w:sz w:val="19"/>
                <w:szCs w:val="19"/>
                <w:b w:val="1"/>
                <w:bCs w:val="1"/>
                <w:color w:val="231F20"/>
              </w:rPr>
              <w:t>Total liabilities and stockholders</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equity</w:t>
            </w:r>
          </w:p>
        </w:tc>
        <w:tc>
          <w:tcPr>
            <w:tcW w:w="160" w:type="dxa"/>
            <w:vAlign w:val="bottom"/>
          </w:tcPr>
          <w:p>
            <w:pPr>
              <w:jc w:val="right"/>
              <w:spacing w:after="0"/>
              <w:rPr>
                <w:sz w:val="20"/>
                <w:szCs w:val="20"/>
                <w:color w:val="auto"/>
              </w:rPr>
            </w:pPr>
            <w:r>
              <w:rPr>
                <w:rFonts w:ascii="Arial" w:cs="Arial" w:eastAsia="Arial" w:hAnsi="Arial"/>
                <w:sz w:val="19"/>
                <w:szCs w:val="19"/>
                <w:b w:val="1"/>
                <w:bCs w:val="1"/>
                <w:color w:val="231F20"/>
                <w:w w:val="75"/>
              </w:rPr>
              <w:t>$</w:t>
            </w:r>
          </w:p>
        </w:tc>
        <w:tc>
          <w:tcPr>
            <w:tcW w:w="1480" w:type="dxa"/>
            <w:vAlign w:val="bottom"/>
          </w:tcPr>
          <w:p>
            <w:pPr>
              <w:jc w:val="right"/>
              <w:spacing w:after="0"/>
              <w:rPr>
                <w:sz w:val="20"/>
                <w:szCs w:val="20"/>
                <w:color w:val="auto"/>
              </w:rPr>
            </w:pPr>
            <w:r>
              <w:rPr>
                <w:rFonts w:ascii="Arial" w:cs="Arial" w:eastAsia="Arial" w:hAnsi="Arial"/>
                <w:sz w:val="19"/>
                <w:szCs w:val="19"/>
                <w:b w:val="1"/>
                <w:bCs w:val="1"/>
                <w:color w:val="231F20"/>
              </w:rPr>
              <w:t>147,775</w:t>
            </w:r>
          </w:p>
        </w:tc>
        <w:tc>
          <w:tcPr>
            <w:tcW w:w="180" w:type="dxa"/>
            <w:vAlign w:val="bottom"/>
          </w:tcPr>
          <w:p>
            <w:pPr>
              <w:spacing w:after="0"/>
              <w:rPr>
                <w:sz w:val="19"/>
                <w:szCs w:val="19"/>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231F20"/>
              </w:rPr>
              <w:t>$</w:t>
            </w:r>
          </w:p>
        </w:tc>
        <w:tc>
          <w:tcPr>
            <w:tcW w:w="1480" w:type="dxa"/>
            <w:vAlign w:val="bottom"/>
          </w:tcPr>
          <w:p>
            <w:pPr>
              <w:jc w:val="right"/>
              <w:spacing w:after="0"/>
              <w:rPr>
                <w:sz w:val="20"/>
                <w:szCs w:val="20"/>
                <w:color w:val="auto"/>
              </w:rPr>
            </w:pPr>
            <w:r>
              <w:rPr>
                <w:rFonts w:ascii="Arial" w:cs="Arial" w:eastAsia="Arial" w:hAnsi="Arial"/>
                <w:sz w:val="19"/>
                <w:szCs w:val="19"/>
                <w:b w:val="1"/>
                <w:bCs w:val="1"/>
                <w:color w:val="231F20"/>
              </w:rPr>
              <w:t>242,553</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-3350895</wp:posOffset>
            </wp:positionV>
            <wp:extent cx="2312670" cy="5461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312670" cy="54610"/>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-13335</wp:posOffset>
            </wp:positionV>
            <wp:extent cx="2312670" cy="5588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312670" cy="55880"/>
                    </a:xfrm>
                    <a:prstGeom prst="rect">
                      <a:avLst/>
                    </a:prstGeom>
                    <a:noFill/>
                  </pic:spPr>
                </pic:pic>
              </a:graphicData>
            </a:graphic>
          </wp:anchor>
        </w:drawing>
      </w: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231F20"/>
        </w:rPr>
        <w:t>The accompanying notes are an integral part of these consolidated financial statements.</w:t>
      </w:r>
    </w:p>
    <w:p>
      <w:pPr>
        <w:sectPr>
          <w:pgSz w:w="12240" w:h="15840" w:orient="portrait"/>
          <w:cols w:equalWidth="0" w:num="1">
            <w:col w:w="10440"/>
          </w:cols>
          <w:pgMar w:left="880" w:top="1160" w:right="92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231F20"/>
        </w:rPr>
        <w:t>95</w:t>
      </w:r>
    </w:p>
    <w:p>
      <w:pPr>
        <w:sectPr>
          <w:pgSz w:w="12240" w:h="15840" w:orient="portrait"/>
          <w:cols w:equalWidth="0" w:num="1">
            <w:col w:w="10440"/>
          </w:cols>
          <w:pgMar w:left="880" w:top="1160" w:right="920" w:bottom="390" w:gutter="0" w:footer="0" w:header="0"/>
          <w:type w:val="continuous"/>
        </w:sectPr>
      </w:pPr>
    </w:p>
    <w:bookmarkStart w:id="103" w:name="page104"/>
    <w:bookmarkEnd w:id="103"/>
    <w:p>
      <w:pPr>
        <w:jc w:val="center"/>
        <w:ind w:right="-39"/>
        <w:spacing w:after="0"/>
        <w:rPr>
          <w:sz w:val="20"/>
          <w:szCs w:val="20"/>
          <w:color w:val="auto"/>
        </w:rPr>
      </w:pPr>
      <w:r>
        <w:rPr>
          <w:rFonts w:ascii="Arial" w:cs="Arial" w:eastAsia="Arial" w:hAnsi="Arial"/>
          <w:sz w:val="19"/>
          <w:szCs w:val="19"/>
          <w:b w:val="1"/>
          <w:bCs w:val="1"/>
          <w:color w:val="231F20"/>
        </w:rPr>
        <w:t>ALX ONCOLOGY HOLDINGS INC.</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231F20"/>
        </w:rPr>
        <w:t>Consolidated Statements of Operations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231F20"/>
        </w:rPr>
        <w:t>(in thousands, except share and per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9"/>
                <w:szCs w:val="19"/>
                <w:b w:val="1"/>
                <w:bCs w:val="1"/>
                <w:color w:val="231F20"/>
                <w:w w:val="95"/>
              </w:rPr>
              <w:t>Year Ended</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4"/>
        </w:trPr>
        <w:tc>
          <w:tcPr>
            <w:tcW w:w="4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Borders>
              <w:bottom w:val="single" w:sz="8" w:color="231F20"/>
            </w:tcBorders>
          </w:tcPr>
          <w:p>
            <w:pPr>
              <w:spacing w:after="0"/>
              <w:rPr>
                <w:sz w:val="19"/>
                <w:szCs w:val="19"/>
                <w:color w:val="auto"/>
              </w:rPr>
            </w:pPr>
          </w:p>
        </w:tc>
        <w:tc>
          <w:tcPr>
            <w:tcW w:w="1220" w:type="dxa"/>
            <w:vAlign w:val="bottom"/>
            <w:tcBorders>
              <w:bottom w:val="single" w:sz="8" w:color="231F20"/>
            </w:tcBorders>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1680" w:type="dxa"/>
            <w:vAlign w:val="bottom"/>
            <w:tcBorders>
              <w:bottom w:val="single" w:sz="8" w:color="231F20"/>
            </w:tcBorders>
            <w:gridSpan w:val="2"/>
          </w:tcPr>
          <w:p>
            <w:pPr>
              <w:jc w:val="center"/>
              <w:ind w:right="460"/>
              <w:spacing w:after="0"/>
              <w:rPr>
                <w:sz w:val="20"/>
                <w:szCs w:val="20"/>
                <w:color w:val="auto"/>
              </w:rPr>
            </w:pPr>
            <w:r>
              <w:rPr>
                <w:rFonts w:ascii="Arial" w:cs="Arial" w:eastAsia="Arial" w:hAnsi="Arial"/>
                <w:sz w:val="19"/>
                <w:szCs w:val="19"/>
                <w:b w:val="1"/>
                <w:bCs w:val="1"/>
                <w:color w:val="231F20"/>
                <w:w w:val="92"/>
              </w:rPr>
              <w:t>December 31,</w:t>
            </w:r>
          </w:p>
        </w:tc>
        <w:tc>
          <w:tcPr>
            <w:tcW w:w="340" w:type="dxa"/>
            <w:vAlign w:val="bottom"/>
            <w:tcBorders>
              <w:bottom w:val="single" w:sz="8" w:color="231F20"/>
            </w:tcBorders>
          </w:tcPr>
          <w:p>
            <w:pPr>
              <w:spacing w:after="0"/>
              <w:rPr>
                <w:sz w:val="19"/>
                <w:szCs w:val="19"/>
                <w:color w:val="auto"/>
              </w:rPr>
            </w:pPr>
          </w:p>
        </w:tc>
        <w:tc>
          <w:tcPr>
            <w:tcW w:w="1220" w:type="dxa"/>
            <w:vAlign w:val="bottom"/>
            <w:tcBorders>
              <w:bottom w:val="single" w:sz="8" w:color="231F20"/>
            </w:tcBorders>
          </w:tcPr>
          <w:p>
            <w:pPr>
              <w:spacing w:after="0"/>
              <w:rPr>
                <w:sz w:val="19"/>
                <w:szCs w:val="19"/>
                <w:color w:val="auto"/>
              </w:rPr>
            </w:pPr>
          </w:p>
        </w:tc>
        <w:tc>
          <w:tcPr>
            <w:tcW w:w="60" w:type="dxa"/>
            <w:vAlign w:val="bottom"/>
          </w:tcPr>
          <w:p>
            <w:pPr>
              <w:spacing w:after="0"/>
              <w:rPr>
                <w:sz w:val="19"/>
                <w:szCs w:val="19"/>
                <w:color w:val="auto"/>
              </w:rPr>
            </w:pPr>
          </w:p>
        </w:tc>
      </w:tr>
      <w:tr>
        <w:trPr>
          <w:trHeight w:val="212"/>
        </w:trPr>
        <w:tc>
          <w:tcPr>
            <w:tcW w:w="4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Borders>
              <w:bottom w:val="single" w:sz="8" w:color="231F20"/>
            </w:tcBorders>
          </w:tcPr>
          <w:p>
            <w:pPr>
              <w:spacing w:after="0"/>
              <w:rPr>
                <w:sz w:val="18"/>
                <w:szCs w:val="18"/>
                <w:color w:val="auto"/>
              </w:rPr>
            </w:pPr>
          </w:p>
        </w:tc>
        <w:tc>
          <w:tcPr>
            <w:tcW w:w="1220" w:type="dxa"/>
            <w:vAlign w:val="bottom"/>
            <w:tcBorders>
              <w:bottom w:val="single" w:sz="8" w:color="231F20"/>
            </w:tcBorders>
          </w:tcPr>
          <w:p>
            <w:pPr>
              <w:jc w:val="right"/>
              <w:ind w:right="503"/>
              <w:spacing w:after="0" w:line="212" w:lineRule="exact"/>
              <w:rPr>
                <w:sz w:val="20"/>
                <w:szCs w:val="20"/>
                <w:color w:val="auto"/>
              </w:rPr>
            </w:pPr>
            <w:r>
              <w:rPr>
                <w:rFonts w:ascii="Arial" w:cs="Arial" w:eastAsia="Arial" w:hAnsi="Arial"/>
                <w:sz w:val="19"/>
                <w:szCs w:val="19"/>
                <w:b w:val="1"/>
                <w:bCs w:val="1"/>
                <w:color w:val="231F20"/>
              </w:rPr>
              <w:t>2024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1400" w:type="dxa"/>
            <w:vAlign w:val="bottom"/>
            <w:tcBorders>
              <w:bottom w:val="single" w:sz="8" w:color="231F20"/>
            </w:tcBorders>
          </w:tcPr>
          <w:p>
            <w:pPr>
              <w:jc w:val="center"/>
              <w:ind w:right="63"/>
              <w:spacing w:after="0" w:line="212" w:lineRule="exact"/>
              <w:rPr>
                <w:sz w:val="20"/>
                <w:szCs w:val="20"/>
                <w:color w:val="auto"/>
              </w:rPr>
            </w:pPr>
            <w:r>
              <w:rPr>
                <w:rFonts w:ascii="Arial" w:cs="Arial" w:eastAsia="Arial" w:hAnsi="Arial"/>
                <w:sz w:val="19"/>
                <w:szCs w:val="19"/>
                <w:b w:val="1"/>
                <w:bCs w:val="1"/>
                <w:color w:val="231F20"/>
                <w:w w:val="94"/>
              </w:rPr>
              <w:t>2023</w:t>
            </w:r>
          </w:p>
        </w:tc>
        <w:tc>
          <w:tcPr>
            <w:tcW w:w="280" w:type="dxa"/>
            <w:vAlign w:val="bottom"/>
          </w:tcPr>
          <w:p>
            <w:pPr>
              <w:spacing w:after="0"/>
              <w:rPr>
                <w:sz w:val="18"/>
                <w:szCs w:val="18"/>
                <w:color w:val="auto"/>
              </w:rPr>
            </w:pPr>
          </w:p>
        </w:tc>
        <w:tc>
          <w:tcPr>
            <w:tcW w:w="340" w:type="dxa"/>
            <w:vAlign w:val="bottom"/>
            <w:tcBorders>
              <w:bottom w:val="single" w:sz="8" w:color="231F20"/>
            </w:tcBorders>
          </w:tcPr>
          <w:p>
            <w:pPr>
              <w:spacing w:after="0"/>
              <w:rPr>
                <w:sz w:val="18"/>
                <w:szCs w:val="18"/>
                <w:color w:val="auto"/>
              </w:rPr>
            </w:pPr>
          </w:p>
        </w:tc>
        <w:tc>
          <w:tcPr>
            <w:tcW w:w="1220" w:type="dxa"/>
            <w:vAlign w:val="bottom"/>
            <w:tcBorders>
              <w:bottom w:val="single" w:sz="8" w:color="231F20"/>
            </w:tcBorders>
          </w:tcPr>
          <w:p>
            <w:pPr>
              <w:jc w:val="right"/>
              <w:ind w:right="503"/>
              <w:spacing w:after="0" w:line="212" w:lineRule="exact"/>
              <w:rPr>
                <w:sz w:val="20"/>
                <w:szCs w:val="20"/>
                <w:color w:val="auto"/>
              </w:rPr>
            </w:pPr>
            <w:r>
              <w:rPr>
                <w:rFonts w:ascii="Arial" w:cs="Arial" w:eastAsia="Arial" w:hAnsi="Arial"/>
                <w:sz w:val="19"/>
                <w:szCs w:val="19"/>
                <w:b w:val="1"/>
                <w:bCs w:val="1"/>
                <w:color w:val="231F20"/>
              </w:rPr>
              <w:t>2022</w:t>
            </w:r>
          </w:p>
        </w:tc>
        <w:tc>
          <w:tcPr>
            <w:tcW w:w="60" w:type="dxa"/>
            <w:vAlign w:val="bottom"/>
          </w:tcPr>
          <w:p>
            <w:pPr>
              <w:spacing w:after="0"/>
              <w:rPr>
                <w:sz w:val="18"/>
                <w:szCs w:val="18"/>
                <w:color w:val="auto"/>
              </w:rPr>
            </w:pPr>
          </w:p>
        </w:tc>
      </w:tr>
      <w:tr>
        <w:trPr>
          <w:trHeight w:val="213"/>
        </w:trPr>
        <w:tc>
          <w:tcPr>
            <w:tcW w:w="4540" w:type="dxa"/>
            <w:vAlign w:val="bottom"/>
          </w:tcPr>
          <w:p>
            <w:pPr>
              <w:spacing w:after="0" w:line="213" w:lineRule="exact"/>
              <w:rPr>
                <w:sz w:val="20"/>
                <w:szCs w:val="20"/>
                <w:color w:val="auto"/>
              </w:rPr>
            </w:pPr>
            <w:r>
              <w:rPr>
                <w:rFonts w:ascii="Arial" w:cs="Arial" w:eastAsia="Arial" w:hAnsi="Arial"/>
                <w:sz w:val="19"/>
                <w:szCs w:val="19"/>
                <w:b w:val="1"/>
                <w:bCs w:val="1"/>
                <w:color w:val="231F20"/>
              </w:rPr>
              <w:t>Operating expenses:</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4540" w:type="dxa"/>
            <w:vAlign w:val="bottom"/>
          </w:tcPr>
          <w:p>
            <w:pPr>
              <w:ind w:left="200"/>
              <w:spacing w:after="0"/>
              <w:rPr>
                <w:sz w:val="20"/>
                <w:szCs w:val="20"/>
                <w:color w:val="auto"/>
              </w:rPr>
            </w:pPr>
            <w:r>
              <w:rPr>
                <w:rFonts w:ascii="Arial" w:cs="Arial" w:eastAsia="Arial" w:hAnsi="Arial"/>
                <w:sz w:val="19"/>
                <w:szCs w:val="19"/>
                <w:b w:val="1"/>
                <w:bCs w:val="1"/>
                <w:color w:val="231F20"/>
              </w:rPr>
              <w:t>Research and development</w:t>
            </w:r>
          </w:p>
        </w:tc>
        <w:tc>
          <w:tcPr>
            <w:tcW w:w="940" w:type="dxa"/>
            <w:vAlign w:val="bottom"/>
            <w:gridSpan w:val="2"/>
          </w:tcPr>
          <w:p>
            <w:pPr>
              <w:jc w:val="right"/>
              <w:ind w:right="240"/>
              <w:spacing w:after="0"/>
              <w:rPr>
                <w:sz w:val="20"/>
                <w:szCs w:val="20"/>
                <w:color w:val="auto"/>
              </w:rPr>
            </w:pPr>
            <w:r>
              <w:rPr>
                <w:rFonts w:ascii="Arial" w:cs="Arial" w:eastAsia="Arial" w:hAnsi="Arial"/>
                <w:sz w:val="19"/>
                <w:szCs w:val="19"/>
                <w:b w:val="1"/>
                <w:bCs w:val="1"/>
                <w:color w:val="231F20"/>
              </w:rPr>
              <w:t>$</w:t>
            </w:r>
          </w:p>
        </w:tc>
        <w:tc>
          <w:tcPr>
            <w:tcW w:w="1220" w:type="dxa"/>
            <w:vAlign w:val="bottom"/>
          </w:tcPr>
          <w:p>
            <w:pPr>
              <w:jc w:val="right"/>
              <w:spacing w:after="0"/>
              <w:rPr>
                <w:sz w:val="20"/>
                <w:szCs w:val="20"/>
                <w:color w:val="auto"/>
              </w:rPr>
            </w:pPr>
            <w:r>
              <w:rPr>
                <w:rFonts w:ascii="Arial" w:cs="Arial" w:eastAsia="Arial" w:hAnsi="Arial"/>
                <w:sz w:val="19"/>
                <w:szCs w:val="19"/>
                <w:b w:val="1"/>
                <w:bCs w:val="1"/>
                <w:color w:val="231F20"/>
              </w:rPr>
              <w:t>116,373</w:t>
            </w:r>
          </w:p>
        </w:tc>
        <w:tc>
          <w:tcPr>
            <w:tcW w:w="160" w:type="dxa"/>
            <w:vAlign w:val="bottom"/>
          </w:tcPr>
          <w:p>
            <w:pPr>
              <w:spacing w:after="0"/>
              <w:rPr>
                <w:sz w:val="19"/>
                <w:szCs w:val="19"/>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9"/>
                <w:szCs w:val="19"/>
                <w:b w:val="1"/>
                <w:bCs w:val="1"/>
                <w:color w:val="231F20"/>
              </w:rPr>
              <w:t>$</w:t>
            </w:r>
          </w:p>
        </w:tc>
        <w:tc>
          <w:tcPr>
            <w:tcW w:w="1400" w:type="dxa"/>
            <w:vAlign w:val="bottom"/>
          </w:tcPr>
          <w:p>
            <w:pPr>
              <w:jc w:val="right"/>
              <w:spacing w:after="0"/>
              <w:rPr>
                <w:sz w:val="20"/>
                <w:szCs w:val="20"/>
                <w:color w:val="auto"/>
              </w:rPr>
            </w:pPr>
            <w:r>
              <w:rPr>
                <w:rFonts w:ascii="Arial" w:cs="Arial" w:eastAsia="Arial" w:hAnsi="Arial"/>
                <w:sz w:val="19"/>
                <w:szCs w:val="19"/>
                <w:b w:val="1"/>
                <w:bCs w:val="1"/>
                <w:color w:val="231F20"/>
              </w:rPr>
              <w:t>141,795</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9"/>
                <w:szCs w:val="19"/>
                <w:b w:val="1"/>
                <w:bCs w:val="1"/>
                <w:color w:val="231F20"/>
              </w:rPr>
              <w:t>98,400</w:t>
            </w:r>
          </w:p>
        </w:tc>
        <w:tc>
          <w:tcPr>
            <w:tcW w:w="60" w:type="dxa"/>
            <w:vAlign w:val="bottom"/>
          </w:tcPr>
          <w:p>
            <w:pPr>
              <w:spacing w:after="0"/>
              <w:rPr>
                <w:sz w:val="19"/>
                <w:szCs w:val="19"/>
                <w:color w:val="auto"/>
              </w:rPr>
            </w:pPr>
          </w:p>
        </w:tc>
      </w:tr>
      <w:tr>
        <w:trPr>
          <w:trHeight w:val="224"/>
        </w:trPr>
        <w:tc>
          <w:tcPr>
            <w:tcW w:w="4540" w:type="dxa"/>
            <w:vAlign w:val="bottom"/>
          </w:tcPr>
          <w:p>
            <w:pPr>
              <w:ind w:left="200"/>
              <w:spacing w:after="0"/>
              <w:rPr>
                <w:sz w:val="20"/>
                <w:szCs w:val="20"/>
                <w:color w:val="auto"/>
              </w:rPr>
            </w:pPr>
            <w:r>
              <w:rPr>
                <w:rFonts w:ascii="Arial" w:cs="Arial" w:eastAsia="Arial" w:hAnsi="Arial"/>
                <w:sz w:val="19"/>
                <w:szCs w:val="19"/>
                <w:b w:val="1"/>
                <w:bCs w:val="1"/>
                <w:color w:val="231F20"/>
              </w:rPr>
              <w:t>General and administrative</w:t>
            </w:r>
          </w:p>
        </w:tc>
        <w:tc>
          <w:tcPr>
            <w:tcW w:w="600" w:type="dxa"/>
            <w:vAlign w:val="bottom"/>
          </w:tcPr>
          <w:p>
            <w:pPr>
              <w:spacing w:after="0"/>
              <w:rPr>
                <w:sz w:val="19"/>
                <w:szCs w:val="19"/>
                <w:color w:val="auto"/>
              </w:rPr>
            </w:pPr>
          </w:p>
        </w:tc>
        <w:tc>
          <w:tcPr>
            <w:tcW w:w="340" w:type="dxa"/>
            <w:vAlign w:val="bottom"/>
            <w:tcBorders>
              <w:bottom w:val="single" w:sz="8" w:color="231F20"/>
            </w:tcBorders>
          </w:tcPr>
          <w:p>
            <w:pPr>
              <w:spacing w:after="0"/>
              <w:rPr>
                <w:sz w:val="19"/>
                <w:szCs w:val="19"/>
                <w:color w:val="auto"/>
              </w:rPr>
            </w:pPr>
          </w:p>
        </w:tc>
        <w:tc>
          <w:tcPr>
            <w:tcW w:w="122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26,094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140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28,483</w:t>
            </w:r>
          </w:p>
        </w:tc>
        <w:tc>
          <w:tcPr>
            <w:tcW w:w="280" w:type="dxa"/>
            <w:vAlign w:val="bottom"/>
          </w:tcPr>
          <w:p>
            <w:pPr>
              <w:spacing w:after="0"/>
              <w:rPr>
                <w:sz w:val="19"/>
                <w:szCs w:val="19"/>
                <w:color w:val="auto"/>
              </w:rPr>
            </w:pPr>
          </w:p>
        </w:tc>
        <w:tc>
          <w:tcPr>
            <w:tcW w:w="340" w:type="dxa"/>
            <w:vAlign w:val="bottom"/>
            <w:tcBorders>
              <w:bottom w:val="single" w:sz="8" w:color="231F20"/>
            </w:tcBorders>
          </w:tcPr>
          <w:p>
            <w:pPr>
              <w:spacing w:after="0"/>
              <w:rPr>
                <w:sz w:val="19"/>
                <w:szCs w:val="19"/>
                <w:color w:val="auto"/>
              </w:rPr>
            </w:pPr>
          </w:p>
        </w:tc>
        <w:tc>
          <w:tcPr>
            <w:tcW w:w="122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29,036</w:t>
            </w:r>
          </w:p>
        </w:tc>
        <w:tc>
          <w:tcPr>
            <w:tcW w:w="60" w:type="dxa"/>
            <w:vAlign w:val="bottom"/>
          </w:tcPr>
          <w:p>
            <w:pPr>
              <w:spacing w:after="0"/>
              <w:rPr>
                <w:sz w:val="19"/>
                <w:szCs w:val="19"/>
                <w:color w:val="auto"/>
              </w:rPr>
            </w:pPr>
          </w:p>
        </w:tc>
      </w:tr>
      <w:tr>
        <w:trPr>
          <w:trHeight w:val="213"/>
        </w:trPr>
        <w:tc>
          <w:tcPr>
            <w:tcW w:w="4540" w:type="dxa"/>
            <w:vAlign w:val="bottom"/>
          </w:tcPr>
          <w:p>
            <w:pPr>
              <w:ind w:left="380"/>
              <w:spacing w:after="0" w:line="213" w:lineRule="exact"/>
              <w:rPr>
                <w:sz w:val="20"/>
                <w:szCs w:val="20"/>
                <w:color w:val="auto"/>
              </w:rPr>
            </w:pPr>
            <w:r>
              <w:rPr>
                <w:rFonts w:ascii="Arial" w:cs="Arial" w:eastAsia="Arial" w:hAnsi="Arial"/>
                <w:sz w:val="19"/>
                <w:szCs w:val="19"/>
                <w:b w:val="1"/>
                <w:bCs w:val="1"/>
                <w:color w:val="231F20"/>
              </w:rPr>
              <w:t>Total operating expenses</w:t>
            </w:r>
          </w:p>
        </w:tc>
        <w:tc>
          <w:tcPr>
            <w:tcW w:w="600" w:type="dxa"/>
            <w:vAlign w:val="bottom"/>
          </w:tcPr>
          <w:p>
            <w:pPr>
              <w:spacing w:after="0"/>
              <w:rPr>
                <w:sz w:val="18"/>
                <w:szCs w:val="18"/>
                <w:color w:val="auto"/>
              </w:rPr>
            </w:pPr>
          </w:p>
        </w:tc>
        <w:tc>
          <w:tcPr>
            <w:tcW w:w="340" w:type="dxa"/>
            <w:vAlign w:val="bottom"/>
            <w:tcBorders>
              <w:bottom w:val="single" w:sz="8" w:color="231F20"/>
            </w:tcBorders>
          </w:tcPr>
          <w:p>
            <w:pPr>
              <w:spacing w:after="0"/>
              <w:rPr>
                <w:sz w:val="18"/>
                <w:szCs w:val="18"/>
                <w:color w:val="auto"/>
              </w:rPr>
            </w:pPr>
          </w:p>
        </w:tc>
        <w:tc>
          <w:tcPr>
            <w:tcW w:w="1220" w:type="dxa"/>
            <w:vAlign w:val="bottom"/>
            <w:tcBorders>
              <w:bottom w:val="single" w:sz="8" w:color="231F20"/>
            </w:tcBorders>
          </w:tcPr>
          <w:p>
            <w:pPr>
              <w:jc w:val="right"/>
              <w:spacing w:after="0" w:line="213" w:lineRule="exact"/>
              <w:rPr>
                <w:sz w:val="20"/>
                <w:szCs w:val="20"/>
                <w:color w:val="auto"/>
              </w:rPr>
            </w:pPr>
            <w:r>
              <w:rPr>
                <w:rFonts w:ascii="Arial" w:cs="Arial" w:eastAsia="Arial" w:hAnsi="Arial"/>
                <w:sz w:val="19"/>
                <w:szCs w:val="19"/>
                <w:b w:val="1"/>
                <w:bCs w:val="1"/>
                <w:color w:val="231F20"/>
              </w:rPr>
              <w:t>142,467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1400" w:type="dxa"/>
            <w:vAlign w:val="bottom"/>
            <w:tcBorders>
              <w:bottom w:val="single" w:sz="8" w:color="231F20"/>
            </w:tcBorders>
          </w:tcPr>
          <w:p>
            <w:pPr>
              <w:jc w:val="right"/>
              <w:spacing w:after="0" w:line="213" w:lineRule="exact"/>
              <w:rPr>
                <w:sz w:val="20"/>
                <w:szCs w:val="20"/>
                <w:color w:val="auto"/>
              </w:rPr>
            </w:pPr>
            <w:r>
              <w:rPr>
                <w:rFonts w:ascii="Arial" w:cs="Arial" w:eastAsia="Arial" w:hAnsi="Arial"/>
                <w:sz w:val="19"/>
                <w:szCs w:val="19"/>
                <w:b w:val="1"/>
                <w:bCs w:val="1"/>
                <w:color w:val="231F20"/>
              </w:rPr>
              <w:t>170,278</w:t>
            </w:r>
          </w:p>
        </w:tc>
        <w:tc>
          <w:tcPr>
            <w:tcW w:w="280" w:type="dxa"/>
            <w:vAlign w:val="bottom"/>
          </w:tcPr>
          <w:p>
            <w:pPr>
              <w:spacing w:after="0"/>
              <w:rPr>
                <w:sz w:val="18"/>
                <w:szCs w:val="18"/>
                <w:color w:val="auto"/>
              </w:rPr>
            </w:pPr>
          </w:p>
        </w:tc>
        <w:tc>
          <w:tcPr>
            <w:tcW w:w="340" w:type="dxa"/>
            <w:vAlign w:val="bottom"/>
            <w:tcBorders>
              <w:bottom w:val="single" w:sz="8" w:color="231F20"/>
            </w:tcBorders>
          </w:tcPr>
          <w:p>
            <w:pPr>
              <w:spacing w:after="0"/>
              <w:rPr>
                <w:sz w:val="18"/>
                <w:szCs w:val="18"/>
                <w:color w:val="auto"/>
              </w:rPr>
            </w:pPr>
          </w:p>
        </w:tc>
        <w:tc>
          <w:tcPr>
            <w:tcW w:w="1220" w:type="dxa"/>
            <w:vAlign w:val="bottom"/>
            <w:tcBorders>
              <w:bottom w:val="single" w:sz="8" w:color="231F20"/>
            </w:tcBorders>
          </w:tcPr>
          <w:p>
            <w:pPr>
              <w:jc w:val="right"/>
              <w:spacing w:after="0" w:line="213" w:lineRule="exact"/>
              <w:rPr>
                <w:sz w:val="20"/>
                <w:szCs w:val="20"/>
                <w:color w:val="auto"/>
              </w:rPr>
            </w:pPr>
            <w:r>
              <w:rPr>
                <w:rFonts w:ascii="Arial" w:cs="Arial" w:eastAsia="Arial" w:hAnsi="Arial"/>
                <w:sz w:val="19"/>
                <w:szCs w:val="19"/>
                <w:b w:val="1"/>
                <w:bCs w:val="1"/>
                <w:color w:val="231F20"/>
              </w:rPr>
              <w:t>127,436</w:t>
            </w:r>
          </w:p>
        </w:tc>
        <w:tc>
          <w:tcPr>
            <w:tcW w:w="60" w:type="dxa"/>
            <w:vAlign w:val="bottom"/>
          </w:tcPr>
          <w:p>
            <w:pPr>
              <w:spacing w:after="0"/>
              <w:rPr>
                <w:sz w:val="18"/>
                <w:szCs w:val="18"/>
                <w:color w:val="auto"/>
              </w:rPr>
            </w:pPr>
          </w:p>
        </w:tc>
      </w:tr>
      <w:tr>
        <w:trPr>
          <w:trHeight w:val="213"/>
        </w:trPr>
        <w:tc>
          <w:tcPr>
            <w:tcW w:w="4540" w:type="dxa"/>
            <w:vAlign w:val="bottom"/>
          </w:tcPr>
          <w:p>
            <w:pPr>
              <w:spacing w:after="0" w:line="213" w:lineRule="exact"/>
              <w:rPr>
                <w:sz w:val="20"/>
                <w:szCs w:val="20"/>
                <w:color w:val="auto"/>
              </w:rPr>
            </w:pPr>
            <w:r>
              <w:rPr>
                <w:rFonts w:ascii="Arial" w:cs="Arial" w:eastAsia="Arial" w:hAnsi="Arial"/>
                <w:sz w:val="19"/>
                <w:szCs w:val="19"/>
                <w:b w:val="1"/>
                <w:bCs w:val="1"/>
                <w:color w:val="231F20"/>
              </w:rPr>
              <w:t>Loss from operations</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00"/>
              <w:spacing w:after="0" w:line="213" w:lineRule="exact"/>
              <w:rPr>
                <w:sz w:val="20"/>
                <w:szCs w:val="20"/>
                <w:color w:val="auto"/>
              </w:rPr>
            </w:pPr>
            <w:r>
              <w:rPr>
                <w:rFonts w:ascii="Arial" w:cs="Arial" w:eastAsia="Arial" w:hAnsi="Arial"/>
                <w:sz w:val="19"/>
                <w:szCs w:val="19"/>
                <w:b w:val="1"/>
                <w:bCs w:val="1"/>
                <w:color w:val="231F20"/>
              </w:rPr>
              <w:t>(142,467)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220"/>
              <w:spacing w:after="0" w:line="213" w:lineRule="exact"/>
              <w:rPr>
                <w:sz w:val="20"/>
                <w:szCs w:val="20"/>
                <w:color w:val="auto"/>
              </w:rPr>
            </w:pPr>
            <w:r>
              <w:rPr>
                <w:rFonts w:ascii="Arial" w:cs="Arial" w:eastAsia="Arial" w:hAnsi="Arial"/>
                <w:sz w:val="19"/>
                <w:szCs w:val="19"/>
                <w:b w:val="1"/>
                <w:bCs w:val="1"/>
                <w:color w:val="231F20"/>
              </w:rPr>
              <w:t>(170,278)</w:t>
            </w:r>
          </w:p>
        </w:tc>
        <w:tc>
          <w:tcPr>
            <w:tcW w:w="340" w:type="dxa"/>
            <w:vAlign w:val="bottom"/>
          </w:tcPr>
          <w:p>
            <w:pPr>
              <w:spacing w:after="0"/>
              <w:rPr>
                <w:sz w:val="18"/>
                <w:szCs w:val="18"/>
                <w:color w:val="auto"/>
              </w:rPr>
            </w:pPr>
          </w:p>
        </w:tc>
        <w:tc>
          <w:tcPr>
            <w:tcW w:w="1280" w:type="dxa"/>
            <w:vAlign w:val="bottom"/>
            <w:gridSpan w:val="2"/>
          </w:tcPr>
          <w:p>
            <w:pPr>
              <w:jc w:val="right"/>
              <w:spacing w:after="0" w:line="213" w:lineRule="exact"/>
              <w:rPr>
                <w:sz w:val="20"/>
                <w:szCs w:val="20"/>
                <w:color w:val="auto"/>
              </w:rPr>
            </w:pPr>
            <w:r>
              <w:rPr>
                <w:rFonts w:ascii="Arial" w:cs="Arial" w:eastAsia="Arial" w:hAnsi="Arial"/>
                <w:sz w:val="19"/>
                <w:szCs w:val="19"/>
                <w:b w:val="1"/>
                <w:bCs w:val="1"/>
                <w:color w:val="231F20"/>
              </w:rPr>
              <w:t>(127,436)</w:t>
            </w:r>
          </w:p>
        </w:tc>
      </w:tr>
      <w:tr>
        <w:trPr>
          <w:trHeight w:val="212"/>
        </w:trPr>
        <w:tc>
          <w:tcPr>
            <w:tcW w:w="4540" w:type="dxa"/>
            <w:vAlign w:val="bottom"/>
          </w:tcPr>
          <w:p>
            <w:pPr>
              <w:ind w:left="200"/>
              <w:spacing w:after="0" w:line="212" w:lineRule="exact"/>
              <w:rPr>
                <w:sz w:val="20"/>
                <w:szCs w:val="20"/>
                <w:color w:val="auto"/>
              </w:rPr>
            </w:pPr>
            <w:r>
              <w:rPr>
                <w:rFonts w:ascii="Arial" w:cs="Arial" w:eastAsia="Arial" w:hAnsi="Arial"/>
                <w:sz w:val="19"/>
                <w:szCs w:val="19"/>
                <w:b w:val="1"/>
                <w:bCs w:val="1"/>
                <w:color w:val="231F20"/>
              </w:rPr>
              <w:t>Interest income</w:t>
            </w:r>
          </w:p>
        </w:tc>
        <w:tc>
          <w:tcPr>
            <w:tcW w:w="600" w:type="dxa"/>
            <w:vAlign w:val="bottom"/>
          </w:tcPr>
          <w:p>
            <w:pPr>
              <w:spacing w:after="0"/>
              <w:rPr>
                <w:sz w:val="18"/>
                <w:szCs w:val="18"/>
                <w:color w:val="auto"/>
              </w:rPr>
            </w:pPr>
          </w:p>
        </w:tc>
        <w:tc>
          <w:tcPr>
            <w:tcW w:w="340" w:type="dxa"/>
            <w:vAlign w:val="bottom"/>
            <w:tcBorders>
              <w:top w:val="single" w:sz="8" w:color="231F20"/>
            </w:tcBorders>
          </w:tcPr>
          <w:p>
            <w:pPr>
              <w:spacing w:after="0"/>
              <w:rPr>
                <w:sz w:val="18"/>
                <w:szCs w:val="18"/>
                <w:color w:val="auto"/>
              </w:rPr>
            </w:pPr>
          </w:p>
        </w:tc>
        <w:tc>
          <w:tcPr>
            <w:tcW w:w="1220" w:type="dxa"/>
            <w:vAlign w:val="bottom"/>
            <w:tcBorders>
              <w:top w:val="single" w:sz="8" w:color="231F20"/>
            </w:tcBorders>
          </w:tcPr>
          <w:p>
            <w:pPr>
              <w:jc w:val="right"/>
              <w:spacing w:after="0" w:line="212" w:lineRule="exact"/>
              <w:rPr>
                <w:sz w:val="20"/>
                <w:szCs w:val="20"/>
                <w:color w:val="auto"/>
              </w:rPr>
            </w:pPr>
            <w:r>
              <w:rPr>
                <w:rFonts w:ascii="Arial" w:cs="Arial" w:eastAsia="Arial" w:hAnsi="Arial"/>
                <w:sz w:val="19"/>
                <w:szCs w:val="19"/>
                <w:b w:val="1"/>
                <w:bCs w:val="1"/>
                <w:color w:val="231F20"/>
              </w:rPr>
              <w:t>9,366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231F20"/>
            </w:tcBorders>
          </w:tcPr>
          <w:p>
            <w:pPr>
              <w:spacing w:after="0"/>
              <w:rPr>
                <w:sz w:val="18"/>
                <w:szCs w:val="18"/>
                <w:color w:val="auto"/>
              </w:rPr>
            </w:pPr>
          </w:p>
        </w:tc>
        <w:tc>
          <w:tcPr>
            <w:tcW w:w="1400" w:type="dxa"/>
            <w:vAlign w:val="bottom"/>
            <w:tcBorders>
              <w:top w:val="single" w:sz="8" w:color="231F20"/>
            </w:tcBorders>
          </w:tcPr>
          <w:p>
            <w:pPr>
              <w:jc w:val="right"/>
              <w:spacing w:after="0" w:line="212" w:lineRule="exact"/>
              <w:rPr>
                <w:sz w:val="20"/>
                <w:szCs w:val="20"/>
                <w:color w:val="auto"/>
              </w:rPr>
            </w:pPr>
            <w:r>
              <w:rPr>
                <w:rFonts w:ascii="Arial" w:cs="Arial" w:eastAsia="Arial" w:hAnsi="Arial"/>
                <w:sz w:val="19"/>
                <w:szCs w:val="19"/>
                <w:b w:val="1"/>
                <w:bCs w:val="1"/>
                <w:color w:val="231F20"/>
              </w:rPr>
              <w:t>10,649</w:t>
            </w:r>
          </w:p>
        </w:tc>
        <w:tc>
          <w:tcPr>
            <w:tcW w:w="280" w:type="dxa"/>
            <w:vAlign w:val="bottom"/>
          </w:tcPr>
          <w:p>
            <w:pPr>
              <w:spacing w:after="0"/>
              <w:rPr>
                <w:sz w:val="18"/>
                <w:szCs w:val="18"/>
                <w:color w:val="auto"/>
              </w:rPr>
            </w:pPr>
          </w:p>
        </w:tc>
        <w:tc>
          <w:tcPr>
            <w:tcW w:w="340" w:type="dxa"/>
            <w:vAlign w:val="bottom"/>
            <w:tcBorders>
              <w:top w:val="single" w:sz="8" w:color="231F20"/>
            </w:tcBorders>
          </w:tcPr>
          <w:p>
            <w:pPr>
              <w:spacing w:after="0"/>
              <w:rPr>
                <w:sz w:val="18"/>
                <w:szCs w:val="18"/>
                <w:color w:val="auto"/>
              </w:rPr>
            </w:pPr>
          </w:p>
        </w:tc>
        <w:tc>
          <w:tcPr>
            <w:tcW w:w="1220" w:type="dxa"/>
            <w:vAlign w:val="bottom"/>
            <w:tcBorders>
              <w:top w:val="single" w:sz="8" w:color="231F20"/>
            </w:tcBorders>
          </w:tcPr>
          <w:p>
            <w:pPr>
              <w:jc w:val="right"/>
              <w:spacing w:after="0" w:line="212" w:lineRule="exact"/>
              <w:rPr>
                <w:sz w:val="20"/>
                <w:szCs w:val="20"/>
                <w:color w:val="auto"/>
              </w:rPr>
            </w:pPr>
            <w:r>
              <w:rPr>
                <w:rFonts w:ascii="Arial" w:cs="Arial" w:eastAsia="Arial" w:hAnsi="Arial"/>
                <w:sz w:val="19"/>
                <w:szCs w:val="19"/>
                <w:b w:val="1"/>
                <w:bCs w:val="1"/>
                <w:color w:val="231F20"/>
              </w:rPr>
              <w:t>4,278</w:t>
            </w:r>
          </w:p>
        </w:tc>
        <w:tc>
          <w:tcPr>
            <w:tcW w:w="60" w:type="dxa"/>
            <w:vAlign w:val="bottom"/>
          </w:tcPr>
          <w:p>
            <w:pPr>
              <w:spacing w:after="0"/>
              <w:rPr>
                <w:sz w:val="18"/>
                <w:szCs w:val="18"/>
                <w:color w:val="auto"/>
              </w:rPr>
            </w:pPr>
          </w:p>
        </w:tc>
      </w:tr>
      <w:tr>
        <w:trPr>
          <w:trHeight w:val="223"/>
        </w:trPr>
        <w:tc>
          <w:tcPr>
            <w:tcW w:w="4540" w:type="dxa"/>
            <w:vAlign w:val="bottom"/>
          </w:tcPr>
          <w:p>
            <w:pPr>
              <w:ind w:left="200"/>
              <w:spacing w:after="0"/>
              <w:rPr>
                <w:sz w:val="20"/>
                <w:szCs w:val="20"/>
                <w:color w:val="auto"/>
              </w:rPr>
            </w:pPr>
            <w:r>
              <w:rPr>
                <w:rFonts w:ascii="Arial" w:cs="Arial" w:eastAsia="Arial" w:hAnsi="Arial"/>
                <w:sz w:val="19"/>
                <w:szCs w:val="19"/>
                <w:b w:val="1"/>
                <w:bCs w:val="1"/>
                <w:color w:val="231F20"/>
              </w:rPr>
              <w:t>Interest expense</w:t>
            </w: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231F20"/>
              </w:rPr>
              <w:t>(1,729)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9"/>
                <w:szCs w:val="19"/>
                <w:b w:val="1"/>
                <w:bCs w:val="1"/>
                <w:color w:val="231F20"/>
              </w:rPr>
              <w:t>(1,565)</w:t>
            </w:r>
          </w:p>
        </w:tc>
        <w:tc>
          <w:tcPr>
            <w:tcW w:w="3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9"/>
                <w:szCs w:val="19"/>
                <w:b w:val="1"/>
                <w:bCs w:val="1"/>
                <w:color w:val="231F20"/>
              </w:rPr>
              <w:t>(238)</w:t>
            </w:r>
          </w:p>
        </w:tc>
      </w:tr>
      <w:tr>
        <w:trPr>
          <w:trHeight w:val="223"/>
        </w:trPr>
        <w:tc>
          <w:tcPr>
            <w:tcW w:w="4540" w:type="dxa"/>
            <w:vAlign w:val="bottom"/>
          </w:tcPr>
          <w:p>
            <w:pPr>
              <w:ind w:left="200"/>
              <w:spacing w:after="0"/>
              <w:rPr>
                <w:sz w:val="20"/>
                <w:szCs w:val="20"/>
                <w:color w:val="auto"/>
              </w:rPr>
            </w:pPr>
            <w:r>
              <w:rPr>
                <w:rFonts w:ascii="Arial" w:cs="Arial" w:eastAsia="Arial" w:hAnsi="Arial"/>
                <w:sz w:val="19"/>
                <w:szCs w:val="19"/>
                <w:b w:val="1"/>
                <w:bCs w:val="1"/>
                <w:color w:val="231F20"/>
              </w:rPr>
              <w:t>Other income (expense), net</w:t>
            </w: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231F20"/>
              </w:rPr>
              <w:t>(20)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9"/>
                <w:szCs w:val="19"/>
                <w:b w:val="1"/>
                <w:bCs w:val="1"/>
                <w:color w:val="231F20"/>
              </w:rPr>
              <w:t>389</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9"/>
                <w:szCs w:val="19"/>
                <w:b w:val="1"/>
                <w:bCs w:val="1"/>
                <w:color w:val="231F20"/>
              </w:rPr>
              <w:t>(22)</w:t>
            </w:r>
          </w:p>
        </w:tc>
      </w:tr>
      <w:tr>
        <w:trPr>
          <w:trHeight w:val="20"/>
        </w:trPr>
        <w:tc>
          <w:tcPr>
            <w:tcW w:w="4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shd w:val="clear" w:color="auto" w:fill="231F20"/>
          </w:tcPr>
          <w:p>
            <w:pPr>
              <w:spacing w:after="0" w:line="20" w:lineRule="exact"/>
              <w:rPr>
                <w:sz w:val="1"/>
                <w:szCs w:val="1"/>
                <w:color w:val="auto"/>
              </w:rPr>
            </w:pPr>
          </w:p>
        </w:tc>
        <w:tc>
          <w:tcPr>
            <w:tcW w:w="122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231F20"/>
          </w:tcPr>
          <w:p>
            <w:pPr>
              <w:spacing w:after="0" w:line="20" w:lineRule="exact"/>
              <w:rPr>
                <w:sz w:val="1"/>
                <w:szCs w:val="1"/>
                <w:color w:val="auto"/>
              </w:rPr>
            </w:pPr>
          </w:p>
        </w:tc>
        <w:tc>
          <w:tcPr>
            <w:tcW w:w="1400" w:type="dxa"/>
            <w:vAlign w:val="bottom"/>
            <w:shd w:val="clear" w:color="auto" w:fill="231F2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231F20"/>
          </w:tcPr>
          <w:p>
            <w:pPr>
              <w:spacing w:after="0" w:line="20" w:lineRule="exact"/>
              <w:rPr>
                <w:sz w:val="1"/>
                <w:szCs w:val="1"/>
                <w:color w:val="auto"/>
              </w:rPr>
            </w:pPr>
          </w:p>
        </w:tc>
        <w:tc>
          <w:tcPr>
            <w:tcW w:w="1220" w:type="dxa"/>
            <w:vAlign w:val="bottom"/>
            <w:shd w:val="clear" w:color="auto" w:fill="231F2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3"/>
        </w:trPr>
        <w:tc>
          <w:tcPr>
            <w:tcW w:w="4540" w:type="dxa"/>
            <w:vAlign w:val="bottom"/>
          </w:tcPr>
          <w:p>
            <w:pPr>
              <w:spacing w:after="0" w:line="214" w:lineRule="exact"/>
              <w:rPr>
                <w:sz w:val="20"/>
                <w:szCs w:val="20"/>
                <w:color w:val="auto"/>
              </w:rPr>
            </w:pPr>
            <w:r>
              <w:rPr>
                <w:rFonts w:ascii="Arial" w:cs="Arial" w:eastAsia="Arial" w:hAnsi="Arial"/>
                <w:sz w:val="19"/>
                <w:szCs w:val="19"/>
                <w:b w:val="1"/>
                <w:bCs w:val="1"/>
                <w:color w:val="231F20"/>
              </w:rPr>
              <w:t>Loss before income taxes</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00"/>
              <w:spacing w:after="0" w:line="214" w:lineRule="exact"/>
              <w:rPr>
                <w:sz w:val="20"/>
                <w:szCs w:val="20"/>
                <w:color w:val="auto"/>
              </w:rPr>
            </w:pPr>
            <w:r>
              <w:rPr>
                <w:rFonts w:ascii="Arial" w:cs="Arial" w:eastAsia="Arial" w:hAnsi="Arial"/>
                <w:sz w:val="19"/>
                <w:szCs w:val="19"/>
                <w:b w:val="1"/>
                <w:bCs w:val="1"/>
                <w:color w:val="231F20"/>
              </w:rPr>
              <w:t>(134,850)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220"/>
              <w:spacing w:after="0" w:line="214" w:lineRule="exact"/>
              <w:rPr>
                <w:sz w:val="20"/>
                <w:szCs w:val="20"/>
                <w:color w:val="auto"/>
              </w:rPr>
            </w:pPr>
            <w:r>
              <w:rPr>
                <w:rFonts w:ascii="Arial" w:cs="Arial" w:eastAsia="Arial" w:hAnsi="Arial"/>
                <w:sz w:val="19"/>
                <w:szCs w:val="19"/>
                <w:b w:val="1"/>
                <w:bCs w:val="1"/>
                <w:color w:val="231F20"/>
              </w:rPr>
              <w:t>(160,805)</w:t>
            </w:r>
          </w:p>
        </w:tc>
        <w:tc>
          <w:tcPr>
            <w:tcW w:w="340" w:type="dxa"/>
            <w:vAlign w:val="bottom"/>
          </w:tcPr>
          <w:p>
            <w:pPr>
              <w:spacing w:after="0"/>
              <w:rPr>
                <w:sz w:val="18"/>
                <w:szCs w:val="18"/>
                <w:color w:val="auto"/>
              </w:rPr>
            </w:pPr>
          </w:p>
        </w:tc>
        <w:tc>
          <w:tcPr>
            <w:tcW w:w="1280" w:type="dxa"/>
            <w:vAlign w:val="bottom"/>
            <w:gridSpan w:val="2"/>
          </w:tcPr>
          <w:p>
            <w:pPr>
              <w:jc w:val="right"/>
              <w:spacing w:after="0" w:line="214" w:lineRule="exact"/>
              <w:rPr>
                <w:sz w:val="20"/>
                <w:szCs w:val="20"/>
                <w:color w:val="auto"/>
              </w:rPr>
            </w:pPr>
            <w:r>
              <w:rPr>
                <w:rFonts w:ascii="Arial" w:cs="Arial" w:eastAsia="Arial" w:hAnsi="Arial"/>
                <w:sz w:val="19"/>
                <w:szCs w:val="19"/>
                <w:b w:val="1"/>
                <w:bCs w:val="1"/>
                <w:color w:val="231F20"/>
              </w:rPr>
              <w:t>(123,418)</w:t>
            </w:r>
          </w:p>
        </w:tc>
      </w:tr>
      <w:tr>
        <w:trPr>
          <w:trHeight w:val="223"/>
        </w:trPr>
        <w:tc>
          <w:tcPr>
            <w:tcW w:w="4540" w:type="dxa"/>
            <w:vAlign w:val="bottom"/>
          </w:tcPr>
          <w:p>
            <w:pPr>
              <w:ind w:left="200"/>
              <w:spacing w:after="0"/>
              <w:rPr>
                <w:sz w:val="20"/>
                <w:szCs w:val="20"/>
                <w:color w:val="auto"/>
              </w:rPr>
            </w:pPr>
            <w:r>
              <w:rPr>
                <w:rFonts w:ascii="Arial" w:cs="Arial" w:eastAsia="Arial" w:hAnsi="Arial"/>
                <w:sz w:val="19"/>
                <w:szCs w:val="19"/>
                <w:b w:val="1"/>
                <w:bCs w:val="1"/>
                <w:color w:val="231F20"/>
              </w:rPr>
              <w:t>Income tax provision</w:t>
            </w: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line="223" w:lineRule="exact"/>
              <w:rPr>
                <w:sz w:val="20"/>
                <w:szCs w:val="20"/>
                <w:color w:val="auto"/>
              </w:rPr>
            </w:pPr>
            <w:r>
              <w:rPr>
                <w:rFonts w:ascii="PMingLiU" w:cs="PMingLiU" w:eastAsia="PMingLiU" w:hAnsi="PMingLiU"/>
                <w:sz w:val="19"/>
                <w:szCs w:val="19"/>
                <w:b w:val="1"/>
                <w:bCs w:val="1"/>
                <w:color w:val="231F20"/>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line="223" w:lineRule="exact"/>
              <w:rPr>
                <w:sz w:val="20"/>
                <w:szCs w:val="20"/>
                <w:color w:val="auto"/>
              </w:rPr>
            </w:pPr>
            <w:r>
              <w:rPr>
                <w:rFonts w:ascii="PMingLiU" w:cs="PMingLiU" w:eastAsia="PMingLiU" w:hAnsi="PMingLiU"/>
                <w:sz w:val="19"/>
                <w:szCs w:val="19"/>
                <w:b w:val="1"/>
                <w:bCs w:val="1"/>
                <w:color w:val="231F20"/>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9"/>
                <w:szCs w:val="19"/>
                <w:b w:val="1"/>
                <w:bCs w:val="1"/>
                <w:color w:val="231F20"/>
              </w:rPr>
              <w:t>(64)</w:t>
            </w:r>
          </w:p>
        </w:tc>
      </w:tr>
      <w:tr>
        <w:trPr>
          <w:trHeight w:val="20"/>
        </w:trPr>
        <w:tc>
          <w:tcPr>
            <w:tcW w:w="4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shd w:val="clear" w:color="auto" w:fill="231F20"/>
          </w:tcPr>
          <w:p>
            <w:pPr>
              <w:spacing w:after="0" w:line="20" w:lineRule="exact"/>
              <w:rPr>
                <w:sz w:val="1"/>
                <w:szCs w:val="1"/>
                <w:color w:val="auto"/>
              </w:rPr>
            </w:pPr>
          </w:p>
        </w:tc>
        <w:tc>
          <w:tcPr>
            <w:tcW w:w="122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231F20"/>
          </w:tcPr>
          <w:p>
            <w:pPr>
              <w:spacing w:after="0" w:line="20" w:lineRule="exact"/>
              <w:rPr>
                <w:sz w:val="1"/>
                <w:szCs w:val="1"/>
                <w:color w:val="auto"/>
              </w:rPr>
            </w:pPr>
          </w:p>
        </w:tc>
        <w:tc>
          <w:tcPr>
            <w:tcW w:w="1400" w:type="dxa"/>
            <w:vAlign w:val="bottom"/>
            <w:shd w:val="clear" w:color="auto" w:fill="231F2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231F20"/>
          </w:tcPr>
          <w:p>
            <w:pPr>
              <w:spacing w:after="0" w:line="20" w:lineRule="exact"/>
              <w:rPr>
                <w:sz w:val="1"/>
                <w:szCs w:val="1"/>
                <w:color w:val="auto"/>
              </w:rPr>
            </w:pPr>
          </w:p>
        </w:tc>
        <w:tc>
          <w:tcPr>
            <w:tcW w:w="1220" w:type="dxa"/>
            <w:vAlign w:val="bottom"/>
            <w:shd w:val="clear" w:color="auto" w:fill="231F2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3"/>
        </w:trPr>
        <w:tc>
          <w:tcPr>
            <w:tcW w:w="4540" w:type="dxa"/>
            <w:vAlign w:val="bottom"/>
          </w:tcPr>
          <w:p>
            <w:pPr>
              <w:spacing w:after="0" w:line="214" w:lineRule="exact"/>
              <w:rPr>
                <w:sz w:val="20"/>
                <w:szCs w:val="20"/>
                <w:color w:val="auto"/>
              </w:rPr>
            </w:pPr>
            <w:r>
              <w:rPr>
                <w:rFonts w:ascii="Arial" w:cs="Arial" w:eastAsia="Arial" w:hAnsi="Arial"/>
                <w:sz w:val="19"/>
                <w:szCs w:val="19"/>
                <w:b w:val="1"/>
                <w:bCs w:val="1"/>
                <w:color w:val="231F20"/>
              </w:rPr>
              <w:t>Net loss</w:t>
            </w:r>
          </w:p>
        </w:tc>
        <w:tc>
          <w:tcPr>
            <w:tcW w:w="940" w:type="dxa"/>
            <w:vAlign w:val="bottom"/>
            <w:gridSpan w:val="2"/>
          </w:tcPr>
          <w:p>
            <w:pPr>
              <w:jc w:val="right"/>
              <w:ind w:right="240"/>
              <w:spacing w:after="0" w:line="214" w:lineRule="exact"/>
              <w:rPr>
                <w:sz w:val="20"/>
                <w:szCs w:val="20"/>
                <w:color w:val="auto"/>
              </w:rPr>
            </w:pPr>
            <w:r>
              <w:rPr>
                <w:rFonts w:ascii="Arial" w:cs="Arial" w:eastAsia="Arial" w:hAnsi="Arial"/>
                <w:sz w:val="19"/>
                <w:szCs w:val="19"/>
                <w:b w:val="1"/>
                <w:bCs w:val="1"/>
                <w:color w:val="231F20"/>
              </w:rPr>
              <w:t>$</w:t>
            </w:r>
          </w:p>
        </w:tc>
        <w:tc>
          <w:tcPr>
            <w:tcW w:w="1380" w:type="dxa"/>
            <w:vAlign w:val="bottom"/>
            <w:gridSpan w:val="2"/>
          </w:tcPr>
          <w:p>
            <w:pPr>
              <w:jc w:val="right"/>
              <w:ind w:right="100"/>
              <w:spacing w:after="0" w:line="214" w:lineRule="exact"/>
              <w:rPr>
                <w:sz w:val="20"/>
                <w:szCs w:val="20"/>
                <w:color w:val="auto"/>
              </w:rPr>
            </w:pPr>
            <w:r>
              <w:rPr>
                <w:rFonts w:ascii="Arial" w:cs="Arial" w:eastAsia="Arial" w:hAnsi="Arial"/>
                <w:sz w:val="19"/>
                <w:szCs w:val="19"/>
                <w:b w:val="1"/>
                <w:bCs w:val="1"/>
                <w:color w:val="231F20"/>
              </w:rPr>
              <w:t>(134,850)</w:t>
            </w:r>
          </w:p>
        </w:tc>
        <w:tc>
          <w:tcPr>
            <w:tcW w:w="280" w:type="dxa"/>
            <w:vAlign w:val="bottom"/>
            <w:gridSpan w:val="2"/>
          </w:tcPr>
          <w:p>
            <w:pPr>
              <w:jc w:val="right"/>
              <w:ind w:right="60"/>
              <w:spacing w:after="0" w:line="214" w:lineRule="exact"/>
              <w:rPr>
                <w:sz w:val="20"/>
                <w:szCs w:val="20"/>
                <w:color w:val="auto"/>
              </w:rPr>
            </w:pPr>
            <w:r>
              <w:rPr>
                <w:rFonts w:ascii="Arial" w:cs="Arial" w:eastAsia="Arial" w:hAnsi="Arial"/>
                <w:sz w:val="19"/>
                <w:szCs w:val="19"/>
                <w:b w:val="1"/>
                <w:bCs w:val="1"/>
                <w:color w:val="231F20"/>
              </w:rPr>
              <w:t>$</w:t>
            </w:r>
          </w:p>
        </w:tc>
        <w:tc>
          <w:tcPr>
            <w:tcW w:w="1680" w:type="dxa"/>
            <w:vAlign w:val="bottom"/>
            <w:gridSpan w:val="2"/>
          </w:tcPr>
          <w:p>
            <w:pPr>
              <w:jc w:val="right"/>
              <w:ind w:right="220"/>
              <w:spacing w:after="0" w:line="214" w:lineRule="exact"/>
              <w:rPr>
                <w:sz w:val="20"/>
                <w:szCs w:val="20"/>
                <w:color w:val="auto"/>
              </w:rPr>
            </w:pPr>
            <w:r>
              <w:rPr>
                <w:rFonts w:ascii="Arial" w:cs="Arial" w:eastAsia="Arial" w:hAnsi="Arial"/>
                <w:sz w:val="19"/>
                <w:szCs w:val="19"/>
                <w:b w:val="1"/>
                <w:bCs w:val="1"/>
                <w:color w:val="231F20"/>
              </w:rPr>
              <w:t>(160,805)</w:t>
            </w:r>
          </w:p>
        </w:tc>
        <w:tc>
          <w:tcPr>
            <w:tcW w:w="340" w:type="dxa"/>
            <w:vAlign w:val="bottom"/>
          </w:tcPr>
          <w:p>
            <w:pPr>
              <w:spacing w:after="0"/>
              <w:rPr>
                <w:sz w:val="18"/>
                <w:szCs w:val="18"/>
                <w:color w:val="auto"/>
              </w:rPr>
            </w:pPr>
          </w:p>
        </w:tc>
        <w:tc>
          <w:tcPr>
            <w:tcW w:w="1280" w:type="dxa"/>
            <w:vAlign w:val="bottom"/>
            <w:gridSpan w:val="2"/>
          </w:tcPr>
          <w:p>
            <w:pPr>
              <w:jc w:val="right"/>
              <w:spacing w:after="0" w:line="214" w:lineRule="exact"/>
              <w:rPr>
                <w:sz w:val="20"/>
                <w:szCs w:val="20"/>
                <w:color w:val="auto"/>
              </w:rPr>
            </w:pPr>
            <w:r>
              <w:rPr>
                <w:rFonts w:ascii="Arial" w:cs="Arial" w:eastAsia="Arial" w:hAnsi="Arial"/>
                <w:sz w:val="19"/>
                <w:szCs w:val="19"/>
                <w:b w:val="1"/>
                <w:bCs w:val="1"/>
                <w:color w:val="231F20"/>
              </w:rPr>
              <w:t>(123,482)</w:t>
            </w:r>
          </w:p>
        </w:tc>
      </w:tr>
      <w:tr>
        <w:trPr>
          <w:trHeight w:val="266"/>
        </w:trPr>
        <w:tc>
          <w:tcPr>
            <w:tcW w:w="4540" w:type="dxa"/>
            <w:vAlign w:val="bottom"/>
          </w:tcPr>
          <w:p>
            <w:pPr>
              <w:spacing w:after="0"/>
              <w:rPr>
                <w:sz w:val="20"/>
                <w:szCs w:val="20"/>
                <w:color w:val="auto"/>
              </w:rPr>
            </w:pPr>
            <w:r>
              <w:rPr>
                <w:rFonts w:ascii="Arial" w:cs="Arial" w:eastAsia="Arial" w:hAnsi="Arial"/>
                <w:sz w:val="19"/>
                <w:szCs w:val="19"/>
                <w:b w:val="1"/>
                <w:bCs w:val="1"/>
                <w:color w:val="231F20"/>
              </w:rPr>
              <w:t>Net loss per share, basic and diluted</w:t>
            </w:r>
          </w:p>
        </w:tc>
        <w:tc>
          <w:tcPr>
            <w:tcW w:w="940" w:type="dxa"/>
            <w:vAlign w:val="bottom"/>
            <w:gridSpan w:val="2"/>
          </w:tcPr>
          <w:p>
            <w:pPr>
              <w:jc w:val="right"/>
              <w:ind w:right="240"/>
              <w:spacing w:after="0"/>
              <w:rPr>
                <w:sz w:val="20"/>
                <w:szCs w:val="20"/>
                <w:color w:val="auto"/>
              </w:rPr>
            </w:pPr>
            <w:r>
              <w:rPr>
                <w:rFonts w:ascii="Arial" w:cs="Arial" w:eastAsia="Arial" w:hAnsi="Arial"/>
                <w:sz w:val="19"/>
                <w:szCs w:val="19"/>
                <w:b w:val="1"/>
                <w:bCs w:val="1"/>
                <w:color w:val="231F20"/>
              </w:rPr>
              <w:t>$</w:t>
            </w:r>
          </w:p>
        </w:tc>
        <w:tc>
          <w:tcPr>
            <w:tcW w:w="138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231F20"/>
              </w:rPr>
              <w:t>(2.58)</w:t>
            </w:r>
          </w:p>
        </w:tc>
        <w:tc>
          <w:tcPr>
            <w:tcW w:w="280" w:type="dxa"/>
            <w:vAlign w:val="bottom"/>
            <w:gridSpan w:val="2"/>
          </w:tcPr>
          <w:p>
            <w:pPr>
              <w:jc w:val="right"/>
              <w:ind w:right="60"/>
              <w:spacing w:after="0"/>
              <w:rPr>
                <w:sz w:val="20"/>
                <w:szCs w:val="20"/>
                <w:color w:val="auto"/>
              </w:rPr>
            </w:pPr>
            <w:r>
              <w:rPr>
                <w:rFonts w:ascii="Arial" w:cs="Arial" w:eastAsia="Arial" w:hAnsi="Arial"/>
                <w:sz w:val="19"/>
                <w:szCs w:val="19"/>
                <w:b w:val="1"/>
                <w:bCs w:val="1"/>
                <w:color w:val="231F20"/>
              </w:rPr>
              <w:t>$</w:t>
            </w:r>
          </w:p>
        </w:tc>
        <w:tc>
          <w:tcPr>
            <w:tcW w:w="1680" w:type="dxa"/>
            <w:vAlign w:val="bottom"/>
            <w:gridSpan w:val="2"/>
          </w:tcPr>
          <w:p>
            <w:pPr>
              <w:jc w:val="right"/>
              <w:ind w:right="220"/>
              <w:spacing w:after="0"/>
              <w:rPr>
                <w:sz w:val="20"/>
                <w:szCs w:val="20"/>
                <w:color w:val="auto"/>
              </w:rPr>
            </w:pPr>
            <w:r>
              <w:rPr>
                <w:rFonts w:ascii="Arial" w:cs="Arial" w:eastAsia="Arial" w:hAnsi="Arial"/>
                <w:sz w:val="19"/>
                <w:szCs w:val="19"/>
                <w:b w:val="1"/>
                <w:bCs w:val="1"/>
                <w:color w:val="231F20"/>
              </w:rPr>
              <w:t>(3.74)</w:t>
            </w:r>
          </w:p>
        </w:tc>
        <w:tc>
          <w:tcPr>
            <w:tcW w:w="340" w:type="dxa"/>
            <w:vAlign w:val="bottom"/>
          </w:tcPr>
          <w:p>
            <w:pPr>
              <w:jc w:val="right"/>
              <w:ind w:right="143"/>
              <w:spacing w:after="0"/>
              <w:rPr>
                <w:sz w:val="20"/>
                <w:szCs w:val="20"/>
                <w:color w:val="auto"/>
              </w:rPr>
            </w:pPr>
            <w:r>
              <w:rPr>
                <w:rFonts w:ascii="Arial" w:cs="Arial" w:eastAsia="Arial" w:hAnsi="Arial"/>
                <w:sz w:val="19"/>
                <w:szCs w:val="19"/>
                <w:b w:val="1"/>
                <w:bCs w:val="1"/>
                <w:color w:val="231F20"/>
                <w:w w:val="75"/>
              </w:rPr>
              <w:t>$</w:t>
            </w:r>
          </w:p>
        </w:tc>
        <w:tc>
          <w:tcPr>
            <w:tcW w:w="1280" w:type="dxa"/>
            <w:vAlign w:val="bottom"/>
            <w:gridSpan w:val="2"/>
          </w:tcPr>
          <w:p>
            <w:pPr>
              <w:jc w:val="right"/>
              <w:spacing w:after="0"/>
              <w:rPr>
                <w:sz w:val="20"/>
                <w:szCs w:val="20"/>
                <w:color w:val="auto"/>
              </w:rPr>
            </w:pPr>
            <w:r>
              <w:rPr>
                <w:rFonts w:ascii="Arial" w:cs="Arial" w:eastAsia="Arial" w:hAnsi="Arial"/>
                <w:sz w:val="19"/>
                <w:szCs w:val="19"/>
                <w:b w:val="1"/>
                <w:bCs w:val="1"/>
                <w:color w:val="231F20"/>
              </w:rPr>
              <w:t>(3.03)</w:t>
            </w:r>
          </w:p>
        </w:tc>
      </w:tr>
      <w:tr>
        <w:trPr>
          <w:trHeight w:val="266"/>
        </w:trPr>
        <w:tc>
          <w:tcPr>
            <w:tcW w:w="4540" w:type="dxa"/>
            <w:vAlign w:val="bottom"/>
          </w:tcPr>
          <w:p>
            <w:pPr>
              <w:spacing w:after="0"/>
              <w:rPr>
                <w:sz w:val="20"/>
                <w:szCs w:val="20"/>
                <w:color w:val="auto"/>
              </w:rPr>
            </w:pPr>
            <w:r>
              <w:rPr>
                <w:rFonts w:ascii="Arial" w:cs="Arial" w:eastAsia="Arial" w:hAnsi="Arial"/>
                <w:sz w:val="19"/>
                <w:szCs w:val="19"/>
                <w:b w:val="1"/>
                <w:bCs w:val="1"/>
                <w:color w:val="231F20"/>
                <w:w w:val="97"/>
              </w:rPr>
              <w:t>Weighted-average shares of common stock used to</w:t>
            </w: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23"/>
        </w:trPr>
        <w:tc>
          <w:tcPr>
            <w:tcW w:w="4540" w:type="dxa"/>
            <w:vAlign w:val="bottom"/>
          </w:tcPr>
          <w:p>
            <w:pPr>
              <w:ind w:left="200"/>
              <w:spacing w:after="0"/>
              <w:rPr>
                <w:sz w:val="20"/>
                <w:szCs w:val="20"/>
                <w:color w:val="auto"/>
              </w:rPr>
            </w:pPr>
            <w:r>
              <w:rPr>
                <w:rFonts w:ascii="Arial" w:cs="Arial" w:eastAsia="Arial" w:hAnsi="Arial"/>
                <w:sz w:val="19"/>
                <w:szCs w:val="19"/>
                <w:b w:val="1"/>
                <w:bCs w:val="1"/>
                <w:color w:val="231F20"/>
              </w:rPr>
              <w:t>compute net loss per share, basic and diluted</w:t>
            </w: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231F20"/>
              </w:rPr>
              <w:t>52,174,904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9"/>
                <w:szCs w:val="19"/>
                <w:b w:val="1"/>
                <w:bCs w:val="1"/>
                <w:color w:val="231F20"/>
              </w:rPr>
              <w:t>42,987,767</w:t>
            </w:r>
          </w:p>
        </w:tc>
        <w:tc>
          <w:tcPr>
            <w:tcW w:w="34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9"/>
                <w:szCs w:val="19"/>
                <w:b w:val="1"/>
                <w:bCs w:val="1"/>
                <w:color w:val="231F20"/>
              </w:rPr>
              <w:t>40,699,612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3249295</wp:posOffset>
            </wp:positionH>
            <wp:positionV relativeFrom="paragraph">
              <wp:posOffset>-491490</wp:posOffset>
            </wp:positionV>
            <wp:extent cx="3350895" cy="53467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350895" cy="534670"/>
                    </a:xfrm>
                    <a:prstGeom prst="rect">
                      <a:avLst/>
                    </a:prstGeom>
                    <a:noFill/>
                  </pic:spPr>
                </pic:pic>
              </a:graphicData>
            </a:graphic>
          </wp:anchor>
        </w:drawing>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231F20"/>
        </w:rPr>
        <w:t>The accompanying notes are an integral part of these consolidated financial statements.</w:t>
      </w:r>
    </w:p>
    <w:p>
      <w:pPr>
        <w:sectPr>
          <w:pgSz w:w="12240" w:h="15840" w:orient="portrait"/>
          <w:cols w:equalWidth="0" w:num="1">
            <w:col w:w="10440"/>
          </w:cols>
          <w:pgMar w:left="880" w:top="1160" w:right="92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231F20"/>
        </w:rPr>
        <w:t>96</w:t>
      </w:r>
    </w:p>
    <w:p>
      <w:pPr>
        <w:sectPr>
          <w:pgSz w:w="12240" w:h="15840" w:orient="portrait"/>
          <w:cols w:equalWidth="0" w:num="1">
            <w:col w:w="10440"/>
          </w:cols>
          <w:pgMar w:left="880" w:top="1160" w:right="920" w:bottom="390" w:gutter="0" w:footer="0" w:header="0"/>
          <w:type w:val="continuous"/>
        </w:sectPr>
      </w:pPr>
    </w:p>
    <w:bookmarkStart w:id="104" w:name="page105"/>
    <w:bookmarkEnd w:id="104"/>
    <w:p>
      <w:pPr>
        <w:jc w:val="center"/>
        <w:ind w:right="-39"/>
        <w:spacing w:after="0"/>
        <w:rPr>
          <w:sz w:val="20"/>
          <w:szCs w:val="20"/>
          <w:color w:val="auto"/>
        </w:rPr>
      </w:pPr>
      <w:r>
        <w:rPr>
          <w:rFonts w:ascii="Arial" w:cs="Arial" w:eastAsia="Arial" w:hAnsi="Arial"/>
          <w:sz w:val="19"/>
          <w:szCs w:val="19"/>
          <w:b w:val="1"/>
          <w:bCs w:val="1"/>
          <w:color w:val="231F20"/>
        </w:rPr>
        <w:t>ALX ONCOLOGY HOLDINGS INC.</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231F20"/>
        </w:rPr>
        <w:t>Consolidated Statements of Comprehensive Loss</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231F20"/>
        </w:rPr>
        <w:t>(in thousands)</w:t>
      </w:r>
    </w:p>
    <w:p>
      <w:pPr>
        <w:sectPr>
          <w:pgSz w:w="12240" w:h="15840" w:orient="portrait"/>
          <w:cols w:equalWidth="0" w:num="1">
            <w:col w:w="10440"/>
          </w:cols>
          <w:pgMar w:left="880" w:top="1160" w:right="92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Net loss</w:t>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Other comprehensive gain (loss), net of tax:</w:t>
      </w:r>
    </w:p>
    <w:p>
      <w:pPr>
        <w:spacing w:after="0" w:line="10" w:lineRule="exact"/>
        <w:rPr>
          <w:sz w:val="20"/>
          <w:szCs w:val="20"/>
          <w:color w:val="auto"/>
        </w:rPr>
      </w:pPr>
    </w:p>
    <w:p>
      <w:pPr>
        <w:ind w:firstLine="192"/>
        <w:spacing w:after="0" w:line="249" w:lineRule="auto"/>
        <w:rPr>
          <w:sz w:val="20"/>
          <w:szCs w:val="20"/>
          <w:color w:val="auto"/>
        </w:rPr>
      </w:pPr>
      <w:r>
        <w:rPr>
          <w:rFonts w:ascii="Arial" w:cs="Arial" w:eastAsia="Arial" w:hAnsi="Arial"/>
          <w:sz w:val="19"/>
          <w:szCs w:val="19"/>
          <w:b w:val="1"/>
          <w:bCs w:val="1"/>
          <w:color w:val="231F20"/>
        </w:rPr>
        <w:t>Unrealized gain (loss) on available-for-sale investments Total comprehensive loss</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left="2260"/>
        <w:spacing w:after="0"/>
        <w:rPr>
          <w:sz w:val="20"/>
          <w:szCs w:val="20"/>
          <w:color w:val="auto"/>
        </w:rPr>
      </w:pPr>
      <w:r>
        <w:rPr>
          <w:rFonts w:ascii="Arial" w:cs="Arial" w:eastAsia="Arial" w:hAnsi="Arial"/>
          <w:sz w:val="19"/>
          <w:szCs w:val="19"/>
          <w:b w:val="1"/>
          <w:bCs w:val="1"/>
          <w:color w:val="231F20"/>
        </w:rPr>
        <w:t>Year Ended</w:t>
      </w:r>
    </w:p>
    <w:p>
      <w:pPr>
        <w:spacing w:after="0" w:line="5" w:lineRule="exact"/>
        <w:rPr>
          <w:sz w:val="20"/>
          <w:szCs w:val="20"/>
          <w:color w:val="auto"/>
        </w:rPr>
      </w:pPr>
    </w:p>
    <w:p>
      <w:pPr>
        <w:ind w:left="2200"/>
        <w:spacing w:after="0"/>
        <w:rPr>
          <w:sz w:val="20"/>
          <w:szCs w:val="20"/>
          <w:color w:val="auto"/>
        </w:rPr>
      </w:pPr>
      <w:r>
        <w:rPr>
          <w:rFonts w:ascii="Arial" w:cs="Arial" w:eastAsia="Arial" w:hAnsi="Arial"/>
          <w:sz w:val="19"/>
          <w:szCs w:val="19"/>
          <w:b w:val="1"/>
          <w:bCs w:val="1"/>
          <w:color w:val="231F20"/>
        </w:rPr>
        <w:t>December 31,</w:t>
      </w:r>
    </w:p>
    <w:tbl>
      <w:tblPr>
        <w:tblLayout w:type="fixed"/>
        <w:tblInd w:w="0" w:type="dxa"/>
        <w:tblCellMar>
          <w:top w:w="0" w:type="dxa"/>
          <w:left w:w="0" w:type="dxa"/>
          <w:bottom w:w="0" w:type="dxa"/>
          <w:right w:w="0" w:type="dxa"/>
        </w:tblCellMar>
      </w:tblPr>
      <w:tr>
        <w:trPr>
          <w:trHeight w:val="214"/>
        </w:trPr>
        <w:tc>
          <w:tcPr>
            <w:tcW w:w="360" w:type="dxa"/>
            <w:vAlign w:val="bottom"/>
            <w:tcBorders>
              <w:top w:val="single" w:sz="8" w:color="231F20"/>
              <w:bottom w:val="single" w:sz="8" w:color="231F20"/>
            </w:tcBorders>
          </w:tcPr>
          <w:p>
            <w:pPr>
              <w:spacing w:after="0"/>
              <w:rPr>
                <w:sz w:val="18"/>
                <w:szCs w:val="18"/>
                <w:color w:val="auto"/>
              </w:rPr>
            </w:pPr>
          </w:p>
        </w:tc>
        <w:tc>
          <w:tcPr>
            <w:tcW w:w="1280" w:type="dxa"/>
            <w:vAlign w:val="bottom"/>
            <w:tcBorders>
              <w:top w:val="single" w:sz="8" w:color="231F20"/>
              <w:bottom w:val="single" w:sz="8" w:color="231F20"/>
            </w:tcBorders>
          </w:tcPr>
          <w:p>
            <w:pPr>
              <w:jc w:val="right"/>
              <w:ind w:right="523"/>
              <w:spacing w:after="0" w:line="214" w:lineRule="exact"/>
              <w:rPr>
                <w:sz w:val="20"/>
                <w:szCs w:val="20"/>
                <w:color w:val="auto"/>
              </w:rPr>
            </w:pPr>
            <w:r>
              <w:rPr>
                <w:rFonts w:ascii="Arial" w:cs="Arial" w:eastAsia="Arial" w:hAnsi="Arial"/>
                <w:sz w:val="19"/>
                <w:szCs w:val="19"/>
                <w:b w:val="1"/>
                <w:bCs w:val="1"/>
                <w:color w:val="231F20"/>
              </w:rPr>
              <w:t>2024</w:t>
            </w:r>
          </w:p>
        </w:tc>
        <w:tc>
          <w:tcPr>
            <w:tcW w:w="300" w:type="dxa"/>
            <w:vAlign w:val="bottom"/>
            <w:tcBorders>
              <w:top w:val="single" w:sz="8" w:color="231F20"/>
            </w:tcBorders>
          </w:tcPr>
          <w:p>
            <w:pPr>
              <w:spacing w:after="0"/>
              <w:rPr>
                <w:sz w:val="18"/>
                <w:szCs w:val="18"/>
                <w:color w:val="auto"/>
              </w:rPr>
            </w:pPr>
          </w:p>
        </w:tc>
        <w:tc>
          <w:tcPr>
            <w:tcW w:w="360" w:type="dxa"/>
            <w:vAlign w:val="bottom"/>
            <w:tcBorders>
              <w:top w:val="single" w:sz="8" w:color="231F20"/>
              <w:bottom w:val="single" w:sz="8" w:color="231F20"/>
            </w:tcBorders>
          </w:tcPr>
          <w:p>
            <w:pPr>
              <w:spacing w:after="0"/>
              <w:rPr>
                <w:sz w:val="18"/>
                <w:szCs w:val="18"/>
                <w:color w:val="auto"/>
              </w:rPr>
            </w:pPr>
          </w:p>
        </w:tc>
        <w:tc>
          <w:tcPr>
            <w:tcW w:w="1280" w:type="dxa"/>
            <w:vAlign w:val="bottom"/>
            <w:tcBorders>
              <w:top w:val="single" w:sz="8" w:color="231F20"/>
              <w:bottom w:val="single" w:sz="8" w:color="231F20"/>
            </w:tcBorders>
          </w:tcPr>
          <w:p>
            <w:pPr>
              <w:jc w:val="right"/>
              <w:ind w:right="523"/>
              <w:spacing w:after="0" w:line="214" w:lineRule="exact"/>
              <w:rPr>
                <w:sz w:val="20"/>
                <w:szCs w:val="20"/>
                <w:color w:val="auto"/>
              </w:rPr>
            </w:pPr>
            <w:r>
              <w:rPr>
                <w:rFonts w:ascii="Arial" w:cs="Arial" w:eastAsia="Arial" w:hAnsi="Arial"/>
                <w:sz w:val="19"/>
                <w:szCs w:val="19"/>
                <w:b w:val="1"/>
                <w:bCs w:val="1"/>
                <w:color w:val="231F20"/>
              </w:rPr>
              <w:t>2023</w:t>
            </w:r>
          </w:p>
        </w:tc>
        <w:tc>
          <w:tcPr>
            <w:tcW w:w="300" w:type="dxa"/>
            <w:vAlign w:val="bottom"/>
            <w:tcBorders>
              <w:top w:val="single" w:sz="8" w:color="231F20"/>
            </w:tcBorders>
          </w:tcPr>
          <w:p>
            <w:pPr>
              <w:spacing w:after="0"/>
              <w:rPr>
                <w:sz w:val="18"/>
                <w:szCs w:val="18"/>
                <w:color w:val="auto"/>
              </w:rPr>
            </w:pPr>
          </w:p>
        </w:tc>
        <w:tc>
          <w:tcPr>
            <w:tcW w:w="360" w:type="dxa"/>
            <w:vAlign w:val="bottom"/>
            <w:tcBorders>
              <w:top w:val="single" w:sz="8" w:color="231F20"/>
              <w:bottom w:val="single" w:sz="8" w:color="231F20"/>
            </w:tcBorders>
          </w:tcPr>
          <w:p>
            <w:pPr>
              <w:spacing w:after="0"/>
              <w:rPr>
                <w:sz w:val="18"/>
                <w:szCs w:val="18"/>
                <w:color w:val="auto"/>
              </w:rPr>
            </w:pPr>
          </w:p>
        </w:tc>
        <w:tc>
          <w:tcPr>
            <w:tcW w:w="1300" w:type="dxa"/>
            <w:vAlign w:val="bottom"/>
            <w:tcBorders>
              <w:top w:val="single" w:sz="8" w:color="231F20"/>
              <w:bottom w:val="single" w:sz="8" w:color="231F20"/>
            </w:tcBorders>
          </w:tcPr>
          <w:p>
            <w:pPr>
              <w:jc w:val="right"/>
              <w:ind w:right="543"/>
              <w:spacing w:after="0" w:line="214" w:lineRule="exact"/>
              <w:rPr>
                <w:sz w:val="20"/>
                <w:szCs w:val="20"/>
                <w:color w:val="auto"/>
              </w:rPr>
            </w:pPr>
            <w:r>
              <w:rPr>
                <w:rFonts w:ascii="Arial" w:cs="Arial" w:eastAsia="Arial" w:hAnsi="Arial"/>
                <w:sz w:val="19"/>
                <w:szCs w:val="19"/>
                <w:b w:val="1"/>
                <w:bCs w:val="1"/>
                <w:color w:val="231F20"/>
              </w:rPr>
              <w:t>2022</w:t>
            </w:r>
          </w:p>
        </w:tc>
        <w:tc>
          <w:tcPr>
            <w:tcW w:w="60" w:type="dxa"/>
            <w:vAlign w:val="bottom"/>
          </w:tcPr>
          <w:p>
            <w:pPr>
              <w:spacing w:after="0"/>
              <w:rPr>
                <w:sz w:val="18"/>
                <w:szCs w:val="18"/>
                <w:color w:val="auto"/>
              </w:rPr>
            </w:pPr>
          </w:p>
        </w:tc>
      </w:tr>
      <w:tr>
        <w:trPr>
          <w:trHeight w:val="212"/>
        </w:trPr>
        <w:tc>
          <w:tcPr>
            <w:tcW w:w="360" w:type="dxa"/>
            <w:vAlign w:val="bottom"/>
          </w:tcPr>
          <w:p>
            <w:pPr>
              <w:jc w:val="right"/>
              <w:ind w:right="163"/>
              <w:spacing w:after="0" w:line="212" w:lineRule="exact"/>
              <w:rPr>
                <w:sz w:val="20"/>
                <w:szCs w:val="20"/>
                <w:color w:val="auto"/>
              </w:rPr>
            </w:pPr>
            <w:r>
              <w:rPr>
                <w:rFonts w:ascii="Arial" w:cs="Arial" w:eastAsia="Arial" w:hAnsi="Arial"/>
                <w:sz w:val="19"/>
                <w:szCs w:val="19"/>
                <w:b w:val="1"/>
                <w:bCs w:val="1"/>
                <w:color w:val="231F20"/>
                <w:w w:val="75"/>
              </w:rPr>
              <w:t>$</w:t>
            </w:r>
          </w:p>
        </w:tc>
        <w:tc>
          <w:tcPr>
            <w:tcW w:w="1580" w:type="dxa"/>
            <w:vAlign w:val="bottom"/>
            <w:gridSpan w:val="2"/>
          </w:tcPr>
          <w:p>
            <w:pPr>
              <w:jc w:val="right"/>
              <w:ind w:right="220"/>
              <w:spacing w:after="0" w:line="212" w:lineRule="exact"/>
              <w:rPr>
                <w:sz w:val="20"/>
                <w:szCs w:val="20"/>
                <w:color w:val="auto"/>
              </w:rPr>
            </w:pPr>
            <w:r>
              <w:rPr>
                <w:rFonts w:ascii="Arial" w:cs="Arial" w:eastAsia="Arial" w:hAnsi="Arial"/>
                <w:sz w:val="19"/>
                <w:szCs w:val="19"/>
                <w:b w:val="1"/>
                <w:bCs w:val="1"/>
                <w:color w:val="231F20"/>
              </w:rPr>
              <w:t>(134,850)</w:t>
            </w:r>
          </w:p>
        </w:tc>
        <w:tc>
          <w:tcPr>
            <w:tcW w:w="360" w:type="dxa"/>
            <w:vAlign w:val="bottom"/>
          </w:tcPr>
          <w:p>
            <w:pPr>
              <w:jc w:val="right"/>
              <w:ind w:right="163"/>
              <w:spacing w:after="0" w:line="212" w:lineRule="exact"/>
              <w:rPr>
                <w:sz w:val="20"/>
                <w:szCs w:val="20"/>
                <w:color w:val="auto"/>
              </w:rPr>
            </w:pPr>
            <w:r>
              <w:rPr>
                <w:rFonts w:ascii="Arial" w:cs="Arial" w:eastAsia="Arial" w:hAnsi="Arial"/>
                <w:sz w:val="19"/>
                <w:szCs w:val="19"/>
                <w:b w:val="1"/>
                <w:bCs w:val="1"/>
                <w:color w:val="231F20"/>
                <w:w w:val="75"/>
              </w:rPr>
              <w:t>$</w:t>
            </w:r>
          </w:p>
        </w:tc>
        <w:tc>
          <w:tcPr>
            <w:tcW w:w="1580" w:type="dxa"/>
            <w:vAlign w:val="bottom"/>
            <w:gridSpan w:val="2"/>
          </w:tcPr>
          <w:p>
            <w:pPr>
              <w:jc w:val="right"/>
              <w:ind w:right="220"/>
              <w:spacing w:after="0" w:line="212" w:lineRule="exact"/>
              <w:rPr>
                <w:sz w:val="20"/>
                <w:szCs w:val="20"/>
                <w:color w:val="auto"/>
              </w:rPr>
            </w:pPr>
            <w:r>
              <w:rPr>
                <w:rFonts w:ascii="Arial" w:cs="Arial" w:eastAsia="Arial" w:hAnsi="Arial"/>
                <w:sz w:val="19"/>
                <w:szCs w:val="19"/>
                <w:b w:val="1"/>
                <w:bCs w:val="1"/>
                <w:color w:val="231F20"/>
              </w:rPr>
              <w:t>(160,805)</w:t>
            </w:r>
          </w:p>
        </w:tc>
        <w:tc>
          <w:tcPr>
            <w:tcW w:w="360" w:type="dxa"/>
            <w:vAlign w:val="bottom"/>
          </w:tcPr>
          <w:p>
            <w:pPr>
              <w:jc w:val="right"/>
              <w:ind w:right="163"/>
              <w:spacing w:after="0" w:line="212" w:lineRule="exact"/>
              <w:rPr>
                <w:sz w:val="20"/>
                <w:szCs w:val="20"/>
                <w:color w:val="auto"/>
              </w:rPr>
            </w:pPr>
            <w:r>
              <w:rPr>
                <w:rFonts w:ascii="Arial" w:cs="Arial" w:eastAsia="Arial" w:hAnsi="Arial"/>
                <w:sz w:val="19"/>
                <w:szCs w:val="19"/>
                <w:b w:val="1"/>
                <w:bCs w:val="1"/>
                <w:color w:val="231F20"/>
                <w:w w:val="75"/>
              </w:rPr>
              <w:t>$</w:t>
            </w:r>
          </w:p>
        </w:tc>
        <w:tc>
          <w:tcPr>
            <w:tcW w:w="1360" w:type="dxa"/>
            <w:vAlign w:val="bottom"/>
            <w:gridSpan w:val="2"/>
          </w:tcPr>
          <w:p>
            <w:pPr>
              <w:jc w:val="right"/>
              <w:spacing w:after="0" w:line="212" w:lineRule="exact"/>
              <w:rPr>
                <w:sz w:val="20"/>
                <w:szCs w:val="20"/>
                <w:color w:val="auto"/>
              </w:rPr>
            </w:pPr>
            <w:r>
              <w:rPr>
                <w:rFonts w:ascii="Arial" w:cs="Arial" w:eastAsia="Arial" w:hAnsi="Arial"/>
                <w:sz w:val="19"/>
                <w:szCs w:val="19"/>
                <w:b w:val="1"/>
                <w:bCs w:val="1"/>
                <w:color w:val="231F20"/>
              </w:rPr>
              <w:t>(123,482)</w:t>
            </w:r>
          </w:p>
        </w:tc>
      </w:tr>
      <w:tr>
        <w:trPr>
          <w:trHeight w:val="447"/>
        </w:trPr>
        <w:tc>
          <w:tcPr>
            <w:tcW w:w="3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9"/>
                <w:szCs w:val="19"/>
                <w:b w:val="1"/>
                <w:bCs w:val="1"/>
                <w:color w:val="231F20"/>
              </w:rPr>
              <w:t>19</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9"/>
                <w:szCs w:val="19"/>
                <w:b w:val="1"/>
                <w:bCs w:val="1"/>
                <w:color w:val="231F20"/>
              </w:rPr>
              <w:t>1,101</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Arial" w:cs="Arial" w:eastAsia="Arial" w:hAnsi="Arial"/>
                <w:sz w:val="19"/>
                <w:szCs w:val="19"/>
                <w:b w:val="1"/>
                <w:bCs w:val="1"/>
                <w:color w:val="231F20"/>
              </w:rPr>
              <w:t>(845)</w:t>
            </w:r>
          </w:p>
        </w:tc>
      </w:tr>
      <w:tr>
        <w:trPr>
          <w:trHeight w:val="20"/>
        </w:trPr>
        <w:tc>
          <w:tcPr>
            <w:tcW w:w="360" w:type="dxa"/>
            <w:vAlign w:val="bottom"/>
            <w:shd w:val="clear" w:color="auto" w:fill="231F20"/>
          </w:tcPr>
          <w:p>
            <w:pPr>
              <w:spacing w:after="0" w:line="20" w:lineRule="exact"/>
              <w:rPr>
                <w:sz w:val="1"/>
                <w:szCs w:val="1"/>
                <w:color w:val="auto"/>
              </w:rPr>
            </w:pPr>
          </w:p>
        </w:tc>
        <w:tc>
          <w:tcPr>
            <w:tcW w:w="1280" w:type="dxa"/>
            <w:vAlign w:val="bottom"/>
            <w:shd w:val="clear" w:color="auto" w:fill="231F2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231F20"/>
          </w:tcPr>
          <w:p>
            <w:pPr>
              <w:spacing w:after="0" w:line="20" w:lineRule="exact"/>
              <w:rPr>
                <w:sz w:val="1"/>
                <w:szCs w:val="1"/>
                <w:color w:val="auto"/>
              </w:rPr>
            </w:pPr>
          </w:p>
        </w:tc>
        <w:tc>
          <w:tcPr>
            <w:tcW w:w="1280" w:type="dxa"/>
            <w:vAlign w:val="bottom"/>
            <w:shd w:val="clear" w:color="auto" w:fill="231F2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231F20"/>
          </w:tcPr>
          <w:p>
            <w:pPr>
              <w:spacing w:after="0" w:line="20" w:lineRule="exact"/>
              <w:rPr>
                <w:sz w:val="1"/>
                <w:szCs w:val="1"/>
                <w:color w:val="auto"/>
              </w:rPr>
            </w:pPr>
          </w:p>
        </w:tc>
        <w:tc>
          <w:tcPr>
            <w:tcW w:w="1300" w:type="dxa"/>
            <w:vAlign w:val="bottom"/>
            <w:shd w:val="clear" w:color="auto" w:fill="231F2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2"/>
        </w:trPr>
        <w:tc>
          <w:tcPr>
            <w:tcW w:w="360" w:type="dxa"/>
            <w:vAlign w:val="bottom"/>
          </w:tcPr>
          <w:p>
            <w:pPr>
              <w:jc w:val="right"/>
              <w:ind w:right="163"/>
              <w:spacing w:after="0" w:line="212" w:lineRule="exact"/>
              <w:rPr>
                <w:sz w:val="20"/>
                <w:szCs w:val="20"/>
                <w:color w:val="auto"/>
              </w:rPr>
            </w:pPr>
            <w:r>
              <w:rPr>
                <w:rFonts w:ascii="Arial" w:cs="Arial" w:eastAsia="Arial" w:hAnsi="Arial"/>
                <w:sz w:val="19"/>
                <w:szCs w:val="19"/>
                <w:b w:val="1"/>
                <w:bCs w:val="1"/>
                <w:color w:val="231F20"/>
                <w:w w:val="75"/>
              </w:rPr>
              <w:t>$</w:t>
            </w:r>
          </w:p>
        </w:tc>
        <w:tc>
          <w:tcPr>
            <w:tcW w:w="1580" w:type="dxa"/>
            <w:vAlign w:val="bottom"/>
            <w:gridSpan w:val="2"/>
          </w:tcPr>
          <w:p>
            <w:pPr>
              <w:jc w:val="right"/>
              <w:ind w:right="220"/>
              <w:spacing w:after="0" w:line="212" w:lineRule="exact"/>
              <w:rPr>
                <w:sz w:val="20"/>
                <w:szCs w:val="20"/>
                <w:color w:val="auto"/>
              </w:rPr>
            </w:pPr>
            <w:r>
              <w:rPr>
                <w:rFonts w:ascii="Arial" w:cs="Arial" w:eastAsia="Arial" w:hAnsi="Arial"/>
                <w:sz w:val="19"/>
                <w:szCs w:val="19"/>
                <w:b w:val="1"/>
                <w:bCs w:val="1"/>
                <w:color w:val="231F20"/>
              </w:rPr>
              <w:t>(134,831)</w:t>
            </w:r>
          </w:p>
        </w:tc>
        <w:tc>
          <w:tcPr>
            <w:tcW w:w="360" w:type="dxa"/>
            <w:vAlign w:val="bottom"/>
          </w:tcPr>
          <w:p>
            <w:pPr>
              <w:jc w:val="right"/>
              <w:ind w:right="163"/>
              <w:spacing w:after="0" w:line="212" w:lineRule="exact"/>
              <w:rPr>
                <w:sz w:val="20"/>
                <w:szCs w:val="20"/>
                <w:color w:val="auto"/>
              </w:rPr>
            </w:pPr>
            <w:r>
              <w:rPr>
                <w:rFonts w:ascii="Arial" w:cs="Arial" w:eastAsia="Arial" w:hAnsi="Arial"/>
                <w:sz w:val="19"/>
                <w:szCs w:val="19"/>
                <w:b w:val="1"/>
                <w:bCs w:val="1"/>
                <w:color w:val="231F20"/>
                <w:w w:val="75"/>
              </w:rPr>
              <w:t>$</w:t>
            </w:r>
          </w:p>
        </w:tc>
        <w:tc>
          <w:tcPr>
            <w:tcW w:w="1580" w:type="dxa"/>
            <w:vAlign w:val="bottom"/>
            <w:gridSpan w:val="2"/>
          </w:tcPr>
          <w:p>
            <w:pPr>
              <w:jc w:val="right"/>
              <w:ind w:right="220"/>
              <w:spacing w:after="0" w:line="212" w:lineRule="exact"/>
              <w:rPr>
                <w:sz w:val="20"/>
                <w:szCs w:val="20"/>
                <w:color w:val="auto"/>
              </w:rPr>
            </w:pPr>
            <w:r>
              <w:rPr>
                <w:rFonts w:ascii="Arial" w:cs="Arial" w:eastAsia="Arial" w:hAnsi="Arial"/>
                <w:sz w:val="19"/>
                <w:szCs w:val="19"/>
                <w:b w:val="1"/>
                <w:bCs w:val="1"/>
                <w:color w:val="231F20"/>
              </w:rPr>
              <w:t>(159,704)</w:t>
            </w:r>
          </w:p>
        </w:tc>
        <w:tc>
          <w:tcPr>
            <w:tcW w:w="360" w:type="dxa"/>
            <w:vAlign w:val="bottom"/>
          </w:tcPr>
          <w:p>
            <w:pPr>
              <w:jc w:val="right"/>
              <w:ind w:right="163"/>
              <w:spacing w:after="0" w:line="212" w:lineRule="exact"/>
              <w:rPr>
                <w:sz w:val="20"/>
                <w:szCs w:val="20"/>
                <w:color w:val="auto"/>
              </w:rPr>
            </w:pPr>
            <w:r>
              <w:rPr>
                <w:rFonts w:ascii="Arial" w:cs="Arial" w:eastAsia="Arial" w:hAnsi="Arial"/>
                <w:sz w:val="19"/>
                <w:szCs w:val="19"/>
                <w:b w:val="1"/>
                <w:bCs w:val="1"/>
                <w:color w:val="231F20"/>
                <w:w w:val="75"/>
              </w:rPr>
              <w:t>$</w:t>
            </w:r>
          </w:p>
        </w:tc>
        <w:tc>
          <w:tcPr>
            <w:tcW w:w="1360" w:type="dxa"/>
            <w:vAlign w:val="bottom"/>
            <w:gridSpan w:val="2"/>
          </w:tcPr>
          <w:p>
            <w:pPr>
              <w:jc w:val="right"/>
              <w:spacing w:after="0" w:line="212" w:lineRule="exact"/>
              <w:rPr>
                <w:sz w:val="20"/>
                <w:szCs w:val="20"/>
                <w:color w:val="auto"/>
              </w:rPr>
            </w:pPr>
            <w:r>
              <w:rPr>
                <w:rFonts w:ascii="Arial" w:cs="Arial" w:eastAsia="Arial" w:hAnsi="Arial"/>
                <w:sz w:val="19"/>
                <w:szCs w:val="19"/>
                <w:b w:val="1"/>
                <w:bCs w:val="1"/>
                <w:color w:val="231F20"/>
              </w:rPr>
              <w:t>(124,327)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-11430</wp:posOffset>
            </wp:positionV>
            <wp:extent cx="3542665" cy="5461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542665" cy="54610"/>
                    </a:xfrm>
                    <a:prstGeom prst="rect">
                      <a:avLst/>
                    </a:prstGeom>
                    <a:noFill/>
                  </pic:spPr>
                </pic:pic>
              </a:graphicData>
            </a:graphic>
          </wp:anchor>
        </w:drawing>
      </w:r>
    </w:p>
    <w:p>
      <w:pPr>
        <w:spacing w:after="0" w:line="207" w:lineRule="exact"/>
        <w:rPr>
          <w:sz w:val="20"/>
          <w:szCs w:val="20"/>
          <w:color w:val="auto"/>
        </w:rPr>
      </w:pPr>
    </w:p>
    <w:p>
      <w:pPr>
        <w:sectPr>
          <w:pgSz w:w="12240" w:h="15840" w:orient="portrait"/>
          <w:cols w:equalWidth="0" w:num="2">
            <w:col w:w="4540" w:space="300"/>
            <w:col w:w="5600"/>
          </w:cols>
          <w:pgMar w:left="880" w:top="1160" w:right="920" w:bottom="390" w:gutter="0" w:footer="0" w:header="0"/>
          <w:type w:val="continuous"/>
        </w:sectPr>
      </w:pPr>
    </w:p>
    <w:p>
      <w:pPr>
        <w:spacing w:after="0" w:line="6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231F20"/>
        </w:rPr>
        <w:t>The accompanying notes are an integral part of these consolidated financial statements.</w:t>
      </w:r>
    </w:p>
    <w:p>
      <w:pPr>
        <w:sectPr>
          <w:pgSz w:w="12240" w:h="15840" w:orient="portrait"/>
          <w:cols w:equalWidth="0" w:num="1">
            <w:col w:w="10440"/>
          </w:cols>
          <w:pgMar w:left="880" w:top="1160" w:right="920" w:bottom="39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231F20"/>
        </w:rPr>
        <w:t>97</w:t>
      </w:r>
    </w:p>
    <w:p>
      <w:pPr>
        <w:sectPr>
          <w:pgSz w:w="12240" w:h="15840" w:orient="portrait"/>
          <w:cols w:equalWidth="0" w:num="1">
            <w:col w:w="10440"/>
          </w:cols>
          <w:pgMar w:left="880" w:top="1160" w:right="920" w:bottom="390" w:gutter="0" w:footer="0" w:header="0"/>
          <w:type w:val="continuous"/>
        </w:sectPr>
      </w:pPr>
    </w:p>
    <w:bookmarkStart w:id="105" w:name="page106"/>
    <w:bookmarkEnd w:id="105"/>
    <w:p>
      <w:pPr>
        <w:jc w:val="center"/>
        <w:ind w:right="-444"/>
        <w:spacing w:after="0"/>
        <w:rPr>
          <w:sz w:val="20"/>
          <w:szCs w:val="20"/>
          <w:color w:val="auto"/>
        </w:rPr>
      </w:pPr>
      <w:r>
        <w:rPr>
          <w:rFonts w:ascii="Arial" w:cs="Arial" w:eastAsia="Arial" w:hAnsi="Arial"/>
          <w:sz w:val="19"/>
          <w:szCs w:val="19"/>
          <w:b w:val="1"/>
          <w:bCs w:val="1"/>
          <w:color w:val="231F20"/>
        </w:rPr>
        <w:t>ALX ONCOLOGY HOLDINGS INC.</w:t>
      </w:r>
    </w:p>
    <w:p>
      <w:pPr>
        <w:spacing w:after="0" w:line="10" w:lineRule="exact"/>
        <w:rPr>
          <w:sz w:val="20"/>
          <w:szCs w:val="20"/>
          <w:color w:val="auto"/>
        </w:rPr>
      </w:pPr>
    </w:p>
    <w:p>
      <w:pPr>
        <w:jc w:val="center"/>
        <w:ind w:right="-444"/>
        <w:spacing w:after="0" w:line="207" w:lineRule="exact"/>
        <w:rPr>
          <w:sz w:val="20"/>
          <w:szCs w:val="20"/>
          <w:color w:val="auto"/>
        </w:rPr>
      </w:pPr>
      <w:r>
        <w:rPr>
          <w:rFonts w:ascii="Arial" w:cs="Arial" w:eastAsia="Arial" w:hAnsi="Arial"/>
          <w:sz w:val="17"/>
          <w:szCs w:val="17"/>
          <w:b w:val="1"/>
          <w:bCs w:val="1"/>
          <w:color w:val="231F20"/>
        </w:rPr>
        <w:t>Consolidated Statements of Stockholders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Equity</w:t>
      </w:r>
    </w:p>
    <w:p>
      <w:pPr>
        <w:spacing w:after="0" w:line="12" w:lineRule="exact"/>
        <w:rPr>
          <w:sz w:val="20"/>
          <w:szCs w:val="20"/>
          <w:color w:val="auto"/>
        </w:rPr>
      </w:pPr>
    </w:p>
    <w:p>
      <w:pPr>
        <w:jc w:val="center"/>
        <w:ind w:right="-444"/>
        <w:spacing w:after="0"/>
        <w:rPr>
          <w:sz w:val="20"/>
          <w:szCs w:val="20"/>
          <w:color w:val="auto"/>
        </w:rPr>
      </w:pPr>
      <w:r>
        <w:rPr>
          <w:rFonts w:ascii="Arial" w:cs="Arial" w:eastAsia="Arial" w:hAnsi="Arial"/>
          <w:sz w:val="19"/>
          <w:szCs w:val="19"/>
          <w:b w:val="1"/>
          <w:bCs w:val="1"/>
          <w:color w:val="231F20"/>
        </w:rPr>
        <w:t>(in thousands, except share amounts)</w:t>
      </w:r>
    </w:p>
    <w:p>
      <w:pPr>
        <w:sectPr>
          <w:pgSz w:w="15840" w:h="12240" w:orient="landscape"/>
          <w:cols w:equalWidth="0" w:num="1">
            <w:col w:w="14225"/>
          </w:cols>
          <w:pgMar w:left="955" w:top="1067" w:right="6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00"/>
        </w:trPr>
        <w:tc>
          <w:tcPr>
            <w:tcW w:w="195" w:type="dxa"/>
            <w:vAlign w:val="bottom"/>
            <w:textDirection w:val="tbRl"/>
          </w:tcPr>
          <w:p>
            <w:pPr>
              <w:spacing w:after="0"/>
              <w:rPr>
                <w:sz w:val="20"/>
                <w:szCs w:val="20"/>
                <w:color w:val="auto"/>
              </w:rPr>
            </w:pPr>
            <w:r>
              <w:rPr>
                <w:rFonts w:ascii="Arial" w:cs="Arial" w:eastAsia="Arial" w:hAnsi="Arial"/>
                <w:sz w:val="17"/>
                <w:szCs w:val="17"/>
                <w:b w:val="1"/>
                <w:bCs w:val="1"/>
                <w:color w:val="231F20"/>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109220" cy="723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09220" cy="723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Balance as of December 31, 2021</w:t>
      </w:r>
    </w:p>
    <w:p>
      <w:pPr>
        <w:spacing w:after="0" w:line="7" w:lineRule="exact"/>
        <w:rPr>
          <w:sz w:val="20"/>
          <w:szCs w:val="20"/>
          <w:color w:val="auto"/>
        </w:rPr>
      </w:pPr>
    </w:p>
    <w:p>
      <w:pPr>
        <w:ind w:left="200" w:right="240"/>
        <w:spacing w:after="0" w:line="310" w:lineRule="auto"/>
        <w:rPr>
          <w:sz w:val="20"/>
          <w:szCs w:val="20"/>
          <w:color w:val="auto"/>
        </w:rPr>
      </w:pPr>
      <w:r>
        <w:rPr>
          <w:rFonts w:ascii="Arial" w:cs="Arial" w:eastAsia="Arial" w:hAnsi="Arial"/>
          <w:sz w:val="12"/>
          <w:szCs w:val="12"/>
          <w:b w:val="1"/>
          <w:bCs w:val="1"/>
          <w:color w:val="231F20"/>
        </w:rPr>
        <w:t>Issuance of common stock under equity incentive plans Issuance of common stock under employee stock</w:t>
      </w:r>
    </w:p>
    <w:p>
      <w:pPr>
        <w:ind w:left="320"/>
        <w:spacing w:after="0" w:line="224" w:lineRule="auto"/>
        <w:rPr>
          <w:sz w:val="20"/>
          <w:szCs w:val="20"/>
          <w:color w:val="auto"/>
        </w:rPr>
      </w:pPr>
      <w:r>
        <w:rPr>
          <w:rFonts w:ascii="Arial" w:cs="Arial" w:eastAsia="Arial" w:hAnsi="Arial"/>
          <w:sz w:val="16"/>
          <w:szCs w:val="16"/>
          <w:b w:val="1"/>
          <w:bCs w:val="1"/>
          <w:color w:val="231F20"/>
        </w:rPr>
        <w:t>purchase plan</w:t>
      </w:r>
    </w:p>
    <w:p>
      <w:pPr>
        <w:ind w:left="200"/>
        <w:spacing w:after="0" w:line="235" w:lineRule="auto"/>
        <w:rPr>
          <w:sz w:val="20"/>
          <w:szCs w:val="20"/>
          <w:color w:val="auto"/>
        </w:rPr>
      </w:pPr>
      <w:r>
        <w:rPr>
          <w:rFonts w:ascii="Arial" w:cs="Arial" w:eastAsia="Arial" w:hAnsi="Arial"/>
          <w:sz w:val="16"/>
          <w:szCs w:val="16"/>
          <w:b w:val="1"/>
          <w:bCs w:val="1"/>
          <w:color w:val="231F20"/>
        </w:rPr>
        <w:t>Stock-based compensation</w:t>
      </w:r>
    </w:p>
    <w:p>
      <w:pPr>
        <w:spacing w:after="0" w:line="7" w:lineRule="exact"/>
        <w:rPr>
          <w:sz w:val="20"/>
          <w:szCs w:val="20"/>
          <w:color w:val="auto"/>
        </w:rPr>
      </w:pPr>
    </w:p>
    <w:p>
      <w:pPr>
        <w:ind w:left="200" w:right="620"/>
        <w:spacing w:after="0" w:line="227" w:lineRule="auto"/>
        <w:rPr>
          <w:sz w:val="20"/>
          <w:szCs w:val="20"/>
          <w:color w:val="auto"/>
        </w:rPr>
      </w:pPr>
      <w:r>
        <w:rPr>
          <w:rFonts w:ascii="Arial" w:cs="Arial" w:eastAsia="Arial" w:hAnsi="Arial"/>
          <w:sz w:val="16"/>
          <w:szCs w:val="16"/>
          <w:b w:val="1"/>
          <w:bCs w:val="1"/>
          <w:color w:val="231F20"/>
        </w:rPr>
        <w:t>Unrealized loss on available-for-sale investments Net loss</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Balance as of December 31, 2022</w:t>
      </w:r>
    </w:p>
    <w:p>
      <w:pPr>
        <w:spacing w:after="0" w:line="7" w:lineRule="exact"/>
        <w:rPr>
          <w:sz w:val="20"/>
          <w:szCs w:val="20"/>
          <w:color w:val="auto"/>
        </w:rPr>
      </w:pPr>
    </w:p>
    <w:p>
      <w:pPr>
        <w:ind w:left="320" w:hanging="116"/>
        <w:spacing w:after="0" w:line="286" w:lineRule="auto"/>
        <w:rPr>
          <w:sz w:val="20"/>
          <w:szCs w:val="20"/>
          <w:color w:val="auto"/>
        </w:rPr>
      </w:pPr>
      <w:r>
        <w:rPr>
          <w:rFonts w:ascii="Arial" w:cs="Arial" w:eastAsia="Arial" w:hAnsi="Arial"/>
          <w:sz w:val="13"/>
          <w:szCs w:val="13"/>
          <w:b w:val="1"/>
          <w:bCs w:val="1"/>
          <w:color w:val="231F20"/>
        </w:rPr>
        <w:t>Issuance of common stock and pre-funded warrants in connection with equity offerings, net of underwriter discounts ($3.8 million) and issuance costs ($0.6 million)</w:t>
      </w:r>
    </w:p>
    <w:p>
      <w:pPr>
        <w:spacing w:after="0" w:line="1" w:lineRule="exact"/>
        <w:rPr>
          <w:sz w:val="20"/>
          <w:szCs w:val="20"/>
          <w:color w:val="auto"/>
        </w:rPr>
      </w:pPr>
    </w:p>
    <w:p>
      <w:pPr>
        <w:ind w:left="200" w:right="240"/>
        <w:spacing w:after="0" w:line="310" w:lineRule="auto"/>
        <w:rPr>
          <w:sz w:val="20"/>
          <w:szCs w:val="20"/>
          <w:color w:val="auto"/>
        </w:rPr>
      </w:pPr>
      <w:r>
        <w:rPr>
          <w:rFonts w:ascii="Arial" w:cs="Arial" w:eastAsia="Arial" w:hAnsi="Arial"/>
          <w:sz w:val="12"/>
          <w:szCs w:val="12"/>
          <w:b w:val="1"/>
          <w:bCs w:val="1"/>
          <w:color w:val="231F20"/>
        </w:rPr>
        <w:t>Issuance of common stock under equity incentive plans Issuance of common stock under employee stock</w:t>
      </w:r>
    </w:p>
    <w:p>
      <w:pPr>
        <w:ind w:left="320"/>
        <w:spacing w:after="0" w:line="224" w:lineRule="auto"/>
        <w:rPr>
          <w:sz w:val="20"/>
          <w:szCs w:val="20"/>
          <w:color w:val="auto"/>
        </w:rPr>
      </w:pPr>
      <w:r>
        <w:rPr>
          <w:rFonts w:ascii="Arial" w:cs="Arial" w:eastAsia="Arial" w:hAnsi="Arial"/>
          <w:sz w:val="16"/>
          <w:szCs w:val="16"/>
          <w:b w:val="1"/>
          <w:bCs w:val="1"/>
          <w:color w:val="231F20"/>
        </w:rPr>
        <w:t>purchase plan</w:t>
      </w:r>
    </w:p>
    <w:p>
      <w:pPr>
        <w:ind w:left="200"/>
        <w:spacing w:after="0" w:line="232" w:lineRule="auto"/>
        <w:rPr>
          <w:sz w:val="20"/>
          <w:szCs w:val="20"/>
          <w:color w:val="auto"/>
        </w:rPr>
      </w:pPr>
      <w:r>
        <w:rPr>
          <w:rFonts w:ascii="Arial" w:cs="Arial" w:eastAsia="Arial" w:hAnsi="Arial"/>
          <w:sz w:val="16"/>
          <w:szCs w:val="16"/>
          <w:b w:val="1"/>
          <w:bCs w:val="1"/>
          <w:color w:val="231F20"/>
        </w:rPr>
        <w:t>Stock-based compensation</w:t>
      </w:r>
    </w:p>
    <w:p>
      <w:pPr>
        <w:spacing w:after="0" w:line="9" w:lineRule="exact"/>
        <w:rPr>
          <w:sz w:val="20"/>
          <w:szCs w:val="20"/>
          <w:color w:val="auto"/>
        </w:rPr>
      </w:pPr>
    </w:p>
    <w:p>
      <w:pPr>
        <w:ind w:left="200" w:right="600"/>
        <w:spacing w:after="0" w:line="227" w:lineRule="auto"/>
        <w:rPr>
          <w:sz w:val="20"/>
          <w:szCs w:val="20"/>
          <w:color w:val="auto"/>
        </w:rPr>
      </w:pPr>
      <w:r>
        <w:rPr>
          <w:rFonts w:ascii="Arial" w:cs="Arial" w:eastAsia="Arial" w:hAnsi="Arial"/>
          <w:sz w:val="16"/>
          <w:szCs w:val="16"/>
          <w:b w:val="1"/>
          <w:bCs w:val="1"/>
          <w:color w:val="231F20"/>
        </w:rPr>
        <w:t>Unrealized gain on available-for-sale investments Net loss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Balance as of December 31, 2023</w:t>
      </w:r>
    </w:p>
    <w:p>
      <w:pPr>
        <w:spacing w:after="0" w:line="9" w:lineRule="exact"/>
        <w:rPr>
          <w:sz w:val="20"/>
          <w:szCs w:val="20"/>
          <w:color w:val="auto"/>
        </w:rPr>
      </w:pPr>
    </w:p>
    <w:p>
      <w:pPr>
        <w:ind w:left="200" w:right="240"/>
        <w:spacing w:after="0" w:line="308" w:lineRule="auto"/>
        <w:rPr>
          <w:sz w:val="20"/>
          <w:szCs w:val="20"/>
          <w:color w:val="auto"/>
        </w:rPr>
      </w:pPr>
      <w:r>
        <w:rPr>
          <w:rFonts w:ascii="Arial" w:cs="Arial" w:eastAsia="Arial" w:hAnsi="Arial"/>
          <w:sz w:val="12"/>
          <w:szCs w:val="12"/>
          <w:b w:val="1"/>
          <w:bCs w:val="1"/>
          <w:color w:val="231F20"/>
        </w:rPr>
        <w:t>Issuance of common stock under equity incentive plans Issuance of common stock under employee stock</w:t>
      </w:r>
    </w:p>
    <w:p>
      <w:pPr>
        <w:ind w:left="320"/>
        <w:spacing w:after="0" w:line="224" w:lineRule="auto"/>
        <w:rPr>
          <w:sz w:val="20"/>
          <w:szCs w:val="20"/>
          <w:color w:val="auto"/>
        </w:rPr>
      </w:pPr>
      <w:r>
        <w:rPr>
          <w:rFonts w:ascii="Arial" w:cs="Arial" w:eastAsia="Arial" w:hAnsi="Arial"/>
          <w:sz w:val="16"/>
          <w:szCs w:val="16"/>
          <w:b w:val="1"/>
          <w:bCs w:val="1"/>
          <w:color w:val="231F20"/>
        </w:rPr>
        <w:t>purchase plan</w:t>
      </w:r>
    </w:p>
    <w:p>
      <w:pPr>
        <w:spacing w:after="0" w:line="9" w:lineRule="exact"/>
        <w:rPr>
          <w:sz w:val="20"/>
          <w:szCs w:val="20"/>
          <w:color w:val="auto"/>
        </w:rPr>
      </w:pPr>
    </w:p>
    <w:p>
      <w:pPr>
        <w:ind w:left="320" w:right="540" w:hanging="116"/>
        <w:spacing w:after="0" w:line="264" w:lineRule="auto"/>
        <w:rPr>
          <w:sz w:val="20"/>
          <w:szCs w:val="20"/>
          <w:color w:val="auto"/>
        </w:rPr>
      </w:pPr>
      <w:r>
        <w:rPr>
          <w:rFonts w:ascii="Arial" w:cs="Arial" w:eastAsia="Arial" w:hAnsi="Arial"/>
          <w:sz w:val="14"/>
          <w:szCs w:val="14"/>
          <w:b w:val="1"/>
          <w:bCs w:val="1"/>
          <w:color w:val="231F20"/>
        </w:rPr>
        <w:t>Issuance of common stock through ATM offering, net of commissions ($0.8 million)</w:t>
      </w:r>
    </w:p>
    <w:p>
      <w:pPr>
        <w:ind w:left="200"/>
        <w:spacing w:after="0" w:line="224" w:lineRule="auto"/>
        <w:rPr>
          <w:sz w:val="20"/>
          <w:szCs w:val="20"/>
          <w:color w:val="auto"/>
        </w:rPr>
      </w:pPr>
      <w:r>
        <w:rPr>
          <w:rFonts w:ascii="Arial" w:cs="Arial" w:eastAsia="Arial" w:hAnsi="Arial"/>
          <w:sz w:val="16"/>
          <w:szCs w:val="16"/>
          <w:b w:val="1"/>
          <w:bCs w:val="1"/>
          <w:color w:val="231F20"/>
        </w:rPr>
        <w:t>Stock-based compensation</w:t>
      </w:r>
    </w:p>
    <w:p>
      <w:pPr>
        <w:spacing w:after="0" w:line="9" w:lineRule="exact"/>
        <w:rPr>
          <w:sz w:val="20"/>
          <w:szCs w:val="20"/>
          <w:color w:val="auto"/>
        </w:rPr>
      </w:pPr>
    </w:p>
    <w:p>
      <w:pPr>
        <w:ind w:left="200" w:right="600"/>
        <w:spacing w:after="0" w:line="227" w:lineRule="auto"/>
        <w:rPr>
          <w:sz w:val="20"/>
          <w:szCs w:val="20"/>
          <w:color w:val="auto"/>
        </w:rPr>
      </w:pPr>
      <w:r>
        <w:rPr>
          <w:rFonts w:ascii="Arial" w:cs="Arial" w:eastAsia="Arial" w:hAnsi="Arial"/>
          <w:sz w:val="16"/>
          <w:szCs w:val="16"/>
          <w:b w:val="1"/>
          <w:bCs w:val="1"/>
          <w:color w:val="231F20"/>
        </w:rPr>
        <w:t>Unrealized gain on available-for-sale investments Net loss</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Balance as of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231F20"/>
                <w:w w:val="87"/>
              </w:rPr>
              <w:t>Accumulated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60"/>
              <w:spacing w:after="0" w:line="178" w:lineRule="exact"/>
              <w:rPr>
                <w:sz w:val="20"/>
                <w:szCs w:val="20"/>
                <w:color w:val="auto"/>
              </w:rPr>
            </w:pPr>
            <w:r>
              <w:rPr>
                <w:rFonts w:ascii="Arial" w:cs="Arial" w:eastAsia="Arial" w:hAnsi="Arial"/>
                <w:sz w:val="16"/>
                <w:szCs w:val="16"/>
                <w:b w:val="1"/>
                <w:bCs w:val="1"/>
                <w:color w:val="231F20"/>
                <w:w w:val="91"/>
              </w:rPr>
              <w:t>Additional</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280"/>
              <w:spacing w:after="0" w:line="178" w:lineRule="exact"/>
              <w:rPr>
                <w:sz w:val="20"/>
                <w:szCs w:val="20"/>
                <w:color w:val="auto"/>
              </w:rPr>
            </w:pPr>
            <w:r>
              <w:rPr>
                <w:rFonts w:ascii="Arial" w:cs="Arial" w:eastAsia="Arial" w:hAnsi="Arial"/>
                <w:sz w:val="16"/>
                <w:szCs w:val="16"/>
                <w:b w:val="1"/>
                <w:bCs w:val="1"/>
                <w:color w:val="231F20"/>
                <w:w w:val="93"/>
              </w:rPr>
              <w:t>Other</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180"/>
              <w:spacing w:after="0" w:line="178" w:lineRule="exact"/>
              <w:rPr>
                <w:sz w:val="20"/>
                <w:szCs w:val="20"/>
                <w:color w:val="auto"/>
              </w:rPr>
            </w:pPr>
            <w:r>
              <w:rPr>
                <w:rFonts w:ascii="Arial" w:cs="Arial" w:eastAsia="Arial" w:hAnsi="Arial"/>
                <w:sz w:val="16"/>
                <w:szCs w:val="16"/>
                <w:b w:val="1"/>
                <w:bCs w:val="1"/>
                <w:color w:val="231F20"/>
                <w:w w:val="94"/>
              </w:rPr>
              <w:t>Total</w:t>
            </w:r>
          </w:p>
        </w:tc>
        <w:tc>
          <w:tcPr>
            <w:tcW w:w="0" w:type="dxa"/>
            <w:vAlign w:val="bottom"/>
          </w:tcPr>
          <w:p>
            <w:pPr>
              <w:spacing w:after="0"/>
              <w:rPr>
                <w:sz w:val="1"/>
                <w:szCs w:val="1"/>
                <w:color w:val="auto"/>
              </w:rPr>
            </w:pPr>
          </w:p>
        </w:tc>
      </w:tr>
      <w:tr>
        <w:trPr>
          <w:trHeight w:val="178"/>
        </w:trPr>
        <w:tc>
          <w:tcPr>
            <w:tcW w:w="2780" w:type="dxa"/>
            <w:vAlign w:val="bottom"/>
            <w:gridSpan w:val="5"/>
          </w:tcPr>
          <w:p>
            <w:pPr>
              <w:jc w:val="right"/>
              <w:ind w:right="666"/>
              <w:spacing w:after="0" w:line="178" w:lineRule="exact"/>
              <w:rPr>
                <w:sz w:val="20"/>
                <w:szCs w:val="20"/>
                <w:color w:val="auto"/>
              </w:rPr>
            </w:pPr>
            <w:r>
              <w:rPr>
                <w:rFonts w:ascii="Arial" w:cs="Arial" w:eastAsia="Arial" w:hAnsi="Arial"/>
                <w:sz w:val="16"/>
                <w:szCs w:val="16"/>
                <w:b w:val="1"/>
                <w:bCs w:val="1"/>
                <w:color w:val="231F20"/>
              </w:rPr>
              <w:t>Common Stock</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40"/>
              <w:spacing w:after="0" w:line="178" w:lineRule="exact"/>
              <w:rPr>
                <w:sz w:val="20"/>
                <w:szCs w:val="20"/>
                <w:color w:val="auto"/>
              </w:rPr>
            </w:pPr>
            <w:r>
              <w:rPr>
                <w:rFonts w:ascii="Arial" w:cs="Arial" w:eastAsia="Arial" w:hAnsi="Arial"/>
                <w:sz w:val="16"/>
                <w:szCs w:val="16"/>
                <w:b w:val="1"/>
                <w:bCs w:val="1"/>
                <w:color w:val="231F20"/>
                <w:w w:val="93"/>
              </w:rPr>
              <w:t>Paid-In</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280"/>
              <w:spacing w:after="0" w:line="178" w:lineRule="exact"/>
              <w:rPr>
                <w:sz w:val="20"/>
                <w:szCs w:val="20"/>
                <w:color w:val="auto"/>
              </w:rPr>
            </w:pPr>
            <w:r>
              <w:rPr>
                <w:rFonts w:ascii="Arial" w:cs="Arial" w:eastAsia="Arial" w:hAnsi="Arial"/>
                <w:sz w:val="16"/>
                <w:szCs w:val="16"/>
                <w:b w:val="1"/>
                <w:bCs w:val="1"/>
                <w:color w:val="231F20"/>
                <w:w w:val="86"/>
              </w:rPr>
              <w:t>Comprehensive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right"/>
              <w:ind w:right="520"/>
              <w:spacing w:after="0" w:line="178" w:lineRule="exact"/>
              <w:rPr>
                <w:sz w:val="20"/>
                <w:szCs w:val="20"/>
                <w:color w:val="auto"/>
              </w:rPr>
            </w:pPr>
            <w:r>
              <w:rPr>
                <w:rFonts w:ascii="Arial" w:cs="Arial" w:eastAsia="Arial" w:hAnsi="Arial"/>
                <w:sz w:val="16"/>
                <w:szCs w:val="16"/>
                <w:b w:val="1"/>
                <w:bCs w:val="1"/>
                <w:color w:val="231F20"/>
                <w:w w:val="95"/>
              </w:rPr>
              <w:t>Accumulated</w:t>
            </w:r>
          </w:p>
        </w:tc>
        <w:tc>
          <w:tcPr>
            <w:tcW w:w="140" w:type="dxa"/>
            <w:vAlign w:val="bottom"/>
          </w:tcPr>
          <w:p>
            <w:pPr>
              <w:spacing w:after="0"/>
              <w:rPr>
                <w:sz w:val="15"/>
                <w:szCs w:val="15"/>
                <w:color w:val="auto"/>
              </w:rPr>
            </w:pPr>
          </w:p>
        </w:tc>
        <w:tc>
          <w:tcPr>
            <w:tcW w:w="1180" w:type="dxa"/>
            <w:vAlign w:val="bottom"/>
            <w:gridSpan w:val="2"/>
          </w:tcPr>
          <w:p>
            <w:pPr>
              <w:jc w:val="center"/>
              <w:ind w:right="180"/>
              <w:spacing w:after="0" w:line="177" w:lineRule="exact"/>
              <w:rPr>
                <w:sz w:val="20"/>
                <w:szCs w:val="20"/>
                <w:color w:val="auto"/>
              </w:rPr>
            </w:pPr>
            <w:r>
              <w:rPr>
                <w:rFonts w:ascii="PMingLiU" w:cs="PMingLiU" w:eastAsia="PMingLiU" w:hAnsi="PMingLiU"/>
                <w:sz w:val="16"/>
                <w:szCs w:val="16"/>
                <w:b w:val="1"/>
                <w:bCs w:val="1"/>
                <w:color w:val="231F20"/>
                <w:w w:val="87"/>
              </w:rPr>
              <w:t></w:t>
            </w:r>
            <w:r>
              <w:rPr>
                <w:rFonts w:ascii="Arial" w:cs="Arial" w:eastAsia="Arial" w:hAnsi="Arial"/>
                <w:sz w:val="16"/>
                <w:szCs w:val="16"/>
                <w:b w:val="1"/>
                <w:bCs w:val="1"/>
                <w:color w:val="231F20"/>
                <w:w w:val="87"/>
              </w:rPr>
              <w:t>Stockholders</w:t>
            </w:r>
          </w:p>
        </w:tc>
        <w:tc>
          <w:tcPr>
            <w:tcW w:w="0" w:type="dxa"/>
            <w:vAlign w:val="bottom"/>
          </w:tcPr>
          <w:p>
            <w:pPr>
              <w:spacing w:after="0"/>
              <w:rPr>
                <w:sz w:val="1"/>
                <w:szCs w:val="1"/>
                <w:color w:val="auto"/>
              </w:rPr>
            </w:pPr>
          </w:p>
        </w:tc>
      </w:tr>
      <w:tr>
        <w:trPr>
          <w:trHeight w:val="32"/>
        </w:trPr>
        <w:tc>
          <w:tcPr>
            <w:tcW w:w="13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1120" w:type="dxa"/>
            <w:vAlign w:val="bottom"/>
            <w:tcBorders>
              <w:bottom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231F20"/>
                <w:w w:val="89"/>
              </w:rPr>
              <w:t>Capital</w:t>
            </w: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231F20"/>
                <w:w w:val="86"/>
              </w:rPr>
              <w:t>Income (Loss)</w:t>
            </w: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gridSpan w:val="2"/>
            <w:vMerge w:val="restart"/>
          </w:tcPr>
          <w:p>
            <w:pPr>
              <w:jc w:val="right"/>
              <w:ind w:right="740"/>
              <w:spacing w:after="0"/>
              <w:rPr>
                <w:sz w:val="20"/>
                <w:szCs w:val="20"/>
                <w:color w:val="auto"/>
              </w:rPr>
            </w:pPr>
            <w:r>
              <w:rPr>
                <w:rFonts w:ascii="Arial" w:cs="Arial" w:eastAsia="Arial" w:hAnsi="Arial"/>
                <w:sz w:val="16"/>
                <w:szCs w:val="16"/>
                <w:b w:val="1"/>
                <w:bCs w:val="1"/>
                <w:color w:val="231F20"/>
              </w:rPr>
              <w:t>Deficit</w:t>
            </w:r>
          </w:p>
        </w:tc>
        <w:tc>
          <w:tcPr>
            <w:tcW w:w="140" w:type="dxa"/>
            <w:vAlign w:val="bottom"/>
          </w:tcPr>
          <w:p>
            <w:pPr>
              <w:spacing w:after="0"/>
              <w:rPr>
                <w:sz w:val="2"/>
                <w:szCs w:val="2"/>
                <w:color w:val="auto"/>
              </w:rPr>
            </w:pPr>
          </w:p>
        </w:tc>
        <w:tc>
          <w:tcPr>
            <w:tcW w:w="118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231F20"/>
                <w:w w:val="89"/>
              </w:rPr>
              <w:t>Equity</w:t>
            </w:r>
          </w:p>
        </w:tc>
        <w:tc>
          <w:tcPr>
            <w:tcW w:w="0" w:type="dxa"/>
            <w:vAlign w:val="bottom"/>
          </w:tcPr>
          <w:p>
            <w:pPr>
              <w:spacing w:after="0"/>
              <w:rPr>
                <w:sz w:val="1"/>
                <w:szCs w:val="1"/>
                <w:color w:val="auto"/>
              </w:rPr>
            </w:pPr>
          </w:p>
        </w:tc>
      </w:tr>
      <w:tr>
        <w:trPr>
          <w:trHeight w:val="163"/>
        </w:trPr>
        <w:tc>
          <w:tcPr>
            <w:tcW w:w="1520" w:type="dxa"/>
            <w:vAlign w:val="bottom"/>
            <w:gridSpan w:val="3"/>
          </w:tcPr>
          <w:p>
            <w:pPr>
              <w:ind w:left="460"/>
              <w:spacing w:after="0" w:line="163" w:lineRule="exact"/>
              <w:rPr>
                <w:sz w:val="20"/>
                <w:szCs w:val="20"/>
                <w:color w:val="auto"/>
              </w:rPr>
            </w:pPr>
            <w:r>
              <w:rPr>
                <w:rFonts w:ascii="Arial" w:cs="Arial" w:eastAsia="Arial" w:hAnsi="Arial"/>
                <w:sz w:val="16"/>
                <w:szCs w:val="16"/>
                <w:b w:val="1"/>
                <w:bCs w:val="1"/>
                <w:color w:val="231F20"/>
              </w:rPr>
              <w:t>Shares</w:t>
            </w:r>
          </w:p>
        </w:tc>
        <w:tc>
          <w:tcPr>
            <w:tcW w:w="140" w:type="dxa"/>
            <w:vAlign w:val="bottom"/>
          </w:tcPr>
          <w:p>
            <w:pPr>
              <w:spacing w:after="0"/>
              <w:rPr>
                <w:sz w:val="14"/>
                <w:szCs w:val="14"/>
                <w:color w:val="auto"/>
              </w:rPr>
            </w:pPr>
          </w:p>
        </w:tc>
        <w:tc>
          <w:tcPr>
            <w:tcW w:w="1120" w:type="dxa"/>
            <w:vAlign w:val="bottom"/>
          </w:tcPr>
          <w:p>
            <w:pPr>
              <w:jc w:val="right"/>
              <w:ind w:right="66"/>
              <w:spacing w:after="0" w:line="163" w:lineRule="exact"/>
              <w:rPr>
                <w:sz w:val="20"/>
                <w:szCs w:val="20"/>
                <w:color w:val="auto"/>
              </w:rPr>
            </w:pPr>
            <w:r>
              <w:rPr>
                <w:rFonts w:ascii="Arial" w:cs="Arial" w:eastAsia="Arial" w:hAnsi="Arial"/>
                <w:sz w:val="16"/>
                <w:szCs w:val="16"/>
                <w:b w:val="1"/>
                <w:bCs w:val="1"/>
                <w:color w:val="231F20"/>
              </w:rPr>
              <w:t>Amount</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80" w:type="dxa"/>
            <w:vAlign w:val="bottom"/>
            <w:tcBorders>
              <w:top w:val="single" w:sz="8" w:color="231F20"/>
            </w:tcBorders>
          </w:tcPr>
          <w:p>
            <w:pPr>
              <w:jc w:val="right"/>
              <w:spacing w:after="0" w:line="148" w:lineRule="exact"/>
              <w:rPr>
                <w:sz w:val="20"/>
                <w:szCs w:val="20"/>
                <w:color w:val="auto"/>
              </w:rPr>
            </w:pPr>
            <w:r>
              <w:rPr>
                <w:rFonts w:ascii="Arial" w:cs="Arial" w:eastAsia="Arial" w:hAnsi="Arial"/>
                <w:sz w:val="16"/>
                <w:szCs w:val="16"/>
                <w:b w:val="1"/>
                <w:bCs w:val="1"/>
                <w:color w:val="231F20"/>
              </w:rPr>
              <w:t>40,587,067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Borders>
              <w:top w:val="single" w:sz="8" w:color="231F20"/>
            </w:tcBorders>
          </w:tcPr>
          <w:p>
            <w:pPr>
              <w:jc w:val="right"/>
              <w:ind w:right="966"/>
              <w:spacing w:after="0" w:line="148" w:lineRule="exact"/>
              <w:rPr>
                <w:sz w:val="20"/>
                <w:szCs w:val="20"/>
                <w:color w:val="auto"/>
              </w:rPr>
            </w:pPr>
            <w:r>
              <w:rPr>
                <w:rFonts w:ascii="Arial" w:cs="Arial" w:eastAsia="Arial" w:hAnsi="Arial"/>
                <w:sz w:val="14"/>
                <w:szCs w:val="14"/>
                <w:b w:val="1"/>
                <w:bCs w:val="1"/>
                <w:color w:val="231F20"/>
                <w:w w:val="76"/>
              </w:rPr>
              <w:t>$</w:t>
            </w:r>
          </w:p>
        </w:tc>
        <w:tc>
          <w:tcPr>
            <w:tcW w:w="280" w:type="dxa"/>
            <w:vAlign w:val="bottom"/>
            <w:tcBorders>
              <w:top w:val="single" w:sz="8" w:color="231F20"/>
            </w:tcBorders>
          </w:tcPr>
          <w:p>
            <w:pPr>
              <w:jc w:val="right"/>
              <w:spacing w:after="0" w:line="148" w:lineRule="exact"/>
              <w:rPr>
                <w:sz w:val="20"/>
                <w:szCs w:val="20"/>
                <w:color w:val="auto"/>
              </w:rPr>
            </w:pPr>
            <w:r>
              <w:rPr>
                <w:rFonts w:ascii="Arial" w:cs="Arial" w:eastAsia="Arial" w:hAnsi="Arial"/>
                <w:sz w:val="16"/>
                <w:szCs w:val="16"/>
                <w:b w:val="1"/>
                <w:bCs w:val="1"/>
                <w:color w:val="231F20"/>
              </w:rPr>
              <w:t>41</w:t>
            </w:r>
          </w:p>
        </w:tc>
        <w:tc>
          <w:tcPr>
            <w:tcW w:w="280" w:type="dxa"/>
            <w:vAlign w:val="bottom"/>
          </w:tcPr>
          <w:p>
            <w:pPr>
              <w:spacing w:after="0"/>
              <w:rPr>
                <w:sz w:val="12"/>
                <w:szCs w:val="12"/>
                <w:color w:val="auto"/>
              </w:rPr>
            </w:pPr>
          </w:p>
        </w:tc>
        <w:tc>
          <w:tcPr>
            <w:tcW w:w="220" w:type="dxa"/>
            <w:vAlign w:val="bottom"/>
            <w:tcBorders>
              <w:top w:val="single" w:sz="8" w:color="231F20"/>
            </w:tcBorders>
          </w:tcPr>
          <w:p>
            <w:pPr>
              <w:jc w:val="right"/>
              <w:ind w:right="68"/>
              <w:spacing w:after="0" w:line="148" w:lineRule="exact"/>
              <w:rPr>
                <w:sz w:val="20"/>
                <w:szCs w:val="20"/>
                <w:color w:val="auto"/>
              </w:rPr>
            </w:pPr>
            <w:r>
              <w:rPr>
                <w:rFonts w:ascii="Arial" w:cs="Arial" w:eastAsia="Arial" w:hAnsi="Arial"/>
                <w:sz w:val="14"/>
                <w:szCs w:val="14"/>
                <w:b w:val="1"/>
                <w:bCs w:val="1"/>
                <w:color w:val="231F20"/>
                <w:w w:val="76"/>
              </w:rPr>
              <w:t>$</w:t>
            </w:r>
          </w:p>
        </w:tc>
        <w:tc>
          <w:tcPr>
            <w:tcW w:w="1180" w:type="dxa"/>
            <w:vAlign w:val="bottom"/>
            <w:tcBorders>
              <w:top w:val="single" w:sz="8" w:color="231F20"/>
            </w:tcBorders>
          </w:tcPr>
          <w:p>
            <w:pPr>
              <w:jc w:val="right"/>
              <w:spacing w:after="0" w:line="148" w:lineRule="exact"/>
              <w:rPr>
                <w:sz w:val="20"/>
                <w:szCs w:val="20"/>
                <w:color w:val="auto"/>
              </w:rPr>
            </w:pPr>
            <w:r>
              <w:rPr>
                <w:rFonts w:ascii="Arial" w:cs="Arial" w:eastAsia="Arial" w:hAnsi="Arial"/>
                <w:sz w:val="16"/>
                <w:szCs w:val="16"/>
                <w:b w:val="1"/>
                <w:bCs w:val="1"/>
                <w:color w:val="231F20"/>
              </w:rPr>
              <w:t>564,993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231F20"/>
            </w:tcBorders>
          </w:tcPr>
          <w:p>
            <w:pPr>
              <w:jc w:val="right"/>
              <w:spacing w:after="0" w:line="148" w:lineRule="exact"/>
              <w:rPr>
                <w:sz w:val="20"/>
                <w:szCs w:val="20"/>
                <w:color w:val="auto"/>
              </w:rPr>
            </w:pPr>
            <w:r>
              <w:rPr>
                <w:rFonts w:ascii="Arial" w:cs="Arial" w:eastAsia="Arial" w:hAnsi="Arial"/>
                <w:sz w:val="14"/>
                <w:szCs w:val="14"/>
                <w:b w:val="1"/>
                <w:bCs w:val="1"/>
                <w:color w:val="231F20"/>
                <w:w w:val="76"/>
              </w:rPr>
              <w:t>$</w:t>
            </w:r>
          </w:p>
        </w:tc>
        <w:tc>
          <w:tcPr>
            <w:tcW w:w="1280" w:type="dxa"/>
            <w:vAlign w:val="bottom"/>
            <w:tcBorders>
              <w:top w:val="single" w:sz="8" w:color="231F20"/>
            </w:tcBorders>
          </w:tcPr>
          <w:p>
            <w:pPr>
              <w:jc w:val="right"/>
              <w:spacing w:after="0" w:line="148" w:lineRule="exact"/>
              <w:rPr>
                <w:sz w:val="20"/>
                <w:szCs w:val="20"/>
                <w:color w:val="auto"/>
              </w:rPr>
            </w:pPr>
            <w:r>
              <w:rPr>
                <w:rFonts w:ascii="PMingLiU" w:cs="PMingLiU" w:eastAsia="PMingLiU" w:hAnsi="PMingLiU"/>
                <w:sz w:val="16"/>
                <w:szCs w:val="16"/>
                <w:b w:val="1"/>
                <w:bCs w:val="1"/>
                <w:color w:val="231F20"/>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231F20"/>
            </w:tcBorders>
          </w:tcPr>
          <w:p>
            <w:pPr>
              <w:jc w:val="right"/>
              <w:ind w:right="8"/>
              <w:spacing w:after="0" w:line="148" w:lineRule="exact"/>
              <w:rPr>
                <w:sz w:val="20"/>
                <w:szCs w:val="20"/>
                <w:color w:val="auto"/>
              </w:rPr>
            </w:pPr>
            <w:r>
              <w:rPr>
                <w:rFonts w:ascii="Arial" w:cs="Arial" w:eastAsia="Arial" w:hAnsi="Arial"/>
                <w:sz w:val="14"/>
                <w:szCs w:val="14"/>
                <w:b w:val="1"/>
                <w:bCs w:val="1"/>
                <w:color w:val="231F20"/>
                <w:w w:val="76"/>
              </w:rPr>
              <w:t>$</w:t>
            </w:r>
          </w:p>
        </w:tc>
        <w:tc>
          <w:tcPr>
            <w:tcW w:w="1240" w:type="dxa"/>
            <w:vAlign w:val="bottom"/>
            <w:tcBorders>
              <w:top w:val="single" w:sz="8" w:color="231F20"/>
            </w:tcBorders>
          </w:tcPr>
          <w:p>
            <w:pPr>
              <w:jc w:val="right"/>
              <w:spacing w:after="0" w:line="148" w:lineRule="exact"/>
              <w:rPr>
                <w:sz w:val="20"/>
                <w:szCs w:val="20"/>
                <w:color w:val="auto"/>
              </w:rPr>
            </w:pPr>
            <w:r>
              <w:rPr>
                <w:rFonts w:ascii="Arial" w:cs="Arial" w:eastAsia="Arial" w:hAnsi="Arial"/>
                <w:sz w:val="16"/>
                <w:szCs w:val="16"/>
                <w:b w:val="1"/>
                <w:bCs w:val="1"/>
                <w:color w:val="231F20"/>
              </w:rPr>
              <w:t>(201,985)</w:t>
            </w:r>
          </w:p>
        </w:tc>
        <w:tc>
          <w:tcPr>
            <w:tcW w:w="260" w:type="dxa"/>
            <w:vAlign w:val="bottom"/>
          </w:tcPr>
          <w:p>
            <w:pPr>
              <w:spacing w:after="0"/>
              <w:rPr>
                <w:sz w:val="12"/>
                <w:szCs w:val="12"/>
                <w:color w:val="auto"/>
              </w:rPr>
            </w:pPr>
          </w:p>
        </w:tc>
        <w:tc>
          <w:tcPr>
            <w:tcW w:w="140" w:type="dxa"/>
            <w:vAlign w:val="bottom"/>
            <w:tcBorders>
              <w:top w:val="single" w:sz="8" w:color="231F20"/>
            </w:tcBorders>
          </w:tcPr>
          <w:p>
            <w:pPr>
              <w:jc w:val="right"/>
              <w:spacing w:after="0" w:line="148" w:lineRule="exact"/>
              <w:rPr>
                <w:sz w:val="20"/>
                <w:szCs w:val="20"/>
                <w:color w:val="auto"/>
              </w:rPr>
            </w:pPr>
            <w:r>
              <w:rPr>
                <w:rFonts w:ascii="Arial" w:cs="Arial" w:eastAsia="Arial" w:hAnsi="Arial"/>
                <w:sz w:val="14"/>
                <w:szCs w:val="14"/>
                <w:b w:val="1"/>
                <w:bCs w:val="1"/>
                <w:color w:val="231F20"/>
                <w:w w:val="76"/>
              </w:rPr>
              <w:t>$</w:t>
            </w:r>
          </w:p>
        </w:tc>
        <w:tc>
          <w:tcPr>
            <w:tcW w:w="1140" w:type="dxa"/>
            <w:vAlign w:val="bottom"/>
            <w:tcBorders>
              <w:top w:val="single" w:sz="8" w:color="231F20"/>
            </w:tcBorders>
          </w:tcPr>
          <w:p>
            <w:pPr>
              <w:jc w:val="right"/>
              <w:spacing w:after="0" w:line="148" w:lineRule="exact"/>
              <w:rPr>
                <w:sz w:val="20"/>
                <w:szCs w:val="20"/>
                <w:color w:val="auto"/>
              </w:rPr>
            </w:pPr>
            <w:r>
              <w:rPr>
                <w:rFonts w:ascii="Arial" w:cs="Arial" w:eastAsia="Arial" w:hAnsi="Arial"/>
                <w:sz w:val="16"/>
                <w:szCs w:val="16"/>
                <w:b w:val="1"/>
                <w:bCs w:val="1"/>
                <w:color w:val="231F20"/>
              </w:rPr>
              <w:t>363,049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20" w:type="dxa"/>
            <w:vAlign w:val="bottom"/>
            <w:gridSpan w:val="3"/>
          </w:tcPr>
          <w:p>
            <w:pPr>
              <w:jc w:val="right"/>
              <w:ind w:right="140"/>
              <w:spacing w:after="0" w:line="171" w:lineRule="exact"/>
              <w:rPr>
                <w:sz w:val="20"/>
                <w:szCs w:val="20"/>
                <w:color w:val="auto"/>
              </w:rPr>
            </w:pPr>
            <w:r>
              <w:rPr>
                <w:rFonts w:ascii="Arial" w:cs="Arial" w:eastAsia="Arial" w:hAnsi="Arial"/>
                <w:sz w:val="16"/>
                <w:szCs w:val="16"/>
                <w:b w:val="1"/>
                <w:bCs w:val="1"/>
                <w:color w:val="231F20"/>
              </w:rPr>
              <w:t>225,612</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gridSpan w:val="2"/>
          </w:tcPr>
          <w:p>
            <w:pPr>
              <w:jc w:val="right"/>
              <w:ind w:right="280"/>
              <w:spacing w:after="0" w:line="171" w:lineRule="exact"/>
              <w:rPr>
                <w:sz w:val="20"/>
                <w:szCs w:val="20"/>
                <w:color w:val="auto"/>
              </w:rPr>
            </w:pPr>
            <w:r>
              <w:rPr>
                <w:rFonts w:ascii="PMingLiU" w:cs="PMingLiU" w:eastAsia="PMingLiU" w:hAnsi="PMingLiU"/>
                <w:sz w:val="16"/>
                <w:szCs w:val="16"/>
                <w:b w:val="1"/>
                <w:bCs w:val="1"/>
                <w:color w:val="231F20"/>
              </w:rPr>
              <w:t></w:t>
            </w:r>
          </w:p>
        </w:tc>
        <w:tc>
          <w:tcPr>
            <w:tcW w:w="220" w:type="dxa"/>
            <w:vAlign w:val="bottom"/>
          </w:tcPr>
          <w:p>
            <w:pPr>
              <w:spacing w:after="0"/>
              <w:rPr>
                <w:sz w:val="14"/>
                <w:szCs w:val="14"/>
                <w:color w:val="auto"/>
              </w:rPr>
            </w:pPr>
          </w:p>
        </w:tc>
        <w:tc>
          <w:tcPr>
            <w:tcW w:w="1320" w:type="dxa"/>
            <w:vAlign w:val="bottom"/>
            <w:gridSpan w:val="2"/>
          </w:tcPr>
          <w:p>
            <w:pPr>
              <w:jc w:val="right"/>
              <w:ind w:right="140"/>
              <w:spacing w:after="0" w:line="171" w:lineRule="exact"/>
              <w:rPr>
                <w:sz w:val="20"/>
                <w:szCs w:val="20"/>
                <w:color w:val="auto"/>
              </w:rPr>
            </w:pPr>
            <w:r>
              <w:rPr>
                <w:rFonts w:ascii="Arial" w:cs="Arial" w:eastAsia="Arial" w:hAnsi="Arial"/>
                <w:sz w:val="16"/>
                <w:szCs w:val="16"/>
                <w:b w:val="1"/>
                <w:bCs w:val="1"/>
                <w:color w:val="231F20"/>
              </w:rPr>
              <w:t>567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ind w:right="160"/>
              <w:spacing w:after="0" w:line="171" w:lineRule="exact"/>
              <w:rPr>
                <w:sz w:val="20"/>
                <w:szCs w:val="20"/>
                <w:color w:val="auto"/>
              </w:rPr>
            </w:pPr>
            <w:r>
              <w:rPr>
                <w:rFonts w:ascii="PMingLiU" w:cs="PMingLiU" w:eastAsia="PMingLiU" w:hAnsi="PMingLiU"/>
                <w:sz w:val="16"/>
                <w:szCs w:val="16"/>
                <w:b w:val="1"/>
                <w:bCs w:val="1"/>
                <w:color w:val="231F20"/>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right"/>
              <w:ind w:right="260"/>
              <w:spacing w:after="0" w:line="171" w:lineRule="exact"/>
              <w:rPr>
                <w:sz w:val="20"/>
                <w:szCs w:val="20"/>
                <w:color w:val="auto"/>
              </w:rPr>
            </w:pPr>
            <w:r>
              <w:rPr>
                <w:rFonts w:ascii="PMingLiU" w:cs="PMingLiU" w:eastAsia="PMingLiU" w:hAnsi="PMingLiU"/>
                <w:sz w:val="16"/>
                <w:szCs w:val="16"/>
                <w:b w:val="1"/>
                <w:bCs w:val="1"/>
                <w:color w:val="231F20"/>
              </w:rPr>
              <w:t></w:t>
            </w:r>
          </w:p>
        </w:tc>
        <w:tc>
          <w:tcPr>
            <w:tcW w:w="140" w:type="dxa"/>
            <w:vAlign w:val="bottom"/>
          </w:tcPr>
          <w:p>
            <w:pPr>
              <w:spacing w:after="0"/>
              <w:rPr>
                <w:sz w:val="14"/>
                <w:szCs w:val="14"/>
                <w:color w:val="auto"/>
              </w:rPr>
            </w:pPr>
          </w:p>
        </w:tc>
        <w:tc>
          <w:tcPr>
            <w:tcW w:w="1180" w:type="dxa"/>
            <w:vAlign w:val="bottom"/>
            <w:gridSpan w:val="2"/>
          </w:tcPr>
          <w:p>
            <w:pPr>
              <w:jc w:val="right"/>
              <w:ind w:right="40"/>
              <w:spacing w:after="0" w:line="171" w:lineRule="exact"/>
              <w:rPr>
                <w:sz w:val="20"/>
                <w:szCs w:val="20"/>
                <w:color w:val="auto"/>
              </w:rPr>
            </w:pPr>
            <w:r>
              <w:rPr>
                <w:rFonts w:ascii="Arial" w:cs="Arial" w:eastAsia="Arial" w:hAnsi="Arial"/>
                <w:sz w:val="16"/>
                <w:szCs w:val="16"/>
                <w:b w:val="1"/>
                <w:bCs w:val="1"/>
                <w:color w:val="231F20"/>
              </w:rPr>
              <w:t>567</w:t>
            </w:r>
          </w:p>
        </w:tc>
        <w:tc>
          <w:tcPr>
            <w:tcW w:w="0" w:type="dxa"/>
            <w:vAlign w:val="bottom"/>
          </w:tcPr>
          <w:p>
            <w:pPr>
              <w:spacing w:after="0"/>
              <w:rPr>
                <w:sz w:val="1"/>
                <w:szCs w:val="1"/>
                <w:color w:val="auto"/>
              </w:rPr>
            </w:pPr>
          </w:p>
        </w:tc>
      </w:tr>
      <w:tr>
        <w:trPr>
          <w:trHeight w:val="358"/>
        </w:trPr>
        <w:tc>
          <w:tcPr>
            <w:tcW w:w="15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231F20"/>
              </w:rPr>
              <w:t>48,707</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gridSpan w:val="2"/>
          </w:tcPr>
          <w:p>
            <w:pPr>
              <w:jc w:val="right"/>
              <w:ind w:right="280"/>
              <w:spacing w:after="0" w:line="192" w:lineRule="exact"/>
              <w:rPr>
                <w:sz w:val="20"/>
                <w:szCs w:val="20"/>
                <w:color w:val="auto"/>
              </w:rPr>
            </w:pPr>
            <w:r>
              <w:rPr>
                <w:rFonts w:ascii="PMingLiU" w:cs="PMingLiU" w:eastAsia="PMingLiU" w:hAnsi="PMingLiU"/>
                <w:sz w:val="16"/>
                <w:szCs w:val="16"/>
                <w:b w:val="1"/>
                <w:bCs w:val="1"/>
                <w:color w:val="231F20"/>
              </w:rPr>
              <w:t></w:t>
            </w:r>
          </w:p>
        </w:tc>
        <w:tc>
          <w:tcPr>
            <w:tcW w:w="220" w:type="dxa"/>
            <w:vAlign w:val="bottom"/>
          </w:tcPr>
          <w:p>
            <w:pPr>
              <w:spacing w:after="0"/>
              <w:rPr>
                <w:sz w:val="24"/>
                <w:szCs w:val="2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231F20"/>
              </w:rPr>
              <w:t>336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right"/>
              <w:ind w:right="160"/>
              <w:spacing w:after="0" w:line="192" w:lineRule="exact"/>
              <w:rPr>
                <w:sz w:val="20"/>
                <w:szCs w:val="20"/>
                <w:color w:val="auto"/>
              </w:rPr>
            </w:pPr>
            <w:r>
              <w:rPr>
                <w:rFonts w:ascii="PMingLiU" w:cs="PMingLiU" w:eastAsia="PMingLiU" w:hAnsi="PMingLiU"/>
                <w:sz w:val="16"/>
                <w:szCs w:val="16"/>
                <w:b w:val="1"/>
                <w:bCs w:val="1"/>
                <w:color w:val="231F20"/>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right"/>
              <w:ind w:right="260"/>
              <w:spacing w:after="0" w:line="192" w:lineRule="exact"/>
              <w:rPr>
                <w:sz w:val="20"/>
                <w:szCs w:val="20"/>
                <w:color w:val="auto"/>
              </w:rPr>
            </w:pPr>
            <w:r>
              <w:rPr>
                <w:rFonts w:ascii="PMingLiU" w:cs="PMingLiU" w:eastAsia="PMingLiU" w:hAnsi="PMingLiU"/>
                <w:sz w:val="16"/>
                <w:szCs w:val="16"/>
                <w:b w:val="1"/>
                <w:bCs w:val="1"/>
                <w:color w:val="231F20"/>
              </w:rPr>
              <w:t></w:t>
            </w:r>
          </w:p>
        </w:tc>
        <w:tc>
          <w:tcPr>
            <w:tcW w:w="140" w:type="dxa"/>
            <w:vAlign w:val="bottom"/>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231F20"/>
              </w:rPr>
              <w:t>336</w:t>
            </w:r>
          </w:p>
        </w:tc>
        <w:tc>
          <w:tcPr>
            <w:tcW w:w="0" w:type="dxa"/>
            <w:vAlign w:val="bottom"/>
          </w:tcPr>
          <w:p>
            <w:pPr>
              <w:spacing w:after="0"/>
              <w:rPr>
                <w:sz w:val="1"/>
                <w:szCs w:val="1"/>
                <w:color w:val="auto"/>
              </w:rPr>
            </w:pPr>
          </w:p>
        </w:tc>
      </w:tr>
      <w:tr>
        <w:trPr>
          <w:trHeight w:val="180"/>
        </w:trPr>
        <w:tc>
          <w:tcPr>
            <w:tcW w:w="1400" w:type="dxa"/>
            <w:vAlign w:val="bottom"/>
            <w:gridSpan w:val="2"/>
          </w:tcPr>
          <w:p>
            <w:pPr>
              <w:jc w:val="right"/>
              <w:ind w:right="20"/>
              <w:spacing w:after="0" w:line="180" w:lineRule="exact"/>
              <w:rPr>
                <w:sz w:val="20"/>
                <w:szCs w:val="20"/>
                <w:color w:val="auto"/>
              </w:rPr>
            </w:pPr>
            <w:r>
              <w:rPr>
                <w:rFonts w:ascii="PMingLiU" w:cs="PMingLiU" w:eastAsia="PMingLiU" w:hAnsi="PMingLiU"/>
                <w:sz w:val="16"/>
                <w:szCs w:val="16"/>
                <w:b w:val="1"/>
                <w:bCs w:val="1"/>
                <w:color w:val="231F20"/>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60" w:type="dxa"/>
            <w:vAlign w:val="bottom"/>
            <w:gridSpan w:val="2"/>
          </w:tcPr>
          <w:p>
            <w:pPr>
              <w:jc w:val="right"/>
              <w:ind w:right="280"/>
              <w:spacing w:after="0" w:line="180" w:lineRule="exact"/>
              <w:rPr>
                <w:sz w:val="20"/>
                <w:szCs w:val="20"/>
                <w:color w:val="auto"/>
              </w:rPr>
            </w:pPr>
            <w:r>
              <w:rPr>
                <w:rFonts w:ascii="PMingLiU" w:cs="PMingLiU" w:eastAsia="PMingLiU" w:hAnsi="PMingLiU"/>
                <w:sz w:val="16"/>
                <w:szCs w:val="16"/>
                <w:b w:val="1"/>
                <w:bCs w:val="1"/>
                <w:color w:val="231F20"/>
              </w:rPr>
              <w:t></w:t>
            </w:r>
          </w:p>
        </w:tc>
        <w:tc>
          <w:tcPr>
            <w:tcW w:w="22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Arial" w:cs="Arial" w:eastAsia="Arial" w:hAnsi="Arial"/>
                <w:sz w:val="16"/>
                <w:szCs w:val="16"/>
                <w:b w:val="1"/>
                <w:bCs w:val="1"/>
                <w:color w:val="231F20"/>
              </w:rPr>
              <w:t>23,839</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right"/>
              <w:ind w:right="160"/>
              <w:spacing w:after="0" w:line="180" w:lineRule="exact"/>
              <w:rPr>
                <w:sz w:val="20"/>
                <w:szCs w:val="20"/>
                <w:color w:val="auto"/>
              </w:rPr>
            </w:pPr>
            <w:r>
              <w:rPr>
                <w:rFonts w:ascii="PMingLiU" w:cs="PMingLiU" w:eastAsia="PMingLiU" w:hAnsi="PMingLiU"/>
                <w:sz w:val="16"/>
                <w:szCs w:val="16"/>
                <w:b w:val="1"/>
                <w:bCs w:val="1"/>
                <w:color w:val="231F20"/>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line="180" w:lineRule="exact"/>
              <w:rPr>
                <w:sz w:val="20"/>
                <w:szCs w:val="20"/>
                <w:color w:val="auto"/>
              </w:rPr>
            </w:pPr>
            <w:r>
              <w:rPr>
                <w:rFonts w:ascii="PMingLiU" w:cs="PMingLiU" w:eastAsia="PMingLiU" w:hAnsi="PMingLiU"/>
                <w:sz w:val="16"/>
                <w:szCs w:val="16"/>
                <w:b w:val="1"/>
                <w:bCs w:val="1"/>
                <w:color w:val="231F20"/>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40"/>
              <w:spacing w:after="0" w:line="180" w:lineRule="exact"/>
              <w:rPr>
                <w:sz w:val="20"/>
                <w:szCs w:val="20"/>
                <w:color w:val="auto"/>
              </w:rPr>
            </w:pPr>
            <w:r>
              <w:rPr>
                <w:rFonts w:ascii="Arial" w:cs="Arial" w:eastAsia="Arial" w:hAnsi="Arial"/>
                <w:sz w:val="16"/>
                <w:szCs w:val="16"/>
                <w:b w:val="1"/>
                <w:bCs w:val="1"/>
                <w:color w:val="231F20"/>
              </w:rPr>
              <w:t>23,839</w:t>
            </w:r>
          </w:p>
        </w:tc>
        <w:tc>
          <w:tcPr>
            <w:tcW w:w="0" w:type="dxa"/>
            <w:vAlign w:val="bottom"/>
          </w:tcPr>
          <w:p>
            <w:pPr>
              <w:spacing w:after="0"/>
              <w:rPr>
                <w:sz w:val="1"/>
                <w:szCs w:val="1"/>
                <w:color w:val="auto"/>
              </w:rPr>
            </w:pPr>
          </w:p>
        </w:tc>
      </w:tr>
      <w:tr>
        <w:trPr>
          <w:trHeight w:val="178"/>
        </w:trPr>
        <w:tc>
          <w:tcPr>
            <w:tcW w:w="1400" w:type="dxa"/>
            <w:vAlign w:val="bottom"/>
            <w:gridSpan w:val="2"/>
          </w:tcPr>
          <w:p>
            <w:pPr>
              <w:jc w:val="right"/>
              <w:ind w:right="20"/>
              <w:spacing w:after="0" w:line="178" w:lineRule="exact"/>
              <w:rPr>
                <w:sz w:val="20"/>
                <w:szCs w:val="20"/>
                <w:color w:val="auto"/>
              </w:rPr>
            </w:pPr>
            <w:r>
              <w:rPr>
                <w:rFonts w:ascii="PMingLiU" w:cs="PMingLiU" w:eastAsia="PMingLiU" w:hAnsi="PMingLiU"/>
                <w:sz w:val="16"/>
                <w:szCs w:val="16"/>
                <w:b w:val="1"/>
                <w:bCs w:val="1"/>
                <w:color w:val="231F20"/>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60" w:type="dxa"/>
            <w:vAlign w:val="bottom"/>
            <w:gridSpan w:val="2"/>
          </w:tcPr>
          <w:p>
            <w:pPr>
              <w:jc w:val="right"/>
              <w:ind w:right="280"/>
              <w:spacing w:after="0" w:line="178" w:lineRule="exact"/>
              <w:rPr>
                <w:sz w:val="20"/>
                <w:szCs w:val="20"/>
                <w:color w:val="auto"/>
              </w:rPr>
            </w:pPr>
            <w:r>
              <w:rPr>
                <w:rFonts w:ascii="PMingLiU" w:cs="PMingLiU" w:eastAsia="PMingLiU" w:hAnsi="PMingLiU"/>
                <w:sz w:val="16"/>
                <w:szCs w:val="16"/>
                <w:b w:val="1"/>
                <w:bCs w:val="1"/>
                <w:color w:val="231F20"/>
              </w:rPr>
              <w:t></w:t>
            </w:r>
          </w:p>
        </w:tc>
        <w:tc>
          <w:tcPr>
            <w:tcW w:w="220" w:type="dxa"/>
            <w:vAlign w:val="bottom"/>
          </w:tcPr>
          <w:p>
            <w:pPr>
              <w:spacing w:after="0"/>
              <w:rPr>
                <w:sz w:val="15"/>
                <w:szCs w:val="15"/>
                <w:color w:val="auto"/>
              </w:rPr>
            </w:pPr>
          </w:p>
        </w:tc>
        <w:tc>
          <w:tcPr>
            <w:tcW w:w="1180" w:type="dxa"/>
            <w:vAlign w:val="bottom"/>
          </w:tcPr>
          <w:p>
            <w:pPr>
              <w:jc w:val="right"/>
              <w:spacing w:after="0" w:line="178" w:lineRule="exact"/>
              <w:rPr>
                <w:sz w:val="20"/>
                <w:szCs w:val="20"/>
                <w:color w:val="auto"/>
              </w:rPr>
            </w:pPr>
            <w:r>
              <w:rPr>
                <w:rFonts w:ascii="PMingLiU" w:cs="PMingLiU" w:eastAsia="PMingLiU" w:hAnsi="PMingLiU"/>
                <w:sz w:val="16"/>
                <w:szCs w:val="16"/>
                <w:b w:val="1"/>
                <w:bCs w:val="1"/>
                <w:color w:val="231F20"/>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right"/>
              <w:ind w:right="120"/>
              <w:spacing w:after="0" w:line="178" w:lineRule="exact"/>
              <w:rPr>
                <w:sz w:val="20"/>
                <w:szCs w:val="20"/>
                <w:color w:val="auto"/>
              </w:rPr>
            </w:pPr>
            <w:r>
              <w:rPr>
                <w:rFonts w:ascii="Arial" w:cs="Arial" w:eastAsia="Arial" w:hAnsi="Arial"/>
                <w:sz w:val="16"/>
                <w:szCs w:val="16"/>
                <w:b w:val="1"/>
                <w:bCs w:val="1"/>
                <w:color w:val="231F20"/>
              </w:rPr>
              <w:t>(845)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line="178" w:lineRule="exact"/>
              <w:rPr>
                <w:sz w:val="20"/>
                <w:szCs w:val="20"/>
                <w:color w:val="auto"/>
              </w:rPr>
            </w:pPr>
            <w:r>
              <w:rPr>
                <w:rFonts w:ascii="PMingLiU" w:cs="PMingLiU" w:eastAsia="PMingLiU" w:hAnsi="PMingLiU"/>
                <w:sz w:val="16"/>
                <w:szCs w:val="16"/>
                <w:b w:val="1"/>
                <w:bCs w:val="1"/>
                <w:color w:val="231F20"/>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spacing w:after="0" w:line="178" w:lineRule="exact"/>
              <w:rPr>
                <w:sz w:val="20"/>
                <w:szCs w:val="20"/>
                <w:color w:val="auto"/>
              </w:rPr>
            </w:pPr>
            <w:r>
              <w:rPr>
                <w:rFonts w:ascii="Arial" w:cs="Arial" w:eastAsia="Arial" w:hAnsi="Arial"/>
                <w:sz w:val="16"/>
                <w:szCs w:val="16"/>
                <w:b w:val="1"/>
                <w:bCs w:val="1"/>
                <w:color w:val="231F20"/>
              </w:rPr>
              <w:t>(845)</w:t>
            </w:r>
          </w:p>
        </w:tc>
        <w:tc>
          <w:tcPr>
            <w:tcW w:w="0" w:type="dxa"/>
            <w:vAlign w:val="bottom"/>
          </w:tcPr>
          <w:p>
            <w:pPr>
              <w:spacing w:after="0"/>
              <w:rPr>
                <w:sz w:val="1"/>
                <w:szCs w:val="1"/>
                <w:color w:val="auto"/>
              </w:rPr>
            </w:pPr>
          </w:p>
        </w:tc>
      </w:tr>
      <w:tr>
        <w:trPr>
          <w:trHeight w:val="178"/>
        </w:trPr>
        <w:tc>
          <w:tcPr>
            <w:tcW w:w="1400" w:type="dxa"/>
            <w:vAlign w:val="bottom"/>
            <w:gridSpan w:val="2"/>
          </w:tcPr>
          <w:p>
            <w:pPr>
              <w:jc w:val="right"/>
              <w:ind w:right="20"/>
              <w:spacing w:after="0" w:line="178" w:lineRule="exact"/>
              <w:rPr>
                <w:sz w:val="20"/>
                <w:szCs w:val="20"/>
                <w:color w:val="auto"/>
              </w:rPr>
            </w:pPr>
            <w:r>
              <w:rPr>
                <w:rFonts w:ascii="PMingLiU" w:cs="PMingLiU" w:eastAsia="PMingLiU" w:hAnsi="PMingLiU"/>
                <w:sz w:val="16"/>
                <w:szCs w:val="16"/>
                <w:b w:val="1"/>
                <w:bCs w:val="1"/>
                <w:color w:val="231F20"/>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60" w:type="dxa"/>
            <w:vAlign w:val="bottom"/>
            <w:gridSpan w:val="2"/>
          </w:tcPr>
          <w:p>
            <w:pPr>
              <w:jc w:val="right"/>
              <w:ind w:right="280"/>
              <w:spacing w:after="0" w:line="178" w:lineRule="exact"/>
              <w:rPr>
                <w:sz w:val="20"/>
                <w:szCs w:val="20"/>
                <w:color w:val="auto"/>
              </w:rPr>
            </w:pPr>
            <w:r>
              <w:rPr>
                <w:rFonts w:ascii="PMingLiU" w:cs="PMingLiU" w:eastAsia="PMingLiU" w:hAnsi="PMingLiU"/>
                <w:sz w:val="16"/>
                <w:szCs w:val="16"/>
                <w:b w:val="1"/>
                <w:bCs w:val="1"/>
                <w:color w:val="231F20"/>
              </w:rPr>
              <w:t></w:t>
            </w:r>
          </w:p>
        </w:tc>
        <w:tc>
          <w:tcPr>
            <w:tcW w:w="220" w:type="dxa"/>
            <w:vAlign w:val="bottom"/>
          </w:tcPr>
          <w:p>
            <w:pPr>
              <w:spacing w:after="0"/>
              <w:rPr>
                <w:sz w:val="15"/>
                <w:szCs w:val="15"/>
                <w:color w:val="auto"/>
              </w:rPr>
            </w:pPr>
          </w:p>
        </w:tc>
        <w:tc>
          <w:tcPr>
            <w:tcW w:w="1180" w:type="dxa"/>
            <w:vAlign w:val="bottom"/>
          </w:tcPr>
          <w:p>
            <w:pPr>
              <w:jc w:val="right"/>
              <w:spacing w:after="0" w:line="178" w:lineRule="exact"/>
              <w:rPr>
                <w:sz w:val="20"/>
                <w:szCs w:val="20"/>
                <w:color w:val="auto"/>
              </w:rPr>
            </w:pPr>
            <w:r>
              <w:rPr>
                <w:rFonts w:ascii="PMingLiU" w:cs="PMingLiU" w:eastAsia="PMingLiU" w:hAnsi="PMingLiU"/>
                <w:sz w:val="16"/>
                <w:szCs w:val="16"/>
                <w:b w:val="1"/>
                <w:bCs w:val="1"/>
                <w:color w:val="231F20"/>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right"/>
              <w:ind w:right="160"/>
              <w:spacing w:after="0" w:line="178" w:lineRule="exact"/>
              <w:rPr>
                <w:sz w:val="20"/>
                <w:szCs w:val="20"/>
                <w:color w:val="auto"/>
              </w:rPr>
            </w:pPr>
            <w:r>
              <w:rPr>
                <w:rFonts w:ascii="PMingLiU" w:cs="PMingLiU" w:eastAsia="PMingLiU" w:hAnsi="PMingLiU"/>
                <w:sz w:val="16"/>
                <w:szCs w:val="16"/>
                <w:b w:val="1"/>
                <w:bCs w:val="1"/>
                <w:color w:val="231F20"/>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right"/>
              <w:ind w:right="220"/>
              <w:spacing w:after="0" w:line="178" w:lineRule="exact"/>
              <w:rPr>
                <w:sz w:val="20"/>
                <w:szCs w:val="20"/>
                <w:color w:val="auto"/>
              </w:rPr>
            </w:pPr>
            <w:r>
              <w:rPr>
                <w:rFonts w:ascii="Arial" w:cs="Arial" w:eastAsia="Arial" w:hAnsi="Arial"/>
                <w:sz w:val="16"/>
                <w:szCs w:val="16"/>
                <w:b w:val="1"/>
                <w:bCs w:val="1"/>
                <w:color w:val="231F20"/>
              </w:rPr>
              <w:t>(123,482)</w:t>
            </w:r>
          </w:p>
        </w:tc>
        <w:tc>
          <w:tcPr>
            <w:tcW w:w="140" w:type="dxa"/>
            <w:vAlign w:val="bottom"/>
          </w:tcPr>
          <w:p>
            <w:pPr>
              <w:spacing w:after="0"/>
              <w:rPr>
                <w:sz w:val="15"/>
                <w:szCs w:val="15"/>
                <w:color w:val="auto"/>
              </w:rPr>
            </w:pPr>
          </w:p>
        </w:tc>
        <w:tc>
          <w:tcPr>
            <w:tcW w:w="1180" w:type="dxa"/>
            <w:vAlign w:val="bottom"/>
            <w:gridSpan w:val="2"/>
          </w:tcPr>
          <w:p>
            <w:pPr>
              <w:jc w:val="right"/>
              <w:spacing w:after="0" w:line="178" w:lineRule="exact"/>
              <w:rPr>
                <w:sz w:val="20"/>
                <w:szCs w:val="20"/>
                <w:color w:val="auto"/>
              </w:rPr>
            </w:pPr>
            <w:r>
              <w:rPr>
                <w:rFonts w:ascii="Arial" w:cs="Arial" w:eastAsia="Arial" w:hAnsi="Arial"/>
                <w:sz w:val="16"/>
                <w:szCs w:val="16"/>
                <w:b w:val="1"/>
                <w:bCs w:val="1"/>
                <w:color w:val="231F20"/>
              </w:rPr>
              <w:t>(123,482)</w:t>
            </w:r>
          </w:p>
        </w:tc>
        <w:tc>
          <w:tcPr>
            <w:tcW w:w="0" w:type="dxa"/>
            <w:vAlign w:val="bottom"/>
          </w:tcPr>
          <w:p>
            <w:pPr>
              <w:spacing w:after="0"/>
              <w:rPr>
                <w:sz w:val="1"/>
                <w:szCs w:val="1"/>
                <w:color w:val="auto"/>
              </w:rPr>
            </w:pPr>
          </w:p>
        </w:tc>
      </w:tr>
      <w:tr>
        <w:trPr>
          <w:trHeight w:val="32"/>
        </w:trPr>
        <w:tc>
          <w:tcPr>
            <w:tcW w:w="1400" w:type="dxa"/>
            <w:vAlign w:val="bottom"/>
            <w:tcBorders>
              <w:bottom w:val="single" w:sz="8" w:color="231F20"/>
            </w:tcBorders>
            <w:gridSpan w:val="2"/>
          </w:tcPr>
          <w:p>
            <w:pPr>
              <w:spacing w:after="0"/>
              <w:rPr>
                <w:sz w:val="2"/>
                <w:szCs w:val="2"/>
                <w:color w:val="auto"/>
              </w:rPr>
            </w:pPr>
          </w:p>
        </w:tc>
        <w:tc>
          <w:tcPr>
            <w:tcW w:w="1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Borders>
              <w:bottom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118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280" w:type="dxa"/>
            <w:vAlign w:val="bottom"/>
            <w:tcBorders>
              <w:bottom w:val="single" w:sz="8" w:color="231F20"/>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1240" w:type="dxa"/>
            <w:vAlign w:val="bottom"/>
            <w:tcBorders>
              <w:bottom w:val="single" w:sz="8" w:color="231F20"/>
            </w:tcBorders>
          </w:tcPr>
          <w:p>
            <w:pPr>
              <w:spacing w:after="0"/>
              <w:rPr>
                <w:sz w:val="2"/>
                <w:szCs w:val="2"/>
                <w:color w:val="auto"/>
              </w:rPr>
            </w:pPr>
          </w:p>
        </w:tc>
        <w:tc>
          <w:tcPr>
            <w:tcW w:w="260" w:type="dxa"/>
            <w:vAlign w:val="bottom"/>
            <w:vMerge w:val="restart"/>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1140" w:type="dxa"/>
            <w:vAlign w:val="bottom"/>
            <w:tcBorders>
              <w:bottom w:val="single" w:sz="8" w:color="231F20"/>
            </w:tcBorders>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400" w:type="dxa"/>
            <w:vAlign w:val="bottom"/>
            <w:gridSpan w:val="2"/>
          </w:tcPr>
          <w:p>
            <w:pPr>
              <w:jc w:val="right"/>
              <w:ind w:right="20"/>
              <w:spacing w:after="0" w:line="163" w:lineRule="exact"/>
              <w:rPr>
                <w:sz w:val="20"/>
                <w:szCs w:val="20"/>
                <w:color w:val="auto"/>
              </w:rPr>
            </w:pPr>
            <w:r>
              <w:rPr>
                <w:rFonts w:ascii="Arial" w:cs="Arial" w:eastAsia="Arial" w:hAnsi="Arial"/>
                <w:sz w:val="16"/>
                <w:szCs w:val="16"/>
                <w:b w:val="1"/>
                <w:bCs w:val="1"/>
                <w:color w:val="231F20"/>
              </w:rPr>
              <w:t>40,861,386</w:t>
            </w:r>
          </w:p>
        </w:tc>
        <w:tc>
          <w:tcPr>
            <w:tcW w:w="1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jc w:val="right"/>
              <w:spacing w:after="0" w:line="163" w:lineRule="exact"/>
              <w:rPr>
                <w:sz w:val="20"/>
                <w:szCs w:val="20"/>
                <w:color w:val="auto"/>
              </w:rPr>
            </w:pPr>
            <w:r>
              <w:rPr>
                <w:rFonts w:ascii="Arial" w:cs="Arial" w:eastAsia="Arial" w:hAnsi="Arial"/>
                <w:sz w:val="16"/>
                <w:szCs w:val="16"/>
                <w:b w:val="1"/>
                <w:bCs w:val="1"/>
                <w:color w:val="231F20"/>
              </w:rPr>
              <w:t>41</w:t>
            </w:r>
          </w:p>
        </w:tc>
        <w:tc>
          <w:tcPr>
            <w:tcW w:w="2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spacing w:after="0" w:line="163" w:lineRule="exact"/>
              <w:rPr>
                <w:sz w:val="20"/>
                <w:szCs w:val="20"/>
                <w:color w:val="auto"/>
              </w:rPr>
            </w:pPr>
            <w:r>
              <w:rPr>
                <w:rFonts w:ascii="Arial" w:cs="Arial" w:eastAsia="Arial" w:hAnsi="Arial"/>
                <w:sz w:val="16"/>
                <w:szCs w:val="16"/>
                <w:b w:val="1"/>
                <w:bCs w:val="1"/>
                <w:color w:val="231F20"/>
              </w:rPr>
              <w:t>589,735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right"/>
              <w:spacing w:after="0" w:line="163" w:lineRule="exact"/>
              <w:rPr>
                <w:sz w:val="20"/>
                <w:szCs w:val="20"/>
                <w:color w:val="auto"/>
              </w:rPr>
            </w:pPr>
            <w:r>
              <w:rPr>
                <w:rFonts w:ascii="Arial" w:cs="Arial" w:eastAsia="Arial" w:hAnsi="Arial"/>
                <w:sz w:val="16"/>
                <w:szCs w:val="16"/>
                <w:b w:val="1"/>
                <w:bCs w:val="1"/>
                <w:color w:val="231F20"/>
              </w:rPr>
              <w:t>(845)</w:t>
            </w:r>
          </w:p>
        </w:tc>
        <w:tc>
          <w:tcPr>
            <w:tcW w:w="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spacing w:after="0" w:line="163" w:lineRule="exact"/>
              <w:rPr>
                <w:sz w:val="20"/>
                <w:szCs w:val="20"/>
                <w:color w:val="auto"/>
              </w:rPr>
            </w:pPr>
            <w:r>
              <w:rPr>
                <w:rFonts w:ascii="Arial" w:cs="Arial" w:eastAsia="Arial" w:hAnsi="Arial"/>
                <w:sz w:val="16"/>
                <w:szCs w:val="16"/>
                <w:b w:val="1"/>
                <w:bCs w:val="1"/>
                <w:color w:val="231F20"/>
              </w:rPr>
              <w:t>(325,467)</w:t>
            </w:r>
          </w:p>
        </w:tc>
        <w:tc>
          <w:tcPr>
            <w:tcW w:w="2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line="163" w:lineRule="exact"/>
              <w:rPr>
                <w:sz w:val="20"/>
                <w:szCs w:val="20"/>
                <w:color w:val="auto"/>
              </w:rPr>
            </w:pPr>
            <w:r>
              <w:rPr>
                <w:rFonts w:ascii="Arial" w:cs="Arial" w:eastAsia="Arial" w:hAnsi="Arial"/>
                <w:sz w:val="16"/>
                <w:szCs w:val="16"/>
                <w:b w:val="1"/>
                <w:bCs w:val="1"/>
                <w:color w:val="231F20"/>
              </w:rPr>
              <w:t>263,464</w:t>
            </w: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09"/>
        </w:trPr>
        <w:tc>
          <w:tcPr>
            <w:tcW w:w="15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231F20"/>
              </w:rPr>
              <w:t>8,663,793</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231F20"/>
              </w:rPr>
              <w:t>9</w:t>
            </w:r>
          </w:p>
        </w:tc>
        <w:tc>
          <w:tcPr>
            <w:tcW w:w="220" w:type="dxa"/>
            <w:vAlign w:val="bottom"/>
          </w:tcPr>
          <w:p>
            <w:pPr>
              <w:spacing w:after="0"/>
              <w:rPr>
                <w:sz w:val="24"/>
                <w:szCs w:val="2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231F20"/>
              </w:rPr>
              <w:t>58,878</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right"/>
              <w:ind w:right="160"/>
              <w:spacing w:after="0" w:line="192" w:lineRule="exact"/>
              <w:rPr>
                <w:sz w:val="20"/>
                <w:szCs w:val="20"/>
                <w:color w:val="auto"/>
              </w:rPr>
            </w:pPr>
            <w:r>
              <w:rPr>
                <w:rFonts w:ascii="PMingLiU" w:cs="PMingLiU" w:eastAsia="PMingLiU" w:hAnsi="PMingLiU"/>
                <w:sz w:val="16"/>
                <w:szCs w:val="16"/>
                <w:b w:val="1"/>
                <w:bCs w:val="1"/>
                <w:color w:val="231F20"/>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231F20"/>
              </w:rPr>
              <w:t></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231F20"/>
              </w:rPr>
              <w:t>58,887</w:t>
            </w:r>
          </w:p>
        </w:tc>
        <w:tc>
          <w:tcPr>
            <w:tcW w:w="0" w:type="dxa"/>
            <w:vAlign w:val="bottom"/>
          </w:tcPr>
          <w:p>
            <w:pPr>
              <w:spacing w:after="0"/>
              <w:rPr>
                <w:sz w:val="1"/>
                <w:szCs w:val="1"/>
                <w:color w:val="auto"/>
              </w:rPr>
            </w:pPr>
          </w:p>
        </w:tc>
      </w:tr>
      <w:tr>
        <w:trPr>
          <w:trHeight w:val="178"/>
        </w:trPr>
        <w:tc>
          <w:tcPr>
            <w:tcW w:w="1520" w:type="dxa"/>
            <w:vAlign w:val="bottom"/>
            <w:gridSpan w:val="3"/>
          </w:tcPr>
          <w:p>
            <w:pPr>
              <w:jc w:val="right"/>
              <w:ind w:right="140"/>
              <w:spacing w:after="0" w:line="178" w:lineRule="exact"/>
              <w:rPr>
                <w:sz w:val="20"/>
                <w:szCs w:val="20"/>
                <w:color w:val="auto"/>
              </w:rPr>
            </w:pPr>
            <w:r>
              <w:rPr>
                <w:rFonts w:ascii="Arial" w:cs="Arial" w:eastAsia="Arial" w:hAnsi="Arial"/>
                <w:sz w:val="16"/>
                <w:szCs w:val="16"/>
                <w:b w:val="1"/>
                <w:bCs w:val="1"/>
                <w:color w:val="231F20"/>
              </w:rPr>
              <w:t>344,213</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60" w:type="dxa"/>
            <w:vAlign w:val="bottom"/>
            <w:gridSpan w:val="2"/>
          </w:tcPr>
          <w:p>
            <w:pPr>
              <w:jc w:val="right"/>
              <w:ind w:right="280"/>
              <w:spacing w:after="0" w:line="178" w:lineRule="exact"/>
              <w:rPr>
                <w:sz w:val="20"/>
                <w:szCs w:val="20"/>
                <w:color w:val="auto"/>
              </w:rPr>
            </w:pPr>
            <w:r>
              <w:rPr>
                <w:rFonts w:ascii="PMingLiU" w:cs="PMingLiU" w:eastAsia="PMingLiU" w:hAnsi="PMingLiU"/>
                <w:sz w:val="16"/>
                <w:szCs w:val="16"/>
                <w:b w:val="1"/>
                <w:bCs w:val="1"/>
                <w:color w:val="231F20"/>
              </w:rPr>
              <w:t></w:t>
            </w:r>
          </w:p>
        </w:tc>
        <w:tc>
          <w:tcPr>
            <w:tcW w:w="220" w:type="dxa"/>
            <w:vAlign w:val="bottom"/>
          </w:tcPr>
          <w:p>
            <w:pPr>
              <w:spacing w:after="0"/>
              <w:rPr>
                <w:sz w:val="15"/>
                <w:szCs w:val="15"/>
                <w:color w:val="auto"/>
              </w:rPr>
            </w:pPr>
          </w:p>
        </w:tc>
        <w:tc>
          <w:tcPr>
            <w:tcW w:w="1320" w:type="dxa"/>
            <w:vAlign w:val="bottom"/>
            <w:gridSpan w:val="2"/>
          </w:tcPr>
          <w:p>
            <w:pPr>
              <w:jc w:val="right"/>
              <w:ind w:right="140"/>
              <w:spacing w:after="0" w:line="178" w:lineRule="exact"/>
              <w:rPr>
                <w:sz w:val="20"/>
                <w:szCs w:val="20"/>
                <w:color w:val="auto"/>
              </w:rPr>
            </w:pPr>
            <w:r>
              <w:rPr>
                <w:rFonts w:ascii="Arial" w:cs="Arial" w:eastAsia="Arial" w:hAnsi="Arial"/>
                <w:sz w:val="16"/>
                <w:szCs w:val="16"/>
                <w:b w:val="1"/>
                <w:bCs w:val="1"/>
                <w:color w:val="231F20"/>
              </w:rPr>
              <w:t>269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right"/>
              <w:ind w:right="160"/>
              <w:spacing w:after="0" w:line="178" w:lineRule="exact"/>
              <w:rPr>
                <w:sz w:val="20"/>
                <w:szCs w:val="20"/>
                <w:color w:val="auto"/>
              </w:rPr>
            </w:pPr>
            <w:r>
              <w:rPr>
                <w:rFonts w:ascii="PMingLiU" w:cs="PMingLiU" w:eastAsia="PMingLiU" w:hAnsi="PMingLiU"/>
                <w:sz w:val="16"/>
                <w:szCs w:val="16"/>
                <w:b w:val="1"/>
                <w:bCs w:val="1"/>
                <w:color w:val="231F20"/>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right"/>
              <w:ind w:right="260"/>
              <w:spacing w:after="0" w:line="178" w:lineRule="exact"/>
              <w:rPr>
                <w:sz w:val="20"/>
                <w:szCs w:val="20"/>
                <w:color w:val="auto"/>
              </w:rPr>
            </w:pPr>
            <w:r>
              <w:rPr>
                <w:rFonts w:ascii="PMingLiU" w:cs="PMingLiU" w:eastAsia="PMingLiU" w:hAnsi="PMingLiU"/>
                <w:sz w:val="16"/>
                <w:szCs w:val="16"/>
                <w:b w:val="1"/>
                <w:bCs w:val="1"/>
                <w:color w:val="231F20"/>
              </w:rPr>
              <w:t></w:t>
            </w:r>
          </w:p>
        </w:tc>
        <w:tc>
          <w:tcPr>
            <w:tcW w:w="140" w:type="dxa"/>
            <w:vAlign w:val="bottom"/>
          </w:tcPr>
          <w:p>
            <w:pPr>
              <w:spacing w:after="0"/>
              <w:rPr>
                <w:sz w:val="15"/>
                <w:szCs w:val="15"/>
                <w:color w:val="auto"/>
              </w:rPr>
            </w:pPr>
          </w:p>
        </w:tc>
        <w:tc>
          <w:tcPr>
            <w:tcW w:w="1180" w:type="dxa"/>
            <w:vAlign w:val="bottom"/>
            <w:gridSpan w:val="2"/>
          </w:tcPr>
          <w:p>
            <w:pPr>
              <w:jc w:val="right"/>
              <w:ind w:right="40"/>
              <w:spacing w:after="0" w:line="178" w:lineRule="exact"/>
              <w:rPr>
                <w:sz w:val="20"/>
                <w:szCs w:val="20"/>
                <w:color w:val="auto"/>
              </w:rPr>
            </w:pPr>
            <w:r>
              <w:rPr>
                <w:rFonts w:ascii="Arial" w:cs="Arial" w:eastAsia="Arial" w:hAnsi="Arial"/>
                <w:sz w:val="16"/>
                <w:szCs w:val="16"/>
                <w:b w:val="1"/>
                <w:bCs w:val="1"/>
                <w:color w:val="231F20"/>
              </w:rPr>
              <w:t>269</w:t>
            </w:r>
          </w:p>
        </w:tc>
        <w:tc>
          <w:tcPr>
            <w:tcW w:w="0" w:type="dxa"/>
            <w:vAlign w:val="bottom"/>
          </w:tcPr>
          <w:p>
            <w:pPr>
              <w:spacing w:after="0"/>
              <w:rPr>
                <w:sz w:val="1"/>
                <w:szCs w:val="1"/>
                <w:color w:val="auto"/>
              </w:rPr>
            </w:pPr>
          </w:p>
        </w:tc>
      </w:tr>
      <w:tr>
        <w:trPr>
          <w:trHeight w:val="358"/>
        </w:trPr>
        <w:tc>
          <w:tcPr>
            <w:tcW w:w="15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231F20"/>
              </w:rPr>
              <w:t>82,597</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gridSpan w:val="2"/>
          </w:tcPr>
          <w:p>
            <w:pPr>
              <w:jc w:val="right"/>
              <w:ind w:right="280"/>
              <w:spacing w:after="0" w:line="192" w:lineRule="exact"/>
              <w:rPr>
                <w:sz w:val="20"/>
                <w:szCs w:val="20"/>
                <w:color w:val="auto"/>
              </w:rPr>
            </w:pPr>
            <w:r>
              <w:rPr>
                <w:rFonts w:ascii="PMingLiU" w:cs="PMingLiU" w:eastAsia="PMingLiU" w:hAnsi="PMingLiU"/>
                <w:sz w:val="16"/>
                <w:szCs w:val="16"/>
                <w:b w:val="1"/>
                <w:bCs w:val="1"/>
                <w:color w:val="231F20"/>
              </w:rPr>
              <w:t></w:t>
            </w:r>
          </w:p>
        </w:tc>
        <w:tc>
          <w:tcPr>
            <w:tcW w:w="220" w:type="dxa"/>
            <w:vAlign w:val="bottom"/>
          </w:tcPr>
          <w:p>
            <w:pPr>
              <w:spacing w:after="0"/>
              <w:rPr>
                <w:sz w:val="24"/>
                <w:szCs w:val="2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231F20"/>
              </w:rPr>
              <w:t>523</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right"/>
              <w:ind w:right="160"/>
              <w:spacing w:after="0" w:line="192" w:lineRule="exact"/>
              <w:rPr>
                <w:sz w:val="20"/>
                <w:szCs w:val="20"/>
                <w:color w:val="auto"/>
              </w:rPr>
            </w:pPr>
            <w:r>
              <w:rPr>
                <w:rFonts w:ascii="PMingLiU" w:cs="PMingLiU" w:eastAsia="PMingLiU" w:hAnsi="PMingLiU"/>
                <w:sz w:val="16"/>
                <w:szCs w:val="16"/>
                <w:b w:val="1"/>
                <w:bCs w:val="1"/>
                <w:color w:val="231F20"/>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231F20"/>
              </w:rPr>
              <w:t></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231F20"/>
              </w:rPr>
              <w:t>523</w:t>
            </w:r>
          </w:p>
        </w:tc>
        <w:tc>
          <w:tcPr>
            <w:tcW w:w="0" w:type="dxa"/>
            <w:vAlign w:val="bottom"/>
          </w:tcPr>
          <w:p>
            <w:pPr>
              <w:spacing w:after="0"/>
              <w:rPr>
                <w:sz w:val="1"/>
                <w:szCs w:val="1"/>
                <w:color w:val="auto"/>
              </w:rPr>
            </w:pPr>
          </w:p>
        </w:tc>
      </w:tr>
      <w:tr>
        <w:trPr>
          <w:trHeight w:val="178"/>
        </w:trPr>
        <w:tc>
          <w:tcPr>
            <w:tcW w:w="1400" w:type="dxa"/>
            <w:vAlign w:val="bottom"/>
            <w:gridSpan w:val="2"/>
          </w:tcPr>
          <w:p>
            <w:pPr>
              <w:jc w:val="right"/>
              <w:ind w:right="20"/>
              <w:spacing w:after="0" w:line="178" w:lineRule="exact"/>
              <w:rPr>
                <w:sz w:val="20"/>
                <w:szCs w:val="20"/>
                <w:color w:val="auto"/>
              </w:rPr>
            </w:pPr>
            <w:r>
              <w:rPr>
                <w:rFonts w:ascii="PMingLiU" w:cs="PMingLiU" w:eastAsia="PMingLiU" w:hAnsi="PMingLiU"/>
                <w:sz w:val="16"/>
                <w:szCs w:val="16"/>
                <w:b w:val="1"/>
                <w:bCs w:val="1"/>
                <w:color w:val="231F20"/>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60" w:type="dxa"/>
            <w:vAlign w:val="bottom"/>
            <w:gridSpan w:val="2"/>
          </w:tcPr>
          <w:p>
            <w:pPr>
              <w:jc w:val="right"/>
              <w:ind w:right="280"/>
              <w:spacing w:after="0" w:line="178" w:lineRule="exact"/>
              <w:rPr>
                <w:sz w:val="20"/>
                <w:szCs w:val="20"/>
                <w:color w:val="auto"/>
              </w:rPr>
            </w:pPr>
            <w:r>
              <w:rPr>
                <w:rFonts w:ascii="PMingLiU" w:cs="PMingLiU" w:eastAsia="PMingLiU" w:hAnsi="PMingLiU"/>
                <w:sz w:val="16"/>
                <w:szCs w:val="16"/>
                <w:b w:val="1"/>
                <w:bCs w:val="1"/>
                <w:color w:val="231F20"/>
              </w:rPr>
              <w:t></w:t>
            </w:r>
          </w:p>
        </w:tc>
        <w:tc>
          <w:tcPr>
            <w:tcW w:w="220" w:type="dxa"/>
            <w:vAlign w:val="bottom"/>
          </w:tcPr>
          <w:p>
            <w:pPr>
              <w:spacing w:after="0"/>
              <w:rPr>
                <w:sz w:val="15"/>
                <w:szCs w:val="15"/>
                <w:color w:val="auto"/>
              </w:rPr>
            </w:pPr>
          </w:p>
        </w:tc>
        <w:tc>
          <w:tcPr>
            <w:tcW w:w="1180" w:type="dxa"/>
            <w:vAlign w:val="bottom"/>
          </w:tcPr>
          <w:p>
            <w:pPr>
              <w:jc w:val="right"/>
              <w:spacing w:after="0" w:line="178" w:lineRule="exact"/>
              <w:rPr>
                <w:sz w:val="20"/>
                <w:szCs w:val="20"/>
                <w:color w:val="auto"/>
              </w:rPr>
            </w:pPr>
            <w:r>
              <w:rPr>
                <w:rFonts w:ascii="Arial" w:cs="Arial" w:eastAsia="Arial" w:hAnsi="Arial"/>
                <w:sz w:val="16"/>
                <w:szCs w:val="16"/>
                <w:b w:val="1"/>
                <w:bCs w:val="1"/>
                <w:color w:val="231F20"/>
              </w:rPr>
              <w:t>26,273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right"/>
              <w:ind w:right="160"/>
              <w:spacing w:after="0" w:line="178" w:lineRule="exact"/>
              <w:rPr>
                <w:sz w:val="20"/>
                <w:szCs w:val="20"/>
                <w:color w:val="auto"/>
              </w:rPr>
            </w:pPr>
            <w:r>
              <w:rPr>
                <w:rFonts w:ascii="PMingLiU" w:cs="PMingLiU" w:eastAsia="PMingLiU" w:hAnsi="PMingLiU"/>
                <w:sz w:val="16"/>
                <w:szCs w:val="16"/>
                <w:b w:val="1"/>
                <w:bCs w:val="1"/>
                <w:color w:val="231F20"/>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right"/>
              <w:ind w:right="260"/>
              <w:spacing w:after="0" w:line="178" w:lineRule="exact"/>
              <w:rPr>
                <w:sz w:val="20"/>
                <w:szCs w:val="20"/>
                <w:color w:val="auto"/>
              </w:rPr>
            </w:pPr>
            <w:r>
              <w:rPr>
                <w:rFonts w:ascii="PMingLiU" w:cs="PMingLiU" w:eastAsia="PMingLiU" w:hAnsi="PMingLiU"/>
                <w:sz w:val="16"/>
                <w:szCs w:val="16"/>
                <w:b w:val="1"/>
                <w:bCs w:val="1"/>
                <w:color w:val="231F20"/>
              </w:rPr>
              <w:t></w:t>
            </w:r>
          </w:p>
        </w:tc>
        <w:tc>
          <w:tcPr>
            <w:tcW w:w="140" w:type="dxa"/>
            <w:vAlign w:val="bottom"/>
          </w:tcPr>
          <w:p>
            <w:pPr>
              <w:spacing w:after="0"/>
              <w:rPr>
                <w:sz w:val="15"/>
                <w:szCs w:val="15"/>
                <w:color w:val="auto"/>
              </w:rPr>
            </w:pPr>
          </w:p>
        </w:tc>
        <w:tc>
          <w:tcPr>
            <w:tcW w:w="1180" w:type="dxa"/>
            <w:vAlign w:val="bottom"/>
            <w:gridSpan w:val="2"/>
          </w:tcPr>
          <w:p>
            <w:pPr>
              <w:jc w:val="right"/>
              <w:ind w:right="40"/>
              <w:spacing w:after="0" w:line="178" w:lineRule="exact"/>
              <w:rPr>
                <w:sz w:val="20"/>
                <w:szCs w:val="20"/>
                <w:color w:val="auto"/>
              </w:rPr>
            </w:pPr>
            <w:r>
              <w:rPr>
                <w:rFonts w:ascii="Arial" w:cs="Arial" w:eastAsia="Arial" w:hAnsi="Arial"/>
                <w:sz w:val="16"/>
                <w:szCs w:val="16"/>
                <w:b w:val="1"/>
                <w:bCs w:val="1"/>
                <w:color w:val="231F20"/>
              </w:rPr>
              <w:t>26,273</w:t>
            </w:r>
          </w:p>
        </w:tc>
        <w:tc>
          <w:tcPr>
            <w:tcW w:w="0" w:type="dxa"/>
            <w:vAlign w:val="bottom"/>
          </w:tcPr>
          <w:p>
            <w:pPr>
              <w:spacing w:after="0"/>
              <w:rPr>
                <w:sz w:val="1"/>
                <w:szCs w:val="1"/>
                <w:color w:val="auto"/>
              </w:rPr>
            </w:pPr>
          </w:p>
        </w:tc>
      </w:tr>
      <w:tr>
        <w:trPr>
          <w:trHeight w:val="180"/>
        </w:trPr>
        <w:tc>
          <w:tcPr>
            <w:tcW w:w="1400" w:type="dxa"/>
            <w:vAlign w:val="bottom"/>
            <w:gridSpan w:val="2"/>
          </w:tcPr>
          <w:p>
            <w:pPr>
              <w:jc w:val="right"/>
              <w:ind w:right="20"/>
              <w:spacing w:after="0" w:line="180" w:lineRule="exact"/>
              <w:rPr>
                <w:sz w:val="20"/>
                <w:szCs w:val="20"/>
                <w:color w:val="auto"/>
              </w:rPr>
            </w:pPr>
            <w:r>
              <w:rPr>
                <w:rFonts w:ascii="PMingLiU" w:cs="PMingLiU" w:eastAsia="PMingLiU" w:hAnsi="PMingLiU"/>
                <w:sz w:val="16"/>
                <w:szCs w:val="16"/>
                <w:b w:val="1"/>
                <w:bCs w:val="1"/>
                <w:color w:val="231F20"/>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60" w:type="dxa"/>
            <w:vAlign w:val="bottom"/>
            <w:gridSpan w:val="2"/>
          </w:tcPr>
          <w:p>
            <w:pPr>
              <w:jc w:val="right"/>
              <w:ind w:right="280"/>
              <w:spacing w:after="0" w:line="180" w:lineRule="exact"/>
              <w:rPr>
                <w:sz w:val="20"/>
                <w:szCs w:val="20"/>
                <w:color w:val="auto"/>
              </w:rPr>
            </w:pPr>
            <w:r>
              <w:rPr>
                <w:rFonts w:ascii="PMingLiU" w:cs="PMingLiU" w:eastAsia="PMingLiU" w:hAnsi="PMingLiU"/>
                <w:sz w:val="16"/>
                <w:szCs w:val="16"/>
                <w:b w:val="1"/>
                <w:bCs w:val="1"/>
                <w:color w:val="231F20"/>
              </w:rPr>
              <w:t></w:t>
            </w:r>
          </w:p>
        </w:tc>
        <w:tc>
          <w:tcPr>
            <w:tcW w:w="22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PMingLiU" w:cs="PMingLiU" w:eastAsia="PMingLiU" w:hAnsi="PMingLiU"/>
                <w:sz w:val="16"/>
                <w:szCs w:val="16"/>
                <w:b w:val="1"/>
                <w:bCs w:val="1"/>
                <w:color w:val="231F20"/>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right"/>
              <w:ind w:right="160"/>
              <w:spacing w:after="0" w:line="180" w:lineRule="exact"/>
              <w:rPr>
                <w:sz w:val="20"/>
                <w:szCs w:val="20"/>
                <w:color w:val="auto"/>
              </w:rPr>
            </w:pPr>
            <w:r>
              <w:rPr>
                <w:rFonts w:ascii="Arial" w:cs="Arial" w:eastAsia="Arial" w:hAnsi="Arial"/>
                <w:sz w:val="16"/>
                <w:szCs w:val="16"/>
                <w:b w:val="1"/>
                <w:bCs w:val="1"/>
                <w:color w:val="231F20"/>
              </w:rPr>
              <w:t>1,101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line="180" w:lineRule="exact"/>
              <w:rPr>
                <w:sz w:val="20"/>
                <w:szCs w:val="20"/>
                <w:color w:val="auto"/>
              </w:rPr>
            </w:pPr>
            <w:r>
              <w:rPr>
                <w:rFonts w:ascii="PMingLiU" w:cs="PMingLiU" w:eastAsia="PMingLiU" w:hAnsi="PMingLiU"/>
                <w:sz w:val="16"/>
                <w:szCs w:val="16"/>
                <w:b w:val="1"/>
                <w:bCs w:val="1"/>
                <w:color w:val="231F20"/>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40"/>
              <w:spacing w:after="0" w:line="180" w:lineRule="exact"/>
              <w:rPr>
                <w:sz w:val="20"/>
                <w:szCs w:val="20"/>
                <w:color w:val="auto"/>
              </w:rPr>
            </w:pPr>
            <w:r>
              <w:rPr>
                <w:rFonts w:ascii="Arial" w:cs="Arial" w:eastAsia="Arial" w:hAnsi="Arial"/>
                <w:sz w:val="16"/>
                <w:szCs w:val="16"/>
                <w:b w:val="1"/>
                <w:bCs w:val="1"/>
                <w:color w:val="231F20"/>
              </w:rPr>
              <w:t>1,101</w:t>
            </w:r>
          </w:p>
        </w:tc>
        <w:tc>
          <w:tcPr>
            <w:tcW w:w="0" w:type="dxa"/>
            <w:vAlign w:val="bottom"/>
          </w:tcPr>
          <w:p>
            <w:pPr>
              <w:spacing w:after="0"/>
              <w:rPr>
                <w:sz w:val="1"/>
                <w:szCs w:val="1"/>
                <w:color w:val="auto"/>
              </w:rPr>
            </w:pPr>
          </w:p>
        </w:tc>
      </w:tr>
      <w:tr>
        <w:trPr>
          <w:trHeight w:val="178"/>
        </w:trPr>
        <w:tc>
          <w:tcPr>
            <w:tcW w:w="1400" w:type="dxa"/>
            <w:vAlign w:val="bottom"/>
            <w:gridSpan w:val="2"/>
          </w:tcPr>
          <w:p>
            <w:pPr>
              <w:jc w:val="right"/>
              <w:ind w:right="20"/>
              <w:spacing w:after="0" w:line="178" w:lineRule="exact"/>
              <w:rPr>
                <w:sz w:val="20"/>
                <w:szCs w:val="20"/>
                <w:color w:val="auto"/>
              </w:rPr>
            </w:pPr>
            <w:r>
              <w:rPr>
                <w:rFonts w:ascii="PMingLiU" w:cs="PMingLiU" w:eastAsia="PMingLiU" w:hAnsi="PMingLiU"/>
                <w:sz w:val="16"/>
                <w:szCs w:val="16"/>
                <w:b w:val="1"/>
                <w:bCs w:val="1"/>
                <w:color w:val="231F20"/>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60" w:type="dxa"/>
            <w:vAlign w:val="bottom"/>
            <w:gridSpan w:val="2"/>
          </w:tcPr>
          <w:p>
            <w:pPr>
              <w:jc w:val="right"/>
              <w:ind w:right="280"/>
              <w:spacing w:after="0" w:line="178" w:lineRule="exact"/>
              <w:rPr>
                <w:sz w:val="20"/>
                <w:szCs w:val="20"/>
                <w:color w:val="auto"/>
              </w:rPr>
            </w:pPr>
            <w:r>
              <w:rPr>
                <w:rFonts w:ascii="PMingLiU" w:cs="PMingLiU" w:eastAsia="PMingLiU" w:hAnsi="PMingLiU"/>
                <w:sz w:val="16"/>
                <w:szCs w:val="16"/>
                <w:b w:val="1"/>
                <w:bCs w:val="1"/>
                <w:color w:val="231F20"/>
              </w:rPr>
              <w:t></w:t>
            </w:r>
          </w:p>
        </w:tc>
        <w:tc>
          <w:tcPr>
            <w:tcW w:w="220" w:type="dxa"/>
            <w:vAlign w:val="bottom"/>
          </w:tcPr>
          <w:p>
            <w:pPr>
              <w:spacing w:after="0"/>
              <w:rPr>
                <w:sz w:val="15"/>
                <w:szCs w:val="15"/>
                <w:color w:val="auto"/>
              </w:rPr>
            </w:pPr>
          </w:p>
        </w:tc>
        <w:tc>
          <w:tcPr>
            <w:tcW w:w="1180" w:type="dxa"/>
            <w:vAlign w:val="bottom"/>
          </w:tcPr>
          <w:p>
            <w:pPr>
              <w:jc w:val="right"/>
              <w:spacing w:after="0" w:line="178" w:lineRule="exact"/>
              <w:rPr>
                <w:sz w:val="20"/>
                <w:szCs w:val="20"/>
                <w:color w:val="auto"/>
              </w:rPr>
            </w:pPr>
            <w:r>
              <w:rPr>
                <w:rFonts w:ascii="PMingLiU" w:cs="PMingLiU" w:eastAsia="PMingLiU" w:hAnsi="PMingLiU"/>
                <w:sz w:val="16"/>
                <w:szCs w:val="16"/>
                <w:b w:val="1"/>
                <w:bCs w:val="1"/>
                <w:color w:val="231F20"/>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right"/>
              <w:ind w:right="160"/>
              <w:spacing w:after="0" w:line="178" w:lineRule="exact"/>
              <w:rPr>
                <w:sz w:val="20"/>
                <w:szCs w:val="20"/>
                <w:color w:val="auto"/>
              </w:rPr>
            </w:pPr>
            <w:r>
              <w:rPr>
                <w:rFonts w:ascii="PMingLiU" w:cs="PMingLiU" w:eastAsia="PMingLiU" w:hAnsi="PMingLiU"/>
                <w:sz w:val="16"/>
                <w:szCs w:val="16"/>
                <w:b w:val="1"/>
                <w:bCs w:val="1"/>
                <w:color w:val="231F20"/>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right"/>
              <w:ind w:right="220"/>
              <w:spacing w:after="0" w:line="178" w:lineRule="exact"/>
              <w:rPr>
                <w:sz w:val="20"/>
                <w:szCs w:val="20"/>
                <w:color w:val="auto"/>
              </w:rPr>
            </w:pPr>
            <w:r>
              <w:rPr>
                <w:rFonts w:ascii="Arial" w:cs="Arial" w:eastAsia="Arial" w:hAnsi="Arial"/>
                <w:sz w:val="16"/>
                <w:szCs w:val="16"/>
                <w:b w:val="1"/>
                <w:bCs w:val="1"/>
                <w:color w:val="231F20"/>
              </w:rPr>
              <w:t>(160,805)</w:t>
            </w:r>
          </w:p>
        </w:tc>
        <w:tc>
          <w:tcPr>
            <w:tcW w:w="140" w:type="dxa"/>
            <w:vAlign w:val="bottom"/>
          </w:tcPr>
          <w:p>
            <w:pPr>
              <w:spacing w:after="0"/>
              <w:rPr>
                <w:sz w:val="15"/>
                <w:szCs w:val="15"/>
                <w:color w:val="auto"/>
              </w:rPr>
            </w:pPr>
          </w:p>
        </w:tc>
        <w:tc>
          <w:tcPr>
            <w:tcW w:w="1180" w:type="dxa"/>
            <w:vAlign w:val="bottom"/>
            <w:gridSpan w:val="2"/>
          </w:tcPr>
          <w:p>
            <w:pPr>
              <w:jc w:val="right"/>
              <w:spacing w:after="0" w:line="178" w:lineRule="exact"/>
              <w:rPr>
                <w:sz w:val="20"/>
                <w:szCs w:val="20"/>
                <w:color w:val="auto"/>
              </w:rPr>
            </w:pPr>
            <w:r>
              <w:rPr>
                <w:rFonts w:ascii="Arial" w:cs="Arial" w:eastAsia="Arial" w:hAnsi="Arial"/>
                <w:sz w:val="16"/>
                <w:szCs w:val="16"/>
                <w:b w:val="1"/>
                <w:bCs w:val="1"/>
                <w:color w:val="231F20"/>
              </w:rPr>
              <w:t>(160,805)</w:t>
            </w:r>
          </w:p>
        </w:tc>
        <w:tc>
          <w:tcPr>
            <w:tcW w:w="0" w:type="dxa"/>
            <w:vAlign w:val="bottom"/>
          </w:tcPr>
          <w:p>
            <w:pPr>
              <w:spacing w:after="0"/>
              <w:rPr>
                <w:sz w:val="1"/>
                <w:szCs w:val="1"/>
                <w:color w:val="auto"/>
              </w:rPr>
            </w:pPr>
          </w:p>
        </w:tc>
      </w:tr>
      <w:tr>
        <w:trPr>
          <w:trHeight w:val="32"/>
        </w:trPr>
        <w:tc>
          <w:tcPr>
            <w:tcW w:w="1400" w:type="dxa"/>
            <w:vAlign w:val="bottom"/>
            <w:tcBorders>
              <w:bottom w:val="single" w:sz="8" w:color="231F20"/>
            </w:tcBorders>
            <w:gridSpan w:val="2"/>
          </w:tcPr>
          <w:p>
            <w:pPr>
              <w:spacing w:after="0"/>
              <w:rPr>
                <w:sz w:val="2"/>
                <w:szCs w:val="2"/>
                <w:color w:val="auto"/>
              </w:rPr>
            </w:pPr>
          </w:p>
        </w:tc>
        <w:tc>
          <w:tcPr>
            <w:tcW w:w="1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Borders>
              <w:bottom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118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280" w:type="dxa"/>
            <w:vAlign w:val="bottom"/>
            <w:tcBorders>
              <w:bottom w:val="single" w:sz="8" w:color="231F20"/>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1240" w:type="dxa"/>
            <w:vAlign w:val="bottom"/>
            <w:tcBorders>
              <w:bottom w:val="single" w:sz="8" w:color="231F20"/>
            </w:tcBorders>
          </w:tcPr>
          <w:p>
            <w:pPr>
              <w:spacing w:after="0"/>
              <w:rPr>
                <w:sz w:val="2"/>
                <w:szCs w:val="2"/>
                <w:color w:val="auto"/>
              </w:rPr>
            </w:pPr>
          </w:p>
        </w:tc>
        <w:tc>
          <w:tcPr>
            <w:tcW w:w="260" w:type="dxa"/>
            <w:vAlign w:val="bottom"/>
            <w:vMerge w:val="restart"/>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1140" w:type="dxa"/>
            <w:vAlign w:val="bottom"/>
            <w:tcBorders>
              <w:bottom w:val="single" w:sz="8" w:color="231F20"/>
            </w:tcBorders>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400" w:type="dxa"/>
            <w:vAlign w:val="bottom"/>
            <w:gridSpan w:val="2"/>
          </w:tcPr>
          <w:p>
            <w:pPr>
              <w:jc w:val="right"/>
              <w:ind w:right="20"/>
              <w:spacing w:after="0" w:line="144" w:lineRule="exact"/>
              <w:rPr>
                <w:sz w:val="20"/>
                <w:szCs w:val="20"/>
                <w:color w:val="auto"/>
              </w:rPr>
            </w:pPr>
            <w:r>
              <w:rPr>
                <w:rFonts w:ascii="Arial" w:cs="Arial" w:eastAsia="Arial" w:hAnsi="Arial"/>
                <w:sz w:val="16"/>
                <w:szCs w:val="16"/>
                <w:b w:val="1"/>
                <w:bCs w:val="1"/>
                <w:color w:val="231F20"/>
              </w:rPr>
              <w:t>49,951,989</w:t>
            </w:r>
          </w:p>
        </w:tc>
        <w:tc>
          <w:tcPr>
            <w:tcW w:w="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jc w:val="right"/>
              <w:spacing w:after="0" w:line="144" w:lineRule="exact"/>
              <w:rPr>
                <w:sz w:val="20"/>
                <w:szCs w:val="20"/>
                <w:color w:val="auto"/>
              </w:rPr>
            </w:pPr>
            <w:r>
              <w:rPr>
                <w:rFonts w:ascii="Arial" w:cs="Arial" w:eastAsia="Arial" w:hAnsi="Arial"/>
                <w:sz w:val="16"/>
                <w:szCs w:val="16"/>
                <w:b w:val="1"/>
                <w:bCs w:val="1"/>
                <w:color w:val="231F20"/>
              </w:rPr>
              <w:t>50</w:t>
            </w:r>
          </w:p>
        </w:tc>
        <w:tc>
          <w:tcPr>
            <w:tcW w:w="2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spacing w:after="0" w:line="144" w:lineRule="exact"/>
              <w:rPr>
                <w:sz w:val="20"/>
                <w:szCs w:val="20"/>
                <w:color w:val="auto"/>
              </w:rPr>
            </w:pPr>
            <w:r>
              <w:rPr>
                <w:rFonts w:ascii="Arial" w:cs="Arial" w:eastAsia="Arial" w:hAnsi="Arial"/>
                <w:sz w:val="16"/>
                <w:szCs w:val="16"/>
                <w:b w:val="1"/>
                <w:bCs w:val="1"/>
                <w:color w:val="231F20"/>
              </w:rPr>
              <w:t>675,678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right"/>
              <w:spacing w:after="0" w:line="144" w:lineRule="exact"/>
              <w:rPr>
                <w:sz w:val="20"/>
                <w:szCs w:val="20"/>
                <w:color w:val="auto"/>
              </w:rPr>
            </w:pPr>
            <w:r>
              <w:rPr>
                <w:rFonts w:ascii="Arial" w:cs="Arial" w:eastAsia="Arial" w:hAnsi="Arial"/>
                <w:sz w:val="16"/>
                <w:szCs w:val="16"/>
                <w:b w:val="1"/>
                <w:bCs w:val="1"/>
                <w:color w:val="231F20"/>
              </w:rPr>
              <w:t>256</w:t>
            </w:r>
          </w:p>
        </w:tc>
        <w:tc>
          <w:tcPr>
            <w:tcW w:w="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right"/>
              <w:spacing w:after="0" w:line="144" w:lineRule="exact"/>
              <w:rPr>
                <w:sz w:val="20"/>
                <w:szCs w:val="20"/>
                <w:color w:val="auto"/>
              </w:rPr>
            </w:pPr>
            <w:r>
              <w:rPr>
                <w:rFonts w:ascii="Arial" w:cs="Arial" w:eastAsia="Arial" w:hAnsi="Arial"/>
                <w:sz w:val="16"/>
                <w:szCs w:val="16"/>
                <w:b w:val="1"/>
                <w:bCs w:val="1"/>
                <w:color w:val="231F20"/>
              </w:rPr>
              <w:t>(486,272)</w:t>
            </w:r>
          </w:p>
        </w:tc>
        <w:tc>
          <w:tcPr>
            <w:tcW w:w="2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4" w:lineRule="exact"/>
              <w:rPr>
                <w:sz w:val="20"/>
                <w:szCs w:val="20"/>
                <w:color w:val="auto"/>
              </w:rPr>
            </w:pPr>
            <w:r>
              <w:rPr>
                <w:rFonts w:ascii="Arial" w:cs="Arial" w:eastAsia="Arial" w:hAnsi="Arial"/>
                <w:sz w:val="16"/>
                <w:szCs w:val="16"/>
                <w:b w:val="1"/>
                <w:bCs w:val="1"/>
                <w:color w:val="231F20"/>
              </w:rPr>
              <w:t>189,712</w:t>
            </w: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20" w:type="dxa"/>
            <w:vAlign w:val="bottom"/>
            <w:gridSpan w:val="3"/>
          </w:tcPr>
          <w:p>
            <w:pPr>
              <w:jc w:val="right"/>
              <w:ind w:right="140"/>
              <w:spacing w:after="0" w:line="171" w:lineRule="exact"/>
              <w:rPr>
                <w:sz w:val="20"/>
                <w:szCs w:val="20"/>
                <w:color w:val="auto"/>
              </w:rPr>
            </w:pPr>
            <w:r>
              <w:rPr>
                <w:rFonts w:ascii="Arial" w:cs="Arial" w:eastAsia="Arial" w:hAnsi="Arial"/>
                <w:sz w:val="16"/>
                <w:szCs w:val="16"/>
                <w:b w:val="1"/>
                <w:bCs w:val="1"/>
                <w:color w:val="231F20"/>
              </w:rPr>
              <w:t>810,243</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gridSpan w:val="2"/>
          </w:tcPr>
          <w:p>
            <w:pPr>
              <w:jc w:val="right"/>
              <w:ind w:right="280"/>
              <w:spacing w:after="0" w:line="171" w:lineRule="exact"/>
              <w:rPr>
                <w:sz w:val="20"/>
                <w:szCs w:val="20"/>
                <w:color w:val="auto"/>
              </w:rPr>
            </w:pPr>
            <w:r>
              <w:rPr>
                <w:rFonts w:ascii="Arial" w:cs="Arial" w:eastAsia="Arial" w:hAnsi="Arial"/>
                <w:sz w:val="16"/>
                <w:szCs w:val="16"/>
                <w:b w:val="1"/>
                <w:bCs w:val="1"/>
                <w:color w:val="231F20"/>
              </w:rPr>
              <w:t>1</w:t>
            </w:r>
          </w:p>
        </w:tc>
        <w:tc>
          <w:tcPr>
            <w:tcW w:w="220" w:type="dxa"/>
            <w:vAlign w:val="bottom"/>
          </w:tcPr>
          <w:p>
            <w:pPr>
              <w:spacing w:after="0"/>
              <w:rPr>
                <w:sz w:val="14"/>
                <w:szCs w:val="14"/>
                <w:color w:val="auto"/>
              </w:rPr>
            </w:pPr>
          </w:p>
        </w:tc>
        <w:tc>
          <w:tcPr>
            <w:tcW w:w="1320" w:type="dxa"/>
            <w:vAlign w:val="bottom"/>
            <w:gridSpan w:val="2"/>
          </w:tcPr>
          <w:p>
            <w:pPr>
              <w:jc w:val="right"/>
              <w:ind w:right="140"/>
              <w:spacing w:after="0" w:line="171" w:lineRule="exact"/>
              <w:rPr>
                <w:sz w:val="20"/>
                <w:szCs w:val="20"/>
                <w:color w:val="auto"/>
              </w:rPr>
            </w:pPr>
            <w:r>
              <w:rPr>
                <w:rFonts w:ascii="Arial" w:cs="Arial" w:eastAsia="Arial" w:hAnsi="Arial"/>
                <w:sz w:val="16"/>
                <w:szCs w:val="16"/>
                <w:b w:val="1"/>
                <w:bCs w:val="1"/>
                <w:color w:val="231F20"/>
              </w:rPr>
              <w:t>1,631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ind w:right="160"/>
              <w:spacing w:after="0" w:line="171" w:lineRule="exact"/>
              <w:rPr>
                <w:sz w:val="20"/>
                <w:szCs w:val="20"/>
                <w:color w:val="auto"/>
              </w:rPr>
            </w:pPr>
            <w:r>
              <w:rPr>
                <w:rFonts w:ascii="PMingLiU" w:cs="PMingLiU" w:eastAsia="PMingLiU" w:hAnsi="PMingLiU"/>
                <w:sz w:val="16"/>
                <w:szCs w:val="16"/>
                <w:b w:val="1"/>
                <w:bCs w:val="1"/>
                <w:color w:val="231F20"/>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spacing w:after="0" w:line="171" w:lineRule="exact"/>
              <w:rPr>
                <w:sz w:val="20"/>
                <w:szCs w:val="20"/>
                <w:color w:val="auto"/>
              </w:rPr>
            </w:pPr>
            <w:r>
              <w:rPr>
                <w:rFonts w:ascii="PMingLiU" w:cs="PMingLiU" w:eastAsia="PMingLiU" w:hAnsi="PMingLiU"/>
                <w:sz w:val="16"/>
                <w:szCs w:val="16"/>
                <w:b w:val="1"/>
                <w:bCs w:val="1"/>
                <w:color w:val="231F20"/>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40"/>
              <w:spacing w:after="0" w:line="171" w:lineRule="exact"/>
              <w:rPr>
                <w:sz w:val="20"/>
                <w:szCs w:val="20"/>
                <w:color w:val="auto"/>
              </w:rPr>
            </w:pPr>
            <w:r>
              <w:rPr>
                <w:rFonts w:ascii="Arial" w:cs="Arial" w:eastAsia="Arial" w:hAnsi="Arial"/>
                <w:sz w:val="16"/>
                <w:szCs w:val="16"/>
                <w:b w:val="1"/>
                <w:bCs w:val="1"/>
                <w:color w:val="231F20"/>
              </w:rPr>
              <w:t>1,632</w:t>
            </w:r>
          </w:p>
        </w:tc>
        <w:tc>
          <w:tcPr>
            <w:tcW w:w="0" w:type="dxa"/>
            <w:vAlign w:val="bottom"/>
          </w:tcPr>
          <w:p>
            <w:pPr>
              <w:spacing w:after="0"/>
              <w:rPr>
                <w:sz w:val="1"/>
                <w:szCs w:val="1"/>
                <w:color w:val="auto"/>
              </w:rPr>
            </w:pPr>
          </w:p>
        </w:tc>
      </w:tr>
      <w:tr>
        <w:trPr>
          <w:trHeight w:val="355"/>
        </w:trPr>
        <w:tc>
          <w:tcPr>
            <w:tcW w:w="15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231F20"/>
              </w:rPr>
              <w:t>91,138</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gridSpan w:val="2"/>
          </w:tcPr>
          <w:p>
            <w:pPr>
              <w:jc w:val="right"/>
              <w:ind w:right="280"/>
              <w:spacing w:after="0" w:line="192" w:lineRule="exact"/>
              <w:rPr>
                <w:sz w:val="20"/>
                <w:szCs w:val="20"/>
                <w:color w:val="auto"/>
              </w:rPr>
            </w:pPr>
            <w:r>
              <w:rPr>
                <w:rFonts w:ascii="PMingLiU" w:cs="PMingLiU" w:eastAsia="PMingLiU" w:hAnsi="PMingLiU"/>
                <w:sz w:val="16"/>
                <w:szCs w:val="16"/>
                <w:b w:val="1"/>
                <w:bCs w:val="1"/>
                <w:color w:val="231F20"/>
              </w:rPr>
              <w:t></w:t>
            </w:r>
          </w:p>
        </w:tc>
        <w:tc>
          <w:tcPr>
            <w:tcW w:w="220" w:type="dxa"/>
            <w:vAlign w:val="bottom"/>
          </w:tcPr>
          <w:p>
            <w:pPr>
              <w:spacing w:after="0"/>
              <w:rPr>
                <w:sz w:val="24"/>
                <w:szCs w:val="2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231F20"/>
              </w:rPr>
              <w:t>351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right"/>
              <w:ind w:right="160"/>
              <w:spacing w:after="0" w:line="192" w:lineRule="exact"/>
              <w:rPr>
                <w:sz w:val="20"/>
                <w:szCs w:val="20"/>
                <w:color w:val="auto"/>
              </w:rPr>
            </w:pPr>
            <w:r>
              <w:rPr>
                <w:rFonts w:ascii="PMingLiU" w:cs="PMingLiU" w:eastAsia="PMingLiU" w:hAnsi="PMingLiU"/>
                <w:sz w:val="16"/>
                <w:szCs w:val="16"/>
                <w:b w:val="1"/>
                <w:bCs w:val="1"/>
                <w:color w:val="231F20"/>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right"/>
              <w:ind w:right="260"/>
              <w:spacing w:after="0" w:line="192" w:lineRule="exact"/>
              <w:rPr>
                <w:sz w:val="20"/>
                <w:szCs w:val="20"/>
                <w:color w:val="auto"/>
              </w:rPr>
            </w:pPr>
            <w:r>
              <w:rPr>
                <w:rFonts w:ascii="PMingLiU" w:cs="PMingLiU" w:eastAsia="PMingLiU" w:hAnsi="PMingLiU"/>
                <w:sz w:val="16"/>
                <w:szCs w:val="16"/>
                <w:b w:val="1"/>
                <w:bCs w:val="1"/>
                <w:color w:val="231F20"/>
              </w:rPr>
              <w:t></w:t>
            </w:r>
          </w:p>
        </w:tc>
        <w:tc>
          <w:tcPr>
            <w:tcW w:w="140" w:type="dxa"/>
            <w:vAlign w:val="bottom"/>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231F20"/>
              </w:rPr>
              <w:t>351</w:t>
            </w:r>
          </w:p>
        </w:tc>
        <w:tc>
          <w:tcPr>
            <w:tcW w:w="0" w:type="dxa"/>
            <w:vAlign w:val="bottom"/>
          </w:tcPr>
          <w:p>
            <w:pPr>
              <w:spacing w:after="0"/>
              <w:rPr>
                <w:sz w:val="1"/>
                <w:szCs w:val="1"/>
                <w:color w:val="auto"/>
              </w:rPr>
            </w:pPr>
          </w:p>
        </w:tc>
      </w:tr>
      <w:tr>
        <w:trPr>
          <w:trHeight w:val="358"/>
        </w:trPr>
        <w:tc>
          <w:tcPr>
            <w:tcW w:w="15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231F20"/>
              </w:rPr>
              <w:t>2,199,542</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231F20"/>
              </w:rPr>
              <w:t>2</w:t>
            </w:r>
          </w:p>
        </w:tc>
        <w:tc>
          <w:tcPr>
            <w:tcW w:w="220" w:type="dxa"/>
            <w:vAlign w:val="bottom"/>
          </w:tcPr>
          <w:p>
            <w:pPr>
              <w:spacing w:after="0"/>
              <w:rPr>
                <w:sz w:val="24"/>
                <w:szCs w:val="2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231F20"/>
              </w:rPr>
              <w:t>29,659</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right"/>
              <w:ind w:right="160"/>
              <w:spacing w:after="0" w:line="192" w:lineRule="exact"/>
              <w:rPr>
                <w:sz w:val="20"/>
                <w:szCs w:val="20"/>
                <w:color w:val="auto"/>
              </w:rPr>
            </w:pPr>
            <w:r>
              <w:rPr>
                <w:rFonts w:ascii="PMingLiU" w:cs="PMingLiU" w:eastAsia="PMingLiU" w:hAnsi="PMingLiU"/>
                <w:sz w:val="16"/>
                <w:szCs w:val="16"/>
                <w:b w:val="1"/>
                <w:bCs w:val="1"/>
                <w:color w:val="231F20"/>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right"/>
              <w:ind w:right="260"/>
              <w:spacing w:after="0" w:line="192" w:lineRule="exact"/>
              <w:rPr>
                <w:sz w:val="20"/>
                <w:szCs w:val="20"/>
                <w:color w:val="auto"/>
              </w:rPr>
            </w:pPr>
            <w:r>
              <w:rPr>
                <w:rFonts w:ascii="PMingLiU" w:cs="PMingLiU" w:eastAsia="PMingLiU" w:hAnsi="PMingLiU"/>
                <w:sz w:val="16"/>
                <w:szCs w:val="16"/>
                <w:b w:val="1"/>
                <w:bCs w:val="1"/>
                <w:color w:val="231F20"/>
              </w:rPr>
              <w:t></w:t>
            </w:r>
          </w:p>
        </w:tc>
        <w:tc>
          <w:tcPr>
            <w:tcW w:w="140" w:type="dxa"/>
            <w:vAlign w:val="bottom"/>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231F20"/>
              </w:rPr>
              <w:t>29,661</w:t>
            </w:r>
          </w:p>
        </w:tc>
        <w:tc>
          <w:tcPr>
            <w:tcW w:w="0" w:type="dxa"/>
            <w:vAlign w:val="bottom"/>
          </w:tcPr>
          <w:p>
            <w:pPr>
              <w:spacing w:after="0"/>
              <w:rPr>
                <w:sz w:val="1"/>
                <w:szCs w:val="1"/>
                <w:color w:val="auto"/>
              </w:rPr>
            </w:pPr>
          </w:p>
        </w:tc>
      </w:tr>
      <w:tr>
        <w:trPr>
          <w:trHeight w:val="178"/>
        </w:trPr>
        <w:tc>
          <w:tcPr>
            <w:tcW w:w="1400" w:type="dxa"/>
            <w:vAlign w:val="bottom"/>
            <w:gridSpan w:val="2"/>
          </w:tcPr>
          <w:p>
            <w:pPr>
              <w:jc w:val="right"/>
              <w:ind w:right="20"/>
              <w:spacing w:after="0" w:line="178" w:lineRule="exact"/>
              <w:rPr>
                <w:sz w:val="20"/>
                <w:szCs w:val="20"/>
                <w:color w:val="auto"/>
              </w:rPr>
            </w:pPr>
            <w:r>
              <w:rPr>
                <w:rFonts w:ascii="PMingLiU" w:cs="PMingLiU" w:eastAsia="PMingLiU" w:hAnsi="PMingLiU"/>
                <w:sz w:val="16"/>
                <w:szCs w:val="16"/>
                <w:b w:val="1"/>
                <w:bCs w:val="1"/>
                <w:color w:val="231F20"/>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60" w:type="dxa"/>
            <w:vAlign w:val="bottom"/>
            <w:gridSpan w:val="2"/>
          </w:tcPr>
          <w:p>
            <w:pPr>
              <w:jc w:val="right"/>
              <w:ind w:right="280"/>
              <w:spacing w:after="0" w:line="178" w:lineRule="exact"/>
              <w:rPr>
                <w:sz w:val="20"/>
                <w:szCs w:val="20"/>
                <w:color w:val="auto"/>
              </w:rPr>
            </w:pPr>
            <w:r>
              <w:rPr>
                <w:rFonts w:ascii="PMingLiU" w:cs="PMingLiU" w:eastAsia="PMingLiU" w:hAnsi="PMingLiU"/>
                <w:sz w:val="16"/>
                <w:szCs w:val="16"/>
                <w:b w:val="1"/>
                <w:bCs w:val="1"/>
                <w:color w:val="231F20"/>
              </w:rPr>
              <w:t></w:t>
            </w:r>
          </w:p>
        </w:tc>
        <w:tc>
          <w:tcPr>
            <w:tcW w:w="220" w:type="dxa"/>
            <w:vAlign w:val="bottom"/>
          </w:tcPr>
          <w:p>
            <w:pPr>
              <w:spacing w:after="0"/>
              <w:rPr>
                <w:sz w:val="15"/>
                <w:szCs w:val="15"/>
                <w:color w:val="auto"/>
              </w:rPr>
            </w:pPr>
          </w:p>
        </w:tc>
        <w:tc>
          <w:tcPr>
            <w:tcW w:w="1180" w:type="dxa"/>
            <w:vAlign w:val="bottom"/>
          </w:tcPr>
          <w:p>
            <w:pPr>
              <w:jc w:val="right"/>
              <w:spacing w:after="0" w:line="178" w:lineRule="exact"/>
              <w:rPr>
                <w:sz w:val="20"/>
                <w:szCs w:val="20"/>
                <w:color w:val="auto"/>
              </w:rPr>
            </w:pPr>
            <w:r>
              <w:rPr>
                <w:rFonts w:ascii="Arial" w:cs="Arial" w:eastAsia="Arial" w:hAnsi="Arial"/>
                <w:sz w:val="16"/>
                <w:szCs w:val="16"/>
                <w:b w:val="1"/>
                <w:bCs w:val="1"/>
                <w:color w:val="231F20"/>
              </w:rPr>
              <w:t>27,093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right"/>
              <w:ind w:right="160"/>
              <w:spacing w:after="0" w:line="178" w:lineRule="exact"/>
              <w:rPr>
                <w:sz w:val="20"/>
                <w:szCs w:val="20"/>
                <w:color w:val="auto"/>
              </w:rPr>
            </w:pPr>
            <w:r>
              <w:rPr>
                <w:rFonts w:ascii="PMingLiU" w:cs="PMingLiU" w:eastAsia="PMingLiU" w:hAnsi="PMingLiU"/>
                <w:sz w:val="16"/>
                <w:szCs w:val="16"/>
                <w:b w:val="1"/>
                <w:bCs w:val="1"/>
                <w:color w:val="231F20"/>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right"/>
              <w:ind w:right="260"/>
              <w:spacing w:after="0" w:line="178" w:lineRule="exact"/>
              <w:rPr>
                <w:sz w:val="20"/>
                <w:szCs w:val="20"/>
                <w:color w:val="auto"/>
              </w:rPr>
            </w:pPr>
            <w:r>
              <w:rPr>
                <w:rFonts w:ascii="PMingLiU" w:cs="PMingLiU" w:eastAsia="PMingLiU" w:hAnsi="PMingLiU"/>
                <w:sz w:val="16"/>
                <w:szCs w:val="16"/>
                <w:b w:val="1"/>
                <w:bCs w:val="1"/>
                <w:color w:val="231F20"/>
              </w:rPr>
              <w:t></w:t>
            </w:r>
          </w:p>
        </w:tc>
        <w:tc>
          <w:tcPr>
            <w:tcW w:w="140" w:type="dxa"/>
            <w:vAlign w:val="bottom"/>
          </w:tcPr>
          <w:p>
            <w:pPr>
              <w:spacing w:after="0"/>
              <w:rPr>
                <w:sz w:val="15"/>
                <w:szCs w:val="15"/>
                <w:color w:val="auto"/>
              </w:rPr>
            </w:pPr>
          </w:p>
        </w:tc>
        <w:tc>
          <w:tcPr>
            <w:tcW w:w="1180" w:type="dxa"/>
            <w:vAlign w:val="bottom"/>
            <w:gridSpan w:val="2"/>
          </w:tcPr>
          <w:p>
            <w:pPr>
              <w:jc w:val="right"/>
              <w:ind w:right="40"/>
              <w:spacing w:after="0" w:line="178" w:lineRule="exact"/>
              <w:rPr>
                <w:sz w:val="20"/>
                <w:szCs w:val="20"/>
                <w:color w:val="auto"/>
              </w:rPr>
            </w:pPr>
            <w:r>
              <w:rPr>
                <w:rFonts w:ascii="Arial" w:cs="Arial" w:eastAsia="Arial" w:hAnsi="Arial"/>
                <w:sz w:val="16"/>
                <w:szCs w:val="16"/>
                <w:b w:val="1"/>
                <w:bCs w:val="1"/>
                <w:color w:val="231F20"/>
              </w:rPr>
              <w:t>27,093</w:t>
            </w:r>
          </w:p>
        </w:tc>
        <w:tc>
          <w:tcPr>
            <w:tcW w:w="0" w:type="dxa"/>
            <w:vAlign w:val="bottom"/>
          </w:tcPr>
          <w:p>
            <w:pPr>
              <w:spacing w:after="0"/>
              <w:rPr>
                <w:sz w:val="1"/>
                <w:szCs w:val="1"/>
                <w:color w:val="auto"/>
              </w:rPr>
            </w:pPr>
          </w:p>
        </w:tc>
      </w:tr>
      <w:tr>
        <w:trPr>
          <w:trHeight w:val="180"/>
        </w:trPr>
        <w:tc>
          <w:tcPr>
            <w:tcW w:w="1400" w:type="dxa"/>
            <w:vAlign w:val="bottom"/>
            <w:gridSpan w:val="2"/>
          </w:tcPr>
          <w:p>
            <w:pPr>
              <w:jc w:val="right"/>
              <w:ind w:right="20"/>
              <w:spacing w:after="0" w:line="180" w:lineRule="exact"/>
              <w:rPr>
                <w:sz w:val="20"/>
                <w:szCs w:val="20"/>
                <w:color w:val="auto"/>
              </w:rPr>
            </w:pPr>
            <w:r>
              <w:rPr>
                <w:rFonts w:ascii="PMingLiU" w:cs="PMingLiU" w:eastAsia="PMingLiU" w:hAnsi="PMingLiU"/>
                <w:sz w:val="16"/>
                <w:szCs w:val="16"/>
                <w:b w:val="1"/>
                <w:bCs w:val="1"/>
                <w:color w:val="231F20"/>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60" w:type="dxa"/>
            <w:vAlign w:val="bottom"/>
            <w:gridSpan w:val="2"/>
          </w:tcPr>
          <w:p>
            <w:pPr>
              <w:jc w:val="right"/>
              <w:ind w:right="280"/>
              <w:spacing w:after="0" w:line="180" w:lineRule="exact"/>
              <w:rPr>
                <w:sz w:val="20"/>
                <w:szCs w:val="20"/>
                <w:color w:val="auto"/>
              </w:rPr>
            </w:pPr>
            <w:r>
              <w:rPr>
                <w:rFonts w:ascii="PMingLiU" w:cs="PMingLiU" w:eastAsia="PMingLiU" w:hAnsi="PMingLiU"/>
                <w:sz w:val="16"/>
                <w:szCs w:val="16"/>
                <w:b w:val="1"/>
                <w:bCs w:val="1"/>
                <w:color w:val="231F20"/>
              </w:rPr>
              <w:t></w:t>
            </w:r>
          </w:p>
        </w:tc>
        <w:tc>
          <w:tcPr>
            <w:tcW w:w="22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PMingLiU" w:cs="PMingLiU" w:eastAsia="PMingLiU" w:hAnsi="PMingLiU"/>
                <w:sz w:val="16"/>
                <w:szCs w:val="16"/>
                <w:b w:val="1"/>
                <w:bCs w:val="1"/>
                <w:color w:val="231F20"/>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right"/>
              <w:ind w:right="160"/>
              <w:spacing w:after="0" w:line="180" w:lineRule="exact"/>
              <w:rPr>
                <w:sz w:val="20"/>
                <w:szCs w:val="20"/>
                <w:color w:val="auto"/>
              </w:rPr>
            </w:pPr>
            <w:r>
              <w:rPr>
                <w:rFonts w:ascii="Arial" w:cs="Arial" w:eastAsia="Arial" w:hAnsi="Arial"/>
                <w:sz w:val="16"/>
                <w:szCs w:val="16"/>
                <w:b w:val="1"/>
                <w:bCs w:val="1"/>
                <w:color w:val="231F20"/>
              </w:rPr>
              <w:t>19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line="180" w:lineRule="exact"/>
              <w:rPr>
                <w:sz w:val="20"/>
                <w:szCs w:val="20"/>
                <w:color w:val="auto"/>
              </w:rPr>
            </w:pPr>
            <w:r>
              <w:rPr>
                <w:rFonts w:ascii="PMingLiU" w:cs="PMingLiU" w:eastAsia="PMingLiU" w:hAnsi="PMingLiU"/>
                <w:sz w:val="16"/>
                <w:szCs w:val="16"/>
                <w:b w:val="1"/>
                <w:bCs w:val="1"/>
                <w:color w:val="231F20"/>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40"/>
              <w:spacing w:after="0" w:line="180" w:lineRule="exact"/>
              <w:rPr>
                <w:sz w:val="20"/>
                <w:szCs w:val="20"/>
                <w:color w:val="auto"/>
              </w:rPr>
            </w:pPr>
            <w:r>
              <w:rPr>
                <w:rFonts w:ascii="Arial" w:cs="Arial" w:eastAsia="Arial" w:hAnsi="Arial"/>
                <w:sz w:val="16"/>
                <w:szCs w:val="16"/>
                <w:b w:val="1"/>
                <w:bCs w:val="1"/>
                <w:color w:val="231F20"/>
              </w:rPr>
              <w:t>19</w:t>
            </w:r>
          </w:p>
        </w:tc>
        <w:tc>
          <w:tcPr>
            <w:tcW w:w="0" w:type="dxa"/>
            <w:vAlign w:val="bottom"/>
          </w:tcPr>
          <w:p>
            <w:pPr>
              <w:spacing w:after="0"/>
              <w:rPr>
                <w:sz w:val="1"/>
                <w:szCs w:val="1"/>
                <w:color w:val="auto"/>
              </w:rPr>
            </w:pPr>
          </w:p>
        </w:tc>
      </w:tr>
      <w:tr>
        <w:trPr>
          <w:trHeight w:val="178"/>
        </w:trPr>
        <w:tc>
          <w:tcPr>
            <w:tcW w:w="1400" w:type="dxa"/>
            <w:vAlign w:val="bottom"/>
            <w:gridSpan w:val="2"/>
          </w:tcPr>
          <w:p>
            <w:pPr>
              <w:jc w:val="right"/>
              <w:ind w:right="20"/>
              <w:spacing w:after="0" w:line="178" w:lineRule="exact"/>
              <w:rPr>
                <w:sz w:val="20"/>
                <w:szCs w:val="20"/>
                <w:color w:val="auto"/>
              </w:rPr>
            </w:pPr>
            <w:r>
              <w:rPr>
                <w:rFonts w:ascii="PMingLiU" w:cs="PMingLiU" w:eastAsia="PMingLiU" w:hAnsi="PMingLiU"/>
                <w:sz w:val="16"/>
                <w:szCs w:val="16"/>
                <w:b w:val="1"/>
                <w:bCs w:val="1"/>
                <w:color w:val="231F20"/>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60" w:type="dxa"/>
            <w:vAlign w:val="bottom"/>
            <w:gridSpan w:val="2"/>
          </w:tcPr>
          <w:p>
            <w:pPr>
              <w:jc w:val="right"/>
              <w:ind w:right="280"/>
              <w:spacing w:after="0" w:line="178" w:lineRule="exact"/>
              <w:rPr>
                <w:sz w:val="20"/>
                <w:szCs w:val="20"/>
                <w:color w:val="auto"/>
              </w:rPr>
            </w:pPr>
            <w:r>
              <w:rPr>
                <w:rFonts w:ascii="PMingLiU" w:cs="PMingLiU" w:eastAsia="PMingLiU" w:hAnsi="PMingLiU"/>
                <w:sz w:val="16"/>
                <w:szCs w:val="16"/>
                <w:b w:val="1"/>
                <w:bCs w:val="1"/>
                <w:color w:val="231F20"/>
              </w:rPr>
              <w:t></w:t>
            </w:r>
          </w:p>
        </w:tc>
        <w:tc>
          <w:tcPr>
            <w:tcW w:w="220" w:type="dxa"/>
            <w:vAlign w:val="bottom"/>
          </w:tcPr>
          <w:p>
            <w:pPr>
              <w:spacing w:after="0"/>
              <w:rPr>
                <w:sz w:val="15"/>
                <w:szCs w:val="15"/>
                <w:color w:val="auto"/>
              </w:rPr>
            </w:pPr>
          </w:p>
        </w:tc>
        <w:tc>
          <w:tcPr>
            <w:tcW w:w="1180" w:type="dxa"/>
            <w:vAlign w:val="bottom"/>
          </w:tcPr>
          <w:p>
            <w:pPr>
              <w:jc w:val="right"/>
              <w:spacing w:after="0" w:line="178" w:lineRule="exact"/>
              <w:rPr>
                <w:sz w:val="20"/>
                <w:szCs w:val="20"/>
                <w:color w:val="auto"/>
              </w:rPr>
            </w:pPr>
            <w:r>
              <w:rPr>
                <w:rFonts w:ascii="PMingLiU" w:cs="PMingLiU" w:eastAsia="PMingLiU" w:hAnsi="PMingLiU"/>
                <w:sz w:val="16"/>
                <w:szCs w:val="16"/>
                <w:b w:val="1"/>
                <w:bCs w:val="1"/>
                <w:color w:val="231F20"/>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right"/>
              <w:ind w:right="160"/>
              <w:spacing w:after="0" w:line="178" w:lineRule="exact"/>
              <w:rPr>
                <w:sz w:val="20"/>
                <w:szCs w:val="20"/>
                <w:color w:val="auto"/>
              </w:rPr>
            </w:pPr>
            <w:r>
              <w:rPr>
                <w:rFonts w:ascii="PMingLiU" w:cs="PMingLiU" w:eastAsia="PMingLiU" w:hAnsi="PMingLiU"/>
                <w:sz w:val="16"/>
                <w:szCs w:val="16"/>
                <w:b w:val="1"/>
                <w:bCs w:val="1"/>
                <w:color w:val="231F20"/>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right"/>
              <w:ind w:right="220"/>
              <w:spacing w:after="0" w:line="178" w:lineRule="exact"/>
              <w:rPr>
                <w:sz w:val="20"/>
                <w:szCs w:val="20"/>
                <w:color w:val="auto"/>
              </w:rPr>
            </w:pPr>
            <w:r>
              <w:rPr>
                <w:rFonts w:ascii="Arial" w:cs="Arial" w:eastAsia="Arial" w:hAnsi="Arial"/>
                <w:sz w:val="16"/>
                <w:szCs w:val="16"/>
                <w:b w:val="1"/>
                <w:bCs w:val="1"/>
                <w:color w:val="231F20"/>
              </w:rPr>
              <w:t>(134,850)</w:t>
            </w:r>
          </w:p>
        </w:tc>
        <w:tc>
          <w:tcPr>
            <w:tcW w:w="140" w:type="dxa"/>
            <w:vAlign w:val="bottom"/>
          </w:tcPr>
          <w:p>
            <w:pPr>
              <w:spacing w:after="0"/>
              <w:rPr>
                <w:sz w:val="15"/>
                <w:szCs w:val="15"/>
                <w:color w:val="auto"/>
              </w:rPr>
            </w:pPr>
          </w:p>
        </w:tc>
        <w:tc>
          <w:tcPr>
            <w:tcW w:w="1180" w:type="dxa"/>
            <w:vAlign w:val="bottom"/>
            <w:gridSpan w:val="2"/>
          </w:tcPr>
          <w:p>
            <w:pPr>
              <w:jc w:val="right"/>
              <w:spacing w:after="0" w:line="178" w:lineRule="exact"/>
              <w:rPr>
                <w:sz w:val="20"/>
                <w:szCs w:val="20"/>
                <w:color w:val="auto"/>
              </w:rPr>
            </w:pPr>
            <w:r>
              <w:rPr>
                <w:rFonts w:ascii="Arial" w:cs="Arial" w:eastAsia="Arial" w:hAnsi="Arial"/>
                <w:sz w:val="16"/>
                <w:szCs w:val="16"/>
                <w:b w:val="1"/>
                <w:bCs w:val="1"/>
                <w:color w:val="231F20"/>
              </w:rPr>
              <w:t>(134,850)</w:t>
            </w:r>
          </w:p>
        </w:tc>
        <w:tc>
          <w:tcPr>
            <w:tcW w:w="0" w:type="dxa"/>
            <w:vAlign w:val="bottom"/>
          </w:tcPr>
          <w:p>
            <w:pPr>
              <w:spacing w:after="0"/>
              <w:rPr>
                <w:sz w:val="1"/>
                <w:szCs w:val="1"/>
                <w:color w:val="auto"/>
              </w:rPr>
            </w:pPr>
          </w:p>
        </w:tc>
      </w:tr>
      <w:tr>
        <w:trPr>
          <w:trHeight w:val="32"/>
        </w:trPr>
        <w:tc>
          <w:tcPr>
            <w:tcW w:w="1400" w:type="dxa"/>
            <w:vAlign w:val="bottom"/>
            <w:tcBorders>
              <w:bottom w:val="single" w:sz="8" w:color="231F20"/>
            </w:tcBorders>
            <w:gridSpan w:val="2"/>
          </w:tcPr>
          <w:p>
            <w:pPr>
              <w:spacing w:after="0"/>
              <w:rPr>
                <w:sz w:val="2"/>
                <w:szCs w:val="2"/>
                <w:color w:val="auto"/>
              </w:rPr>
            </w:pPr>
          </w:p>
        </w:tc>
        <w:tc>
          <w:tcPr>
            <w:tcW w:w="12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1120" w:type="dxa"/>
            <w:vAlign w:val="bottom"/>
            <w:tcBorders>
              <w:bottom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118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vMerge w:val="restart"/>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280" w:type="dxa"/>
            <w:vAlign w:val="bottom"/>
            <w:tcBorders>
              <w:bottom w:val="single" w:sz="8" w:color="231F20"/>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1240" w:type="dxa"/>
            <w:vAlign w:val="bottom"/>
            <w:tcBorders>
              <w:bottom w:val="single" w:sz="8" w:color="231F20"/>
            </w:tcBorders>
          </w:tcPr>
          <w:p>
            <w:pPr>
              <w:spacing w:after="0"/>
              <w:rPr>
                <w:sz w:val="2"/>
                <w:szCs w:val="2"/>
                <w:color w:val="auto"/>
              </w:rPr>
            </w:pPr>
          </w:p>
        </w:tc>
        <w:tc>
          <w:tcPr>
            <w:tcW w:w="260" w:type="dxa"/>
            <w:vAlign w:val="bottom"/>
            <w:vMerge w:val="restart"/>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1140" w:type="dxa"/>
            <w:vAlign w:val="bottom"/>
            <w:tcBorders>
              <w:bottom w:val="single" w:sz="8" w:color="231F20"/>
            </w:tcBorders>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400" w:type="dxa"/>
            <w:vAlign w:val="bottom"/>
            <w:gridSpan w:val="2"/>
          </w:tcPr>
          <w:p>
            <w:pPr>
              <w:jc w:val="right"/>
              <w:ind w:right="20"/>
              <w:spacing w:after="0" w:line="163" w:lineRule="exact"/>
              <w:rPr>
                <w:sz w:val="20"/>
                <w:szCs w:val="20"/>
                <w:color w:val="auto"/>
              </w:rPr>
            </w:pPr>
            <w:r>
              <w:rPr>
                <w:rFonts w:ascii="Arial" w:cs="Arial" w:eastAsia="Arial" w:hAnsi="Arial"/>
                <w:sz w:val="16"/>
                <w:szCs w:val="16"/>
                <w:b w:val="1"/>
                <w:bCs w:val="1"/>
                <w:color w:val="231F20"/>
              </w:rPr>
              <w:t>53,052,912</w:t>
            </w:r>
          </w:p>
        </w:tc>
        <w:tc>
          <w:tcPr>
            <w:tcW w:w="1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120" w:type="dxa"/>
            <w:vAlign w:val="bottom"/>
          </w:tcPr>
          <w:p>
            <w:pPr>
              <w:jc w:val="right"/>
              <w:ind w:right="966"/>
              <w:spacing w:after="0"/>
              <w:rPr>
                <w:sz w:val="20"/>
                <w:szCs w:val="20"/>
                <w:color w:val="auto"/>
              </w:rPr>
            </w:pPr>
            <w:r>
              <w:rPr>
                <w:rFonts w:ascii="Arial" w:cs="Arial" w:eastAsia="Arial" w:hAnsi="Arial"/>
                <w:sz w:val="14"/>
                <w:szCs w:val="14"/>
                <w:b w:val="1"/>
                <w:bCs w:val="1"/>
                <w:color w:val="231F20"/>
                <w:w w:val="76"/>
              </w:rPr>
              <w:t>$</w:t>
            </w:r>
          </w:p>
        </w:tc>
        <w:tc>
          <w:tcPr>
            <w:tcW w:w="280" w:type="dxa"/>
            <w:vAlign w:val="bottom"/>
          </w:tcPr>
          <w:p>
            <w:pPr>
              <w:jc w:val="right"/>
              <w:spacing w:after="0" w:line="163" w:lineRule="exact"/>
              <w:rPr>
                <w:sz w:val="20"/>
                <w:szCs w:val="20"/>
                <w:color w:val="auto"/>
              </w:rPr>
            </w:pPr>
            <w:r>
              <w:rPr>
                <w:rFonts w:ascii="Arial" w:cs="Arial" w:eastAsia="Arial" w:hAnsi="Arial"/>
                <w:sz w:val="16"/>
                <w:szCs w:val="16"/>
                <w:b w:val="1"/>
                <w:bCs w:val="1"/>
                <w:color w:val="231F20"/>
              </w:rPr>
              <w:t>53</w:t>
            </w:r>
          </w:p>
        </w:tc>
        <w:tc>
          <w:tcPr>
            <w:tcW w:w="280" w:type="dxa"/>
            <w:vAlign w:val="bottom"/>
            <w:vMerge w:val="continue"/>
          </w:tcPr>
          <w:p>
            <w:pPr>
              <w:spacing w:after="0"/>
              <w:rPr>
                <w:sz w:val="14"/>
                <w:szCs w:val="1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231F20"/>
                <w:w w:val="76"/>
              </w:rPr>
              <w:t>$</w:t>
            </w:r>
          </w:p>
        </w:tc>
        <w:tc>
          <w:tcPr>
            <w:tcW w:w="1180" w:type="dxa"/>
            <w:vAlign w:val="bottom"/>
          </w:tcPr>
          <w:p>
            <w:pPr>
              <w:jc w:val="right"/>
              <w:spacing w:after="0" w:line="163" w:lineRule="exact"/>
              <w:rPr>
                <w:sz w:val="20"/>
                <w:szCs w:val="20"/>
                <w:color w:val="auto"/>
              </w:rPr>
            </w:pPr>
            <w:r>
              <w:rPr>
                <w:rFonts w:ascii="Arial" w:cs="Arial" w:eastAsia="Arial" w:hAnsi="Arial"/>
                <w:sz w:val="16"/>
                <w:szCs w:val="16"/>
                <w:b w:val="1"/>
                <w:bCs w:val="1"/>
                <w:color w:val="231F20"/>
              </w:rPr>
              <w:t>734,412</w:t>
            </w:r>
          </w:p>
        </w:tc>
        <w:tc>
          <w:tcPr>
            <w:tcW w:w="1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231F20"/>
                <w:w w:val="76"/>
              </w:rPr>
              <w:t>$</w:t>
            </w:r>
          </w:p>
        </w:tc>
        <w:tc>
          <w:tcPr>
            <w:tcW w:w="1280" w:type="dxa"/>
            <w:vAlign w:val="bottom"/>
          </w:tcPr>
          <w:p>
            <w:pPr>
              <w:jc w:val="right"/>
              <w:spacing w:after="0" w:line="163" w:lineRule="exact"/>
              <w:rPr>
                <w:sz w:val="20"/>
                <w:szCs w:val="20"/>
                <w:color w:val="auto"/>
              </w:rPr>
            </w:pPr>
            <w:r>
              <w:rPr>
                <w:rFonts w:ascii="Arial" w:cs="Arial" w:eastAsia="Arial" w:hAnsi="Arial"/>
                <w:sz w:val="16"/>
                <w:szCs w:val="16"/>
                <w:b w:val="1"/>
                <w:bCs w:val="1"/>
                <w:color w:val="231F20"/>
              </w:rPr>
              <w:t>275</w:t>
            </w:r>
          </w:p>
        </w:tc>
        <w:tc>
          <w:tcPr>
            <w:tcW w:w="16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231F20"/>
                <w:w w:val="76"/>
              </w:rPr>
              <w:t>$</w:t>
            </w:r>
          </w:p>
        </w:tc>
        <w:tc>
          <w:tcPr>
            <w:tcW w:w="1240" w:type="dxa"/>
            <w:vAlign w:val="bottom"/>
          </w:tcPr>
          <w:p>
            <w:pPr>
              <w:jc w:val="right"/>
              <w:spacing w:after="0" w:line="163" w:lineRule="exact"/>
              <w:rPr>
                <w:sz w:val="20"/>
                <w:szCs w:val="20"/>
                <w:color w:val="auto"/>
              </w:rPr>
            </w:pPr>
            <w:r>
              <w:rPr>
                <w:rFonts w:ascii="Arial" w:cs="Arial" w:eastAsia="Arial" w:hAnsi="Arial"/>
                <w:sz w:val="16"/>
                <w:szCs w:val="16"/>
                <w:b w:val="1"/>
                <w:bCs w:val="1"/>
                <w:color w:val="231F20"/>
              </w:rPr>
              <w:t>(621,122)</w:t>
            </w:r>
          </w:p>
        </w:tc>
        <w:tc>
          <w:tcPr>
            <w:tcW w:w="260" w:type="dxa"/>
            <w:vAlign w:val="bottom"/>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231F20"/>
                <w:w w:val="76"/>
              </w:rPr>
              <w:t>$</w:t>
            </w:r>
          </w:p>
        </w:tc>
        <w:tc>
          <w:tcPr>
            <w:tcW w:w="1140" w:type="dxa"/>
            <w:vAlign w:val="bottom"/>
          </w:tcPr>
          <w:p>
            <w:pPr>
              <w:jc w:val="right"/>
              <w:spacing w:after="0" w:line="163" w:lineRule="exact"/>
              <w:rPr>
                <w:sz w:val="20"/>
                <w:szCs w:val="20"/>
                <w:color w:val="auto"/>
              </w:rPr>
            </w:pPr>
            <w:r>
              <w:rPr>
                <w:rFonts w:ascii="Arial" w:cs="Arial" w:eastAsia="Arial" w:hAnsi="Arial"/>
                <w:sz w:val="16"/>
                <w:szCs w:val="16"/>
                <w:b w:val="1"/>
                <w:bCs w:val="1"/>
                <w:color w:val="231F20"/>
              </w:rPr>
              <w:t>113,618</w:t>
            </w: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-8890</wp:posOffset>
            </wp:positionV>
            <wp:extent cx="6150610" cy="5461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150610" cy="54610"/>
                    </a:xfrm>
                    <a:prstGeom prst="rect">
                      <a:avLst/>
                    </a:prstGeom>
                    <a:noFill/>
                  </pic:spPr>
                </pic:pic>
              </a:graphicData>
            </a:graphic>
          </wp:anchor>
        </w:drawing>
      </w:r>
    </w:p>
    <w:p>
      <w:pPr>
        <w:spacing w:after="0" w:line="200" w:lineRule="exact"/>
        <w:rPr>
          <w:sz w:val="20"/>
          <w:szCs w:val="20"/>
          <w:color w:val="auto"/>
        </w:rPr>
      </w:pPr>
    </w:p>
    <w:p>
      <w:pPr>
        <w:sectPr>
          <w:pgSz w:w="15840" w:h="12240" w:orient="landscape"/>
          <w:cols w:equalWidth="0" w:num="3">
            <w:col w:w="195" w:space="150"/>
            <w:col w:w="3880" w:space="320"/>
            <w:col w:w="9680"/>
          </w:cols>
          <w:pgMar w:left="955" w:top="1067" w:right="660" w:bottom="1440" w:gutter="0" w:footer="0" w:header="0"/>
          <w:type w:val="continuous"/>
        </w:sectPr>
      </w:pPr>
    </w:p>
    <w:p>
      <w:pPr>
        <w:spacing w:after="0" w:line="79" w:lineRule="exact"/>
        <w:rPr>
          <w:sz w:val="20"/>
          <w:szCs w:val="20"/>
          <w:color w:val="auto"/>
        </w:rPr>
      </w:pPr>
    </w:p>
    <w:p>
      <w:pPr>
        <w:ind w:left="3945"/>
        <w:spacing w:after="0"/>
        <w:rPr>
          <w:sz w:val="20"/>
          <w:szCs w:val="20"/>
          <w:color w:val="auto"/>
        </w:rPr>
      </w:pPr>
      <w:r>
        <w:rPr>
          <w:rFonts w:ascii="Arial" w:cs="Arial" w:eastAsia="Arial" w:hAnsi="Arial"/>
          <w:sz w:val="16"/>
          <w:szCs w:val="16"/>
          <w:b w:val="1"/>
          <w:bCs w:val="1"/>
          <w:color w:val="231F20"/>
        </w:rPr>
        <w:t>The accompanying notes are an integral part of these consolidated financial statements.</w:t>
      </w:r>
    </w:p>
    <w:p>
      <w:pPr>
        <w:sectPr>
          <w:pgSz w:w="15840" w:h="12240" w:orient="landscape"/>
          <w:cols w:equalWidth="0" w:num="1">
            <w:col w:w="14225"/>
          </w:cols>
          <w:pgMar w:left="955" w:top="1067" w:right="660" w:bottom="1440" w:gutter="0" w:footer="0" w:header="0"/>
          <w:type w:val="continuous"/>
        </w:sectPr>
      </w:pPr>
    </w:p>
    <w:bookmarkStart w:id="106" w:name="page107"/>
    <w:bookmarkEnd w:id="106"/>
    <w:p>
      <w:pPr>
        <w:jc w:val="center"/>
        <w:ind w:right="-59"/>
        <w:spacing w:after="0"/>
        <w:rPr>
          <w:sz w:val="20"/>
          <w:szCs w:val="20"/>
          <w:color w:val="auto"/>
        </w:rPr>
      </w:pPr>
      <w:r>
        <w:rPr>
          <w:rFonts w:ascii="Arial" w:cs="Arial" w:eastAsia="Arial" w:hAnsi="Arial"/>
          <w:sz w:val="19"/>
          <w:szCs w:val="19"/>
          <w:b w:val="1"/>
          <w:bCs w:val="1"/>
          <w:color w:val="231F20"/>
        </w:rPr>
        <w:t>ALX ONCOLOGY HOLDINGS INC.</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231F20"/>
        </w:rPr>
        <w:t>Consolidated Statements of Cash Flows</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231F20"/>
        </w:rPr>
        <w:t>(in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231F20"/>
                <w:w w:val="88"/>
              </w:rPr>
              <w:t>Year Ended</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231F20"/>
            </w:tcBorders>
          </w:tcPr>
          <w:p>
            <w:pPr>
              <w:spacing w:after="0"/>
              <w:rPr>
                <w:sz w:val="16"/>
                <w:szCs w:val="16"/>
                <w:color w:val="auto"/>
              </w:rPr>
            </w:pPr>
          </w:p>
        </w:tc>
        <w:tc>
          <w:tcPr>
            <w:tcW w:w="1000" w:type="dxa"/>
            <w:vAlign w:val="bottom"/>
            <w:tcBorders>
              <w:bottom w:val="single" w:sz="8" w:color="231F20"/>
            </w:tcBorders>
          </w:tcPr>
          <w:p>
            <w:pPr>
              <w:spacing w:after="0"/>
              <w:rPr>
                <w:sz w:val="16"/>
                <w:szCs w:val="16"/>
                <w:color w:val="auto"/>
              </w:rPr>
            </w:pPr>
          </w:p>
        </w:tc>
        <w:tc>
          <w:tcPr>
            <w:tcW w:w="140" w:type="dxa"/>
            <w:vAlign w:val="bottom"/>
            <w:tcBorders>
              <w:bottom w:val="single" w:sz="8" w:color="231F20"/>
            </w:tcBorders>
          </w:tcPr>
          <w:p>
            <w:pPr>
              <w:spacing w:after="0"/>
              <w:rPr>
                <w:sz w:val="16"/>
                <w:szCs w:val="16"/>
                <w:color w:val="auto"/>
              </w:rPr>
            </w:pPr>
          </w:p>
        </w:tc>
        <w:tc>
          <w:tcPr>
            <w:tcW w:w="100" w:type="dxa"/>
            <w:vAlign w:val="bottom"/>
            <w:tcBorders>
              <w:bottom w:val="single" w:sz="8" w:color="231F20"/>
            </w:tcBorders>
          </w:tcPr>
          <w:p>
            <w:pPr>
              <w:spacing w:after="0"/>
              <w:rPr>
                <w:sz w:val="16"/>
                <w:szCs w:val="16"/>
                <w:color w:val="auto"/>
              </w:rPr>
            </w:pPr>
          </w:p>
        </w:tc>
        <w:tc>
          <w:tcPr>
            <w:tcW w:w="120" w:type="dxa"/>
            <w:vAlign w:val="bottom"/>
            <w:tcBorders>
              <w:bottom w:val="single" w:sz="8" w:color="231F20"/>
            </w:tcBorders>
          </w:tcPr>
          <w:p>
            <w:pPr>
              <w:spacing w:after="0"/>
              <w:rPr>
                <w:sz w:val="16"/>
                <w:szCs w:val="16"/>
                <w:color w:val="auto"/>
              </w:rPr>
            </w:pPr>
          </w:p>
        </w:tc>
        <w:tc>
          <w:tcPr>
            <w:tcW w:w="1300" w:type="dxa"/>
            <w:vAlign w:val="bottom"/>
            <w:tcBorders>
              <w:bottom w:val="single" w:sz="8" w:color="231F20"/>
            </w:tcBorders>
            <w:gridSpan w:val="2"/>
          </w:tcPr>
          <w:p>
            <w:pPr>
              <w:jc w:val="center"/>
              <w:ind w:right="280"/>
              <w:spacing w:after="0"/>
              <w:rPr>
                <w:sz w:val="20"/>
                <w:szCs w:val="20"/>
                <w:color w:val="auto"/>
              </w:rPr>
            </w:pPr>
            <w:r>
              <w:rPr>
                <w:rFonts w:ascii="Arial" w:cs="Arial" w:eastAsia="Arial" w:hAnsi="Arial"/>
                <w:sz w:val="16"/>
                <w:szCs w:val="16"/>
                <w:b w:val="1"/>
                <w:bCs w:val="1"/>
                <w:color w:val="231F20"/>
                <w:w w:val="86"/>
              </w:rPr>
              <w:t>December 31,</w:t>
            </w:r>
          </w:p>
        </w:tc>
        <w:tc>
          <w:tcPr>
            <w:tcW w:w="100" w:type="dxa"/>
            <w:vAlign w:val="bottom"/>
            <w:tcBorders>
              <w:bottom w:val="single" w:sz="8" w:color="231F20"/>
            </w:tcBorders>
          </w:tcPr>
          <w:p>
            <w:pPr>
              <w:spacing w:after="0"/>
              <w:rPr>
                <w:sz w:val="16"/>
                <w:szCs w:val="16"/>
                <w:color w:val="auto"/>
              </w:rPr>
            </w:pPr>
          </w:p>
        </w:tc>
        <w:tc>
          <w:tcPr>
            <w:tcW w:w="280" w:type="dxa"/>
            <w:vAlign w:val="bottom"/>
            <w:tcBorders>
              <w:bottom w:val="single" w:sz="8" w:color="231F20"/>
            </w:tcBorders>
          </w:tcPr>
          <w:p>
            <w:pPr>
              <w:spacing w:after="0"/>
              <w:rPr>
                <w:sz w:val="16"/>
                <w:szCs w:val="16"/>
                <w:color w:val="auto"/>
              </w:rPr>
            </w:pPr>
          </w:p>
        </w:tc>
        <w:tc>
          <w:tcPr>
            <w:tcW w:w="1000" w:type="dxa"/>
            <w:vAlign w:val="bottom"/>
            <w:tcBorders>
              <w:bottom w:val="single" w:sz="8" w:color="231F20"/>
            </w:tcBorders>
          </w:tcPr>
          <w:p>
            <w:pPr>
              <w:spacing w:after="0"/>
              <w:rPr>
                <w:sz w:val="16"/>
                <w:szCs w:val="16"/>
                <w:color w:val="auto"/>
              </w:rPr>
            </w:pPr>
          </w:p>
        </w:tc>
        <w:tc>
          <w:tcPr>
            <w:tcW w:w="40" w:type="dxa"/>
            <w:vAlign w:val="bottom"/>
          </w:tcPr>
          <w:p>
            <w:pPr>
              <w:spacing w:after="0"/>
              <w:rPr>
                <w:sz w:val="16"/>
                <w:szCs w:val="16"/>
                <w:color w:val="auto"/>
              </w:rPr>
            </w:pPr>
          </w:p>
        </w:tc>
      </w:tr>
      <w:tr>
        <w:trPr>
          <w:trHeight w:val="181"/>
        </w:trPr>
        <w:tc>
          <w:tcPr>
            <w:tcW w:w="5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bottom w:val="single" w:sz="8" w:color="231F20"/>
            </w:tcBorders>
          </w:tcPr>
          <w:p>
            <w:pPr>
              <w:spacing w:after="0"/>
              <w:rPr>
                <w:sz w:val="15"/>
                <w:szCs w:val="15"/>
                <w:color w:val="auto"/>
              </w:rPr>
            </w:pPr>
          </w:p>
        </w:tc>
        <w:tc>
          <w:tcPr>
            <w:tcW w:w="1000" w:type="dxa"/>
            <w:vAlign w:val="bottom"/>
            <w:tcBorders>
              <w:bottom w:val="single" w:sz="8" w:color="231F20"/>
            </w:tcBorders>
          </w:tcPr>
          <w:p>
            <w:pPr>
              <w:jc w:val="right"/>
              <w:ind w:right="422"/>
              <w:spacing w:after="0" w:line="181" w:lineRule="exact"/>
              <w:rPr>
                <w:sz w:val="20"/>
                <w:szCs w:val="20"/>
                <w:color w:val="auto"/>
              </w:rPr>
            </w:pPr>
            <w:r>
              <w:rPr>
                <w:rFonts w:ascii="Arial" w:cs="Arial" w:eastAsia="Arial" w:hAnsi="Arial"/>
                <w:sz w:val="16"/>
                <w:szCs w:val="16"/>
                <w:b w:val="1"/>
                <w:bCs w:val="1"/>
                <w:color w:val="231F20"/>
              </w:rPr>
              <w:t>2024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1160" w:type="dxa"/>
            <w:vAlign w:val="bottom"/>
            <w:tcBorders>
              <w:bottom w:val="single" w:sz="8" w:color="231F20"/>
            </w:tcBorders>
          </w:tcPr>
          <w:p>
            <w:pPr>
              <w:jc w:val="center"/>
              <w:ind w:right="62"/>
              <w:spacing w:after="0" w:line="181" w:lineRule="exact"/>
              <w:rPr>
                <w:sz w:val="20"/>
                <w:szCs w:val="20"/>
                <w:color w:val="auto"/>
              </w:rPr>
            </w:pPr>
            <w:r>
              <w:rPr>
                <w:rFonts w:ascii="Arial" w:cs="Arial" w:eastAsia="Arial" w:hAnsi="Arial"/>
                <w:sz w:val="16"/>
                <w:szCs w:val="16"/>
                <w:b w:val="1"/>
                <w:bCs w:val="1"/>
                <w:color w:val="231F20"/>
                <w:w w:val="84"/>
              </w:rPr>
              <w:t>2023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231F20"/>
            </w:tcBorders>
          </w:tcPr>
          <w:p>
            <w:pPr>
              <w:spacing w:after="0"/>
              <w:rPr>
                <w:sz w:val="15"/>
                <w:szCs w:val="15"/>
                <w:color w:val="auto"/>
              </w:rPr>
            </w:pPr>
          </w:p>
        </w:tc>
        <w:tc>
          <w:tcPr>
            <w:tcW w:w="1000" w:type="dxa"/>
            <w:vAlign w:val="bottom"/>
            <w:tcBorders>
              <w:bottom w:val="single" w:sz="8" w:color="231F20"/>
            </w:tcBorders>
          </w:tcPr>
          <w:p>
            <w:pPr>
              <w:jc w:val="right"/>
              <w:ind w:right="422"/>
              <w:spacing w:after="0" w:line="181" w:lineRule="exact"/>
              <w:rPr>
                <w:sz w:val="20"/>
                <w:szCs w:val="20"/>
                <w:color w:val="auto"/>
              </w:rPr>
            </w:pPr>
            <w:r>
              <w:rPr>
                <w:rFonts w:ascii="Arial" w:cs="Arial" w:eastAsia="Arial" w:hAnsi="Arial"/>
                <w:sz w:val="16"/>
                <w:szCs w:val="16"/>
                <w:b w:val="1"/>
                <w:bCs w:val="1"/>
                <w:color w:val="231F20"/>
              </w:rPr>
              <w:t>2022</w:t>
            </w:r>
          </w:p>
        </w:tc>
        <w:tc>
          <w:tcPr>
            <w:tcW w:w="40" w:type="dxa"/>
            <w:vAlign w:val="bottom"/>
          </w:tcPr>
          <w:p>
            <w:pPr>
              <w:spacing w:after="0"/>
              <w:rPr>
                <w:sz w:val="15"/>
                <w:szCs w:val="15"/>
                <w:color w:val="auto"/>
              </w:rPr>
            </w:pPr>
          </w:p>
        </w:tc>
      </w:tr>
      <w:tr>
        <w:trPr>
          <w:trHeight w:val="182"/>
        </w:trPr>
        <w:tc>
          <w:tcPr>
            <w:tcW w:w="5860" w:type="dxa"/>
            <w:vAlign w:val="bottom"/>
          </w:tcPr>
          <w:p>
            <w:pPr>
              <w:spacing w:after="0" w:line="181" w:lineRule="exact"/>
              <w:rPr>
                <w:sz w:val="20"/>
                <w:szCs w:val="20"/>
                <w:color w:val="auto"/>
              </w:rPr>
            </w:pPr>
            <w:r>
              <w:rPr>
                <w:rFonts w:ascii="Arial" w:cs="Arial" w:eastAsia="Arial" w:hAnsi="Arial"/>
                <w:sz w:val="16"/>
                <w:szCs w:val="16"/>
                <w:b w:val="1"/>
                <w:bCs w:val="1"/>
                <w:color w:val="231F20"/>
              </w:rPr>
              <w:t>Operating activities</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2"/>
        </w:trPr>
        <w:tc>
          <w:tcPr>
            <w:tcW w:w="5860" w:type="dxa"/>
            <w:vAlign w:val="bottom"/>
          </w:tcPr>
          <w:p>
            <w:pPr>
              <w:spacing w:after="0"/>
              <w:rPr>
                <w:sz w:val="20"/>
                <w:szCs w:val="20"/>
                <w:color w:val="auto"/>
              </w:rPr>
            </w:pPr>
            <w:r>
              <w:rPr>
                <w:rFonts w:ascii="Arial" w:cs="Arial" w:eastAsia="Arial" w:hAnsi="Arial"/>
                <w:sz w:val="16"/>
                <w:szCs w:val="16"/>
                <w:b w:val="1"/>
                <w:bCs w:val="1"/>
                <w:color w:val="231F20"/>
              </w:rPr>
              <w:t>Net loss</w:t>
            </w:r>
          </w:p>
        </w:tc>
        <w:tc>
          <w:tcPr>
            <w:tcW w:w="4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231F20"/>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231F20"/>
              </w:rPr>
              <w:t>(134,850)</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231F20"/>
              </w:rPr>
              <w:t>$</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231F20"/>
              </w:rPr>
              <w:t>(160,805)</w:t>
            </w:r>
          </w:p>
        </w:tc>
        <w:tc>
          <w:tcPr>
            <w:tcW w:w="3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231F20"/>
              </w:rPr>
              <w:t>$</w:t>
            </w: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231F20"/>
              </w:rPr>
              <w:t>(123,482)</w:t>
            </w:r>
          </w:p>
        </w:tc>
      </w:tr>
      <w:tr>
        <w:trPr>
          <w:trHeight w:val="192"/>
        </w:trPr>
        <w:tc>
          <w:tcPr>
            <w:tcW w:w="5860" w:type="dxa"/>
            <w:vAlign w:val="bottom"/>
          </w:tcPr>
          <w:p>
            <w:pPr>
              <w:spacing w:after="0"/>
              <w:rPr>
                <w:sz w:val="20"/>
                <w:szCs w:val="20"/>
                <w:color w:val="auto"/>
              </w:rPr>
            </w:pPr>
            <w:r>
              <w:rPr>
                <w:rFonts w:ascii="Arial" w:cs="Arial" w:eastAsia="Arial" w:hAnsi="Arial"/>
                <w:sz w:val="16"/>
                <w:szCs w:val="16"/>
                <w:b w:val="1"/>
                <w:bCs w:val="1"/>
                <w:color w:val="231F20"/>
              </w:rPr>
              <w:t>Adjustments to reconcile net loss to net cash used in operating activities:</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5860" w:type="dxa"/>
            <w:vAlign w:val="bottom"/>
          </w:tcPr>
          <w:p>
            <w:pPr>
              <w:ind w:left="200"/>
              <w:spacing w:after="0"/>
              <w:rPr>
                <w:sz w:val="20"/>
                <w:szCs w:val="20"/>
                <w:color w:val="auto"/>
              </w:rPr>
            </w:pPr>
            <w:r>
              <w:rPr>
                <w:rFonts w:ascii="Arial" w:cs="Arial" w:eastAsia="Arial" w:hAnsi="Arial"/>
                <w:sz w:val="16"/>
                <w:szCs w:val="16"/>
                <w:b w:val="1"/>
                <w:bCs w:val="1"/>
                <w:color w:val="231F20"/>
              </w:rPr>
              <w:t>Depreciation and amortization</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231F20"/>
              </w:rPr>
              <w:t>872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231F20"/>
              </w:rPr>
              <w:t>836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231F20"/>
              </w:rPr>
              <w:t>342</w:t>
            </w:r>
          </w:p>
        </w:tc>
        <w:tc>
          <w:tcPr>
            <w:tcW w:w="40" w:type="dxa"/>
            <w:vAlign w:val="bottom"/>
          </w:tcPr>
          <w:p>
            <w:pPr>
              <w:spacing w:after="0"/>
              <w:rPr>
                <w:sz w:val="16"/>
                <w:szCs w:val="16"/>
                <w:color w:val="auto"/>
              </w:rPr>
            </w:pPr>
          </w:p>
        </w:tc>
      </w:tr>
      <w:tr>
        <w:trPr>
          <w:trHeight w:val="192"/>
        </w:trPr>
        <w:tc>
          <w:tcPr>
            <w:tcW w:w="5860" w:type="dxa"/>
            <w:vAlign w:val="bottom"/>
          </w:tcPr>
          <w:p>
            <w:pPr>
              <w:ind w:left="200"/>
              <w:spacing w:after="0"/>
              <w:rPr>
                <w:sz w:val="20"/>
                <w:szCs w:val="20"/>
                <w:color w:val="auto"/>
              </w:rPr>
            </w:pPr>
            <w:r>
              <w:rPr>
                <w:rFonts w:ascii="Arial" w:cs="Arial" w:eastAsia="Arial" w:hAnsi="Arial"/>
                <w:sz w:val="16"/>
                <w:szCs w:val="16"/>
                <w:b w:val="1"/>
                <w:bCs w:val="1"/>
                <w:color w:val="231F20"/>
              </w:rPr>
              <w:t>Non-cash lease costs</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231F20"/>
              </w:rPr>
              <w:t>1,785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231F20"/>
              </w:rPr>
              <w:t>1,272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231F20"/>
              </w:rPr>
              <w:t>1,124</w:t>
            </w:r>
          </w:p>
        </w:tc>
        <w:tc>
          <w:tcPr>
            <w:tcW w:w="40" w:type="dxa"/>
            <w:vAlign w:val="bottom"/>
          </w:tcPr>
          <w:p>
            <w:pPr>
              <w:spacing w:after="0"/>
              <w:rPr>
                <w:sz w:val="16"/>
                <w:szCs w:val="16"/>
                <w:color w:val="auto"/>
              </w:rPr>
            </w:pPr>
          </w:p>
        </w:tc>
      </w:tr>
      <w:tr>
        <w:trPr>
          <w:trHeight w:val="192"/>
        </w:trPr>
        <w:tc>
          <w:tcPr>
            <w:tcW w:w="5860" w:type="dxa"/>
            <w:vAlign w:val="bottom"/>
          </w:tcPr>
          <w:p>
            <w:pPr>
              <w:ind w:left="200"/>
              <w:spacing w:after="0"/>
              <w:rPr>
                <w:sz w:val="20"/>
                <w:szCs w:val="20"/>
                <w:color w:val="auto"/>
              </w:rPr>
            </w:pPr>
            <w:r>
              <w:rPr>
                <w:rFonts w:ascii="Arial" w:cs="Arial" w:eastAsia="Arial" w:hAnsi="Arial"/>
                <w:sz w:val="16"/>
                <w:szCs w:val="16"/>
                <w:b w:val="1"/>
                <w:bCs w:val="1"/>
                <w:color w:val="231F20"/>
              </w:rPr>
              <w:t>Stock-based compensation</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231F20"/>
              </w:rPr>
              <w:t>27,093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231F20"/>
              </w:rPr>
              <w:t>26,273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231F20"/>
              </w:rPr>
              <w:t>23,839</w:t>
            </w:r>
          </w:p>
        </w:tc>
        <w:tc>
          <w:tcPr>
            <w:tcW w:w="40" w:type="dxa"/>
            <w:vAlign w:val="bottom"/>
          </w:tcPr>
          <w:p>
            <w:pPr>
              <w:spacing w:after="0"/>
              <w:rPr>
                <w:sz w:val="16"/>
                <w:szCs w:val="16"/>
                <w:color w:val="auto"/>
              </w:rPr>
            </w:pPr>
          </w:p>
        </w:tc>
      </w:tr>
      <w:tr>
        <w:trPr>
          <w:trHeight w:val="192"/>
        </w:trPr>
        <w:tc>
          <w:tcPr>
            <w:tcW w:w="5860" w:type="dxa"/>
            <w:vAlign w:val="bottom"/>
          </w:tcPr>
          <w:p>
            <w:pPr>
              <w:ind w:left="200"/>
              <w:spacing w:after="0"/>
              <w:rPr>
                <w:sz w:val="20"/>
                <w:szCs w:val="20"/>
                <w:color w:val="auto"/>
              </w:rPr>
            </w:pPr>
            <w:r>
              <w:rPr>
                <w:rFonts w:ascii="Arial" w:cs="Arial" w:eastAsia="Arial" w:hAnsi="Arial"/>
                <w:sz w:val="16"/>
                <w:szCs w:val="16"/>
                <w:b w:val="1"/>
                <w:bCs w:val="1"/>
                <w:color w:val="231F20"/>
              </w:rPr>
              <w:t>Net accretion of discounts on investments</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231F20"/>
              </w:rPr>
              <w:t>(4,657)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231F20"/>
              </w:rPr>
              <w:t>(6,487)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231F20"/>
              </w:rPr>
              <w:t>(940)</w:t>
            </w:r>
          </w:p>
        </w:tc>
      </w:tr>
      <w:tr>
        <w:trPr>
          <w:trHeight w:val="192"/>
        </w:trPr>
        <w:tc>
          <w:tcPr>
            <w:tcW w:w="5860" w:type="dxa"/>
            <w:vAlign w:val="bottom"/>
          </w:tcPr>
          <w:p>
            <w:pPr>
              <w:ind w:left="200"/>
              <w:spacing w:after="0"/>
              <w:rPr>
                <w:sz w:val="20"/>
                <w:szCs w:val="20"/>
                <w:color w:val="auto"/>
              </w:rPr>
            </w:pPr>
            <w:r>
              <w:rPr>
                <w:rFonts w:ascii="Arial" w:cs="Arial" w:eastAsia="Arial" w:hAnsi="Arial"/>
                <w:sz w:val="16"/>
                <w:szCs w:val="16"/>
                <w:b w:val="1"/>
                <w:bCs w:val="1"/>
                <w:color w:val="231F20"/>
              </w:rPr>
              <w:t>Accretion of term loan discount and issuance costs</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231F20"/>
              </w:rPr>
              <w:t>265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231F20"/>
              </w:rPr>
              <w:t>250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231F20"/>
              </w:rPr>
              <w:t>44</w:t>
            </w:r>
          </w:p>
        </w:tc>
        <w:tc>
          <w:tcPr>
            <w:tcW w:w="40" w:type="dxa"/>
            <w:vAlign w:val="bottom"/>
          </w:tcPr>
          <w:p>
            <w:pPr>
              <w:spacing w:after="0"/>
              <w:rPr>
                <w:sz w:val="16"/>
                <w:szCs w:val="16"/>
                <w:color w:val="auto"/>
              </w:rPr>
            </w:pPr>
          </w:p>
        </w:tc>
      </w:tr>
      <w:tr>
        <w:trPr>
          <w:trHeight w:val="192"/>
        </w:trPr>
        <w:tc>
          <w:tcPr>
            <w:tcW w:w="5860" w:type="dxa"/>
            <w:vAlign w:val="bottom"/>
          </w:tcPr>
          <w:p>
            <w:pPr>
              <w:ind w:left="200"/>
              <w:spacing w:after="0"/>
              <w:rPr>
                <w:sz w:val="20"/>
                <w:szCs w:val="20"/>
                <w:color w:val="auto"/>
              </w:rPr>
            </w:pPr>
            <w:r>
              <w:rPr>
                <w:rFonts w:ascii="Arial" w:cs="Arial" w:eastAsia="Arial" w:hAnsi="Arial"/>
                <w:sz w:val="16"/>
                <w:szCs w:val="16"/>
                <w:b w:val="1"/>
                <w:bCs w:val="1"/>
                <w:color w:val="231F20"/>
              </w:rPr>
              <w:t>Loss on disposal of fixed asset</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231F20"/>
              </w:rPr>
              <w:t>10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231F20"/>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231F20"/>
              </w:rPr>
              <w:t></w:t>
            </w:r>
          </w:p>
        </w:tc>
        <w:tc>
          <w:tcPr>
            <w:tcW w:w="40" w:type="dxa"/>
            <w:vAlign w:val="bottom"/>
          </w:tcPr>
          <w:p>
            <w:pPr>
              <w:spacing w:after="0"/>
              <w:rPr>
                <w:sz w:val="16"/>
                <w:szCs w:val="16"/>
                <w:color w:val="auto"/>
              </w:rPr>
            </w:pPr>
          </w:p>
        </w:tc>
      </w:tr>
      <w:tr>
        <w:trPr>
          <w:trHeight w:val="192"/>
        </w:trPr>
        <w:tc>
          <w:tcPr>
            <w:tcW w:w="5860" w:type="dxa"/>
            <w:vAlign w:val="bottom"/>
          </w:tcPr>
          <w:p>
            <w:pPr>
              <w:ind w:left="200"/>
              <w:spacing w:after="0"/>
              <w:rPr>
                <w:sz w:val="20"/>
                <w:szCs w:val="20"/>
                <w:color w:val="auto"/>
              </w:rPr>
            </w:pPr>
            <w:r>
              <w:rPr>
                <w:rFonts w:ascii="Arial" w:cs="Arial" w:eastAsia="Arial" w:hAnsi="Arial"/>
                <w:sz w:val="16"/>
                <w:szCs w:val="16"/>
                <w:b w:val="1"/>
                <w:bCs w:val="1"/>
                <w:color w:val="231F20"/>
              </w:rPr>
              <w:t>Changes in operating assets and liabilities</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5860" w:type="dxa"/>
            <w:vAlign w:val="bottom"/>
          </w:tcPr>
          <w:p>
            <w:pPr>
              <w:ind w:left="380"/>
              <w:spacing w:after="0"/>
              <w:rPr>
                <w:sz w:val="20"/>
                <w:szCs w:val="20"/>
                <w:color w:val="auto"/>
              </w:rPr>
            </w:pPr>
            <w:r>
              <w:rPr>
                <w:rFonts w:ascii="Arial" w:cs="Arial" w:eastAsia="Arial" w:hAnsi="Arial"/>
                <w:sz w:val="16"/>
                <w:szCs w:val="16"/>
                <w:b w:val="1"/>
                <w:bCs w:val="1"/>
                <w:color w:val="231F20"/>
              </w:rPr>
              <w:t>Prepaid expenses and other current assets</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231F20"/>
              </w:rPr>
              <w:t>(692)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231F20"/>
              </w:rPr>
              <w:t>(1,291)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231F20"/>
              </w:rPr>
              <w:t>(1,476)</w:t>
            </w:r>
          </w:p>
        </w:tc>
      </w:tr>
      <w:tr>
        <w:trPr>
          <w:trHeight w:val="192"/>
        </w:trPr>
        <w:tc>
          <w:tcPr>
            <w:tcW w:w="5860" w:type="dxa"/>
            <w:vAlign w:val="bottom"/>
          </w:tcPr>
          <w:p>
            <w:pPr>
              <w:ind w:left="380"/>
              <w:spacing w:after="0"/>
              <w:rPr>
                <w:sz w:val="20"/>
                <w:szCs w:val="20"/>
                <w:color w:val="auto"/>
              </w:rPr>
            </w:pPr>
            <w:r>
              <w:rPr>
                <w:rFonts w:ascii="Arial" w:cs="Arial" w:eastAsia="Arial" w:hAnsi="Arial"/>
                <w:sz w:val="16"/>
                <w:szCs w:val="16"/>
                <w:b w:val="1"/>
                <w:bCs w:val="1"/>
                <w:color w:val="231F20"/>
              </w:rPr>
              <w:t>Other assets</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231F20"/>
              </w:rPr>
              <w:t>7,375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231F20"/>
              </w:rPr>
              <w:t>1,366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231F20"/>
              </w:rPr>
              <w:t>750</w:t>
            </w:r>
          </w:p>
        </w:tc>
        <w:tc>
          <w:tcPr>
            <w:tcW w:w="40" w:type="dxa"/>
            <w:vAlign w:val="bottom"/>
          </w:tcPr>
          <w:p>
            <w:pPr>
              <w:spacing w:after="0"/>
              <w:rPr>
                <w:sz w:val="16"/>
                <w:szCs w:val="16"/>
                <w:color w:val="auto"/>
              </w:rPr>
            </w:pPr>
          </w:p>
        </w:tc>
      </w:tr>
      <w:tr>
        <w:trPr>
          <w:trHeight w:val="192"/>
        </w:trPr>
        <w:tc>
          <w:tcPr>
            <w:tcW w:w="5860" w:type="dxa"/>
            <w:vAlign w:val="bottom"/>
          </w:tcPr>
          <w:p>
            <w:pPr>
              <w:ind w:left="380"/>
              <w:spacing w:after="0"/>
              <w:rPr>
                <w:sz w:val="20"/>
                <w:szCs w:val="20"/>
                <w:color w:val="auto"/>
              </w:rPr>
            </w:pPr>
            <w:r>
              <w:rPr>
                <w:rFonts w:ascii="Arial" w:cs="Arial" w:eastAsia="Arial" w:hAnsi="Arial"/>
                <w:sz w:val="16"/>
                <w:szCs w:val="16"/>
                <w:b w:val="1"/>
                <w:bCs w:val="1"/>
                <w:color w:val="231F20"/>
              </w:rPr>
              <w:t>Accounts payable</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231F20"/>
              </w:rPr>
              <w:t>(4,024)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231F20"/>
              </w:rPr>
              <w:t>458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231F20"/>
              </w:rPr>
              <w:t>4,506</w:t>
            </w:r>
          </w:p>
        </w:tc>
        <w:tc>
          <w:tcPr>
            <w:tcW w:w="40" w:type="dxa"/>
            <w:vAlign w:val="bottom"/>
          </w:tcPr>
          <w:p>
            <w:pPr>
              <w:spacing w:after="0"/>
              <w:rPr>
                <w:sz w:val="16"/>
                <w:szCs w:val="16"/>
                <w:color w:val="auto"/>
              </w:rPr>
            </w:pPr>
          </w:p>
        </w:tc>
      </w:tr>
      <w:tr>
        <w:trPr>
          <w:trHeight w:val="192"/>
        </w:trPr>
        <w:tc>
          <w:tcPr>
            <w:tcW w:w="5860" w:type="dxa"/>
            <w:vAlign w:val="bottom"/>
          </w:tcPr>
          <w:p>
            <w:pPr>
              <w:ind w:left="380"/>
              <w:spacing w:after="0"/>
              <w:rPr>
                <w:sz w:val="20"/>
                <w:szCs w:val="20"/>
                <w:color w:val="auto"/>
              </w:rPr>
            </w:pPr>
            <w:r>
              <w:rPr>
                <w:rFonts w:ascii="Arial" w:cs="Arial" w:eastAsia="Arial" w:hAnsi="Arial"/>
                <w:sz w:val="16"/>
                <w:szCs w:val="16"/>
                <w:b w:val="1"/>
                <w:bCs w:val="1"/>
                <w:color w:val="231F20"/>
              </w:rPr>
              <w:t>Payable and accrued liabilities due to related party</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231F20"/>
              </w:rPr>
              <w:t>(394)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231F20"/>
              </w:rPr>
              <w:t>(1,107)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231F20"/>
              </w:rPr>
              <w:t>20</w:t>
            </w:r>
          </w:p>
        </w:tc>
        <w:tc>
          <w:tcPr>
            <w:tcW w:w="40" w:type="dxa"/>
            <w:vAlign w:val="bottom"/>
          </w:tcPr>
          <w:p>
            <w:pPr>
              <w:spacing w:after="0"/>
              <w:rPr>
                <w:sz w:val="16"/>
                <w:szCs w:val="16"/>
                <w:color w:val="auto"/>
              </w:rPr>
            </w:pPr>
          </w:p>
        </w:tc>
      </w:tr>
      <w:tr>
        <w:trPr>
          <w:trHeight w:val="192"/>
        </w:trPr>
        <w:tc>
          <w:tcPr>
            <w:tcW w:w="5860" w:type="dxa"/>
            <w:vAlign w:val="bottom"/>
          </w:tcPr>
          <w:p>
            <w:pPr>
              <w:ind w:left="380"/>
              <w:spacing w:after="0"/>
              <w:rPr>
                <w:sz w:val="20"/>
                <w:szCs w:val="20"/>
                <w:color w:val="auto"/>
              </w:rPr>
            </w:pPr>
            <w:r>
              <w:rPr>
                <w:rFonts w:ascii="Arial" w:cs="Arial" w:eastAsia="Arial" w:hAnsi="Arial"/>
                <w:sz w:val="16"/>
                <w:szCs w:val="16"/>
                <w:b w:val="1"/>
                <w:bCs w:val="1"/>
                <w:color w:val="231F20"/>
              </w:rPr>
              <w:t>Accrued expenses and other current liabilities</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231F20"/>
              </w:rPr>
              <w:t>(12,624)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231F20"/>
              </w:rPr>
              <w:t>11,224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231F20"/>
              </w:rPr>
              <w:t>7,027</w:t>
            </w:r>
          </w:p>
        </w:tc>
        <w:tc>
          <w:tcPr>
            <w:tcW w:w="40" w:type="dxa"/>
            <w:vAlign w:val="bottom"/>
          </w:tcPr>
          <w:p>
            <w:pPr>
              <w:spacing w:after="0"/>
              <w:rPr>
                <w:sz w:val="16"/>
                <w:szCs w:val="16"/>
                <w:color w:val="auto"/>
              </w:rPr>
            </w:pPr>
          </w:p>
        </w:tc>
      </w:tr>
      <w:tr>
        <w:trPr>
          <w:trHeight w:val="192"/>
        </w:trPr>
        <w:tc>
          <w:tcPr>
            <w:tcW w:w="5860" w:type="dxa"/>
            <w:vAlign w:val="bottom"/>
          </w:tcPr>
          <w:p>
            <w:pPr>
              <w:ind w:left="380"/>
              <w:spacing w:after="0"/>
              <w:rPr>
                <w:sz w:val="20"/>
                <w:szCs w:val="20"/>
                <w:color w:val="auto"/>
              </w:rPr>
            </w:pPr>
            <w:r>
              <w:rPr>
                <w:rFonts w:ascii="Arial" w:cs="Arial" w:eastAsia="Arial" w:hAnsi="Arial"/>
                <w:sz w:val="16"/>
                <w:szCs w:val="16"/>
                <w:b w:val="1"/>
                <w:bCs w:val="1"/>
                <w:color w:val="231F20"/>
              </w:rPr>
              <w:t>Other non-current liabilities</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231F20"/>
              </w:rPr>
              <w:t>(2,071)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231F20"/>
              </w:rPr>
              <w:t>(2,353)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231F20"/>
              </w:rPr>
              <w:t>(977)</w:t>
            </w:r>
          </w:p>
        </w:tc>
      </w:tr>
      <w:tr>
        <w:trPr>
          <w:trHeight w:val="20"/>
        </w:trPr>
        <w:tc>
          <w:tcPr>
            <w:tcW w:w="5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231F20"/>
          </w:tcPr>
          <w:p>
            <w:pPr>
              <w:spacing w:after="0" w:line="20" w:lineRule="exact"/>
              <w:rPr>
                <w:sz w:val="1"/>
                <w:szCs w:val="1"/>
                <w:color w:val="auto"/>
              </w:rPr>
            </w:pPr>
          </w:p>
        </w:tc>
        <w:tc>
          <w:tcPr>
            <w:tcW w:w="100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116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231F20"/>
          </w:tcPr>
          <w:p>
            <w:pPr>
              <w:spacing w:after="0" w:line="20" w:lineRule="exact"/>
              <w:rPr>
                <w:sz w:val="1"/>
                <w:szCs w:val="1"/>
                <w:color w:val="auto"/>
              </w:rPr>
            </w:pPr>
          </w:p>
        </w:tc>
        <w:tc>
          <w:tcPr>
            <w:tcW w:w="100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1"/>
        </w:trPr>
        <w:tc>
          <w:tcPr>
            <w:tcW w:w="5860" w:type="dxa"/>
            <w:vAlign w:val="bottom"/>
          </w:tcPr>
          <w:p>
            <w:pPr>
              <w:ind w:left="580"/>
              <w:spacing w:after="0" w:line="181" w:lineRule="exact"/>
              <w:rPr>
                <w:sz w:val="20"/>
                <w:szCs w:val="20"/>
                <w:color w:val="auto"/>
              </w:rPr>
            </w:pPr>
            <w:r>
              <w:rPr>
                <w:rFonts w:ascii="Arial" w:cs="Arial" w:eastAsia="Arial" w:hAnsi="Arial"/>
                <w:sz w:val="16"/>
                <w:szCs w:val="16"/>
                <w:b w:val="1"/>
                <w:bCs w:val="1"/>
                <w:color w:val="231F20"/>
              </w:rPr>
              <w:t>Net cash used in operating activities</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tcPr>
          <w:p>
            <w:pPr>
              <w:jc w:val="right"/>
              <w:ind w:right="80"/>
              <w:spacing w:after="0" w:line="181" w:lineRule="exact"/>
              <w:rPr>
                <w:sz w:val="20"/>
                <w:szCs w:val="20"/>
                <w:color w:val="auto"/>
              </w:rPr>
            </w:pPr>
            <w:r>
              <w:rPr>
                <w:rFonts w:ascii="Arial" w:cs="Arial" w:eastAsia="Arial" w:hAnsi="Arial"/>
                <w:sz w:val="16"/>
                <w:szCs w:val="16"/>
                <w:b w:val="1"/>
                <w:bCs w:val="1"/>
                <w:color w:val="231F20"/>
              </w:rPr>
              <w:t>(121,912)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80"/>
              <w:spacing w:after="0" w:line="181" w:lineRule="exact"/>
              <w:rPr>
                <w:sz w:val="20"/>
                <w:szCs w:val="20"/>
                <w:color w:val="auto"/>
              </w:rPr>
            </w:pPr>
            <w:r>
              <w:rPr>
                <w:rFonts w:ascii="Arial" w:cs="Arial" w:eastAsia="Arial" w:hAnsi="Arial"/>
                <w:sz w:val="16"/>
                <w:szCs w:val="16"/>
                <w:b w:val="1"/>
                <w:bCs w:val="1"/>
                <w:color w:val="231F20"/>
              </w:rPr>
              <w:t>(130,364)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right"/>
              <w:spacing w:after="0" w:line="181" w:lineRule="exact"/>
              <w:rPr>
                <w:sz w:val="20"/>
                <w:szCs w:val="20"/>
                <w:color w:val="auto"/>
              </w:rPr>
            </w:pPr>
            <w:r>
              <w:rPr>
                <w:rFonts w:ascii="Arial" w:cs="Arial" w:eastAsia="Arial" w:hAnsi="Arial"/>
                <w:sz w:val="16"/>
                <w:szCs w:val="16"/>
                <w:b w:val="1"/>
                <w:bCs w:val="1"/>
                <w:color w:val="231F20"/>
              </w:rPr>
              <w:t>(89,223)</w:t>
            </w:r>
          </w:p>
        </w:tc>
      </w:tr>
      <w:tr>
        <w:trPr>
          <w:trHeight w:val="182"/>
        </w:trPr>
        <w:tc>
          <w:tcPr>
            <w:tcW w:w="5860" w:type="dxa"/>
            <w:vAlign w:val="bottom"/>
          </w:tcPr>
          <w:p>
            <w:pPr>
              <w:spacing w:after="0" w:line="181" w:lineRule="exact"/>
              <w:rPr>
                <w:sz w:val="20"/>
                <w:szCs w:val="20"/>
                <w:color w:val="auto"/>
              </w:rPr>
            </w:pPr>
            <w:r>
              <w:rPr>
                <w:rFonts w:ascii="Arial" w:cs="Arial" w:eastAsia="Arial" w:hAnsi="Arial"/>
                <w:sz w:val="16"/>
                <w:szCs w:val="16"/>
                <w:b w:val="1"/>
                <w:bCs w:val="1"/>
                <w:color w:val="231F20"/>
              </w:rPr>
              <w:t>Investing activities</w:t>
            </w:r>
          </w:p>
        </w:tc>
        <w:tc>
          <w:tcPr>
            <w:tcW w:w="200" w:type="dxa"/>
            <w:vAlign w:val="bottom"/>
          </w:tcPr>
          <w:p>
            <w:pPr>
              <w:spacing w:after="0"/>
              <w:rPr>
                <w:sz w:val="15"/>
                <w:szCs w:val="15"/>
                <w:color w:val="auto"/>
              </w:rPr>
            </w:pPr>
          </w:p>
        </w:tc>
        <w:tc>
          <w:tcPr>
            <w:tcW w:w="280" w:type="dxa"/>
            <w:vAlign w:val="bottom"/>
            <w:tcBorders>
              <w:top w:val="single" w:sz="8" w:color="231F20"/>
            </w:tcBorders>
          </w:tcPr>
          <w:p>
            <w:pPr>
              <w:spacing w:after="0"/>
              <w:rPr>
                <w:sz w:val="15"/>
                <w:szCs w:val="15"/>
                <w:color w:val="auto"/>
              </w:rPr>
            </w:pPr>
          </w:p>
        </w:tc>
        <w:tc>
          <w:tcPr>
            <w:tcW w:w="1000" w:type="dxa"/>
            <w:vAlign w:val="bottom"/>
            <w:tcBorders>
              <w:top w:val="single" w:sz="8" w:color="231F20"/>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231F20"/>
            </w:tcBorders>
          </w:tcPr>
          <w:p>
            <w:pPr>
              <w:spacing w:after="0"/>
              <w:rPr>
                <w:sz w:val="15"/>
                <w:szCs w:val="15"/>
                <w:color w:val="auto"/>
              </w:rPr>
            </w:pPr>
          </w:p>
        </w:tc>
        <w:tc>
          <w:tcPr>
            <w:tcW w:w="1160" w:type="dxa"/>
            <w:vAlign w:val="bottom"/>
            <w:tcBorders>
              <w:top w:val="single" w:sz="8" w:color="231F20"/>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231F20"/>
            </w:tcBorders>
          </w:tcPr>
          <w:p>
            <w:pPr>
              <w:spacing w:after="0"/>
              <w:rPr>
                <w:sz w:val="15"/>
                <w:szCs w:val="15"/>
                <w:color w:val="auto"/>
              </w:rPr>
            </w:pPr>
          </w:p>
        </w:tc>
        <w:tc>
          <w:tcPr>
            <w:tcW w:w="1000" w:type="dxa"/>
            <w:vAlign w:val="bottom"/>
            <w:tcBorders>
              <w:top w:val="single" w:sz="8" w:color="231F20"/>
            </w:tcBorders>
          </w:tcPr>
          <w:p>
            <w:pPr>
              <w:spacing w:after="0"/>
              <w:rPr>
                <w:sz w:val="15"/>
                <w:szCs w:val="15"/>
                <w:color w:val="auto"/>
              </w:rPr>
            </w:pPr>
          </w:p>
        </w:tc>
        <w:tc>
          <w:tcPr>
            <w:tcW w:w="40" w:type="dxa"/>
            <w:vAlign w:val="bottom"/>
          </w:tcPr>
          <w:p>
            <w:pPr>
              <w:spacing w:after="0"/>
              <w:rPr>
                <w:sz w:val="15"/>
                <w:szCs w:val="15"/>
                <w:color w:val="auto"/>
              </w:rPr>
            </w:pPr>
          </w:p>
        </w:tc>
      </w:tr>
      <w:tr>
        <w:trPr>
          <w:trHeight w:val="192"/>
        </w:trPr>
        <w:tc>
          <w:tcPr>
            <w:tcW w:w="5860" w:type="dxa"/>
            <w:vAlign w:val="bottom"/>
          </w:tcPr>
          <w:p>
            <w:pPr>
              <w:ind w:left="200"/>
              <w:spacing w:after="0"/>
              <w:rPr>
                <w:sz w:val="20"/>
                <w:szCs w:val="20"/>
                <w:color w:val="auto"/>
              </w:rPr>
            </w:pPr>
            <w:r>
              <w:rPr>
                <w:rFonts w:ascii="Arial" w:cs="Arial" w:eastAsia="Arial" w:hAnsi="Arial"/>
                <w:sz w:val="16"/>
                <w:szCs w:val="16"/>
                <w:b w:val="1"/>
                <w:bCs w:val="1"/>
                <w:color w:val="231F20"/>
              </w:rPr>
              <w:t>Purchase of investments</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231F20"/>
              </w:rPr>
              <w:t>(107,406)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231F20"/>
              </w:rPr>
              <w:t>(246,629)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231F20"/>
              </w:rPr>
              <w:t>(376,789)</w:t>
            </w:r>
          </w:p>
        </w:tc>
      </w:tr>
      <w:tr>
        <w:trPr>
          <w:trHeight w:val="192"/>
        </w:trPr>
        <w:tc>
          <w:tcPr>
            <w:tcW w:w="5860" w:type="dxa"/>
            <w:vAlign w:val="bottom"/>
          </w:tcPr>
          <w:p>
            <w:pPr>
              <w:ind w:left="200"/>
              <w:spacing w:after="0"/>
              <w:rPr>
                <w:sz w:val="20"/>
                <w:szCs w:val="20"/>
                <w:color w:val="auto"/>
              </w:rPr>
            </w:pPr>
            <w:r>
              <w:rPr>
                <w:rFonts w:ascii="Arial" w:cs="Arial" w:eastAsia="Arial" w:hAnsi="Arial"/>
                <w:sz w:val="16"/>
                <w:szCs w:val="16"/>
                <w:b w:val="1"/>
                <w:bCs w:val="1"/>
                <w:color w:val="231F20"/>
              </w:rPr>
              <w:t>Maturities of investments</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231F20"/>
              </w:rPr>
              <w:t>194,109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231F20"/>
              </w:rPr>
              <w:t>292,560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231F20"/>
              </w:rPr>
              <w:t>142,800</w:t>
            </w:r>
          </w:p>
        </w:tc>
        <w:tc>
          <w:tcPr>
            <w:tcW w:w="40" w:type="dxa"/>
            <w:vAlign w:val="bottom"/>
          </w:tcPr>
          <w:p>
            <w:pPr>
              <w:spacing w:after="0"/>
              <w:rPr>
                <w:sz w:val="16"/>
                <w:szCs w:val="16"/>
                <w:color w:val="auto"/>
              </w:rPr>
            </w:pPr>
          </w:p>
        </w:tc>
      </w:tr>
      <w:tr>
        <w:trPr>
          <w:trHeight w:val="192"/>
        </w:trPr>
        <w:tc>
          <w:tcPr>
            <w:tcW w:w="5860" w:type="dxa"/>
            <w:vAlign w:val="bottom"/>
          </w:tcPr>
          <w:p>
            <w:pPr>
              <w:ind w:left="200"/>
              <w:spacing w:after="0"/>
              <w:rPr>
                <w:sz w:val="20"/>
                <w:szCs w:val="20"/>
                <w:color w:val="auto"/>
              </w:rPr>
            </w:pPr>
            <w:r>
              <w:rPr>
                <w:rFonts w:ascii="Arial" w:cs="Arial" w:eastAsia="Arial" w:hAnsi="Arial"/>
                <w:sz w:val="16"/>
                <w:szCs w:val="16"/>
                <w:b w:val="1"/>
                <w:bCs w:val="1"/>
                <w:color w:val="231F20"/>
              </w:rPr>
              <w:t>Purchase of property and equipment</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231F20"/>
              </w:rPr>
              <w:t>(447)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231F20"/>
              </w:rPr>
              <w:t>(1,274)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231F20"/>
              </w:rPr>
              <w:t>(1,427)</w:t>
            </w:r>
          </w:p>
        </w:tc>
      </w:tr>
      <w:tr>
        <w:trPr>
          <w:trHeight w:val="20"/>
        </w:trPr>
        <w:tc>
          <w:tcPr>
            <w:tcW w:w="5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231F20"/>
          </w:tcPr>
          <w:p>
            <w:pPr>
              <w:spacing w:after="0" w:line="20" w:lineRule="exact"/>
              <w:rPr>
                <w:sz w:val="1"/>
                <w:szCs w:val="1"/>
                <w:color w:val="auto"/>
              </w:rPr>
            </w:pPr>
          </w:p>
        </w:tc>
        <w:tc>
          <w:tcPr>
            <w:tcW w:w="100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116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231F20"/>
          </w:tcPr>
          <w:p>
            <w:pPr>
              <w:spacing w:after="0" w:line="20" w:lineRule="exact"/>
              <w:rPr>
                <w:sz w:val="1"/>
                <w:szCs w:val="1"/>
                <w:color w:val="auto"/>
              </w:rPr>
            </w:pPr>
          </w:p>
        </w:tc>
        <w:tc>
          <w:tcPr>
            <w:tcW w:w="100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1"/>
        </w:trPr>
        <w:tc>
          <w:tcPr>
            <w:tcW w:w="5860" w:type="dxa"/>
            <w:vAlign w:val="bottom"/>
          </w:tcPr>
          <w:p>
            <w:pPr>
              <w:spacing w:after="0" w:line="181" w:lineRule="exact"/>
              <w:rPr>
                <w:sz w:val="20"/>
                <w:szCs w:val="20"/>
                <w:color w:val="auto"/>
              </w:rPr>
            </w:pPr>
            <w:r>
              <w:rPr>
                <w:rFonts w:ascii="Arial" w:cs="Arial" w:eastAsia="Arial" w:hAnsi="Arial"/>
                <w:sz w:val="16"/>
                <w:szCs w:val="16"/>
                <w:b w:val="1"/>
                <w:bCs w:val="1"/>
                <w:color w:val="231F20"/>
              </w:rPr>
              <w:t>Net cash provided by (used in) investing activities</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81" w:lineRule="exact"/>
              <w:rPr>
                <w:sz w:val="20"/>
                <w:szCs w:val="20"/>
                <w:color w:val="auto"/>
              </w:rPr>
            </w:pPr>
            <w:r>
              <w:rPr>
                <w:rFonts w:ascii="Arial" w:cs="Arial" w:eastAsia="Arial" w:hAnsi="Arial"/>
                <w:sz w:val="16"/>
                <w:szCs w:val="16"/>
                <w:b w:val="1"/>
                <w:bCs w:val="1"/>
                <w:color w:val="231F20"/>
              </w:rPr>
              <w:t>86,256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line="181" w:lineRule="exact"/>
              <w:rPr>
                <w:sz w:val="20"/>
                <w:szCs w:val="20"/>
                <w:color w:val="auto"/>
              </w:rPr>
            </w:pPr>
            <w:r>
              <w:rPr>
                <w:rFonts w:ascii="Arial" w:cs="Arial" w:eastAsia="Arial" w:hAnsi="Arial"/>
                <w:sz w:val="16"/>
                <w:szCs w:val="16"/>
                <w:b w:val="1"/>
                <w:bCs w:val="1"/>
                <w:color w:val="231F20"/>
              </w:rPr>
              <w:t>44,657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right"/>
              <w:spacing w:after="0" w:line="181" w:lineRule="exact"/>
              <w:rPr>
                <w:sz w:val="20"/>
                <w:szCs w:val="20"/>
                <w:color w:val="auto"/>
              </w:rPr>
            </w:pPr>
            <w:r>
              <w:rPr>
                <w:rFonts w:ascii="Arial" w:cs="Arial" w:eastAsia="Arial" w:hAnsi="Arial"/>
                <w:sz w:val="16"/>
                <w:szCs w:val="16"/>
                <w:b w:val="1"/>
                <w:bCs w:val="1"/>
                <w:color w:val="231F20"/>
              </w:rPr>
              <w:t>(235,416)</w:t>
            </w:r>
          </w:p>
        </w:tc>
      </w:tr>
      <w:tr>
        <w:trPr>
          <w:trHeight w:val="182"/>
        </w:trPr>
        <w:tc>
          <w:tcPr>
            <w:tcW w:w="5860" w:type="dxa"/>
            <w:vAlign w:val="bottom"/>
          </w:tcPr>
          <w:p>
            <w:pPr>
              <w:spacing w:after="0" w:line="181" w:lineRule="exact"/>
              <w:rPr>
                <w:sz w:val="20"/>
                <w:szCs w:val="20"/>
                <w:color w:val="auto"/>
              </w:rPr>
            </w:pPr>
            <w:r>
              <w:rPr>
                <w:rFonts w:ascii="Arial" w:cs="Arial" w:eastAsia="Arial" w:hAnsi="Arial"/>
                <w:sz w:val="16"/>
                <w:szCs w:val="16"/>
                <w:b w:val="1"/>
                <w:bCs w:val="1"/>
                <w:color w:val="231F20"/>
              </w:rPr>
              <w:t>Financing activities</w:t>
            </w:r>
          </w:p>
        </w:tc>
        <w:tc>
          <w:tcPr>
            <w:tcW w:w="200" w:type="dxa"/>
            <w:vAlign w:val="bottom"/>
          </w:tcPr>
          <w:p>
            <w:pPr>
              <w:spacing w:after="0"/>
              <w:rPr>
                <w:sz w:val="15"/>
                <w:szCs w:val="15"/>
                <w:color w:val="auto"/>
              </w:rPr>
            </w:pPr>
          </w:p>
        </w:tc>
        <w:tc>
          <w:tcPr>
            <w:tcW w:w="280" w:type="dxa"/>
            <w:vAlign w:val="bottom"/>
            <w:tcBorders>
              <w:top w:val="single" w:sz="8" w:color="231F20"/>
            </w:tcBorders>
          </w:tcPr>
          <w:p>
            <w:pPr>
              <w:spacing w:after="0"/>
              <w:rPr>
                <w:sz w:val="15"/>
                <w:szCs w:val="15"/>
                <w:color w:val="auto"/>
              </w:rPr>
            </w:pPr>
          </w:p>
        </w:tc>
        <w:tc>
          <w:tcPr>
            <w:tcW w:w="1000" w:type="dxa"/>
            <w:vAlign w:val="bottom"/>
            <w:tcBorders>
              <w:top w:val="single" w:sz="8" w:color="231F20"/>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231F20"/>
            </w:tcBorders>
          </w:tcPr>
          <w:p>
            <w:pPr>
              <w:spacing w:after="0"/>
              <w:rPr>
                <w:sz w:val="15"/>
                <w:szCs w:val="15"/>
                <w:color w:val="auto"/>
              </w:rPr>
            </w:pPr>
          </w:p>
        </w:tc>
        <w:tc>
          <w:tcPr>
            <w:tcW w:w="1160" w:type="dxa"/>
            <w:vAlign w:val="bottom"/>
            <w:tcBorders>
              <w:top w:val="single" w:sz="8" w:color="231F20"/>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231F20"/>
            </w:tcBorders>
          </w:tcPr>
          <w:p>
            <w:pPr>
              <w:spacing w:after="0"/>
              <w:rPr>
                <w:sz w:val="15"/>
                <w:szCs w:val="15"/>
                <w:color w:val="auto"/>
              </w:rPr>
            </w:pPr>
          </w:p>
        </w:tc>
        <w:tc>
          <w:tcPr>
            <w:tcW w:w="1000" w:type="dxa"/>
            <w:vAlign w:val="bottom"/>
            <w:tcBorders>
              <w:top w:val="single" w:sz="8" w:color="231F20"/>
            </w:tcBorders>
          </w:tcPr>
          <w:p>
            <w:pPr>
              <w:spacing w:after="0"/>
              <w:rPr>
                <w:sz w:val="15"/>
                <w:szCs w:val="15"/>
                <w:color w:val="auto"/>
              </w:rPr>
            </w:pPr>
          </w:p>
        </w:tc>
        <w:tc>
          <w:tcPr>
            <w:tcW w:w="40" w:type="dxa"/>
            <w:vAlign w:val="bottom"/>
          </w:tcPr>
          <w:p>
            <w:pPr>
              <w:spacing w:after="0"/>
              <w:rPr>
                <w:sz w:val="15"/>
                <w:szCs w:val="15"/>
                <w:color w:val="auto"/>
              </w:rPr>
            </w:pPr>
          </w:p>
        </w:tc>
      </w:tr>
      <w:tr>
        <w:trPr>
          <w:trHeight w:val="192"/>
        </w:trPr>
        <w:tc>
          <w:tcPr>
            <w:tcW w:w="5860" w:type="dxa"/>
            <w:vAlign w:val="bottom"/>
          </w:tcPr>
          <w:p>
            <w:pPr>
              <w:ind w:left="200"/>
              <w:spacing w:after="0"/>
              <w:rPr>
                <w:sz w:val="20"/>
                <w:szCs w:val="20"/>
                <w:color w:val="auto"/>
              </w:rPr>
            </w:pPr>
            <w:r>
              <w:rPr>
                <w:rFonts w:ascii="Arial" w:cs="Arial" w:eastAsia="Arial" w:hAnsi="Arial"/>
                <w:sz w:val="16"/>
                <w:szCs w:val="16"/>
                <w:b w:val="1"/>
                <w:bCs w:val="1"/>
                <w:color w:val="231F20"/>
                <w:w w:val="84"/>
              </w:rPr>
              <w:t>Proceeds from equity offerings, net of underwriter discounts ($3.8 million) and issuance</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0"/>
        </w:trPr>
        <w:tc>
          <w:tcPr>
            <w:tcW w:w="5860" w:type="dxa"/>
            <w:vAlign w:val="bottom"/>
          </w:tcPr>
          <w:p>
            <w:pPr>
              <w:ind w:left="200"/>
              <w:spacing w:after="0" w:line="180" w:lineRule="exact"/>
              <w:rPr>
                <w:sz w:val="20"/>
                <w:szCs w:val="20"/>
                <w:color w:val="auto"/>
              </w:rPr>
            </w:pPr>
            <w:r>
              <w:rPr>
                <w:rFonts w:ascii="Arial" w:cs="Arial" w:eastAsia="Arial" w:hAnsi="Arial"/>
                <w:sz w:val="16"/>
                <w:szCs w:val="16"/>
                <w:b w:val="1"/>
                <w:bCs w:val="1"/>
                <w:color w:val="231F20"/>
              </w:rPr>
              <w:t>costs ($0.6 million)</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PMingLiU" w:cs="PMingLiU" w:eastAsia="PMingLiU" w:hAnsi="PMingLiU"/>
                <w:sz w:val="16"/>
                <w:szCs w:val="16"/>
                <w:b w:val="1"/>
                <w:bCs w:val="1"/>
                <w:color w:val="231F20"/>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Arial" w:cs="Arial" w:eastAsia="Arial" w:hAnsi="Arial"/>
                <w:sz w:val="16"/>
                <w:szCs w:val="16"/>
                <w:b w:val="1"/>
                <w:bCs w:val="1"/>
                <w:color w:val="231F20"/>
              </w:rPr>
              <w:t>58,887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PMingLiU" w:cs="PMingLiU" w:eastAsia="PMingLiU" w:hAnsi="PMingLiU"/>
                <w:sz w:val="16"/>
                <w:szCs w:val="16"/>
                <w:b w:val="1"/>
                <w:bCs w:val="1"/>
                <w:color w:val="231F20"/>
              </w:rPr>
              <w:t></w:t>
            </w:r>
          </w:p>
        </w:tc>
        <w:tc>
          <w:tcPr>
            <w:tcW w:w="40" w:type="dxa"/>
            <w:vAlign w:val="bottom"/>
          </w:tcPr>
          <w:p>
            <w:pPr>
              <w:spacing w:after="0"/>
              <w:rPr>
                <w:sz w:val="15"/>
                <w:szCs w:val="15"/>
                <w:color w:val="auto"/>
              </w:rPr>
            </w:pPr>
          </w:p>
        </w:tc>
      </w:tr>
      <w:tr>
        <w:trPr>
          <w:trHeight w:val="192"/>
        </w:trPr>
        <w:tc>
          <w:tcPr>
            <w:tcW w:w="5860" w:type="dxa"/>
            <w:vAlign w:val="bottom"/>
          </w:tcPr>
          <w:p>
            <w:pPr>
              <w:ind w:left="200"/>
              <w:spacing w:after="0"/>
              <w:rPr>
                <w:sz w:val="20"/>
                <w:szCs w:val="20"/>
                <w:color w:val="auto"/>
              </w:rPr>
            </w:pPr>
            <w:r>
              <w:rPr>
                <w:rFonts w:ascii="Arial" w:cs="Arial" w:eastAsia="Arial" w:hAnsi="Arial"/>
                <w:sz w:val="16"/>
                <w:szCs w:val="16"/>
                <w:b w:val="1"/>
                <w:bCs w:val="1"/>
                <w:color w:val="231F20"/>
              </w:rPr>
              <w:t>Proceeds from ATM offering, net of commissions ($0.8 million)</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231F20"/>
              </w:rPr>
              <w:t>29,661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231F20"/>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231F20"/>
              </w:rPr>
              <w:t></w:t>
            </w:r>
          </w:p>
        </w:tc>
        <w:tc>
          <w:tcPr>
            <w:tcW w:w="40" w:type="dxa"/>
            <w:vAlign w:val="bottom"/>
          </w:tcPr>
          <w:p>
            <w:pPr>
              <w:spacing w:after="0"/>
              <w:rPr>
                <w:sz w:val="16"/>
                <w:szCs w:val="16"/>
                <w:color w:val="auto"/>
              </w:rPr>
            </w:pPr>
          </w:p>
        </w:tc>
      </w:tr>
      <w:tr>
        <w:trPr>
          <w:trHeight w:val="192"/>
        </w:trPr>
        <w:tc>
          <w:tcPr>
            <w:tcW w:w="5860" w:type="dxa"/>
            <w:vAlign w:val="bottom"/>
          </w:tcPr>
          <w:p>
            <w:pPr>
              <w:ind w:left="200"/>
              <w:spacing w:after="0"/>
              <w:rPr>
                <w:sz w:val="20"/>
                <w:szCs w:val="20"/>
                <w:color w:val="auto"/>
              </w:rPr>
            </w:pPr>
            <w:r>
              <w:rPr>
                <w:rFonts w:ascii="Arial" w:cs="Arial" w:eastAsia="Arial" w:hAnsi="Arial"/>
                <w:sz w:val="16"/>
                <w:szCs w:val="16"/>
                <w:b w:val="1"/>
                <w:bCs w:val="1"/>
                <w:color w:val="231F20"/>
              </w:rPr>
              <w:t>Proceeds from exercise of stock options under equity incentive plan</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231F20"/>
              </w:rPr>
              <w:t>1,632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231F20"/>
              </w:rPr>
              <w:t>269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231F20"/>
              </w:rPr>
              <w:t>567</w:t>
            </w:r>
          </w:p>
        </w:tc>
        <w:tc>
          <w:tcPr>
            <w:tcW w:w="40" w:type="dxa"/>
            <w:vAlign w:val="bottom"/>
          </w:tcPr>
          <w:p>
            <w:pPr>
              <w:spacing w:after="0"/>
              <w:rPr>
                <w:sz w:val="16"/>
                <w:szCs w:val="16"/>
                <w:color w:val="auto"/>
              </w:rPr>
            </w:pPr>
          </w:p>
        </w:tc>
      </w:tr>
      <w:tr>
        <w:trPr>
          <w:trHeight w:val="192"/>
        </w:trPr>
        <w:tc>
          <w:tcPr>
            <w:tcW w:w="5860" w:type="dxa"/>
            <w:vAlign w:val="bottom"/>
          </w:tcPr>
          <w:p>
            <w:pPr>
              <w:ind w:left="200"/>
              <w:spacing w:after="0"/>
              <w:rPr>
                <w:sz w:val="20"/>
                <w:szCs w:val="20"/>
                <w:color w:val="auto"/>
              </w:rPr>
            </w:pPr>
            <w:r>
              <w:rPr>
                <w:rFonts w:ascii="Arial" w:cs="Arial" w:eastAsia="Arial" w:hAnsi="Arial"/>
                <w:sz w:val="16"/>
                <w:szCs w:val="16"/>
                <w:b w:val="1"/>
                <w:bCs w:val="1"/>
                <w:color w:val="231F20"/>
                <w:w w:val="92"/>
              </w:rPr>
              <w:t>Proceeds from issuance of common stock under employee stock purchase plan</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231F20"/>
              </w:rPr>
              <w:t>351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231F20"/>
              </w:rPr>
              <w:t>523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231F20"/>
              </w:rPr>
              <w:t>336</w:t>
            </w:r>
          </w:p>
        </w:tc>
        <w:tc>
          <w:tcPr>
            <w:tcW w:w="40" w:type="dxa"/>
            <w:vAlign w:val="bottom"/>
          </w:tcPr>
          <w:p>
            <w:pPr>
              <w:spacing w:after="0"/>
              <w:rPr>
                <w:sz w:val="16"/>
                <w:szCs w:val="16"/>
                <w:color w:val="auto"/>
              </w:rPr>
            </w:pPr>
          </w:p>
        </w:tc>
      </w:tr>
      <w:tr>
        <w:trPr>
          <w:trHeight w:val="192"/>
        </w:trPr>
        <w:tc>
          <w:tcPr>
            <w:tcW w:w="5860" w:type="dxa"/>
            <w:vAlign w:val="bottom"/>
          </w:tcPr>
          <w:p>
            <w:pPr>
              <w:ind w:left="200"/>
              <w:spacing w:after="0"/>
              <w:rPr>
                <w:sz w:val="20"/>
                <w:szCs w:val="20"/>
                <w:color w:val="auto"/>
              </w:rPr>
            </w:pPr>
            <w:r>
              <w:rPr>
                <w:rFonts w:ascii="Arial" w:cs="Arial" w:eastAsia="Arial" w:hAnsi="Arial"/>
                <w:sz w:val="16"/>
                <w:szCs w:val="16"/>
                <w:b w:val="1"/>
                <w:bCs w:val="1"/>
                <w:color w:val="231F20"/>
              </w:rPr>
              <w:t>Principal payments on finance leases</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231F20"/>
              </w:rPr>
              <w:t>(827)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231F20"/>
              </w:rPr>
              <w:t>(388)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231F20"/>
              </w:rPr>
              <w:t>(388)</w:t>
            </w:r>
          </w:p>
        </w:tc>
      </w:tr>
      <w:tr>
        <w:trPr>
          <w:trHeight w:val="192"/>
        </w:trPr>
        <w:tc>
          <w:tcPr>
            <w:tcW w:w="5860" w:type="dxa"/>
            <w:vAlign w:val="bottom"/>
          </w:tcPr>
          <w:p>
            <w:pPr>
              <w:ind w:left="200"/>
              <w:spacing w:after="0"/>
              <w:rPr>
                <w:sz w:val="20"/>
                <w:szCs w:val="20"/>
                <w:color w:val="auto"/>
              </w:rPr>
            </w:pPr>
            <w:r>
              <w:rPr>
                <w:rFonts w:ascii="Arial" w:cs="Arial" w:eastAsia="Arial" w:hAnsi="Arial"/>
                <w:sz w:val="16"/>
                <w:szCs w:val="16"/>
                <w:b w:val="1"/>
                <w:bCs w:val="1"/>
                <w:color w:val="231F20"/>
              </w:rPr>
              <w:t>Proceeds from issuance of term loan, net</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231F20"/>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231F20"/>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231F20"/>
              </w:rPr>
              <w:t>10,000</w:t>
            </w:r>
          </w:p>
        </w:tc>
        <w:tc>
          <w:tcPr>
            <w:tcW w:w="40" w:type="dxa"/>
            <w:vAlign w:val="bottom"/>
          </w:tcPr>
          <w:p>
            <w:pPr>
              <w:spacing w:after="0"/>
              <w:rPr>
                <w:sz w:val="16"/>
                <w:szCs w:val="16"/>
                <w:color w:val="auto"/>
              </w:rPr>
            </w:pPr>
          </w:p>
        </w:tc>
      </w:tr>
      <w:tr>
        <w:trPr>
          <w:trHeight w:val="192"/>
        </w:trPr>
        <w:tc>
          <w:tcPr>
            <w:tcW w:w="5860" w:type="dxa"/>
            <w:vAlign w:val="bottom"/>
          </w:tcPr>
          <w:p>
            <w:pPr>
              <w:ind w:left="200"/>
              <w:spacing w:after="0"/>
              <w:rPr>
                <w:sz w:val="20"/>
                <w:szCs w:val="20"/>
                <w:color w:val="auto"/>
              </w:rPr>
            </w:pPr>
            <w:r>
              <w:rPr>
                <w:rFonts w:ascii="Arial" w:cs="Arial" w:eastAsia="Arial" w:hAnsi="Arial"/>
                <w:sz w:val="16"/>
                <w:szCs w:val="16"/>
                <w:b w:val="1"/>
                <w:bCs w:val="1"/>
                <w:color w:val="231F20"/>
              </w:rPr>
              <w:t>Payments of debt issuance costs</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231F20"/>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231F20"/>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231F20"/>
              </w:rPr>
              <w:t>(655)</w:t>
            </w:r>
          </w:p>
        </w:tc>
      </w:tr>
      <w:tr>
        <w:trPr>
          <w:trHeight w:val="182"/>
        </w:trPr>
        <w:tc>
          <w:tcPr>
            <w:tcW w:w="5860" w:type="dxa"/>
            <w:vAlign w:val="bottom"/>
          </w:tcPr>
          <w:p>
            <w:pPr>
              <w:spacing w:after="0" w:line="181" w:lineRule="exact"/>
              <w:rPr>
                <w:sz w:val="20"/>
                <w:szCs w:val="20"/>
                <w:color w:val="auto"/>
              </w:rPr>
            </w:pPr>
            <w:r>
              <w:rPr>
                <w:rFonts w:ascii="Arial" w:cs="Arial" w:eastAsia="Arial" w:hAnsi="Arial"/>
                <w:sz w:val="16"/>
                <w:szCs w:val="16"/>
                <w:b w:val="1"/>
                <w:bCs w:val="1"/>
                <w:color w:val="231F20"/>
              </w:rPr>
              <w:t>Net cash provided by financing activities</w:t>
            </w:r>
          </w:p>
        </w:tc>
        <w:tc>
          <w:tcPr>
            <w:tcW w:w="200" w:type="dxa"/>
            <w:vAlign w:val="bottom"/>
          </w:tcPr>
          <w:p>
            <w:pPr>
              <w:spacing w:after="0"/>
              <w:rPr>
                <w:sz w:val="15"/>
                <w:szCs w:val="15"/>
                <w:color w:val="auto"/>
              </w:rPr>
            </w:pPr>
          </w:p>
        </w:tc>
        <w:tc>
          <w:tcPr>
            <w:tcW w:w="280" w:type="dxa"/>
            <w:vAlign w:val="bottom"/>
            <w:tcBorders>
              <w:top w:val="single" w:sz="8" w:color="231F20"/>
              <w:bottom w:val="single" w:sz="8" w:color="231F20"/>
            </w:tcBorders>
          </w:tcPr>
          <w:p>
            <w:pPr>
              <w:spacing w:after="0"/>
              <w:rPr>
                <w:sz w:val="15"/>
                <w:szCs w:val="15"/>
                <w:color w:val="auto"/>
              </w:rPr>
            </w:pPr>
          </w:p>
        </w:tc>
        <w:tc>
          <w:tcPr>
            <w:tcW w:w="1000" w:type="dxa"/>
            <w:vAlign w:val="bottom"/>
            <w:tcBorders>
              <w:top w:val="single" w:sz="8" w:color="231F20"/>
              <w:bottom w:val="single" w:sz="8" w:color="231F20"/>
            </w:tcBorders>
          </w:tcPr>
          <w:p>
            <w:pPr>
              <w:jc w:val="right"/>
              <w:spacing w:after="0" w:line="181" w:lineRule="exact"/>
              <w:rPr>
                <w:sz w:val="20"/>
                <w:szCs w:val="20"/>
                <w:color w:val="auto"/>
              </w:rPr>
            </w:pPr>
            <w:r>
              <w:rPr>
                <w:rFonts w:ascii="Arial" w:cs="Arial" w:eastAsia="Arial" w:hAnsi="Arial"/>
                <w:sz w:val="16"/>
                <w:szCs w:val="16"/>
                <w:b w:val="1"/>
                <w:bCs w:val="1"/>
                <w:color w:val="231F20"/>
              </w:rPr>
              <w:t>30,817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231F20"/>
              <w:bottom w:val="single" w:sz="8" w:color="231F20"/>
            </w:tcBorders>
          </w:tcPr>
          <w:p>
            <w:pPr>
              <w:spacing w:after="0"/>
              <w:rPr>
                <w:sz w:val="15"/>
                <w:szCs w:val="15"/>
                <w:color w:val="auto"/>
              </w:rPr>
            </w:pPr>
          </w:p>
        </w:tc>
        <w:tc>
          <w:tcPr>
            <w:tcW w:w="1160" w:type="dxa"/>
            <w:vAlign w:val="bottom"/>
            <w:tcBorders>
              <w:top w:val="single" w:sz="8" w:color="231F20"/>
              <w:bottom w:val="single" w:sz="8" w:color="231F20"/>
            </w:tcBorders>
          </w:tcPr>
          <w:p>
            <w:pPr>
              <w:jc w:val="right"/>
              <w:spacing w:after="0" w:line="181" w:lineRule="exact"/>
              <w:rPr>
                <w:sz w:val="20"/>
                <w:szCs w:val="20"/>
                <w:color w:val="auto"/>
              </w:rPr>
            </w:pPr>
            <w:r>
              <w:rPr>
                <w:rFonts w:ascii="Arial" w:cs="Arial" w:eastAsia="Arial" w:hAnsi="Arial"/>
                <w:sz w:val="16"/>
                <w:szCs w:val="16"/>
                <w:b w:val="1"/>
                <w:bCs w:val="1"/>
                <w:color w:val="231F20"/>
              </w:rPr>
              <w:t>59,291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231F20"/>
              <w:bottom w:val="single" w:sz="8" w:color="231F20"/>
            </w:tcBorders>
          </w:tcPr>
          <w:p>
            <w:pPr>
              <w:spacing w:after="0"/>
              <w:rPr>
                <w:sz w:val="15"/>
                <w:szCs w:val="15"/>
                <w:color w:val="auto"/>
              </w:rPr>
            </w:pPr>
          </w:p>
        </w:tc>
        <w:tc>
          <w:tcPr>
            <w:tcW w:w="1000" w:type="dxa"/>
            <w:vAlign w:val="bottom"/>
            <w:tcBorders>
              <w:top w:val="single" w:sz="8" w:color="231F20"/>
              <w:bottom w:val="single" w:sz="8" w:color="231F20"/>
            </w:tcBorders>
          </w:tcPr>
          <w:p>
            <w:pPr>
              <w:jc w:val="right"/>
              <w:spacing w:after="0" w:line="181" w:lineRule="exact"/>
              <w:rPr>
                <w:sz w:val="20"/>
                <w:szCs w:val="20"/>
                <w:color w:val="auto"/>
              </w:rPr>
            </w:pPr>
            <w:r>
              <w:rPr>
                <w:rFonts w:ascii="Arial" w:cs="Arial" w:eastAsia="Arial" w:hAnsi="Arial"/>
                <w:sz w:val="16"/>
                <w:szCs w:val="16"/>
                <w:b w:val="1"/>
                <w:bCs w:val="1"/>
                <w:color w:val="231F20"/>
              </w:rPr>
              <w:t>9,860</w:t>
            </w:r>
          </w:p>
        </w:tc>
        <w:tc>
          <w:tcPr>
            <w:tcW w:w="40" w:type="dxa"/>
            <w:vAlign w:val="bottom"/>
          </w:tcPr>
          <w:p>
            <w:pPr>
              <w:spacing w:after="0"/>
              <w:rPr>
                <w:sz w:val="15"/>
                <w:szCs w:val="15"/>
                <w:color w:val="auto"/>
              </w:rPr>
            </w:pPr>
          </w:p>
        </w:tc>
      </w:tr>
      <w:tr>
        <w:trPr>
          <w:trHeight w:val="181"/>
        </w:trPr>
        <w:tc>
          <w:tcPr>
            <w:tcW w:w="5860" w:type="dxa"/>
            <w:vAlign w:val="bottom"/>
          </w:tcPr>
          <w:p>
            <w:pPr>
              <w:spacing w:after="0" w:line="181" w:lineRule="exact"/>
              <w:rPr>
                <w:sz w:val="20"/>
                <w:szCs w:val="20"/>
                <w:color w:val="auto"/>
              </w:rPr>
            </w:pPr>
            <w:r>
              <w:rPr>
                <w:rFonts w:ascii="Arial" w:cs="Arial" w:eastAsia="Arial" w:hAnsi="Arial"/>
                <w:sz w:val="16"/>
                <w:szCs w:val="16"/>
                <w:b w:val="1"/>
                <w:bCs w:val="1"/>
                <w:color w:val="231F20"/>
              </w:rPr>
              <w:t>Net decrease in cash, cash equivalents and restricted cash</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tcPr>
          <w:p>
            <w:pPr>
              <w:jc w:val="right"/>
              <w:ind w:right="80"/>
              <w:spacing w:after="0" w:line="181" w:lineRule="exact"/>
              <w:rPr>
                <w:sz w:val="20"/>
                <w:szCs w:val="20"/>
                <w:color w:val="auto"/>
              </w:rPr>
            </w:pPr>
            <w:r>
              <w:rPr>
                <w:rFonts w:ascii="Arial" w:cs="Arial" w:eastAsia="Arial" w:hAnsi="Arial"/>
                <w:sz w:val="16"/>
                <w:szCs w:val="16"/>
                <w:b w:val="1"/>
                <w:bCs w:val="1"/>
                <w:color w:val="231F20"/>
              </w:rPr>
              <w:t>(4,839)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80"/>
              <w:spacing w:after="0" w:line="181" w:lineRule="exact"/>
              <w:rPr>
                <w:sz w:val="20"/>
                <w:szCs w:val="20"/>
                <w:color w:val="auto"/>
              </w:rPr>
            </w:pPr>
            <w:r>
              <w:rPr>
                <w:rFonts w:ascii="Arial" w:cs="Arial" w:eastAsia="Arial" w:hAnsi="Arial"/>
                <w:sz w:val="16"/>
                <w:szCs w:val="16"/>
                <w:b w:val="1"/>
                <w:bCs w:val="1"/>
                <w:color w:val="231F20"/>
              </w:rPr>
              <w:t>(26,416)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right"/>
              <w:spacing w:after="0" w:line="181" w:lineRule="exact"/>
              <w:rPr>
                <w:sz w:val="20"/>
                <w:szCs w:val="20"/>
                <w:color w:val="auto"/>
              </w:rPr>
            </w:pPr>
            <w:r>
              <w:rPr>
                <w:rFonts w:ascii="Arial" w:cs="Arial" w:eastAsia="Arial" w:hAnsi="Arial"/>
                <w:sz w:val="16"/>
                <w:szCs w:val="16"/>
                <w:b w:val="1"/>
                <w:bCs w:val="1"/>
                <w:color w:val="231F20"/>
              </w:rPr>
              <w:t>(314,779)</w:t>
            </w:r>
          </w:p>
        </w:tc>
      </w:tr>
      <w:tr>
        <w:trPr>
          <w:trHeight w:val="192"/>
        </w:trPr>
        <w:tc>
          <w:tcPr>
            <w:tcW w:w="5860" w:type="dxa"/>
            <w:vAlign w:val="bottom"/>
          </w:tcPr>
          <w:p>
            <w:pPr>
              <w:spacing w:after="0"/>
              <w:rPr>
                <w:sz w:val="20"/>
                <w:szCs w:val="20"/>
                <w:color w:val="auto"/>
              </w:rPr>
            </w:pPr>
            <w:r>
              <w:rPr>
                <w:rFonts w:ascii="Arial" w:cs="Arial" w:eastAsia="Arial" w:hAnsi="Arial"/>
                <w:sz w:val="16"/>
                <w:szCs w:val="16"/>
                <w:b w:val="1"/>
                <w:bCs w:val="1"/>
                <w:color w:val="231F20"/>
              </w:rPr>
              <w:t>Cash, cash equivalents and restricted cash at beginning of year</w:t>
            </w:r>
          </w:p>
        </w:tc>
        <w:tc>
          <w:tcPr>
            <w:tcW w:w="200" w:type="dxa"/>
            <w:vAlign w:val="bottom"/>
          </w:tcPr>
          <w:p>
            <w:pPr>
              <w:spacing w:after="0"/>
              <w:rPr>
                <w:sz w:val="16"/>
                <w:szCs w:val="16"/>
                <w:color w:val="auto"/>
              </w:rPr>
            </w:pPr>
          </w:p>
        </w:tc>
        <w:tc>
          <w:tcPr>
            <w:tcW w:w="280" w:type="dxa"/>
            <w:vAlign w:val="bottom"/>
            <w:tcBorders>
              <w:bottom w:val="single" w:sz="8" w:color="231F20"/>
            </w:tcBorders>
          </w:tcPr>
          <w:p>
            <w:pPr>
              <w:spacing w:after="0"/>
              <w:rPr>
                <w:sz w:val="16"/>
                <w:szCs w:val="16"/>
                <w:color w:val="auto"/>
              </w:rPr>
            </w:pP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16"/>
                <w:szCs w:val="16"/>
                <w:b w:val="1"/>
                <w:bCs w:val="1"/>
                <w:color w:val="231F20"/>
              </w:rPr>
              <w:t>22,472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231F20"/>
            </w:tcBorders>
          </w:tcPr>
          <w:p>
            <w:pPr>
              <w:spacing w:after="0"/>
              <w:rPr>
                <w:sz w:val="16"/>
                <w:szCs w:val="16"/>
                <w:color w:val="auto"/>
              </w:rPr>
            </w:pPr>
          </w:p>
        </w:tc>
        <w:tc>
          <w:tcPr>
            <w:tcW w:w="1160" w:type="dxa"/>
            <w:vAlign w:val="bottom"/>
            <w:tcBorders>
              <w:bottom w:val="single" w:sz="8" w:color="231F20"/>
            </w:tcBorders>
          </w:tcPr>
          <w:p>
            <w:pPr>
              <w:jc w:val="right"/>
              <w:spacing w:after="0"/>
              <w:rPr>
                <w:sz w:val="20"/>
                <w:szCs w:val="20"/>
                <w:color w:val="auto"/>
              </w:rPr>
            </w:pPr>
            <w:r>
              <w:rPr>
                <w:rFonts w:ascii="Arial" w:cs="Arial" w:eastAsia="Arial" w:hAnsi="Arial"/>
                <w:sz w:val="16"/>
                <w:szCs w:val="16"/>
                <w:b w:val="1"/>
                <w:bCs w:val="1"/>
                <w:color w:val="231F20"/>
              </w:rPr>
              <w:t>48,888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31F20"/>
            </w:tcBorders>
          </w:tcPr>
          <w:p>
            <w:pPr>
              <w:spacing w:after="0"/>
              <w:rPr>
                <w:sz w:val="16"/>
                <w:szCs w:val="16"/>
                <w:color w:val="auto"/>
              </w:rPr>
            </w:pP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16"/>
                <w:szCs w:val="16"/>
                <w:b w:val="1"/>
                <w:bCs w:val="1"/>
                <w:color w:val="231F20"/>
              </w:rPr>
              <w:t>363,667</w:t>
            </w:r>
          </w:p>
        </w:tc>
        <w:tc>
          <w:tcPr>
            <w:tcW w:w="40" w:type="dxa"/>
            <w:vAlign w:val="bottom"/>
          </w:tcPr>
          <w:p>
            <w:pPr>
              <w:spacing w:after="0"/>
              <w:rPr>
                <w:sz w:val="16"/>
                <w:szCs w:val="16"/>
                <w:color w:val="auto"/>
              </w:rPr>
            </w:pPr>
          </w:p>
        </w:tc>
      </w:tr>
      <w:tr>
        <w:trPr>
          <w:trHeight w:val="181"/>
        </w:trPr>
        <w:tc>
          <w:tcPr>
            <w:tcW w:w="5860" w:type="dxa"/>
            <w:vAlign w:val="bottom"/>
          </w:tcPr>
          <w:p>
            <w:pPr>
              <w:spacing w:after="0" w:line="181" w:lineRule="exact"/>
              <w:rPr>
                <w:sz w:val="20"/>
                <w:szCs w:val="20"/>
                <w:color w:val="auto"/>
              </w:rPr>
            </w:pPr>
            <w:r>
              <w:rPr>
                <w:rFonts w:ascii="Arial" w:cs="Arial" w:eastAsia="Arial" w:hAnsi="Arial"/>
                <w:sz w:val="16"/>
                <w:szCs w:val="16"/>
                <w:b w:val="1"/>
                <w:bCs w:val="1"/>
                <w:color w:val="231F20"/>
              </w:rPr>
              <w:t>Cash, cash equivalents and restricted cash at end of period</w:t>
            </w:r>
          </w:p>
        </w:tc>
        <w:tc>
          <w:tcPr>
            <w:tcW w:w="480" w:type="dxa"/>
            <w:vAlign w:val="bottom"/>
            <w:gridSpan w:val="2"/>
          </w:tcPr>
          <w:p>
            <w:pPr>
              <w:jc w:val="right"/>
              <w:ind w:right="200"/>
              <w:spacing w:after="0" w:line="181" w:lineRule="exact"/>
              <w:rPr>
                <w:sz w:val="20"/>
                <w:szCs w:val="20"/>
                <w:color w:val="auto"/>
              </w:rPr>
            </w:pPr>
            <w:r>
              <w:rPr>
                <w:rFonts w:ascii="Arial" w:cs="Arial" w:eastAsia="Arial" w:hAnsi="Arial"/>
                <w:sz w:val="16"/>
                <w:szCs w:val="16"/>
                <w:b w:val="1"/>
                <w:bCs w:val="1"/>
                <w:color w:val="231F20"/>
              </w:rPr>
              <w:t>$</w:t>
            </w:r>
          </w:p>
        </w:tc>
        <w:tc>
          <w:tcPr>
            <w:tcW w:w="1000" w:type="dxa"/>
            <w:vAlign w:val="bottom"/>
          </w:tcPr>
          <w:p>
            <w:pPr>
              <w:jc w:val="right"/>
              <w:spacing w:after="0" w:line="181" w:lineRule="exact"/>
              <w:rPr>
                <w:sz w:val="20"/>
                <w:szCs w:val="20"/>
                <w:color w:val="auto"/>
              </w:rPr>
            </w:pPr>
            <w:r>
              <w:rPr>
                <w:rFonts w:ascii="Arial" w:cs="Arial" w:eastAsia="Arial" w:hAnsi="Arial"/>
                <w:sz w:val="16"/>
                <w:szCs w:val="16"/>
                <w:b w:val="1"/>
                <w:bCs w:val="1"/>
                <w:color w:val="231F20"/>
              </w:rPr>
              <w:t>17,633</w:t>
            </w:r>
          </w:p>
        </w:tc>
        <w:tc>
          <w:tcPr>
            <w:tcW w:w="140" w:type="dxa"/>
            <w:vAlign w:val="bottom"/>
          </w:tcPr>
          <w:p>
            <w:pPr>
              <w:spacing w:after="0"/>
              <w:rPr>
                <w:sz w:val="15"/>
                <w:szCs w:val="15"/>
                <w:color w:val="auto"/>
              </w:rPr>
            </w:pPr>
          </w:p>
        </w:tc>
        <w:tc>
          <w:tcPr>
            <w:tcW w:w="220" w:type="dxa"/>
            <w:vAlign w:val="bottom"/>
            <w:gridSpan w:val="2"/>
          </w:tcPr>
          <w:p>
            <w:pPr>
              <w:jc w:val="right"/>
              <w:ind w:right="40"/>
              <w:spacing w:after="0" w:line="181" w:lineRule="exact"/>
              <w:rPr>
                <w:sz w:val="20"/>
                <w:szCs w:val="20"/>
                <w:color w:val="auto"/>
              </w:rPr>
            </w:pPr>
            <w:r>
              <w:rPr>
                <w:rFonts w:ascii="Arial" w:cs="Arial" w:eastAsia="Arial" w:hAnsi="Arial"/>
                <w:sz w:val="16"/>
                <w:szCs w:val="16"/>
                <w:b w:val="1"/>
                <w:bCs w:val="1"/>
                <w:color w:val="231F20"/>
              </w:rPr>
              <w:t>$</w:t>
            </w:r>
          </w:p>
        </w:tc>
        <w:tc>
          <w:tcPr>
            <w:tcW w:w="1160" w:type="dxa"/>
            <w:vAlign w:val="bottom"/>
          </w:tcPr>
          <w:p>
            <w:pPr>
              <w:jc w:val="right"/>
              <w:spacing w:after="0" w:line="181" w:lineRule="exact"/>
              <w:rPr>
                <w:sz w:val="20"/>
                <w:szCs w:val="20"/>
                <w:color w:val="auto"/>
              </w:rPr>
            </w:pPr>
            <w:r>
              <w:rPr>
                <w:rFonts w:ascii="Arial" w:cs="Arial" w:eastAsia="Arial" w:hAnsi="Arial"/>
                <w:sz w:val="16"/>
                <w:szCs w:val="16"/>
                <w:b w:val="1"/>
                <w:bCs w:val="1"/>
                <w:color w:val="231F20"/>
              </w:rPr>
              <w:t>22,472</w:t>
            </w:r>
          </w:p>
        </w:tc>
        <w:tc>
          <w:tcPr>
            <w:tcW w:w="140" w:type="dxa"/>
            <w:vAlign w:val="bottom"/>
          </w:tcPr>
          <w:p>
            <w:pPr>
              <w:spacing w:after="0"/>
              <w:rPr>
                <w:sz w:val="15"/>
                <w:szCs w:val="15"/>
                <w:color w:val="auto"/>
              </w:rPr>
            </w:pPr>
          </w:p>
        </w:tc>
        <w:tc>
          <w:tcPr>
            <w:tcW w:w="380" w:type="dxa"/>
            <w:vAlign w:val="bottom"/>
            <w:gridSpan w:val="2"/>
          </w:tcPr>
          <w:p>
            <w:pPr>
              <w:jc w:val="right"/>
              <w:ind w:right="200"/>
              <w:spacing w:after="0" w:line="181" w:lineRule="exact"/>
              <w:rPr>
                <w:sz w:val="20"/>
                <w:szCs w:val="20"/>
                <w:color w:val="auto"/>
              </w:rPr>
            </w:pPr>
            <w:r>
              <w:rPr>
                <w:rFonts w:ascii="Arial" w:cs="Arial" w:eastAsia="Arial" w:hAnsi="Arial"/>
                <w:sz w:val="16"/>
                <w:szCs w:val="16"/>
                <w:b w:val="1"/>
                <w:bCs w:val="1"/>
                <w:color w:val="231F20"/>
              </w:rPr>
              <w:t>$</w:t>
            </w:r>
          </w:p>
        </w:tc>
        <w:tc>
          <w:tcPr>
            <w:tcW w:w="1000" w:type="dxa"/>
            <w:vAlign w:val="bottom"/>
          </w:tcPr>
          <w:p>
            <w:pPr>
              <w:jc w:val="right"/>
              <w:spacing w:after="0" w:line="181" w:lineRule="exact"/>
              <w:rPr>
                <w:sz w:val="20"/>
                <w:szCs w:val="20"/>
                <w:color w:val="auto"/>
              </w:rPr>
            </w:pPr>
            <w:r>
              <w:rPr>
                <w:rFonts w:ascii="Arial" w:cs="Arial" w:eastAsia="Arial" w:hAnsi="Arial"/>
                <w:sz w:val="16"/>
                <w:szCs w:val="16"/>
                <w:b w:val="1"/>
                <w:bCs w:val="1"/>
                <w:color w:val="231F20"/>
              </w:rPr>
              <w:t>48,888</w:t>
            </w:r>
          </w:p>
        </w:tc>
        <w:tc>
          <w:tcPr>
            <w:tcW w:w="40" w:type="dxa"/>
            <w:vAlign w:val="bottom"/>
          </w:tcPr>
          <w:p>
            <w:pPr>
              <w:spacing w:after="0"/>
              <w:rPr>
                <w:sz w:val="15"/>
                <w:szCs w:val="15"/>
                <w:color w:val="auto"/>
              </w:rPr>
            </w:pPr>
          </w:p>
        </w:tc>
      </w:tr>
      <w:tr>
        <w:trPr>
          <w:trHeight w:val="427"/>
        </w:trPr>
        <w:tc>
          <w:tcPr>
            <w:tcW w:w="5860" w:type="dxa"/>
            <w:vAlign w:val="bottom"/>
          </w:tcPr>
          <w:p>
            <w:pPr>
              <w:spacing w:after="0"/>
              <w:rPr>
                <w:sz w:val="20"/>
                <w:szCs w:val="20"/>
                <w:color w:val="auto"/>
              </w:rPr>
            </w:pPr>
            <w:r>
              <w:rPr>
                <w:rFonts w:ascii="Arial" w:cs="Arial" w:eastAsia="Arial" w:hAnsi="Arial"/>
                <w:sz w:val="16"/>
                <w:szCs w:val="16"/>
                <w:b w:val="1"/>
                <w:bCs w:val="1"/>
                <w:color w:val="231F20"/>
              </w:rPr>
              <w:t>Supplemental disclosure</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2"/>
        </w:trPr>
        <w:tc>
          <w:tcPr>
            <w:tcW w:w="5860" w:type="dxa"/>
            <w:vAlign w:val="bottom"/>
          </w:tcPr>
          <w:p>
            <w:pPr>
              <w:spacing w:after="0"/>
              <w:rPr>
                <w:sz w:val="20"/>
                <w:szCs w:val="20"/>
                <w:color w:val="auto"/>
              </w:rPr>
            </w:pPr>
            <w:r>
              <w:rPr>
                <w:rFonts w:ascii="Arial" w:cs="Arial" w:eastAsia="Arial" w:hAnsi="Arial"/>
                <w:sz w:val="16"/>
                <w:szCs w:val="16"/>
                <w:b w:val="1"/>
                <w:bCs w:val="1"/>
                <w:color w:val="231F20"/>
              </w:rPr>
              <w:t>Cash paid for interest</w:t>
            </w:r>
          </w:p>
        </w:tc>
        <w:tc>
          <w:tcPr>
            <w:tcW w:w="4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231F20"/>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231F20"/>
              </w:rPr>
              <w:t>1,387</w:t>
            </w:r>
          </w:p>
        </w:tc>
        <w:tc>
          <w:tcPr>
            <w:tcW w:w="140" w:type="dxa"/>
            <w:vAlign w:val="bottom"/>
          </w:tcPr>
          <w:p>
            <w:pPr>
              <w:spacing w:after="0"/>
              <w:rPr>
                <w:sz w:val="16"/>
                <w:szCs w:val="16"/>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231F20"/>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231F20"/>
              </w:rPr>
              <w:t>1,177</w:t>
            </w:r>
          </w:p>
        </w:tc>
        <w:tc>
          <w:tcPr>
            <w:tcW w:w="140" w:type="dxa"/>
            <w:vAlign w:val="bottom"/>
          </w:tcPr>
          <w:p>
            <w:pPr>
              <w:spacing w:after="0"/>
              <w:rPr>
                <w:sz w:val="16"/>
                <w:szCs w:val="16"/>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231F20"/>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231F20"/>
              </w:rPr>
              <w:t>103</w:t>
            </w:r>
          </w:p>
        </w:tc>
        <w:tc>
          <w:tcPr>
            <w:tcW w:w="40" w:type="dxa"/>
            <w:vAlign w:val="bottom"/>
          </w:tcPr>
          <w:p>
            <w:pPr>
              <w:spacing w:after="0"/>
              <w:rPr>
                <w:sz w:val="16"/>
                <w:szCs w:val="16"/>
                <w:color w:val="auto"/>
              </w:rPr>
            </w:pPr>
          </w:p>
        </w:tc>
      </w:tr>
      <w:tr>
        <w:trPr>
          <w:trHeight w:val="384"/>
        </w:trPr>
        <w:tc>
          <w:tcPr>
            <w:tcW w:w="5860" w:type="dxa"/>
            <w:vAlign w:val="bottom"/>
          </w:tcPr>
          <w:p>
            <w:pPr>
              <w:spacing w:after="0"/>
              <w:rPr>
                <w:sz w:val="20"/>
                <w:szCs w:val="20"/>
                <w:color w:val="auto"/>
              </w:rPr>
            </w:pPr>
            <w:r>
              <w:rPr>
                <w:rFonts w:ascii="Arial" w:cs="Arial" w:eastAsia="Arial" w:hAnsi="Arial"/>
                <w:sz w:val="16"/>
                <w:szCs w:val="16"/>
                <w:b w:val="1"/>
                <w:bCs w:val="1"/>
                <w:color w:val="231F20"/>
              </w:rPr>
              <w:t>Supplemental disclosure of non-cash investing and financing activities</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2"/>
        </w:trPr>
        <w:tc>
          <w:tcPr>
            <w:tcW w:w="5860" w:type="dxa"/>
            <w:vAlign w:val="bottom"/>
          </w:tcPr>
          <w:p>
            <w:pPr>
              <w:ind w:left="200"/>
              <w:spacing w:after="0"/>
              <w:rPr>
                <w:sz w:val="20"/>
                <w:szCs w:val="20"/>
                <w:color w:val="auto"/>
              </w:rPr>
            </w:pPr>
            <w:r>
              <w:rPr>
                <w:rFonts w:ascii="Arial" w:cs="Arial" w:eastAsia="Arial" w:hAnsi="Arial"/>
                <w:sz w:val="16"/>
                <w:szCs w:val="16"/>
                <w:b w:val="1"/>
                <w:bCs w:val="1"/>
                <w:color w:val="231F20"/>
                <w:w w:val="92"/>
              </w:rPr>
              <w:t>Purchase of property and equipment in accounts payable and accrued expenses</w:t>
            </w:r>
          </w:p>
        </w:tc>
        <w:tc>
          <w:tcPr>
            <w:tcW w:w="4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231F20"/>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231F20"/>
              </w:rPr>
              <w:t>1,158</w:t>
            </w:r>
          </w:p>
        </w:tc>
        <w:tc>
          <w:tcPr>
            <w:tcW w:w="140" w:type="dxa"/>
            <w:vAlign w:val="bottom"/>
          </w:tcPr>
          <w:p>
            <w:pPr>
              <w:spacing w:after="0"/>
              <w:rPr>
                <w:sz w:val="16"/>
                <w:szCs w:val="16"/>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231F20"/>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231F20"/>
              </w:rPr>
              <w:t>1,407</w:t>
            </w:r>
          </w:p>
        </w:tc>
        <w:tc>
          <w:tcPr>
            <w:tcW w:w="140" w:type="dxa"/>
            <w:vAlign w:val="bottom"/>
          </w:tcPr>
          <w:p>
            <w:pPr>
              <w:spacing w:after="0"/>
              <w:rPr>
                <w:sz w:val="16"/>
                <w:szCs w:val="16"/>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231F20"/>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231F20"/>
              </w:rPr>
              <w:t>2,145</w:t>
            </w:r>
          </w:p>
        </w:tc>
        <w:tc>
          <w:tcPr>
            <w:tcW w:w="40" w:type="dxa"/>
            <w:vAlign w:val="bottom"/>
          </w:tcPr>
          <w:p>
            <w:pPr>
              <w:spacing w:after="0"/>
              <w:rPr>
                <w:sz w:val="16"/>
                <w:szCs w:val="16"/>
                <w:color w:val="auto"/>
              </w:rPr>
            </w:pPr>
          </w:p>
        </w:tc>
      </w:tr>
      <w:tr>
        <w:trPr>
          <w:trHeight w:val="192"/>
        </w:trPr>
        <w:tc>
          <w:tcPr>
            <w:tcW w:w="5860" w:type="dxa"/>
            <w:vAlign w:val="bottom"/>
          </w:tcPr>
          <w:p>
            <w:pPr>
              <w:ind w:left="200"/>
              <w:spacing w:after="0"/>
              <w:rPr>
                <w:sz w:val="20"/>
                <w:szCs w:val="20"/>
                <w:color w:val="auto"/>
              </w:rPr>
            </w:pPr>
            <w:r>
              <w:rPr>
                <w:rFonts w:ascii="Arial" w:cs="Arial" w:eastAsia="Arial" w:hAnsi="Arial"/>
                <w:sz w:val="16"/>
                <w:szCs w:val="16"/>
                <w:b w:val="1"/>
                <w:bCs w:val="1"/>
                <w:color w:val="231F20"/>
              </w:rPr>
              <w:t>Right-of-use asset acquired under operating leases</w:t>
            </w:r>
          </w:p>
        </w:tc>
        <w:tc>
          <w:tcPr>
            <w:tcW w:w="4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231F20"/>
              </w:rPr>
              <w:t>$</w:t>
            </w:r>
          </w:p>
        </w:tc>
        <w:tc>
          <w:tcPr>
            <w:tcW w:w="100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231F20"/>
              </w:rPr>
              <w:t></w:t>
            </w:r>
          </w:p>
        </w:tc>
        <w:tc>
          <w:tcPr>
            <w:tcW w:w="140" w:type="dxa"/>
            <w:vAlign w:val="bottom"/>
          </w:tcPr>
          <w:p>
            <w:pPr>
              <w:spacing w:after="0"/>
              <w:rPr>
                <w:sz w:val="16"/>
                <w:szCs w:val="16"/>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231F20"/>
              </w:rPr>
              <w:t>$</w:t>
            </w:r>
          </w:p>
        </w:tc>
        <w:tc>
          <w:tcPr>
            <w:tcW w:w="116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231F20"/>
              </w:rPr>
              <w:t></w:t>
            </w:r>
          </w:p>
        </w:tc>
        <w:tc>
          <w:tcPr>
            <w:tcW w:w="140" w:type="dxa"/>
            <w:vAlign w:val="bottom"/>
          </w:tcPr>
          <w:p>
            <w:pPr>
              <w:spacing w:after="0"/>
              <w:rPr>
                <w:sz w:val="16"/>
                <w:szCs w:val="16"/>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231F20"/>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231F20"/>
              </w:rPr>
              <w:t>4,613</w:t>
            </w:r>
          </w:p>
        </w:tc>
        <w:tc>
          <w:tcPr>
            <w:tcW w:w="40" w:type="dxa"/>
            <w:vAlign w:val="bottom"/>
          </w:tcPr>
          <w:p>
            <w:pPr>
              <w:spacing w:after="0"/>
              <w:rPr>
                <w:sz w:val="16"/>
                <w:szCs w:val="16"/>
                <w:color w:val="auto"/>
              </w:rPr>
            </w:pPr>
          </w:p>
        </w:tc>
      </w:tr>
      <w:tr>
        <w:trPr>
          <w:trHeight w:val="192"/>
        </w:trPr>
        <w:tc>
          <w:tcPr>
            <w:tcW w:w="5860" w:type="dxa"/>
            <w:vAlign w:val="bottom"/>
          </w:tcPr>
          <w:p>
            <w:pPr>
              <w:ind w:left="200"/>
              <w:spacing w:after="0"/>
              <w:rPr>
                <w:sz w:val="20"/>
                <w:szCs w:val="20"/>
                <w:color w:val="auto"/>
              </w:rPr>
            </w:pPr>
            <w:r>
              <w:rPr>
                <w:rFonts w:ascii="Arial" w:cs="Arial" w:eastAsia="Arial" w:hAnsi="Arial"/>
                <w:sz w:val="16"/>
                <w:szCs w:val="16"/>
                <w:b w:val="1"/>
                <w:bCs w:val="1"/>
                <w:color w:val="231F20"/>
              </w:rPr>
              <w:t>Right-of-use asset acquired under finance leases</w:t>
            </w:r>
          </w:p>
        </w:tc>
        <w:tc>
          <w:tcPr>
            <w:tcW w:w="4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231F20"/>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231F20"/>
              </w:rPr>
              <w:t>1,309</w:t>
            </w:r>
          </w:p>
        </w:tc>
        <w:tc>
          <w:tcPr>
            <w:tcW w:w="140" w:type="dxa"/>
            <w:vAlign w:val="bottom"/>
          </w:tcPr>
          <w:p>
            <w:pPr>
              <w:spacing w:after="0"/>
              <w:rPr>
                <w:sz w:val="16"/>
                <w:szCs w:val="16"/>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231F20"/>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231F20"/>
              </w:rPr>
              <w:t>2,600</w:t>
            </w:r>
          </w:p>
        </w:tc>
        <w:tc>
          <w:tcPr>
            <w:tcW w:w="140" w:type="dxa"/>
            <w:vAlign w:val="bottom"/>
          </w:tcPr>
          <w:p>
            <w:pPr>
              <w:spacing w:after="0"/>
              <w:rPr>
                <w:sz w:val="16"/>
                <w:szCs w:val="16"/>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231F20"/>
              </w:rPr>
              <w:t>$</w:t>
            </w:r>
          </w:p>
        </w:tc>
        <w:tc>
          <w:tcPr>
            <w:tcW w:w="100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231F20"/>
              </w:rPr>
              <w:t></w:t>
            </w:r>
          </w:p>
        </w:tc>
        <w:tc>
          <w:tcPr>
            <w:tcW w:w="40" w:type="dxa"/>
            <w:vAlign w:val="bottom"/>
          </w:tcPr>
          <w:p>
            <w:pPr>
              <w:spacing w:after="0"/>
              <w:rPr>
                <w:sz w:val="16"/>
                <w:szCs w:val="16"/>
                <w:color w:val="auto"/>
              </w:rPr>
            </w:pPr>
          </w:p>
        </w:tc>
      </w:tr>
      <w:tr>
        <w:trPr>
          <w:trHeight w:val="384"/>
        </w:trPr>
        <w:tc>
          <w:tcPr>
            <w:tcW w:w="5860" w:type="dxa"/>
            <w:vAlign w:val="bottom"/>
          </w:tcPr>
          <w:p>
            <w:pPr>
              <w:spacing w:after="0"/>
              <w:rPr>
                <w:sz w:val="20"/>
                <w:szCs w:val="20"/>
                <w:color w:val="auto"/>
              </w:rPr>
            </w:pPr>
            <w:r>
              <w:rPr>
                <w:rFonts w:ascii="Arial" w:cs="Arial" w:eastAsia="Arial" w:hAnsi="Arial"/>
                <w:sz w:val="16"/>
                <w:szCs w:val="16"/>
                <w:b w:val="1"/>
                <w:bCs w:val="1"/>
                <w:color w:val="231F20"/>
              </w:rPr>
              <w:t>Reconciliation of cash and cash equivalents and restricted cash:</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4"/>
        </w:trPr>
        <w:tc>
          <w:tcPr>
            <w:tcW w:w="5860" w:type="dxa"/>
            <w:vAlign w:val="bottom"/>
          </w:tcPr>
          <w:p>
            <w:pPr>
              <w:ind w:left="200"/>
              <w:spacing w:after="0"/>
              <w:rPr>
                <w:sz w:val="20"/>
                <w:szCs w:val="20"/>
                <w:color w:val="auto"/>
              </w:rPr>
            </w:pPr>
            <w:r>
              <w:rPr>
                <w:rFonts w:ascii="Arial" w:cs="Arial" w:eastAsia="Arial" w:hAnsi="Arial"/>
                <w:sz w:val="16"/>
                <w:szCs w:val="16"/>
                <w:b w:val="1"/>
                <w:bCs w:val="1"/>
                <w:color w:val="231F20"/>
              </w:rPr>
              <w:t>Cash and cash equivalents</w:t>
            </w:r>
          </w:p>
        </w:tc>
        <w:tc>
          <w:tcPr>
            <w:tcW w:w="4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231F20"/>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231F20"/>
              </w:rPr>
              <w:t>17,567</w:t>
            </w:r>
          </w:p>
        </w:tc>
        <w:tc>
          <w:tcPr>
            <w:tcW w:w="140" w:type="dxa"/>
            <w:vAlign w:val="bottom"/>
          </w:tcPr>
          <w:p>
            <w:pPr>
              <w:spacing w:after="0"/>
              <w:rPr>
                <w:sz w:val="16"/>
                <w:szCs w:val="16"/>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231F20"/>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231F20"/>
              </w:rPr>
              <w:t>22,406</w:t>
            </w:r>
          </w:p>
        </w:tc>
        <w:tc>
          <w:tcPr>
            <w:tcW w:w="140" w:type="dxa"/>
            <w:vAlign w:val="bottom"/>
          </w:tcPr>
          <w:p>
            <w:pPr>
              <w:spacing w:after="0"/>
              <w:rPr>
                <w:sz w:val="16"/>
                <w:szCs w:val="16"/>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231F20"/>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231F20"/>
              </w:rPr>
              <w:t>48,822</w:t>
            </w:r>
          </w:p>
        </w:tc>
        <w:tc>
          <w:tcPr>
            <w:tcW w:w="40" w:type="dxa"/>
            <w:vAlign w:val="bottom"/>
          </w:tcPr>
          <w:p>
            <w:pPr>
              <w:spacing w:after="0"/>
              <w:rPr>
                <w:sz w:val="16"/>
                <w:szCs w:val="16"/>
                <w:color w:val="auto"/>
              </w:rPr>
            </w:pPr>
          </w:p>
        </w:tc>
      </w:tr>
      <w:tr>
        <w:trPr>
          <w:trHeight w:val="192"/>
        </w:trPr>
        <w:tc>
          <w:tcPr>
            <w:tcW w:w="5860" w:type="dxa"/>
            <w:vAlign w:val="bottom"/>
          </w:tcPr>
          <w:p>
            <w:pPr>
              <w:ind w:left="200"/>
              <w:spacing w:after="0"/>
              <w:rPr>
                <w:sz w:val="20"/>
                <w:szCs w:val="20"/>
                <w:color w:val="auto"/>
              </w:rPr>
            </w:pPr>
            <w:r>
              <w:rPr>
                <w:rFonts w:ascii="Arial" w:cs="Arial" w:eastAsia="Arial" w:hAnsi="Arial"/>
                <w:sz w:val="16"/>
                <w:szCs w:val="16"/>
                <w:b w:val="1"/>
                <w:bCs w:val="1"/>
                <w:color w:val="231F20"/>
              </w:rPr>
              <w:t>Restricted cash (included in other assets)</w:t>
            </w:r>
          </w:p>
        </w:tc>
        <w:tc>
          <w:tcPr>
            <w:tcW w:w="200" w:type="dxa"/>
            <w:vAlign w:val="bottom"/>
          </w:tcPr>
          <w:p>
            <w:pPr>
              <w:spacing w:after="0"/>
              <w:rPr>
                <w:sz w:val="16"/>
                <w:szCs w:val="16"/>
                <w:color w:val="auto"/>
              </w:rPr>
            </w:pPr>
          </w:p>
        </w:tc>
        <w:tc>
          <w:tcPr>
            <w:tcW w:w="280" w:type="dxa"/>
            <w:vAlign w:val="bottom"/>
            <w:tcBorders>
              <w:bottom w:val="single" w:sz="8" w:color="231F20"/>
            </w:tcBorders>
          </w:tcPr>
          <w:p>
            <w:pPr>
              <w:spacing w:after="0"/>
              <w:rPr>
                <w:sz w:val="16"/>
                <w:szCs w:val="16"/>
                <w:color w:val="auto"/>
              </w:rPr>
            </w:pP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16"/>
                <w:szCs w:val="16"/>
                <w:b w:val="1"/>
                <w:bCs w:val="1"/>
                <w:color w:val="231F20"/>
              </w:rPr>
              <w:t>66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231F20"/>
            </w:tcBorders>
          </w:tcPr>
          <w:p>
            <w:pPr>
              <w:spacing w:after="0"/>
              <w:rPr>
                <w:sz w:val="16"/>
                <w:szCs w:val="16"/>
                <w:color w:val="auto"/>
              </w:rPr>
            </w:pPr>
          </w:p>
        </w:tc>
        <w:tc>
          <w:tcPr>
            <w:tcW w:w="1160" w:type="dxa"/>
            <w:vAlign w:val="bottom"/>
            <w:tcBorders>
              <w:bottom w:val="single" w:sz="8" w:color="231F20"/>
            </w:tcBorders>
          </w:tcPr>
          <w:p>
            <w:pPr>
              <w:jc w:val="right"/>
              <w:spacing w:after="0"/>
              <w:rPr>
                <w:sz w:val="20"/>
                <w:szCs w:val="20"/>
                <w:color w:val="auto"/>
              </w:rPr>
            </w:pPr>
            <w:r>
              <w:rPr>
                <w:rFonts w:ascii="Arial" w:cs="Arial" w:eastAsia="Arial" w:hAnsi="Arial"/>
                <w:sz w:val="16"/>
                <w:szCs w:val="16"/>
                <w:b w:val="1"/>
                <w:bCs w:val="1"/>
                <w:color w:val="231F20"/>
              </w:rPr>
              <w:t>66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31F20"/>
            </w:tcBorders>
          </w:tcPr>
          <w:p>
            <w:pPr>
              <w:spacing w:after="0"/>
              <w:rPr>
                <w:sz w:val="16"/>
                <w:szCs w:val="16"/>
                <w:color w:val="auto"/>
              </w:rPr>
            </w:pP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16"/>
                <w:szCs w:val="16"/>
                <w:b w:val="1"/>
                <w:bCs w:val="1"/>
                <w:color w:val="231F20"/>
              </w:rPr>
              <w:t>66</w:t>
            </w:r>
          </w:p>
        </w:tc>
        <w:tc>
          <w:tcPr>
            <w:tcW w:w="40" w:type="dxa"/>
            <w:vAlign w:val="bottom"/>
          </w:tcPr>
          <w:p>
            <w:pPr>
              <w:spacing w:after="0"/>
              <w:rPr>
                <w:sz w:val="16"/>
                <w:szCs w:val="16"/>
                <w:color w:val="auto"/>
              </w:rPr>
            </w:pPr>
          </w:p>
        </w:tc>
      </w:tr>
      <w:tr>
        <w:trPr>
          <w:trHeight w:val="181"/>
        </w:trPr>
        <w:tc>
          <w:tcPr>
            <w:tcW w:w="5860" w:type="dxa"/>
            <w:vAlign w:val="bottom"/>
          </w:tcPr>
          <w:p>
            <w:pPr>
              <w:spacing w:after="0" w:line="181" w:lineRule="exact"/>
              <w:rPr>
                <w:sz w:val="20"/>
                <w:szCs w:val="20"/>
                <w:color w:val="auto"/>
              </w:rPr>
            </w:pPr>
            <w:r>
              <w:rPr>
                <w:rFonts w:ascii="Arial" w:cs="Arial" w:eastAsia="Arial" w:hAnsi="Arial"/>
                <w:sz w:val="16"/>
                <w:szCs w:val="16"/>
                <w:b w:val="1"/>
                <w:bCs w:val="1"/>
                <w:color w:val="231F20"/>
              </w:rPr>
              <w:t>Total cash and cash equivalents and restricted cash</w:t>
            </w:r>
          </w:p>
        </w:tc>
        <w:tc>
          <w:tcPr>
            <w:tcW w:w="480" w:type="dxa"/>
            <w:vAlign w:val="bottom"/>
            <w:gridSpan w:val="2"/>
          </w:tcPr>
          <w:p>
            <w:pPr>
              <w:jc w:val="right"/>
              <w:ind w:right="200"/>
              <w:spacing w:after="0" w:line="181" w:lineRule="exact"/>
              <w:rPr>
                <w:sz w:val="20"/>
                <w:szCs w:val="20"/>
                <w:color w:val="auto"/>
              </w:rPr>
            </w:pPr>
            <w:r>
              <w:rPr>
                <w:rFonts w:ascii="Arial" w:cs="Arial" w:eastAsia="Arial" w:hAnsi="Arial"/>
                <w:sz w:val="16"/>
                <w:szCs w:val="16"/>
                <w:b w:val="1"/>
                <w:bCs w:val="1"/>
                <w:color w:val="231F20"/>
              </w:rPr>
              <w:t>$</w:t>
            </w:r>
          </w:p>
        </w:tc>
        <w:tc>
          <w:tcPr>
            <w:tcW w:w="1000" w:type="dxa"/>
            <w:vAlign w:val="bottom"/>
          </w:tcPr>
          <w:p>
            <w:pPr>
              <w:jc w:val="right"/>
              <w:spacing w:after="0" w:line="181" w:lineRule="exact"/>
              <w:rPr>
                <w:sz w:val="20"/>
                <w:szCs w:val="20"/>
                <w:color w:val="auto"/>
              </w:rPr>
            </w:pPr>
            <w:r>
              <w:rPr>
                <w:rFonts w:ascii="Arial" w:cs="Arial" w:eastAsia="Arial" w:hAnsi="Arial"/>
                <w:sz w:val="16"/>
                <w:szCs w:val="16"/>
                <w:b w:val="1"/>
                <w:bCs w:val="1"/>
                <w:color w:val="231F20"/>
              </w:rPr>
              <w:t>17,633</w:t>
            </w:r>
          </w:p>
        </w:tc>
        <w:tc>
          <w:tcPr>
            <w:tcW w:w="140" w:type="dxa"/>
            <w:vAlign w:val="bottom"/>
          </w:tcPr>
          <w:p>
            <w:pPr>
              <w:spacing w:after="0"/>
              <w:rPr>
                <w:sz w:val="15"/>
                <w:szCs w:val="15"/>
                <w:color w:val="auto"/>
              </w:rPr>
            </w:pPr>
          </w:p>
        </w:tc>
        <w:tc>
          <w:tcPr>
            <w:tcW w:w="220" w:type="dxa"/>
            <w:vAlign w:val="bottom"/>
            <w:gridSpan w:val="2"/>
          </w:tcPr>
          <w:p>
            <w:pPr>
              <w:jc w:val="right"/>
              <w:ind w:right="40"/>
              <w:spacing w:after="0" w:line="181" w:lineRule="exact"/>
              <w:rPr>
                <w:sz w:val="20"/>
                <w:szCs w:val="20"/>
                <w:color w:val="auto"/>
              </w:rPr>
            </w:pPr>
            <w:r>
              <w:rPr>
                <w:rFonts w:ascii="Arial" w:cs="Arial" w:eastAsia="Arial" w:hAnsi="Arial"/>
                <w:sz w:val="16"/>
                <w:szCs w:val="16"/>
                <w:b w:val="1"/>
                <w:bCs w:val="1"/>
                <w:color w:val="231F20"/>
              </w:rPr>
              <w:t>$</w:t>
            </w:r>
          </w:p>
        </w:tc>
        <w:tc>
          <w:tcPr>
            <w:tcW w:w="1160" w:type="dxa"/>
            <w:vAlign w:val="bottom"/>
          </w:tcPr>
          <w:p>
            <w:pPr>
              <w:jc w:val="right"/>
              <w:spacing w:after="0" w:line="181" w:lineRule="exact"/>
              <w:rPr>
                <w:sz w:val="20"/>
                <w:szCs w:val="20"/>
                <w:color w:val="auto"/>
              </w:rPr>
            </w:pPr>
            <w:r>
              <w:rPr>
                <w:rFonts w:ascii="Arial" w:cs="Arial" w:eastAsia="Arial" w:hAnsi="Arial"/>
                <w:sz w:val="16"/>
                <w:szCs w:val="16"/>
                <w:b w:val="1"/>
                <w:bCs w:val="1"/>
                <w:color w:val="231F20"/>
              </w:rPr>
              <w:t>22,472</w:t>
            </w:r>
          </w:p>
        </w:tc>
        <w:tc>
          <w:tcPr>
            <w:tcW w:w="140" w:type="dxa"/>
            <w:vAlign w:val="bottom"/>
          </w:tcPr>
          <w:p>
            <w:pPr>
              <w:spacing w:after="0"/>
              <w:rPr>
                <w:sz w:val="15"/>
                <w:szCs w:val="15"/>
                <w:color w:val="auto"/>
              </w:rPr>
            </w:pPr>
          </w:p>
        </w:tc>
        <w:tc>
          <w:tcPr>
            <w:tcW w:w="380" w:type="dxa"/>
            <w:vAlign w:val="bottom"/>
            <w:gridSpan w:val="2"/>
          </w:tcPr>
          <w:p>
            <w:pPr>
              <w:jc w:val="right"/>
              <w:ind w:right="200"/>
              <w:spacing w:after="0" w:line="181" w:lineRule="exact"/>
              <w:rPr>
                <w:sz w:val="20"/>
                <w:szCs w:val="20"/>
                <w:color w:val="auto"/>
              </w:rPr>
            </w:pPr>
            <w:r>
              <w:rPr>
                <w:rFonts w:ascii="Arial" w:cs="Arial" w:eastAsia="Arial" w:hAnsi="Arial"/>
                <w:sz w:val="16"/>
                <w:szCs w:val="16"/>
                <w:b w:val="1"/>
                <w:bCs w:val="1"/>
                <w:color w:val="231F20"/>
              </w:rPr>
              <w:t>$</w:t>
            </w:r>
          </w:p>
        </w:tc>
        <w:tc>
          <w:tcPr>
            <w:tcW w:w="1000" w:type="dxa"/>
            <w:vAlign w:val="bottom"/>
          </w:tcPr>
          <w:p>
            <w:pPr>
              <w:jc w:val="right"/>
              <w:spacing w:after="0" w:line="181" w:lineRule="exact"/>
              <w:rPr>
                <w:sz w:val="20"/>
                <w:szCs w:val="20"/>
                <w:color w:val="auto"/>
              </w:rPr>
            </w:pPr>
            <w:r>
              <w:rPr>
                <w:rFonts w:ascii="Arial" w:cs="Arial" w:eastAsia="Arial" w:hAnsi="Arial"/>
                <w:sz w:val="16"/>
                <w:szCs w:val="16"/>
                <w:b w:val="1"/>
                <w:bCs w:val="1"/>
                <w:color w:val="231F20"/>
              </w:rPr>
              <w:t>48,888</w:t>
            </w:r>
          </w:p>
        </w:tc>
        <w:tc>
          <w:tcPr>
            <w:tcW w:w="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3834130</wp:posOffset>
            </wp:positionH>
            <wp:positionV relativeFrom="paragraph">
              <wp:posOffset>-1631315</wp:posOffset>
            </wp:positionV>
            <wp:extent cx="2768600" cy="5461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768600" cy="54610"/>
                    </a:xfrm>
                    <a:prstGeom prst="rect">
                      <a:avLst/>
                    </a:prstGeom>
                    <a:noFill/>
                  </pic:spPr>
                </pic:pic>
              </a:graphicData>
            </a:graphic>
          </wp:anchor>
        </w:drawing>
        <w:drawing>
          <wp:anchor simplePos="0" relativeHeight="251657728" behindDoc="1" locked="0" layoutInCell="0" allowOverlap="1">
            <wp:simplePos x="0" y="0"/>
            <wp:positionH relativeFrom="column">
              <wp:posOffset>3834130</wp:posOffset>
            </wp:positionH>
            <wp:positionV relativeFrom="paragraph">
              <wp:posOffset>-12700</wp:posOffset>
            </wp:positionV>
            <wp:extent cx="2768600" cy="5461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768600" cy="54610"/>
                    </a:xfrm>
                    <a:prstGeom prst="rect">
                      <a:avLst/>
                    </a:prstGeom>
                    <a:noFill/>
                  </pic:spPr>
                </pic:pic>
              </a:graphicData>
            </a:graphic>
          </wp:anchor>
        </w:drawing>
      </w: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231F20"/>
        </w:rPr>
        <w:t>The accompanying notes are an integral part of these consolidated financial statements.</w:t>
      </w:r>
    </w:p>
    <w:p>
      <w:pPr>
        <w:sectPr>
          <w:pgSz w:w="12240" w:h="15840" w:orient="portrait"/>
          <w:cols w:equalWidth="0" w:num="1">
            <w:col w:w="10420"/>
          </w:cols>
          <w:pgMar w:left="880" w:top="1160" w:right="9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231F20"/>
        </w:rPr>
        <w:t>99</w:t>
      </w:r>
    </w:p>
    <w:p>
      <w:pPr>
        <w:sectPr>
          <w:pgSz w:w="12240" w:h="15840" w:orient="portrait"/>
          <w:cols w:equalWidth="0" w:num="1">
            <w:col w:w="10420"/>
          </w:cols>
          <w:pgMar w:left="880" w:top="1160" w:right="940" w:bottom="390" w:gutter="0" w:footer="0" w:header="0"/>
          <w:type w:val="continuous"/>
        </w:sectPr>
      </w:pPr>
    </w:p>
    <w:bookmarkStart w:id="107" w:name="page108"/>
    <w:bookmarkEnd w:id="107"/>
    <w:p>
      <w:pPr>
        <w:jc w:val="center"/>
        <w:spacing w:after="0"/>
        <w:rPr>
          <w:sz w:val="20"/>
          <w:szCs w:val="20"/>
          <w:color w:val="auto"/>
        </w:rPr>
      </w:pPr>
      <w:r>
        <w:rPr>
          <w:rFonts w:ascii="Arial" w:cs="Arial" w:eastAsia="Arial" w:hAnsi="Arial"/>
          <w:sz w:val="19"/>
          <w:szCs w:val="19"/>
          <w:b w:val="1"/>
          <w:bCs w:val="1"/>
          <w:color w:val="231F20"/>
        </w:rPr>
        <w:t>ALX ONCOLOGY HOLDINGS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Notes to Consolidated Financial Statements</w:t>
      </w:r>
    </w:p>
    <w:p>
      <w:pPr>
        <w:spacing w:after="0" w:line="243" w:lineRule="exact"/>
        <w:rPr>
          <w:sz w:val="20"/>
          <w:szCs w:val="20"/>
          <w:color w:val="auto"/>
        </w:rPr>
      </w:pPr>
    </w:p>
    <w:p>
      <w:pPr>
        <w:ind w:left="480" w:right="8640" w:hanging="477"/>
        <w:spacing w:after="0" w:line="355" w:lineRule="auto"/>
        <w:tabs>
          <w:tab w:leader="none" w:pos="279" w:val="left"/>
        </w:tabs>
        <w:numPr>
          <w:ilvl w:val="0"/>
          <w:numId w:val="11"/>
        </w:numPr>
        <w:rPr>
          <w:rFonts w:ascii="Arial" w:cs="Arial" w:eastAsia="Arial" w:hAnsi="Arial"/>
          <w:sz w:val="19"/>
          <w:szCs w:val="19"/>
          <w:b w:val="1"/>
          <w:bCs w:val="1"/>
          <w:color w:val="231F20"/>
        </w:rPr>
      </w:pPr>
      <w:r>
        <w:rPr>
          <w:rFonts w:ascii="Arial" w:cs="Arial" w:eastAsia="Arial" w:hAnsi="Arial"/>
          <w:sz w:val="19"/>
          <w:szCs w:val="19"/>
          <w:b w:val="1"/>
          <w:bCs w:val="1"/>
          <w:color w:val="231F20"/>
        </w:rPr>
        <w:t>ORGANIZATION Organization</w:t>
      </w:r>
    </w:p>
    <w:p>
      <w:pPr>
        <w:spacing w:after="0" w:line="21" w:lineRule="exact"/>
        <w:rPr>
          <w:sz w:val="20"/>
          <w:szCs w:val="20"/>
          <w:color w:val="auto"/>
        </w:rPr>
      </w:pPr>
    </w:p>
    <w:p>
      <w:pPr>
        <w:ind w:right="40" w:firstLine="475"/>
        <w:spacing w:after="0" w:line="221" w:lineRule="exact"/>
        <w:rPr>
          <w:sz w:val="20"/>
          <w:szCs w:val="20"/>
          <w:color w:val="auto"/>
        </w:rPr>
      </w:pPr>
      <w:r>
        <w:rPr>
          <w:rFonts w:ascii="Arial" w:cs="Arial" w:eastAsia="Arial" w:hAnsi="Arial"/>
          <w:sz w:val="19"/>
          <w:szCs w:val="19"/>
          <w:b w:val="1"/>
          <w:bCs w:val="1"/>
          <w:color w:val="231F20"/>
        </w:rPr>
        <w:t>ALX Oncology Holdings Inc., or the Company, was formed as a Delaware corporation on April 1, 2020, or Inception. The Company was formed for the purpose of completing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initial public offering of its common stock and related transactions in order to carry on the business of ALX Oncology Limited. The Company is a clinical-stage immuno-oncology company focused on helping patients fight cancer by developing therapies that block the CD47 checkpoint pathway and bridge the innate and adaptive immune system.</w:t>
      </w:r>
    </w:p>
    <w:p>
      <w:pPr>
        <w:spacing w:after="0" w:line="127" w:lineRule="exact"/>
        <w:rPr>
          <w:sz w:val="20"/>
          <w:szCs w:val="20"/>
          <w:color w:val="auto"/>
        </w:rPr>
      </w:pPr>
    </w:p>
    <w:p>
      <w:pPr>
        <w:ind w:right="120" w:firstLine="475"/>
        <w:spacing w:after="0" w:line="284" w:lineRule="auto"/>
        <w:rPr>
          <w:sz w:val="20"/>
          <w:szCs w:val="20"/>
          <w:color w:val="auto"/>
        </w:rPr>
      </w:pPr>
      <w:r>
        <w:rPr>
          <w:rFonts w:ascii="Arial" w:cs="Arial" w:eastAsia="Arial" w:hAnsi="Arial"/>
          <w:sz w:val="17"/>
          <w:szCs w:val="17"/>
          <w:b w:val="1"/>
          <w:bCs w:val="1"/>
          <w:color w:val="231F20"/>
        </w:rPr>
        <w:t>ALX Oncology Holdings Inc. is incorporated in Delaware. ALX Oncology Limited, incorporated in Ireland, is a wholly-owned subsidiary of ALX Oncology Holdings Inc. ALX Oncology Inc., incorporated in Delaware, is a wholly-owned subsidiary of ALX Oncology Limited. All the companies, except for ALX Oncology Holdings Inc., are collectively known as the Subsidiaries.</w:t>
      </w:r>
    </w:p>
    <w:p>
      <w:pPr>
        <w:spacing w:after="0" w:line="91" w:lineRule="exact"/>
        <w:rPr>
          <w:sz w:val="20"/>
          <w:szCs w:val="20"/>
          <w:color w:val="auto"/>
        </w:rPr>
      </w:pPr>
    </w:p>
    <w:p>
      <w:pPr>
        <w:ind w:right="40" w:firstLine="475"/>
        <w:spacing w:after="0" w:line="310" w:lineRule="auto"/>
        <w:rPr>
          <w:sz w:val="20"/>
          <w:szCs w:val="20"/>
          <w:color w:val="auto"/>
        </w:rPr>
      </w:pPr>
      <w:r>
        <w:rPr>
          <w:rFonts w:ascii="Arial" w:cs="Arial" w:eastAsia="Arial" w:hAnsi="Arial"/>
          <w:sz w:val="16"/>
          <w:szCs w:val="16"/>
          <w:b w:val="1"/>
          <w:bCs w:val="1"/>
          <w:color w:val="231F20"/>
        </w:rPr>
        <w:t>As of December 31, 2024, the Company has devoted substantially all of its efforts to the formation and financing of the Company, as well as product development, and has not realized product revenues from its planned principal operations. The Company does not have manufacturing facilities and all manufacturing related activities are contracted out to third-party service providers.</w:t>
      </w:r>
    </w:p>
    <w:p>
      <w:pPr>
        <w:spacing w:after="0" w:line="74" w:lineRule="exact"/>
        <w:rPr>
          <w:sz w:val="20"/>
          <w:szCs w:val="20"/>
          <w:color w:val="auto"/>
        </w:rPr>
      </w:pPr>
    </w:p>
    <w:p>
      <w:pPr>
        <w:ind w:firstLine="475"/>
        <w:spacing w:after="0" w:line="222" w:lineRule="exact"/>
        <w:rPr>
          <w:sz w:val="20"/>
          <w:szCs w:val="20"/>
          <w:color w:val="auto"/>
        </w:rPr>
      </w:pPr>
      <w:r>
        <w:rPr>
          <w:rFonts w:ascii="Arial" w:cs="Arial" w:eastAsia="Arial" w:hAnsi="Arial"/>
          <w:sz w:val="17"/>
          <w:szCs w:val="17"/>
          <w:b w:val="1"/>
          <w:bCs w:val="1"/>
          <w:color w:val="231F20"/>
        </w:rPr>
        <w:t>Management expects to incur additional losses in the future to conduct product candidate research and development and to conduct pre-commercialization activities and recognizes that the Company will likely be required to raise additional capital to fully implement its business plan. The Company intends to raise such capital through the sale of additional equity, debt financings and/or strategic alliances with third parties. However, there can be no assurance that the Company will be successful in acquiring additional funding at levels sufficient to fund its operations or on terms acceptable to the Company. If the Company is unsuccessful in its efforts to raise additional financing, the Company could be required to significantly reduce operating expenses and delay, reduce the scope of or eliminate some of its development programs or its future commercialization efforts, out-license intellectual property rights to its product candidates and sell unsecured assets, or a combination of the above, any of which may have a material adverse effect on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business, results of operations, financial condition and/or its ability to fund its scheduled obligations on a timely basis or at all. The Company believes that the existing capital resources will be sufficient to fund the projected operating requirements for at least the next twelve months.</w:t>
      </w:r>
    </w:p>
    <w:p>
      <w:pPr>
        <w:spacing w:after="0" w:line="363" w:lineRule="exact"/>
        <w:rPr>
          <w:sz w:val="20"/>
          <w:szCs w:val="20"/>
          <w:color w:val="auto"/>
        </w:rPr>
      </w:pPr>
    </w:p>
    <w:p>
      <w:pPr>
        <w:ind w:left="480" w:right="6540" w:hanging="477"/>
        <w:spacing w:after="0" w:line="365" w:lineRule="auto"/>
        <w:tabs>
          <w:tab w:leader="none" w:pos="279" w:val="left"/>
        </w:tabs>
        <w:numPr>
          <w:ilvl w:val="0"/>
          <w:numId w:val="12"/>
        </w:numPr>
        <w:rPr>
          <w:rFonts w:ascii="Arial" w:cs="Arial" w:eastAsia="Arial" w:hAnsi="Arial"/>
          <w:sz w:val="19"/>
          <w:szCs w:val="19"/>
          <w:b w:val="1"/>
          <w:bCs w:val="1"/>
          <w:color w:val="231F20"/>
        </w:rPr>
      </w:pPr>
      <w:r>
        <w:rPr>
          <w:rFonts w:ascii="Arial" w:cs="Arial" w:eastAsia="Arial" w:hAnsi="Arial"/>
          <w:sz w:val="19"/>
          <w:szCs w:val="19"/>
          <w:b w:val="1"/>
          <w:bCs w:val="1"/>
          <w:color w:val="231F20"/>
        </w:rPr>
        <w:t>SIGNIFICANT ACCOUNTING POLICIES Basis of Preparation</w:t>
      </w:r>
    </w:p>
    <w:p>
      <w:pPr>
        <w:spacing w:after="0" w:line="15" w:lineRule="exact"/>
        <w:rPr>
          <w:sz w:val="20"/>
          <w:szCs w:val="20"/>
          <w:color w:val="auto"/>
        </w:rPr>
      </w:pPr>
    </w:p>
    <w:p>
      <w:pPr>
        <w:jc w:val="both"/>
        <w:ind w:right="140" w:firstLine="475"/>
        <w:spacing w:after="0" w:line="242" w:lineRule="auto"/>
        <w:rPr>
          <w:sz w:val="20"/>
          <w:szCs w:val="20"/>
          <w:color w:val="auto"/>
        </w:rPr>
      </w:pPr>
      <w:r>
        <w:rPr>
          <w:rFonts w:ascii="Arial" w:cs="Arial" w:eastAsia="Arial" w:hAnsi="Arial"/>
          <w:sz w:val="19"/>
          <w:szCs w:val="19"/>
          <w:b w:val="1"/>
          <w:bCs w:val="1"/>
          <w:color w:val="231F20"/>
        </w:rPr>
        <w:t>These consolidated financial statements have been prepared in accordance with accounting principles generally accepted in the United States of America, or U.S. GAAP, and the applicable rules and regulations of the U.S. Securities and Exchange Commission, or SEC.</w:t>
      </w:r>
    </w:p>
    <w:p>
      <w:pPr>
        <w:spacing w:after="0" w:line="234"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Principles of Consolidation</w:t>
      </w:r>
    </w:p>
    <w:p>
      <w:pPr>
        <w:spacing w:after="0" w:line="122"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All intercompany balances and transactions have been eliminated in consolidation.</w:t>
      </w:r>
    </w:p>
    <w:p>
      <w:pPr>
        <w:spacing w:after="0" w:line="237"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Use of Estimates</w:t>
      </w:r>
    </w:p>
    <w:p>
      <w:pPr>
        <w:spacing w:after="0" w:line="125" w:lineRule="exact"/>
        <w:rPr>
          <w:sz w:val="20"/>
          <w:szCs w:val="20"/>
          <w:color w:val="auto"/>
        </w:rPr>
      </w:pPr>
    </w:p>
    <w:p>
      <w:pPr>
        <w:ind w:right="20" w:firstLine="475"/>
        <w:spacing w:after="0" w:line="296" w:lineRule="auto"/>
        <w:rPr>
          <w:sz w:val="20"/>
          <w:szCs w:val="20"/>
          <w:color w:val="auto"/>
        </w:rPr>
      </w:pPr>
      <w:r>
        <w:rPr>
          <w:rFonts w:ascii="Arial" w:cs="Arial" w:eastAsia="Arial" w:hAnsi="Arial"/>
          <w:sz w:val="16"/>
          <w:szCs w:val="16"/>
          <w:b w:val="1"/>
          <w:bCs w:val="1"/>
          <w:color w:val="231F20"/>
        </w:rPr>
        <w:t>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periods. On an ongoing basis, management evaluates its estimates, including, but not limited to, those related to the estimated useful lives of long-lived assets, clinical and contract manufacturing accruals, fair value of assets and liabilities, fair value of investments, and stock-based compensation. The Company evaluates its estimates and assumptions on an ongoing basis based on historical experience and on various other market-specific and relevant assumptions that management believes to be reasonable under the circumstances and adjusts those estimates and assumptions when facts and circumstances change. Actual results could differ from those estimates.</w:t>
      </w:r>
    </w:p>
    <w:p>
      <w:pPr>
        <w:spacing w:after="0" w:line="198"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Cash and Cash Equivalents</w:t>
      </w:r>
    </w:p>
    <w:p>
      <w:pPr>
        <w:spacing w:after="0" w:line="125" w:lineRule="exact"/>
        <w:rPr>
          <w:sz w:val="20"/>
          <w:szCs w:val="20"/>
          <w:color w:val="auto"/>
        </w:rPr>
      </w:pPr>
    </w:p>
    <w:p>
      <w:pPr>
        <w:ind w:right="160" w:firstLine="475"/>
        <w:spacing w:after="0" w:line="243" w:lineRule="auto"/>
        <w:rPr>
          <w:sz w:val="20"/>
          <w:szCs w:val="20"/>
          <w:color w:val="auto"/>
        </w:rPr>
      </w:pPr>
      <w:r>
        <w:rPr>
          <w:rFonts w:ascii="Arial" w:cs="Arial" w:eastAsia="Arial" w:hAnsi="Arial"/>
          <w:sz w:val="19"/>
          <w:szCs w:val="19"/>
          <w:b w:val="1"/>
          <w:bCs w:val="1"/>
          <w:color w:val="231F20"/>
        </w:rPr>
        <w:t>The Company holds its cash and cash equivalents in checking and money market accounts. The Company considers all highly liquid investments with original maturities of three months or less from the date of purchase to be cash equivalents. Cash equivalents consist primarily of amounts invested in money market funds and U.S. government agency securities that are stated at cost, which approximate fair value.</w:t>
      </w:r>
    </w:p>
    <w:p>
      <w:pPr>
        <w:sectPr>
          <w:pgSz w:w="12240" w:h="15840" w:orient="portrait"/>
          <w:cols w:equalWidth="0" w:num="1">
            <w:col w:w="10480"/>
          </w:cols>
          <w:pgMar w:left="880" w:top="1160" w:right="880" w:bottom="4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31F20"/>
        </w:rPr>
        <w:t>100</w:t>
      </w:r>
    </w:p>
    <w:p>
      <w:pPr>
        <w:sectPr>
          <w:pgSz w:w="12240" w:h="15840" w:orient="portrait"/>
          <w:cols w:equalWidth="0" w:num="1">
            <w:col w:w="10480"/>
          </w:cols>
          <w:pgMar w:left="880" w:top="1160" w:right="880" w:bottom="401" w:gutter="0" w:footer="0" w:header="0"/>
          <w:type w:val="continuous"/>
        </w:sectPr>
      </w:pPr>
    </w:p>
    <w:bookmarkStart w:id="108" w:name="page109"/>
    <w:bookmarkEnd w:id="108"/>
    <w:p>
      <w:pPr>
        <w:ind w:left="480"/>
        <w:spacing w:after="0"/>
        <w:rPr>
          <w:sz w:val="20"/>
          <w:szCs w:val="20"/>
          <w:color w:val="auto"/>
        </w:rPr>
      </w:pPr>
      <w:r>
        <w:rPr>
          <w:rFonts w:ascii="Arial" w:cs="Arial" w:eastAsia="Arial" w:hAnsi="Arial"/>
          <w:sz w:val="19"/>
          <w:szCs w:val="19"/>
          <w:b w:val="1"/>
          <w:bCs w:val="1"/>
          <w:color w:val="231F20"/>
        </w:rPr>
        <w:t>Investments</w:t>
      </w:r>
    </w:p>
    <w:p>
      <w:pPr>
        <w:spacing w:after="0" w:line="128" w:lineRule="exact"/>
        <w:rPr>
          <w:sz w:val="20"/>
          <w:szCs w:val="20"/>
          <w:color w:val="auto"/>
        </w:rPr>
      </w:pPr>
    </w:p>
    <w:p>
      <w:pPr>
        <w:ind w:right="60" w:firstLine="475"/>
        <w:spacing w:after="0" w:line="222" w:lineRule="exact"/>
        <w:rPr>
          <w:sz w:val="20"/>
          <w:szCs w:val="20"/>
          <w:color w:val="auto"/>
        </w:rPr>
      </w:pPr>
      <w:r>
        <w:rPr>
          <w:rFonts w:ascii="Arial" w:cs="Arial" w:eastAsia="Arial" w:hAnsi="Arial"/>
          <w:sz w:val="16"/>
          <w:szCs w:val="16"/>
          <w:b w:val="1"/>
          <w:bCs w:val="1"/>
          <w:color w:val="231F20"/>
        </w:rPr>
        <w:t>Investments consist of money market funds, U.S. Treasury securities, U.S. government agency securities, corporate debt securities, commercial paper and asset-backed securities.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investments are classified as available-for-sale and carried at estimated fair values and reported in cash equivalents, short-term investments and long-term investments. Management determines the appropriate classification of the investments at the time they are purchased and evaluates the appropriateness of such classifications at each balance sheet date. Investments with contractual maturities greater than 12 months are considered long-term investments. Management has elected to use transaction settlement date as the purchase date of investments.</w:t>
      </w:r>
    </w:p>
    <w:p>
      <w:pPr>
        <w:spacing w:after="0" w:line="127" w:lineRule="exact"/>
        <w:rPr>
          <w:sz w:val="20"/>
          <w:szCs w:val="20"/>
          <w:color w:val="auto"/>
        </w:rPr>
      </w:pPr>
    </w:p>
    <w:p>
      <w:pPr>
        <w:ind w:right="100" w:firstLine="475"/>
        <w:spacing w:after="0" w:line="222" w:lineRule="exact"/>
        <w:rPr>
          <w:sz w:val="20"/>
          <w:szCs w:val="20"/>
          <w:color w:val="auto"/>
        </w:rPr>
      </w:pPr>
      <w:r>
        <w:rPr>
          <w:rFonts w:ascii="Arial" w:cs="Arial" w:eastAsia="Arial" w:hAnsi="Arial"/>
          <w:sz w:val="17"/>
          <w:szCs w:val="17"/>
          <w:b w:val="1"/>
          <w:bCs w:val="1"/>
          <w:color w:val="231F20"/>
        </w:rPr>
        <w:t>The Company regularly reviews its investments for declines in estimated fair value below amortized cost. The factors considered in determining whether a credit loss exists include the creditworthiness of the security issuers, the number of investments in an unrealized loss position, the severity and duration of the unrealized losses, and whether it is more likely than not that the Company will be required to sell the investments before the recovery of their amortized cost basis. The cost of investments sold is based on the specific identification method. In circumstances when an unrealized loss is determined to be credit-related, or when the Company intends to sell or is more likely than not required to sell a security before it recovers its amortized cost basis, the difference between the fair value and the amortized cost of the security is recognized within other income (expense), net in the consolidated statements of operations, and an allowance for credit loss is recorded on the consolidated balance sheets. In circumstances when the decline in fair value is non-credit related, the difference is reported in accumulated other comprehensive loss, net of tax as a separate component of consolidated stockholders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equity.</w:t>
      </w:r>
    </w:p>
    <w:p>
      <w:pPr>
        <w:spacing w:after="0" w:line="240"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Concentration of Credit Risk, Credit Losses and Other Risks and Uncertainties</w:t>
      </w:r>
    </w:p>
    <w:p>
      <w:pPr>
        <w:spacing w:after="0" w:line="125" w:lineRule="exact"/>
        <w:rPr>
          <w:sz w:val="20"/>
          <w:szCs w:val="20"/>
          <w:color w:val="auto"/>
        </w:rPr>
      </w:pPr>
    </w:p>
    <w:p>
      <w:pPr>
        <w:ind w:firstLine="475"/>
        <w:spacing w:after="0" w:line="222" w:lineRule="exact"/>
        <w:rPr>
          <w:sz w:val="20"/>
          <w:szCs w:val="20"/>
          <w:color w:val="auto"/>
        </w:rPr>
      </w:pPr>
      <w:r>
        <w:rPr>
          <w:rFonts w:ascii="Arial" w:cs="Arial" w:eastAsia="Arial" w:hAnsi="Arial"/>
          <w:sz w:val="16"/>
          <w:szCs w:val="16"/>
          <w:b w:val="1"/>
          <w:bCs w:val="1"/>
          <w:color w:val="231F20"/>
        </w:rPr>
        <w:t>Financial instruments that potentially subject the Company to a concentration of credit risk consist primarily of cash, cash equivalents, and investments. The primary objectives for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investment portfolio are the preservation of capital and the maintenance of liquidity. The Company maintains deposits in federally insured financial institutions in excess of federally insured limits. The Company is exposed to credit risk in the event of default by the financial institutions holding its cash, cash equivalents and investments and issuers of investments. The Company manages its credit risk by holding its cash, cash equivalents and investments in large financial institutions within the U.S. In addition,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investment policy limits investments to certain types of instruments such as money market funds, debt securities issued by the U.S. government and its agencies, corporate debt securities, commercial paper as well as asset-backed securities, and places restrictions on the credit ratings, maturities and concentration by type and issuer. The Company has not experienced any realized losses on its deposits of cash, cash equivalents and investments.</w:t>
      </w:r>
    </w:p>
    <w:p>
      <w:pPr>
        <w:spacing w:after="0" w:line="127" w:lineRule="exact"/>
        <w:rPr>
          <w:sz w:val="20"/>
          <w:szCs w:val="20"/>
          <w:color w:val="auto"/>
        </w:rPr>
      </w:pPr>
    </w:p>
    <w:p>
      <w:pPr>
        <w:ind w:right="40" w:firstLine="475"/>
        <w:spacing w:after="0" w:line="222" w:lineRule="exact"/>
        <w:rPr>
          <w:sz w:val="20"/>
          <w:szCs w:val="20"/>
          <w:color w:val="auto"/>
        </w:rPr>
      </w:pPr>
      <w:r>
        <w:rPr>
          <w:rFonts w:ascii="Arial" w:cs="Arial" w:eastAsia="Arial" w:hAnsi="Arial"/>
          <w:sz w:val="18"/>
          <w:szCs w:val="18"/>
          <w:b w:val="1"/>
          <w:bCs w:val="1"/>
          <w:color w:val="231F20"/>
        </w:rPr>
        <w:t>The Company</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future results of operations involve a number of other risks and uncertainties. Factors that could affect the Company</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future operating results and cause actual results to vary materially from expectations include, but are not limited to, uncertainty of results of clinical trials and reaching milestones, uncertainty of regulatory approval of the Company</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potential product candidates, uncertainty of market acceptance of the Company</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product candidates, competition from substitute products and larger companies, securing and protecting proprietary technology, strategic relationships and dependence on key individuals or sole-source suppliers.</w:t>
      </w:r>
    </w:p>
    <w:p>
      <w:pPr>
        <w:spacing w:after="0" w:line="126" w:lineRule="exact"/>
        <w:rPr>
          <w:sz w:val="20"/>
          <w:szCs w:val="20"/>
          <w:color w:val="auto"/>
        </w:rPr>
      </w:pPr>
    </w:p>
    <w:p>
      <w:pPr>
        <w:ind w:right="200" w:firstLine="475"/>
        <w:spacing w:after="0" w:line="221" w:lineRule="exact"/>
        <w:rPr>
          <w:sz w:val="20"/>
          <w:szCs w:val="20"/>
          <w:color w:val="auto"/>
        </w:rPr>
      </w:pPr>
      <w:r>
        <w:rPr>
          <w:rFonts w:ascii="Arial" w:cs="Arial" w:eastAsia="Arial" w:hAnsi="Arial"/>
          <w:sz w:val="16"/>
          <w:szCs w:val="16"/>
          <w:b w:val="1"/>
          <w:bCs w:val="1"/>
          <w:color w:val="231F20"/>
        </w:rPr>
        <w:t>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product candidates require approvals from the U.S. Food and Drug Administration, or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spacing w:after="0" w:line="238"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Property and Equipment</w:t>
      </w:r>
    </w:p>
    <w:p>
      <w:pPr>
        <w:spacing w:after="0" w:line="128" w:lineRule="exact"/>
        <w:rPr>
          <w:sz w:val="20"/>
          <w:szCs w:val="20"/>
          <w:color w:val="auto"/>
        </w:rPr>
      </w:pPr>
    </w:p>
    <w:p>
      <w:pPr>
        <w:ind w:right="80" w:firstLine="475"/>
        <w:spacing w:after="0" w:line="259" w:lineRule="auto"/>
        <w:rPr>
          <w:sz w:val="20"/>
          <w:szCs w:val="20"/>
          <w:color w:val="auto"/>
        </w:rPr>
      </w:pPr>
      <w:r>
        <w:rPr>
          <w:rFonts w:ascii="Arial" w:cs="Arial" w:eastAsia="Arial" w:hAnsi="Arial"/>
          <w:sz w:val="18"/>
          <w:szCs w:val="18"/>
          <w:b w:val="1"/>
          <w:bCs w:val="1"/>
          <w:color w:val="231F20"/>
        </w:rPr>
        <w:t>Property and equipment are stated at cost less accumulated depreciation. Depreciation of property and equipment is provided using the straight-line method over the estimated useful lives of the assets. Leasehold improvements are amortized on a straight-line basis over the shorter of the term of the lease, or the useful life of the assets. Upon sale or retirement of assets, the cost and related accumulated depreciation or amortization are removed from the consolidated balance sheets and the resulting gain or loss is reflected in the consolidated statements of operations. Maintenance and repairs are charged to the consolidated statements of operations as incurred.</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Leases</w:t>
      </w:r>
    </w:p>
    <w:p>
      <w:pPr>
        <w:spacing w:after="0" w:line="128" w:lineRule="exact"/>
        <w:rPr>
          <w:sz w:val="20"/>
          <w:szCs w:val="20"/>
          <w:color w:val="auto"/>
        </w:rPr>
      </w:pPr>
    </w:p>
    <w:p>
      <w:pPr>
        <w:jc w:val="both"/>
        <w:ind w:right="200" w:firstLine="475"/>
        <w:spacing w:after="0" w:line="242" w:lineRule="auto"/>
        <w:rPr>
          <w:sz w:val="20"/>
          <w:szCs w:val="20"/>
          <w:color w:val="auto"/>
        </w:rPr>
      </w:pPr>
      <w:r>
        <w:rPr>
          <w:rFonts w:ascii="Arial" w:cs="Arial" w:eastAsia="Arial" w:hAnsi="Arial"/>
          <w:sz w:val="19"/>
          <w:szCs w:val="19"/>
          <w:b w:val="1"/>
          <w:bCs w:val="1"/>
          <w:color w:val="231F20"/>
        </w:rPr>
        <w:t>The Company determines if an arrangement contains a lease at inception. For arrangements where the Company is the lessee, leases are included in operating or finance lease right-of-use, or ROU, assets; current operating or finance lease liabilities; and non-current operating or finance lease liabilities.</w:t>
      </w:r>
    </w:p>
    <w:p>
      <w:pPr>
        <w:sectPr>
          <w:pgSz w:w="12240" w:h="15840" w:orient="portrait"/>
          <w:cols w:equalWidth="0" w:num="1">
            <w:col w:w="10420"/>
          </w:cols>
          <w:pgMar w:left="880" w:top="1160" w:right="940" w:bottom="4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231F20"/>
        </w:rPr>
        <w:t>101</w:t>
      </w:r>
    </w:p>
    <w:p>
      <w:pPr>
        <w:sectPr>
          <w:pgSz w:w="12240" w:h="15840" w:orient="portrait"/>
          <w:cols w:equalWidth="0" w:num="1">
            <w:col w:w="10420"/>
          </w:cols>
          <w:pgMar w:left="880" w:top="1160" w:right="940" w:bottom="401" w:gutter="0" w:footer="0" w:header="0"/>
          <w:type w:val="continuous"/>
        </w:sectPr>
      </w:pPr>
    </w:p>
    <w:bookmarkStart w:id="109" w:name="page110"/>
    <w:bookmarkEnd w:id="109"/>
    <w:p>
      <w:pPr>
        <w:ind w:right="60" w:firstLine="475"/>
        <w:spacing w:after="0" w:line="223" w:lineRule="exact"/>
        <w:rPr>
          <w:sz w:val="20"/>
          <w:szCs w:val="20"/>
          <w:color w:val="auto"/>
        </w:rPr>
      </w:pPr>
      <w:r>
        <w:rPr>
          <w:rFonts w:ascii="Arial" w:cs="Arial" w:eastAsia="Arial" w:hAnsi="Arial"/>
          <w:sz w:val="17"/>
          <w:szCs w:val="17"/>
          <w:b w:val="1"/>
          <w:bCs w:val="1"/>
          <w:color w:val="231F20"/>
        </w:rPr>
        <w:t>Lease ROU assets and lease liabilities are recognized based on the present value of the future minimum lease payments over the lease term at the commencement date. ROU assets also include any initial direct costs incurred and any lease payments made on or before the lease commencement date, less lease incentives received. The Company uses its incremental borrowing rate based on the information available at the commencement date in determining the lease liabilities as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leases generally do not provide an implicit rate. The incremental borrowing rate is reevaluated upon a lease modification. Lease terms may include options to extend or terminate the lease when the Company is reasonably certain that the option will be exercised. Lease expense for operating leases is recognized on a straight-line basis over the lease term. For finance leases, ROU assets are amortized on a straight-line basis over the shorter of the expected useful life or the lease term, and the carrying amount of the lease liability is adjusted to reflect interest, which is recorded in interest expense.</w:t>
      </w:r>
    </w:p>
    <w:p>
      <w:pPr>
        <w:spacing w:after="0" w:line="126" w:lineRule="exact"/>
        <w:rPr>
          <w:sz w:val="20"/>
          <w:szCs w:val="20"/>
          <w:color w:val="auto"/>
        </w:rPr>
      </w:pPr>
    </w:p>
    <w:p>
      <w:pPr>
        <w:ind w:right="480" w:firstLine="475"/>
        <w:spacing w:after="0" w:line="239" w:lineRule="auto"/>
        <w:rPr>
          <w:sz w:val="20"/>
          <w:szCs w:val="20"/>
          <w:color w:val="auto"/>
        </w:rPr>
      </w:pPr>
      <w:r>
        <w:rPr>
          <w:rFonts w:ascii="Arial" w:cs="Arial" w:eastAsia="Arial" w:hAnsi="Arial"/>
          <w:sz w:val="19"/>
          <w:szCs w:val="19"/>
          <w:b w:val="1"/>
          <w:bCs w:val="1"/>
          <w:color w:val="231F20"/>
        </w:rPr>
        <w:t>A short-term lease is a lease that, at the commencement date, has a lease term of 12 months or less and does not include an option to purchase the underlying asset that the lessee is reasonably certain to exercise.</w:t>
      </w:r>
    </w:p>
    <w:p>
      <w:pPr>
        <w:spacing w:after="0" w:line="239"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Impairment of Long-Lived Assets</w:t>
      </w:r>
    </w:p>
    <w:p>
      <w:pPr>
        <w:spacing w:after="0" w:line="128" w:lineRule="exact"/>
        <w:rPr>
          <w:sz w:val="20"/>
          <w:szCs w:val="20"/>
          <w:color w:val="auto"/>
        </w:rPr>
      </w:pPr>
    </w:p>
    <w:p>
      <w:pPr>
        <w:ind w:right="120" w:firstLine="475"/>
        <w:spacing w:after="0" w:line="298" w:lineRule="auto"/>
        <w:rPr>
          <w:sz w:val="20"/>
          <w:szCs w:val="20"/>
          <w:color w:val="auto"/>
        </w:rPr>
      </w:pPr>
      <w:r>
        <w:rPr>
          <w:rFonts w:ascii="Arial" w:cs="Arial" w:eastAsia="Arial" w:hAnsi="Arial"/>
          <w:sz w:val="16"/>
          <w:szCs w:val="16"/>
          <w:b w:val="1"/>
          <w:bCs w:val="1"/>
          <w:color w:val="231F20"/>
        </w:rPr>
        <w:t>The Company reviews long-lived assets for impairment whenever events or changes in circumstances indicate that the carrying amount of an asset or asset group may not be recoverable. Recoverability is measured by comparison of the carrying amount to the future undiscounted net cash flows which the asset or asset group are expected to generate. If such assets are considered to be impaired, the impairment to be recognized is measured as the amount by which the carrying amount of the assets exceeds its fair value. Fair value is determined using various valuation techniques including discounted cash flow models, quoted market values and third-party independent appraisals, as considered necessary. The Company has not recorded impairment of any long-lived assets.</w:t>
      </w:r>
    </w:p>
    <w:p>
      <w:pPr>
        <w:spacing w:after="0" w:line="196"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Fair Value of Financial Instruments</w:t>
      </w:r>
    </w:p>
    <w:p>
      <w:pPr>
        <w:spacing w:after="0" w:line="125" w:lineRule="exact"/>
        <w:rPr>
          <w:sz w:val="20"/>
          <w:szCs w:val="20"/>
          <w:color w:val="auto"/>
        </w:rPr>
      </w:pPr>
    </w:p>
    <w:p>
      <w:pPr>
        <w:ind w:right="40" w:firstLine="475"/>
        <w:spacing w:after="0" w:line="221" w:lineRule="exact"/>
        <w:rPr>
          <w:sz w:val="20"/>
          <w:szCs w:val="20"/>
          <w:color w:val="auto"/>
        </w:rPr>
      </w:pPr>
      <w:r>
        <w:rPr>
          <w:rFonts w:ascii="Arial" w:cs="Arial" w:eastAsia="Arial" w:hAnsi="Arial"/>
          <w:sz w:val="16"/>
          <w:szCs w:val="16"/>
          <w:b w:val="1"/>
          <w:bCs w:val="1"/>
          <w:color w:val="231F20"/>
        </w:rPr>
        <w:t>The fair value of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financial assets and liabilities are determined in accordance with the fair value hierarchy established in ASC 820, Fair Value Measurements and Disclosures.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of ASC 820 requires an entity to maximize the use of observable inputs when measuring fair value and classifies those inputs into three levels:</w:t>
      </w:r>
    </w:p>
    <w:p>
      <w:pPr>
        <w:spacing w:after="0" w:line="110" w:lineRule="exact"/>
        <w:rPr>
          <w:sz w:val="20"/>
          <w:szCs w:val="20"/>
          <w:color w:val="auto"/>
        </w:rPr>
      </w:pPr>
    </w:p>
    <w:p>
      <w:pPr>
        <w:ind w:left="480"/>
        <w:spacing w:after="0" w:line="231" w:lineRule="exact"/>
        <w:rPr>
          <w:sz w:val="20"/>
          <w:szCs w:val="20"/>
          <w:color w:val="auto"/>
        </w:rPr>
      </w:pPr>
      <w:r>
        <w:rPr>
          <w:rFonts w:ascii="Arial" w:cs="Arial" w:eastAsia="Arial" w:hAnsi="Arial"/>
          <w:sz w:val="19"/>
          <w:szCs w:val="19"/>
          <w:b w:val="1"/>
          <w:bCs w:val="1"/>
          <w:color w:val="231F20"/>
        </w:rPr>
        <w:t>Level 1</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Observable inputs, such as quoted prices in active markets;</w:t>
      </w:r>
    </w:p>
    <w:p>
      <w:pPr>
        <w:spacing w:after="0" w:line="128" w:lineRule="exact"/>
        <w:rPr>
          <w:sz w:val="20"/>
          <w:szCs w:val="20"/>
          <w:color w:val="auto"/>
        </w:rPr>
      </w:pPr>
    </w:p>
    <w:p>
      <w:pPr>
        <w:ind w:left="480" w:right="40"/>
        <w:spacing w:after="0" w:line="220" w:lineRule="exact"/>
        <w:rPr>
          <w:sz w:val="20"/>
          <w:szCs w:val="20"/>
          <w:color w:val="auto"/>
        </w:rPr>
      </w:pPr>
      <w:r>
        <w:rPr>
          <w:rFonts w:ascii="Arial" w:cs="Arial" w:eastAsia="Arial" w:hAnsi="Arial"/>
          <w:sz w:val="16"/>
          <w:szCs w:val="16"/>
          <w:b w:val="1"/>
          <w:bCs w:val="1"/>
          <w:color w:val="231F20"/>
        </w:rPr>
        <w:t>Level 2</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Inputs, other than the quoted prices in active markets, which are observable either directly or indirectly such as quoted prices for similar assets or liabilities; quoted prices in markets that are not active; or other inputs that are observable or can be corroborated by observable market data for substantially the full term of the instrument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anticipated life; and</w:t>
      </w:r>
    </w:p>
    <w:p>
      <w:pPr>
        <w:spacing w:after="0" w:line="127" w:lineRule="exact"/>
        <w:rPr>
          <w:sz w:val="20"/>
          <w:szCs w:val="20"/>
          <w:color w:val="auto"/>
        </w:rPr>
      </w:pPr>
    </w:p>
    <w:p>
      <w:pPr>
        <w:ind w:left="480" w:right="280"/>
        <w:spacing w:after="0" w:line="218" w:lineRule="exact"/>
        <w:rPr>
          <w:sz w:val="20"/>
          <w:szCs w:val="20"/>
          <w:color w:val="auto"/>
        </w:rPr>
      </w:pPr>
      <w:r>
        <w:rPr>
          <w:rFonts w:ascii="Arial" w:cs="Arial" w:eastAsia="Arial" w:hAnsi="Arial"/>
          <w:sz w:val="19"/>
          <w:szCs w:val="19"/>
          <w:b w:val="1"/>
          <w:bCs w:val="1"/>
          <w:color w:val="231F20"/>
        </w:rPr>
        <w:t>Level 3</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Unobservable inputs in which there is little or no market data, which require the reporting entity to develop its own assumptions.</w:t>
      </w:r>
    </w:p>
    <w:p>
      <w:pPr>
        <w:spacing w:after="0" w:line="126" w:lineRule="exact"/>
        <w:rPr>
          <w:sz w:val="20"/>
          <w:szCs w:val="20"/>
          <w:color w:val="auto"/>
        </w:rPr>
      </w:pPr>
    </w:p>
    <w:p>
      <w:pPr>
        <w:ind w:right="80" w:firstLine="475"/>
        <w:spacing w:after="0" w:line="239" w:lineRule="auto"/>
        <w:rPr>
          <w:sz w:val="20"/>
          <w:szCs w:val="20"/>
          <w:color w:val="auto"/>
        </w:rPr>
      </w:pPr>
      <w:r>
        <w:rPr>
          <w:rFonts w:ascii="Arial" w:cs="Arial" w:eastAsia="Arial" w:hAnsi="Arial"/>
          <w:sz w:val="19"/>
          <w:szCs w:val="19"/>
          <w:b w:val="1"/>
          <w:bCs w:val="1"/>
          <w:color w:val="231F20"/>
        </w:rPr>
        <w:t>Assets and liabilities measured at fair value are classified in their entirety based on the lowest level of input that is significant to the fair value measurement.</w:t>
      </w:r>
    </w:p>
    <w:p>
      <w:pPr>
        <w:spacing w:after="0" w:line="129" w:lineRule="exact"/>
        <w:rPr>
          <w:sz w:val="20"/>
          <w:szCs w:val="20"/>
          <w:color w:val="auto"/>
        </w:rPr>
      </w:pPr>
    </w:p>
    <w:p>
      <w:pPr>
        <w:ind w:right="240" w:firstLine="475"/>
        <w:spacing w:after="0" w:line="243" w:lineRule="auto"/>
        <w:rPr>
          <w:sz w:val="20"/>
          <w:szCs w:val="20"/>
          <w:color w:val="auto"/>
        </w:rPr>
      </w:pPr>
      <w:r>
        <w:rPr>
          <w:rFonts w:ascii="Arial" w:cs="Arial" w:eastAsia="Arial" w:hAnsi="Arial"/>
          <w:sz w:val="19"/>
          <w:szCs w:val="19"/>
          <w:b w:val="1"/>
          <w:bCs w:val="1"/>
          <w:color w:val="231F20"/>
        </w:rPr>
        <w:t>As of December 31, 2024 and 2023, the carrying amount of cash equivalents, prepaid expenses and other current assets, accounts payable and accrued liabilities approximated their estimated fair value due to their relatively short maturities. The carrying amount of our non-current debt approximates fair value based on Level 2 inputs since the debt carries a variable interest rate that is tied to the current SOFR rate plus a spread.</w:t>
      </w:r>
    </w:p>
    <w:p>
      <w:pPr>
        <w:spacing w:after="0" w:line="123" w:lineRule="exact"/>
        <w:rPr>
          <w:sz w:val="20"/>
          <w:szCs w:val="20"/>
          <w:color w:val="auto"/>
        </w:rPr>
      </w:pPr>
    </w:p>
    <w:p>
      <w:pPr>
        <w:ind w:firstLine="475"/>
        <w:spacing w:after="0" w:line="276" w:lineRule="auto"/>
        <w:rPr>
          <w:sz w:val="20"/>
          <w:szCs w:val="20"/>
          <w:color w:val="auto"/>
        </w:rPr>
      </w:pPr>
      <w:r>
        <w:rPr>
          <w:rFonts w:ascii="Arial" w:cs="Arial" w:eastAsia="Arial" w:hAnsi="Arial"/>
          <w:sz w:val="17"/>
          <w:szCs w:val="17"/>
          <w:b w:val="1"/>
          <w:bCs w:val="1"/>
          <w:color w:val="231F20"/>
        </w:rPr>
        <w:t>The Company classifies money market funds and U.S. treasury securities as Level 1 within the fair value hierarchy as the fair value is based on quoted prices. The Company classifies its investments in U.S. government agency securities, corporate debt securities, commercial paper, and asset-backed securities as Level 2 within the fair value hierarchy as the fair value is estimated by third-party pricing sources using quoted prices for identical or similar instruments in markets that are not active and industry-standard model-based valuation techniques for which all significant inputs are observable in the market or can be corroborated by observable market data for substantially the full term of the assets. Where applicable, these models project future cash flows and discount the future amounts to a present value using market-based observable inputs obtained from various third-party data providers, including but not limited to benchmark yields, reported trades and broker/dealer quotes. Where applicable the market approach utilizes prices and information from market transactions for similar or identical assets.</w:t>
      </w:r>
    </w:p>
    <w:p>
      <w:pPr>
        <w:sectPr>
          <w:pgSz w:w="12240" w:h="15840" w:orient="portrait"/>
          <w:cols w:equalWidth="0" w:num="1">
            <w:col w:w="10480"/>
          </w:cols>
          <w:pgMar w:left="880" w:top="1165" w:right="880" w:bottom="4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31F20"/>
        </w:rPr>
        <w:t>102</w:t>
      </w:r>
    </w:p>
    <w:p>
      <w:pPr>
        <w:sectPr>
          <w:pgSz w:w="12240" w:h="15840" w:orient="portrait"/>
          <w:cols w:equalWidth="0" w:num="1">
            <w:col w:w="10480"/>
          </w:cols>
          <w:pgMar w:left="880" w:top="1165" w:right="880" w:bottom="401" w:gutter="0" w:footer="0" w:header="0"/>
          <w:type w:val="continuous"/>
        </w:sectPr>
      </w:pPr>
    </w:p>
    <w:bookmarkStart w:id="110" w:name="page111"/>
    <w:bookmarkEnd w:id="110"/>
    <w:p>
      <w:pPr>
        <w:ind w:left="480"/>
        <w:spacing w:after="0"/>
        <w:rPr>
          <w:sz w:val="20"/>
          <w:szCs w:val="20"/>
          <w:color w:val="auto"/>
        </w:rPr>
      </w:pPr>
      <w:r>
        <w:rPr>
          <w:rFonts w:ascii="Arial" w:cs="Arial" w:eastAsia="Arial" w:hAnsi="Arial"/>
          <w:sz w:val="19"/>
          <w:szCs w:val="19"/>
          <w:b w:val="1"/>
          <w:bCs w:val="1"/>
          <w:color w:val="231F20"/>
        </w:rPr>
        <w:t>Issuance Costs</w:t>
      </w:r>
    </w:p>
    <w:p>
      <w:pPr>
        <w:spacing w:after="0" w:line="128" w:lineRule="exact"/>
        <w:rPr>
          <w:sz w:val="20"/>
          <w:szCs w:val="20"/>
          <w:color w:val="auto"/>
        </w:rPr>
      </w:pPr>
    </w:p>
    <w:p>
      <w:pPr>
        <w:ind w:right="260" w:firstLine="475"/>
        <w:spacing w:after="0" w:line="221" w:lineRule="exact"/>
        <w:rPr>
          <w:sz w:val="20"/>
          <w:szCs w:val="20"/>
          <w:color w:val="auto"/>
        </w:rPr>
      </w:pPr>
      <w:r>
        <w:rPr>
          <w:rFonts w:ascii="Arial" w:cs="Arial" w:eastAsia="Arial" w:hAnsi="Arial"/>
          <w:sz w:val="16"/>
          <w:szCs w:val="16"/>
          <w:b w:val="1"/>
          <w:bCs w:val="1"/>
          <w:color w:val="231F20"/>
        </w:rPr>
        <w:t>Debt issuance costs consist of payments made to secure commitments under certain debt financing arrangements. These amounts are recognized as interest expense over the period of the financing arrangement using the effective interest method. If the financing arrangement is canceled or forfeited, or if the utility of the arrangement to the Company is otherwise compromised, these costs are recognized as interest expense immediately.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consolidated financial statements present debt issuance costs related to a recognized debt liability as a direct reduction from the carrying amount of that debt liability.</w:t>
      </w:r>
    </w:p>
    <w:p>
      <w:pPr>
        <w:spacing w:after="0" w:line="127" w:lineRule="exact"/>
        <w:rPr>
          <w:sz w:val="20"/>
          <w:szCs w:val="20"/>
          <w:color w:val="auto"/>
        </w:rPr>
      </w:pPr>
    </w:p>
    <w:p>
      <w:pPr>
        <w:ind w:right="80" w:firstLine="475"/>
        <w:spacing w:after="0" w:line="222" w:lineRule="exact"/>
        <w:rPr>
          <w:sz w:val="20"/>
          <w:szCs w:val="20"/>
          <w:color w:val="auto"/>
        </w:rPr>
      </w:pPr>
      <w:r>
        <w:rPr>
          <w:rFonts w:ascii="Arial" w:cs="Arial" w:eastAsia="Arial" w:hAnsi="Arial"/>
          <w:sz w:val="16"/>
          <w:szCs w:val="16"/>
          <w:b w:val="1"/>
          <w:bCs w:val="1"/>
          <w:color w:val="231F20"/>
        </w:rPr>
        <w:t>Equity issuance costs consist of certain legal, professional accounting and third-party fees directly associated with in-process equity financings. These amounts are capitalized as deferred offering costs until such financings are consummated. After consummation of the equity financing, these costs are recorded in stockholders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equity as a reduction of additional paid-in capital generated as a result of the equity financing. In the event an anticipated offering is terminated or significantly delayed, deferred offering costs will be immediately expensed as part of general and administrative expenses. As of December 31, 2024 and 2023, no deferred offering costs were included as prepaid expenses and other current assets on the consolidated balance sheets, and all offering costs were offset against offering proceeds and reclassified to additional paid-in capital on the consolidated balance sheets.</w:t>
      </w:r>
    </w:p>
    <w:p>
      <w:pPr>
        <w:spacing w:after="0" w:line="238"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Research and Development Costs</w:t>
      </w:r>
    </w:p>
    <w:p>
      <w:pPr>
        <w:spacing w:after="0" w:line="125" w:lineRule="exact"/>
        <w:rPr>
          <w:sz w:val="20"/>
          <w:szCs w:val="20"/>
          <w:color w:val="auto"/>
        </w:rPr>
      </w:pPr>
    </w:p>
    <w:p>
      <w:pPr>
        <w:ind w:right="40" w:firstLine="475"/>
        <w:spacing w:after="0" w:line="298" w:lineRule="auto"/>
        <w:rPr>
          <w:sz w:val="20"/>
          <w:szCs w:val="20"/>
          <w:color w:val="auto"/>
        </w:rPr>
      </w:pPr>
      <w:r>
        <w:rPr>
          <w:rFonts w:ascii="Arial" w:cs="Arial" w:eastAsia="Arial" w:hAnsi="Arial"/>
          <w:sz w:val="16"/>
          <w:szCs w:val="16"/>
          <w:b w:val="1"/>
          <w:bCs w:val="1"/>
          <w:color w:val="231F20"/>
        </w:rPr>
        <w:t>Research and development costs are expensed as incurred and consist primarily of salaries and benefits, stock-based compensation expense, lab supplies and facility costs, as well as fees paid to nonemployees and external entities on behalf of the Company, such as consultants, central laboratories, contractors, collaborators, CMOs and CROs, in connection with our preclinical and clinical development activities and expenses incurred in connection with license agreements. Nonrefundable advance payments for goods or services to be received in the future for use in research and development activities are capitalized and recorded in prepaid expenses and other current assets, and then expensed as the related goods are delivered or the services are performed.</w:t>
      </w:r>
    </w:p>
    <w:p>
      <w:pPr>
        <w:spacing w:after="0" w:line="196"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Clinical and Contract Manufacturing Accruals</w:t>
      </w:r>
    </w:p>
    <w:p>
      <w:pPr>
        <w:spacing w:after="0" w:line="125" w:lineRule="exact"/>
        <w:rPr>
          <w:sz w:val="20"/>
          <w:szCs w:val="20"/>
          <w:color w:val="auto"/>
        </w:rPr>
      </w:pPr>
    </w:p>
    <w:p>
      <w:pPr>
        <w:ind w:firstLine="475"/>
        <w:spacing w:after="0" w:line="222" w:lineRule="exact"/>
        <w:rPr>
          <w:sz w:val="20"/>
          <w:szCs w:val="20"/>
          <w:color w:val="auto"/>
        </w:rPr>
      </w:pPr>
      <w:r>
        <w:rPr>
          <w:rFonts w:ascii="Arial" w:cs="Arial" w:eastAsia="Arial" w:hAnsi="Arial"/>
          <w:sz w:val="17"/>
          <w:szCs w:val="17"/>
          <w:b w:val="1"/>
          <w:bCs w:val="1"/>
          <w:color w:val="231F20"/>
        </w:rPr>
        <w:t>The Company records accruals for estimated costs of research, preclinical studies and clinical trials, and manufacturing development, which are a significant component of research and development expenses. A substantial portion of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ongoing research and development activities are conducted by third-party service providers, including contract research organizations, or CROs, and contract manufacturing organizations, or CMOs.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contracts with CROs generally include pass-through fees such as regulatory expenses, investigator fees, travel costs and other miscellaneous costs, including shipping and printing fees. The financial terms of these contracts are subject to negotiations, which vary from contract to contract and may result in payment flows that do not match the periods over which materials or services are provided to the Company under such contracts. The Company accrues the costs incurred under agreements with these third parties based on estimates of actual work completed in accordance with the respective agreements. The Company determines the estimated costs through discussions with internal personnel and external service providers as to the progress or stage of completion of the services and the agreed-upon fees to be paid for such services. To assist in its estimates the Company relies upon the receipt of timely and accurate reporting from its clinical and non-clinical studies and other third-party vendors.</w:t>
      </w:r>
    </w:p>
    <w:p>
      <w:pPr>
        <w:spacing w:after="0" w:line="131" w:lineRule="exact"/>
        <w:rPr>
          <w:sz w:val="20"/>
          <w:szCs w:val="20"/>
          <w:color w:val="auto"/>
        </w:rPr>
      </w:pPr>
    </w:p>
    <w:p>
      <w:pPr>
        <w:ind w:right="40" w:firstLine="475"/>
        <w:spacing w:after="0" w:line="222" w:lineRule="exact"/>
        <w:rPr>
          <w:sz w:val="20"/>
          <w:szCs w:val="20"/>
          <w:color w:val="auto"/>
        </w:rPr>
      </w:pPr>
      <w:r>
        <w:rPr>
          <w:rFonts w:ascii="Arial" w:cs="Arial" w:eastAsia="Arial" w:hAnsi="Arial"/>
          <w:sz w:val="16"/>
          <w:szCs w:val="16"/>
          <w:b w:val="1"/>
          <w:bCs w:val="1"/>
          <w:color w:val="231F20"/>
        </w:rPr>
        <w:t>The Company makes judgments and estimates in determining the accrual balance at the end of each reporting period. As actual costs become known, the Company adjusts its accruals. Although the Company does not expect its estimates to be materially different from amounts actually incurred,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understanding of the status and timing of services performed relative to the actual status and timing of services performed may vary and could result in the Company reporting amounts that are too high or too low in any particular period. Through December 31, 2024, there have been no material differences from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accrued estimated expenses to the actual clinical trial expenses. However, variations in the assumptions used to estimate accruals, including, but not limited to, the number of patients enrolled, the rate of patient enrollment, the actual services performed, and related costs may vary from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estimates, resulting in adjustments to clinical trial expense in future periods.</w:t>
      </w:r>
    </w:p>
    <w:p>
      <w:pPr>
        <w:spacing w:after="0" w:line="242"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Stock-based Compensation Expense</w:t>
      </w:r>
    </w:p>
    <w:p>
      <w:pPr>
        <w:spacing w:after="0" w:line="125" w:lineRule="exact"/>
        <w:rPr>
          <w:sz w:val="20"/>
          <w:szCs w:val="20"/>
          <w:color w:val="auto"/>
        </w:rPr>
      </w:pPr>
    </w:p>
    <w:p>
      <w:pPr>
        <w:ind w:firstLine="475"/>
        <w:spacing w:after="0" w:line="239" w:lineRule="auto"/>
        <w:rPr>
          <w:sz w:val="20"/>
          <w:szCs w:val="20"/>
          <w:color w:val="auto"/>
        </w:rPr>
      </w:pPr>
      <w:r>
        <w:rPr>
          <w:rFonts w:ascii="Arial" w:cs="Arial" w:eastAsia="Arial" w:hAnsi="Arial"/>
          <w:sz w:val="19"/>
          <w:szCs w:val="19"/>
          <w:b w:val="1"/>
          <w:bCs w:val="1"/>
          <w:color w:val="231F20"/>
        </w:rPr>
        <w:t>The Company incurs stock-based compensation expense primarily from stock options, restricted stock units, and ESPP purchase rights.</w:t>
      </w:r>
    </w:p>
    <w:p>
      <w:pPr>
        <w:spacing w:after="0" w:line="129" w:lineRule="exact"/>
        <w:rPr>
          <w:sz w:val="20"/>
          <w:szCs w:val="20"/>
          <w:color w:val="auto"/>
        </w:rPr>
      </w:pPr>
    </w:p>
    <w:p>
      <w:pPr>
        <w:ind w:right="20" w:firstLine="475"/>
        <w:spacing w:after="0" w:line="221" w:lineRule="exact"/>
        <w:rPr>
          <w:sz w:val="20"/>
          <w:szCs w:val="20"/>
          <w:color w:val="auto"/>
        </w:rPr>
      </w:pPr>
      <w:r>
        <w:rPr>
          <w:rFonts w:ascii="Arial" w:cs="Arial" w:eastAsia="Arial" w:hAnsi="Arial"/>
          <w:sz w:val="19"/>
          <w:szCs w:val="19"/>
          <w:b w:val="1"/>
          <w:bCs w:val="1"/>
          <w:color w:val="231F20"/>
        </w:rPr>
        <w:t>The Company estimates the fair value of stock options granted to employees, directors and non-employees and ESPP purchase rights using the Black-Scholes option-pricing model. The Black-Scholes model requires the input of subjective assumptions, including expected volatility, expected dividend yield, expected term, risk-free rate of return and the estimated fair value of the underlying common stock on the date of grant. The grant-date fair value of restricted stock units is the fair value of the underlying stock on the award</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grant date.</w:t>
      </w:r>
    </w:p>
    <w:p>
      <w:pPr>
        <w:sectPr>
          <w:pgSz w:w="12240" w:h="15840" w:orient="portrait"/>
          <w:cols w:equalWidth="0" w:num="1">
            <w:col w:w="10460"/>
          </w:cols>
          <w:pgMar w:left="880" w:top="1160" w:right="900" w:bottom="4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31F20"/>
        </w:rPr>
        <w:t>103</w:t>
      </w:r>
    </w:p>
    <w:p>
      <w:pPr>
        <w:sectPr>
          <w:pgSz w:w="12240" w:h="15840" w:orient="portrait"/>
          <w:cols w:equalWidth="0" w:num="1">
            <w:col w:w="10460"/>
          </w:cols>
          <w:pgMar w:left="880" w:top="1160" w:right="900" w:bottom="401" w:gutter="0" w:footer="0" w:header="0"/>
          <w:type w:val="continuous"/>
        </w:sectPr>
      </w:pPr>
    </w:p>
    <w:bookmarkStart w:id="111" w:name="page112"/>
    <w:bookmarkEnd w:id="111"/>
    <w:p>
      <w:pPr>
        <w:ind w:right="20" w:firstLine="475"/>
        <w:spacing w:after="0" w:line="277" w:lineRule="auto"/>
        <w:rPr>
          <w:sz w:val="20"/>
          <w:szCs w:val="20"/>
          <w:color w:val="auto"/>
        </w:rPr>
      </w:pPr>
      <w:r>
        <w:rPr>
          <w:rFonts w:ascii="Arial" w:cs="Arial" w:eastAsia="Arial" w:hAnsi="Arial"/>
          <w:sz w:val="17"/>
          <w:szCs w:val="17"/>
          <w:b w:val="1"/>
          <w:bCs w:val="1"/>
          <w:color w:val="231F20"/>
        </w:rPr>
        <w:t>For awards with only service-based vesting conditions, the Company uses the straight-line method to allocate compensation expense to reporting periods over the requisite service period, which is generally the vesting period. For awards that include performance-based vesting conditions, the Company uses the accelerated attribution method to allocate compensation expense on a tranche-by-tranche basis to reporting periods over the requisite service period if and when it becomes probable that the performance condition will be achieved. At each reporting period, the Company will assess the probability of the performance condition being met for each tranche and, as applicable, recognize the cumulative effect of the change in estimate in the period of the change. The Company accounts for the effect of forfeitures as they occur.</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Segment Reporting</w:t>
      </w:r>
    </w:p>
    <w:p>
      <w:pPr>
        <w:spacing w:after="0" w:line="128" w:lineRule="exact"/>
        <w:rPr>
          <w:sz w:val="20"/>
          <w:szCs w:val="20"/>
          <w:color w:val="auto"/>
        </w:rPr>
      </w:pPr>
    </w:p>
    <w:p>
      <w:pPr>
        <w:ind w:right="140" w:firstLine="475"/>
        <w:spacing w:after="0" w:line="220" w:lineRule="exact"/>
        <w:rPr>
          <w:sz w:val="20"/>
          <w:szCs w:val="20"/>
          <w:color w:val="auto"/>
        </w:rPr>
      </w:pPr>
      <w:r>
        <w:rPr>
          <w:rFonts w:ascii="Arial" w:cs="Arial" w:eastAsia="Arial" w:hAnsi="Arial"/>
          <w:sz w:val="19"/>
          <w:szCs w:val="19"/>
          <w:b w:val="1"/>
          <w:bCs w:val="1"/>
          <w:color w:val="231F20"/>
        </w:rPr>
        <w:t>Operating segments are defined as components of an entity for which separate financial information is available and that is regularly reviewed by the chief operating decision maker (CODM) in deciding how to allocate resources and in assessing performance.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CODM is its chief executive officer. The Company manages its operations as a single operating segment. All of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s long-lived assets are located in the United States. Refer to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Note 13. Segment Reporting</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for further information.</w:t>
      </w:r>
    </w:p>
    <w:p>
      <w:pPr>
        <w:spacing w:after="0" w:line="242"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Foreign Currency Transactions</w:t>
      </w:r>
    </w:p>
    <w:p>
      <w:pPr>
        <w:spacing w:after="0" w:line="128" w:lineRule="exact"/>
        <w:rPr>
          <w:sz w:val="20"/>
          <w:szCs w:val="20"/>
          <w:color w:val="auto"/>
        </w:rPr>
      </w:pPr>
    </w:p>
    <w:p>
      <w:pPr>
        <w:ind w:right="60" w:firstLine="475"/>
        <w:spacing w:after="0" w:line="221" w:lineRule="exact"/>
        <w:rPr>
          <w:sz w:val="20"/>
          <w:szCs w:val="20"/>
          <w:color w:val="auto"/>
        </w:rPr>
      </w:pPr>
      <w:r>
        <w:rPr>
          <w:rFonts w:ascii="Arial" w:cs="Arial" w:eastAsia="Arial" w:hAnsi="Arial"/>
          <w:sz w:val="19"/>
          <w:szCs w:val="19"/>
          <w:b w:val="1"/>
          <w:bCs w:val="1"/>
          <w:color w:val="231F20"/>
        </w:rPr>
        <w:t>The functional currency of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operation and each of its subsidiaries is U.S. dollars. All assets and liabilities denominated in a foreign currency are translated into U.S. dollars at the exchange rate prevailing on the balance sheet date. Expenses are translated at the average exchange rates prevailing during the applicable period. Foreign currency transaction gains and losses are included in the consolidated statements of operations and recorded in other income (expense), net, and were immaterial for the years December 31, 2024, 2023 and 2022.</w:t>
      </w:r>
    </w:p>
    <w:p>
      <w:pPr>
        <w:spacing w:after="0" w:line="237"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Income Taxes</w:t>
      </w:r>
    </w:p>
    <w:p>
      <w:pPr>
        <w:spacing w:after="0" w:line="128" w:lineRule="exact"/>
        <w:rPr>
          <w:sz w:val="20"/>
          <w:szCs w:val="20"/>
          <w:color w:val="auto"/>
        </w:rPr>
      </w:pPr>
    </w:p>
    <w:p>
      <w:pPr>
        <w:ind w:firstLine="475"/>
        <w:spacing w:after="0" w:line="298" w:lineRule="auto"/>
        <w:rPr>
          <w:sz w:val="20"/>
          <w:szCs w:val="20"/>
          <w:color w:val="auto"/>
        </w:rPr>
      </w:pPr>
      <w:r>
        <w:rPr>
          <w:rFonts w:ascii="Arial" w:cs="Arial" w:eastAsia="Arial" w:hAnsi="Arial"/>
          <w:sz w:val="16"/>
          <w:szCs w:val="16"/>
          <w:b w:val="1"/>
          <w:bCs w:val="1"/>
          <w:color w:val="231F20"/>
        </w:rPr>
        <w:t>The Company accounts for income taxes under the asset and liability method, which requires the recognition of deferred tax assets and liabilities for the expected future tax consequences of events that have been included in the consolidated financial statements. Under this method, deferred tax assets and liabilities are determined on the basis of the differences between the consolidated financial statement carrying amounts and tax bases of assets and liabilities using enacted tax rates in effect for the period in which the temporary differences are expected to reverse. The effect of a change in tax rates on deferred tax assets and liabilities is recognized in the consolidated statements of operations and comprehensive loss in the period that includes the enactment date.</w:t>
      </w:r>
    </w:p>
    <w:p>
      <w:pPr>
        <w:spacing w:after="0" w:line="84" w:lineRule="exact"/>
        <w:rPr>
          <w:sz w:val="20"/>
          <w:szCs w:val="20"/>
          <w:color w:val="auto"/>
        </w:rPr>
      </w:pPr>
    </w:p>
    <w:p>
      <w:pPr>
        <w:ind w:right="120" w:firstLine="475"/>
        <w:spacing w:after="0" w:line="222" w:lineRule="exact"/>
        <w:rPr>
          <w:sz w:val="20"/>
          <w:szCs w:val="20"/>
          <w:color w:val="auto"/>
        </w:rPr>
      </w:pPr>
      <w:r>
        <w:rPr>
          <w:rFonts w:ascii="Arial" w:cs="Arial" w:eastAsia="Arial" w:hAnsi="Arial"/>
          <w:sz w:val="16"/>
          <w:szCs w:val="16"/>
          <w:b w:val="1"/>
          <w:bCs w:val="1"/>
          <w:color w:val="231F20"/>
        </w:rPr>
        <w:t>Deferred income taxes comprise the impact of temporary differences between assets and liabilities recognized for financial reporting purposes and the amounts recognized for income tax reporting purposes, net operating loss carryforwards, and other tax credits measured by applying currently enacted tax laws. A valuation allowance is provided when necessary to reduce deferred tax assets to an amount that is more likely than not to be realized. If the Company determines that it would be able to realize its deferred tax assets in the future in excess of their net recorded amount, it would make an adjustment to the deferred tax asset valuation allowance, which would reduce the provision for income taxes. The Company recognizes benefits of uncertain tax positions if it is more likely than not that such positions will be sustained upon examination based solely on their technical merits, as the largest amount of benefit that is more likely than not to be realized upon the ultimate settlement.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policy is to recognize interest and penalties related to the underpayment of income taxes as a component of income tax expense or benefit.</w:t>
      </w:r>
    </w:p>
    <w:p>
      <w:pPr>
        <w:spacing w:after="0" w:line="244"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Comprehensive Loss</w:t>
      </w:r>
    </w:p>
    <w:p>
      <w:pPr>
        <w:spacing w:after="0" w:line="125"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231F20"/>
        </w:rPr>
        <w:t>Comprehensive loss consists of net loss and changes in unrealized gains and losses on investments for all periods presented.</w:t>
      </w:r>
    </w:p>
    <w:p>
      <w:pPr>
        <w:spacing w:after="0" w:line="267"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Net Loss Per Share Attributable to Common Stockholders</w:t>
      </w:r>
    </w:p>
    <w:p>
      <w:pPr>
        <w:spacing w:after="0" w:line="128" w:lineRule="exact"/>
        <w:rPr>
          <w:sz w:val="20"/>
          <w:szCs w:val="20"/>
          <w:color w:val="auto"/>
        </w:rPr>
      </w:pPr>
    </w:p>
    <w:p>
      <w:pPr>
        <w:ind w:right="140" w:firstLine="475"/>
        <w:spacing w:after="0" w:line="277" w:lineRule="auto"/>
        <w:rPr>
          <w:sz w:val="20"/>
          <w:szCs w:val="20"/>
          <w:color w:val="auto"/>
        </w:rPr>
      </w:pPr>
      <w:r>
        <w:rPr>
          <w:rFonts w:ascii="Arial" w:cs="Arial" w:eastAsia="Arial" w:hAnsi="Arial"/>
          <w:sz w:val="17"/>
          <w:szCs w:val="17"/>
          <w:b w:val="1"/>
          <w:bCs w:val="1"/>
          <w:color w:val="231F20"/>
        </w:rPr>
        <w:t>Basic net loss per share is calculated by dividing the net loss attributable to common stockholders by the weighted-average number of shares of common stock and pre-funded warrants outstanding during the period, without consideration for common stock equivalents. Shares of common stock into which the pre-funded warrants may be exercised are considered outstanding for the purposes of computing net loss per share because the shares may be issued for little or no consideration, are fully vested, and are exercisable after the original issuance date. Diluted net loss per share is the same as basic net loss per share, since the effects of potentially dilutive securities are antidilutive given the net loss for each period presented.</w:t>
      </w:r>
    </w:p>
    <w:p>
      <w:pPr>
        <w:sectPr>
          <w:pgSz w:w="12240" w:h="15840" w:orient="portrait"/>
          <w:cols w:equalWidth="0" w:num="1">
            <w:col w:w="10400"/>
          </w:cols>
          <w:pgMar w:left="880" w:top="1165" w:right="960" w:bottom="4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231F20"/>
        </w:rPr>
        <w:t>104</w:t>
      </w:r>
    </w:p>
    <w:p>
      <w:pPr>
        <w:sectPr>
          <w:pgSz w:w="12240" w:h="15840" w:orient="portrait"/>
          <w:cols w:equalWidth="0" w:num="1">
            <w:col w:w="10400"/>
          </w:cols>
          <w:pgMar w:left="880" w:top="1165" w:right="960" w:bottom="401" w:gutter="0" w:footer="0" w:header="0"/>
          <w:type w:val="continuous"/>
        </w:sectPr>
      </w:pPr>
    </w:p>
    <w:bookmarkStart w:id="112" w:name="page113"/>
    <w:bookmarkEnd w:id="112"/>
    <w:p>
      <w:pPr>
        <w:ind w:left="480"/>
        <w:spacing w:after="0"/>
        <w:rPr>
          <w:sz w:val="20"/>
          <w:szCs w:val="20"/>
          <w:color w:val="auto"/>
        </w:rPr>
      </w:pPr>
      <w:r>
        <w:rPr>
          <w:rFonts w:ascii="Arial" w:cs="Arial" w:eastAsia="Arial" w:hAnsi="Arial"/>
          <w:sz w:val="19"/>
          <w:szCs w:val="19"/>
          <w:b w:val="1"/>
          <w:bCs w:val="1"/>
          <w:color w:val="231F20"/>
        </w:rPr>
        <w:t>Recently Adopted Accounting Pronouncements</w:t>
      </w:r>
    </w:p>
    <w:p>
      <w:pPr>
        <w:spacing w:after="0" w:line="128" w:lineRule="exact"/>
        <w:rPr>
          <w:sz w:val="20"/>
          <w:szCs w:val="20"/>
          <w:color w:val="auto"/>
        </w:rPr>
      </w:pPr>
    </w:p>
    <w:p>
      <w:pPr>
        <w:ind w:firstLine="475"/>
        <w:spacing w:after="0" w:line="222" w:lineRule="exact"/>
        <w:rPr>
          <w:sz w:val="20"/>
          <w:szCs w:val="20"/>
          <w:color w:val="auto"/>
        </w:rPr>
      </w:pPr>
      <w:r>
        <w:rPr>
          <w:rFonts w:ascii="Arial" w:cs="Arial" w:eastAsia="Arial" w:hAnsi="Arial"/>
          <w:sz w:val="16"/>
          <w:szCs w:val="16"/>
          <w:b w:val="1"/>
          <w:bCs w:val="1"/>
          <w:color w:val="231F20"/>
        </w:rPr>
        <w:t>In August 2020, the FASB issued ASU 2020-06, Debt - Debt with Conversion and Other Options (Subtopic 470-20) and Derivatives and Hedging - Contracts in Entity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Own Equity (Subtopic 815-40) (ASU 2020-06). ASU 2020-06 eliminates the beneficial conversion and cash conversion accounting models for convertible instruments. It also amends the accounting for certain contracts in an entity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own equity that are currently accounted for as derivatives because of specific settlement provisions. The new guidance also modifies how particular convertible instruments and certain contracts that may be settled in cash or shares impact the diluted EPS computation. ASU 2020-06 is effective for annual periods beginning after December 15, 2023, including interim periods within those annual periods. Early adoption is permitted. ASU 2020-06 allows companies to adopt the guidance through either a modified retrospective method of transition or a fully retrospective method of transition.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adoption of ASU 2020-06 on January 1, 2024 did not have a material impact on its consolidated financial statements and related disclosures.</w:t>
      </w:r>
    </w:p>
    <w:p>
      <w:pPr>
        <w:spacing w:after="0" w:line="129" w:lineRule="exact"/>
        <w:rPr>
          <w:sz w:val="20"/>
          <w:szCs w:val="20"/>
          <w:color w:val="auto"/>
        </w:rPr>
      </w:pPr>
    </w:p>
    <w:p>
      <w:pPr>
        <w:ind w:right="20" w:firstLine="475"/>
        <w:spacing w:after="0" w:line="222" w:lineRule="exact"/>
        <w:rPr>
          <w:sz w:val="20"/>
          <w:szCs w:val="20"/>
          <w:color w:val="auto"/>
        </w:rPr>
      </w:pPr>
      <w:r>
        <w:rPr>
          <w:rFonts w:ascii="Arial" w:cs="Arial" w:eastAsia="Arial" w:hAnsi="Arial"/>
          <w:sz w:val="17"/>
          <w:szCs w:val="17"/>
          <w:b w:val="1"/>
          <w:bCs w:val="1"/>
          <w:color w:val="231F20"/>
        </w:rPr>
        <w:t>In November 2023, the FASB issued ASU 2023-07, Segment Reporting (Topic 280): Improvements to Reportable Segment Disclosures (ASU 2023-07). The amendments in ASU 2023-07 are intended to improve reportable segment disclosure, primarily through enhanced disclosures about significant segment expenses. ASU 2023-07 is effective for annual periods beginning after December 15, 2023, and interim periods beginning after December 15, 2024. The amendments in this ASU should be applied retrospectively to all prior periods presented in the financial statements. Early adoption is permitted.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s adoption of ASU 2023-07 on January 1, 2024 expanded the level of disaggregation of operating expenses within the notes to financial statements. Refer to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Note 13. Segment Reporting</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for disclosure related to the adoption of ASU 2023-07.</w:t>
      </w:r>
    </w:p>
    <w:p>
      <w:pPr>
        <w:spacing w:after="0" w:line="238"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Recently Issued Accounting Pronouncements Not Yet Adopted</w:t>
      </w:r>
    </w:p>
    <w:p>
      <w:pPr>
        <w:spacing w:after="0" w:line="125" w:lineRule="exact"/>
        <w:rPr>
          <w:sz w:val="20"/>
          <w:szCs w:val="20"/>
          <w:color w:val="auto"/>
        </w:rPr>
      </w:pPr>
    </w:p>
    <w:p>
      <w:pPr>
        <w:ind w:right="20" w:firstLine="478"/>
        <w:spacing w:after="0" w:line="243" w:lineRule="auto"/>
        <w:rPr>
          <w:sz w:val="20"/>
          <w:szCs w:val="20"/>
          <w:color w:val="auto"/>
        </w:rPr>
      </w:pPr>
      <w:r>
        <w:rPr>
          <w:rFonts w:ascii="Arial" w:cs="Arial" w:eastAsia="Arial" w:hAnsi="Arial"/>
          <w:sz w:val="19"/>
          <w:szCs w:val="19"/>
          <w:b w:val="1"/>
          <w:bCs w:val="1"/>
          <w:color w:val="231F20"/>
        </w:rPr>
        <w:t>In December 2023, the FASB issued ASU 2023-09, Income Taxes (Topic 740): Improvements to Income Tax Disclosures (ASU 2023-09). ASU 2023-09 requires enhanced annual disclosures regarding the rate reconciliation and income taxes paid information. ASU 2023-09 is effective for annual periods beginning after December 15, 2024 and may be adopted on a prospective or retrospective basis. Early adoption is permitted. The Company is evaluating the impact of this guidance on its consolidated financial statements and related disclosures.</w:t>
      </w:r>
    </w:p>
    <w:p>
      <w:pPr>
        <w:spacing w:after="0" w:line="125" w:lineRule="exact"/>
        <w:rPr>
          <w:sz w:val="20"/>
          <w:szCs w:val="20"/>
          <w:color w:val="auto"/>
        </w:rPr>
      </w:pPr>
    </w:p>
    <w:p>
      <w:pPr>
        <w:ind w:firstLine="478"/>
        <w:spacing w:after="0" w:line="260" w:lineRule="auto"/>
        <w:rPr>
          <w:sz w:val="20"/>
          <w:szCs w:val="20"/>
          <w:color w:val="auto"/>
        </w:rPr>
      </w:pPr>
      <w:r>
        <w:rPr>
          <w:rFonts w:ascii="Arial" w:cs="Arial" w:eastAsia="Arial" w:hAnsi="Arial"/>
          <w:sz w:val="18"/>
          <w:szCs w:val="18"/>
          <w:b w:val="1"/>
          <w:bCs w:val="1"/>
          <w:color w:val="231F20"/>
        </w:rPr>
        <w:t>In November 2024, the FASB issued ASU 2024-03, Income Statement Reporting - Comprehensive Income - Expense Disaggregation Disclosures (Subtopic 220-40): Disaggregation of Income Statement Expenses (ASU 2024-03). ASU 2024-03 requires disaggregated disclosure of certain costs and expenses, including purchases of inventory, employee compensation, depreciation and amortization, within relevant income statement captions. ASU 2024-03 is effective for annual periods beginning after December 15, 2026 and interim periods beginning after December 15, 2027. Early adoption is permitted. The guidance is applied on a prospective basis with the option for retrospective application. The Company is evaluating the impact of this guidance on its consolidated financial statements and related disclosures.</w:t>
      </w:r>
    </w:p>
    <w:p>
      <w:pPr>
        <w:spacing w:after="0" w:line="319"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(3) FAIR VALUE OF FINANCIAL INSTRUMENTS</w:t>
      </w:r>
    </w:p>
    <w:p>
      <w:pPr>
        <w:spacing w:after="0" w:line="123" w:lineRule="exact"/>
        <w:rPr>
          <w:sz w:val="20"/>
          <w:szCs w:val="20"/>
          <w:color w:val="auto"/>
        </w:rPr>
      </w:pPr>
    </w:p>
    <w:p>
      <w:pPr>
        <w:ind w:right="140" w:firstLine="478"/>
        <w:spacing w:after="0" w:line="218" w:lineRule="exact"/>
        <w:rPr>
          <w:sz w:val="20"/>
          <w:szCs w:val="20"/>
          <w:color w:val="auto"/>
        </w:rPr>
      </w:pPr>
      <w:r>
        <w:rPr>
          <w:rFonts w:ascii="Arial" w:cs="Arial" w:eastAsia="Arial" w:hAnsi="Arial"/>
          <w:sz w:val="19"/>
          <w:szCs w:val="19"/>
          <w:b w:val="1"/>
          <w:bCs w:val="1"/>
          <w:color w:val="231F20"/>
        </w:rPr>
        <w:t>The following table presents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financial assets that are measured at fair value on a recurring basis by level within the fair value hierarchy as of December 31, 2024 and 2023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840" w:type="dxa"/>
            <w:vAlign w:val="bottom"/>
          </w:tcPr>
          <w:p>
            <w:pPr>
              <w:spacing w:after="0"/>
              <w:rPr>
                <w:sz w:val="19"/>
                <w:szCs w:val="19"/>
                <w:color w:val="auto"/>
              </w:rPr>
            </w:pPr>
          </w:p>
        </w:tc>
        <w:tc>
          <w:tcPr>
            <w:tcW w:w="1220" w:type="dxa"/>
            <w:vAlign w:val="bottom"/>
            <w:tcBorders>
              <w:bottom w:val="single" w:sz="8" w:color="231F20"/>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1020" w:type="dxa"/>
            <w:vAlign w:val="bottom"/>
            <w:tcBorders>
              <w:bottom w:val="single" w:sz="8" w:color="231F20"/>
            </w:tcBorders>
          </w:tcPr>
          <w:p>
            <w:pPr>
              <w:spacing w:after="0"/>
              <w:rPr>
                <w:sz w:val="19"/>
                <w:szCs w:val="19"/>
                <w:color w:val="auto"/>
              </w:rPr>
            </w:pPr>
          </w:p>
        </w:tc>
        <w:tc>
          <w:tcPr>
            <w:tcW w:w="1580" w:type="dxa"/>
            <w:vAlign w:val="bottom"/>
            <w:tcBorders>
              <w:bottom w:val="single" w:sz="8" w:color="231F20"/>
            </w:tcBorders>
            <w:gridSpan w:val="4"/>
          </w:tcPr>
          <w:p>
            <w:pPr>
              <w:jc w:val="center"/>
              <w:ind w:right="20"/>
              <w:spacing w:after="0"/>
              <w:rPr>
                <w:sz w:val="20"/>
                <w:szCs w:val="20"/>
                <w:color w:val="auto"/>
              </w:rPr>
            </w:pPr>
            <w:r>
              <w:rPr>
                <w:rFonts w:ascii="Arial" w:cs="Arial" w:eastAsia="Arial" w:hAnsi="Arial"/>
                <w:sz w:val="19"/>
                <w:szCs w:val="19"/>
                <w:b w:val="1"/>
                <w:bCs w:val="1"/>
                <w:color w:val="231F20"/>
                <w:w w:val="91"/>
              </w:rPr>
              <w:t>December 31, 2024</w:t>
            </w:r>
          </w:p>
        </w:tc>
        <w:tc>
          <w:tcPr>
            <w:tcW w:w="100" w:type="dxa"/>
            <w:vAlign w:val="bottom"/>
            <w:tcBorders>
              <w:bottom w:val="single" w:sz="8" w:color="231F20"/>
            </w:tcBorders>
          </w:tcPr>
          <w:p>
            <w:pPr>
              <w:spacing w:after="0"/>
              <w:rPr>
                <w:sz w:val="19"/>
                <w:szCs w:val="19"/>
                <w:color w:val="auto"/>
              </w:rPr>
            </w:pPr>
          </w:p>
        </w:tc>
        <w:tc>
          <w:tcPr>
            <w:tcW w:w="1020" w:type="dxa"/>
            <w:vAlign w:val="bottom"/>
            <w:tcBorders>
              <w:bottom w:val="single" w:sz="8" w:color="231F20"/>
            </w:tcBorders>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80" w:type="dxa"/>
            <w:vAlign w:val="bottom"/>
            <w:tcBorders>
              <w:bottom w:val="single" w:sz="8" w:color="231F20"/>
            </w:tcBorders>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1020" w:type="dxa"/>
            <w:vAlign w:val="bottom"/>
            <w:tcBorders>
              <w:bottom w:val="single" w:sz="8" w:color="231F20"/>
            </w:tcBorders>
          </w:tcPr>
          <w:p>
            <w:pPr>
              <w:spacing w:after="0"/>
              <w:rPr>
                <w:sz w:val="19"/>
                <w:szCs w:val="19"/>
                <w:color w:val="auto"/>
              </w:rPr>
            </w:pPr>
          </w:p>
        </w:tc>
      </w:tr>
      <w:tr>
        <w:trPr>
          <w:trHeight w:val="225"/>
        </w:trPr>
        <w:tc>
          <w:tcPr>
            <w:tcW w:w="38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9"/>
                <w:szCs w:val="19"/>
                <w:b w:val="1"/>
                <w:bCs w:val="1"/>
                <w:color w:val="231F20"/>
                <w:w w:val="99"/>
              </w:rPr>
              <w:t>Fair Value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3"/>
        </w:trPr>
        <w:tc>
          <w:tcPr>
            <w:tcW w:w="38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9"/>
                <w:szCs w:val="19"/>
                <w:b w:val="1"/>
                <w:bCs w:val="1"/>
                <w:color w:val="231F20"/>
                <w:w w:val="98"/>
              </w:rPr>
              <w:t>Hierarchy</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23"/>
              <w:spacing w:after="0"/>
              <w:rPr>
                <w:sz w:val="20"/>
                <w:szCs w:val="20"/>
                <w:color w:val="auto"/>
              </w:rPr>
            </w:pPr>
            <w:r>
              <w:rPr>
                <w:rFonts w:ascii="Arial" w:cs="Arial" w:eastAsia="Arial" w:hAnsi="Arial"/>
                <w:sz w:val="19"/>
                <w:szCs w:val="19"/>
                <w:b w:val="1"/>
                <w:bCs w:val="1"/>
                <w:color w:val="231F20"/>
                <w:w w:val="94"/>
              </w:rPr>
              <w:t>Amortized</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9"/>
                <w:szCs w:val="19"/>
                <w:b w:val="1"/>
                <w:bCs w:val="1"/>
                <w:color w:val="231F20"/>
                <w:w w:val="93"/>
              </w:rPr>
              <w:t>Unrealized</w:t>
            </w:r>
          </w:p>
        </w:tc>
        <w:tc>
          <w:tcPr>
            <w:tcW w:w="1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9"/>
                <w:szCs w:val="19"/>
                <w:b w:val="1"/>
                <w:bCs w:val="1"/>
                <w:color w:val="231F20"/>
                <w:w w:val="93"/>
              </w:rPr>
              <w:t>Unrealized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3"/>
        </w:trPr>
        <w:tc>
          <w:tcPr>
            <w:tcW w:w="38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9"/>
                <w:szCs w:val="19"/>
                <w:b w:val="1"/>
                <w:bCs w:val="1"/>
                <w:color w:val="231F20"/>
                <w:w w:val="94"/>
              </w:rPr>
              <w:t>Level</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283"/>
              <w:spacing w:after="0"/>
              <w:rPr>
                <w:sz w:val="20"/>
                <w:szCs w:val="20"/>
                <w:color w:val="auto"/>
              </w:rPr>
            </w:pPr>
            <w:r>
              <w:rPr>
                <w:rFonts w:ascii="Arial" w:cs="Arial" w:eastAsia="Arial" w:hAnsi="Arial"/>
                <w:sz w:val="19"/>
                <w:szCs w:val="19"/>
                <w:b w:val="1"/>
                <w:bCs w:val="1"/>
                <w:color w:val="231F20"/>
              </w:rPr>
              <w:t>Cost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9"/>
                <w:szCs w:val="19"/>
                <w:b w:val="1"/>
                <w:bCs w:val="1"/>
                <w:color w:val="231F20"/>
                <w:w w:val="90"/>
              </w:rPr>
              <w:t>Gains</w:t>
            </w:r>
          </w:p>
        </w:tc>
        <w:tc>
          <w:tcPr>
            <w:tcW w:w="100" w:type="dxa"/>
            <w:vAlign w:val="bottom"/>
          </w:tcPr>
          <w:p>
            <w:pPr>
              <w:spacing w:after="0"/>
              <w:rPr>
                <w:sz w:val="19"/>
                <w:szCs w:val="19"/>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9"/>
                <w:szCs w:val="19"/>
                <w:b w:val="1"/>
                <w:bCs w:val="1"/>
                <w:color w:val="231F20"/>
              </w:rPr>
              <w:t>Losses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23"/>
              <w:spacing w:after="0"/>
              <w:rPr>
                <w:sz w:val="20"/>
                <w:szCs w:val="20"/>
                <w:color w:val="auto"/>
              </w:rPr>
            </w:pPr>
            <w:r>
              <w:rPr>
                <w:rFonts w:ascii="Arial" w:cs="Arial" w:eastAsia="Arial" w:hAnsi="Arial"/>
                <w:sz w:val="19"/>
                <w:szCs w:val="19"/>
                <w:b w:val="1"/>
                <w:bCs w:val="1"/>
                <w:color w:val="231F20"/>
                <w:w w:val="96"/>
              </w:rPr>
              <w:t>Fair Value</w:t>
            </w:r>
          </w:p>
        </w:tc>
      </w:tr>
      <w:tr>
        <w:trPr>
          <w:trHeight w:val="227"/>
        </w:trPr>
        <w:tc>
          <w:tcPr>
            <w:tcW w:w="3840" w:type="dxa"/>
            <w:vAlign w:val="bottom"/>
          </w:tcPr>
          <w:p>
            <w:pPr>
              <w:spacing w:after="0"/>
              <w:rPr>
                <w:sz w:val="20"/>
                <w:szCs w:val="20"/>
                <w:color w:val="auto"/>
              </w:rPr>
            </w:pPr>
            <w:r>
              <w:rPr>
                <w:rFonts w:ascii="Arial" w:cs="Arial" w:eastAsia="Arial" w:hAnsi="Arial"/>
                <w:sz w:val="19"/>
                <w:szCs w:val="19"/>
                <w:b w:val="1"/>
                <w:bCs w:val="1"/>
                <w:color w:val="231F20"/>
              </w:rPr>
              <w:t>Cash equivalents</w:t>
            </w:r>
          </w:p>
        </w:tc>
        <w:tc>
          <w:tcPr>
            <w:tcW w:w="1220" w:type="dxa"/>
            <w:vAlign w:val="bottom"/>
            <w:tcBorders>
              <w:top w:val="single" w:sz="8" w:color="231F20"/>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231F20"/>
            </w:tcBorders>
          </w:tcPr>
          <w:p>
            <w:pPr>
              <w:spacing w:after="0"/>
              <w:rPr>
                <w:sz w:val="19"/>
                <w:szCs w:val="19"/>
                <w:color w:val="auto"/>
              </w:rPr>
            </w:pPr>
          </w:p>
        </w:tc>
        <w:tc>
          <w:tcPr>
            <w:tcW w:w="1020" w:type="dxa"/>
            <w:vAlign w:val="bottom"/>
            <w:tcBorders>
              <w:top w:val="single" w:sz="8" w:color="231F20"/>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231F20"/>
            </w:tcBorders>
          </w:tcPr>
          <w:p>
            <w:pPr>
              <w:spacing w:after="0"/>
              <w:rPr>
                <w:sz w:val="19"/>
                <w:szCs w:val="19"/>
                <w:color w:val="auto"/>
              </w:rPr>
            </w:pPr>
          </w:p>
        </w:tc>
        <w:tc>
          <w:tcPr>
            <w:tcW w:w="1000" w:type="dxa"/>
            <w:vAlign w:val="bottom"/>
            <w:tcBorders>
              <w:top w:val="single" w:sz="8" w:color="231F20"/>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231F20"/>
            </w:tcBorders>
          </w:tcPr>
          <w:p>
            <w:pPr>
              <w:spacing w:after="0"/>
              <w:rPr>
                <w:sz w:val="19"/>
                <w:szCs w:val="19"/>
                <w:color w:val="auto"/>
              </w:rPr>
            </w:pPr>
          </w:p>
        </w:tc>
        <w:tc>
          <w:tcPr>
            <w:tcW w:w="1020" w:type="dxa"/>
            <w:vAlign w:val="bottom"/>
            <w:tcBorders>
              <w:top w:val="single" w:sz="8" w:color="231F20"/>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231F20"/>
            </w:tcBorders>
          </w:tcPr>
          <w:p>
            <w:pPr>
              <w:spacing w:after="0"/>
              <w:rPr>
                <w:sz w:val="19"/>
                <w:szCs w:val="19"/>
                <w:color w:val="auto"/>
              </w:rPr>
            </w:pPr>
          </w:p>
        </w:tc>
        <w:tc>
          <w:tcPr>
            <w:tcW w:w="1020" w:type="dxa"/>
            <w:vAlign w:val="bottom"/>
            <w:tcBorders>
              <w:top w:val="single" w:sz="8" w:color="231F20"/>
            </w:tcBorders>
          </w:tcPr>
          <w:p>
            <w:pPr>
              <w:spacing w:after="0"/>
              <w:rPr>
                <w:sz w:val="19"/>
                <w:szCs w:val="19"/>
                <w:color w:val="auto"/>
              </w:rPr>
            </w:pPr>
          </w:p>
        </w:tc>
      </w:tr>
      <w:tr>
        <w:trPr>
          <w:trHeight w:val="235"/>
        </w:trPr>
        <w:tc>
          <w:tcPr>
            <w:tcW w:w="3840" w:type="dxa"/>
            <w:vAlign w:val="bottom"/>
          </w:tcPr>
          <w:p>
            <w:pPr>
              <w:ind w:left="200"/>
              <w:spacing w:after="0"/>
              <w:rPr>
                <w:sz w:val="20"/>
                <w:szCs w:val="20"/>
                <w:color w:val="auto"/>
              </w:rPr>
            </w:pPr>
            <w:r>
              <w:rPr>
                <w:rFonts w:ascii="Arial" w:cs="Arial" w:eastAsia="Arial" w:hAnsi="Arial"/>
                <w:sz w:val="19"/>
                <w:szCs w:val="19"/>
                <w:b w:val="1"/>
                <w:bCs w:val="1"/>
                <w:color w:val="231F20"/>
              </w:rPr>
              <w:t>Money market funds</w:t>
            </w:r>
          </w:p>
        </w:tc>
        <w:tc>
          <w:tcPr>
            <w:tcW w:w="1220" w:type="dxa"/>
            <w:vAlign w:val="bottom"/>
          </w:tcPr>
          <w:p>
            <w:pPr>
              <w:jc w:val="center"/>
              <w:spacing w:after="0"/>
              <w:rPr>
                <w:sz w:val="20"/>
                <w:szCs w:val="20"/>
                <w:color w:val="auto"/>
              </w:rPr>
            </w:pPr>
            <w:r>
              <w:rPr>
                <w:rFonts w:ascii="Arial" w:cs="Arial" w:eastAsia="Arial" w:hAnsi="Arial"/>
                <w:sz w:val="19"/>
                <w:szCs w:val="19"/>
                <w:b w:val="1"/>
                <w:bCs w:val="1"/>
                <w:color w:val="231F20"/>
                <w:w w:val="89"/>
              </w:rPr>
              <w:t>Level 1</w:t>
            </w:r>
          </w:p>
        </w:tc>
        <w:tc>
          <w:tcPr>
            <w:tcW w:w="240" w:type="dxa"/>
            <w:vAlign w:val="bottom"/>
            <w:gridSpan w:val="2"/>
          </w:tcPr>
          <w:p>
            <w:pPr>
              <w:jc w:val="right"/>
              <w:spacing w:after="0"/>
              <w:rPr>
                <w:sz w:val="20"/>
                <w:szCs w:val="20"/>
                <w:color w:val="auto"/>
              </w:rPr>
            </w:pPr>
            <w:r>
              <w:rPr>
                <w:rFonts w:ascii="Arial" w:cs="Arial" w:eastAsia="Arial" w:hAnsi="Arial"/>
                <w:sz w:val="19"/>
                <w:szCs w:val="19"/>
                <w:b w:val="1"/>
                <w:bCs w:val="1"/>
                <w:color w:val="231F20"/>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231F20"/>
              </w:rPr>
              <w:t>15,468</w:t>
            </w:r>
          </w:p>
        </w:tc>
        <w:tc>
          <w:tcPr>
            <w:tcW w:w="340" w:type="dxa"/>
            <w:vAlign w:val="bottom"/>
            <w:gridSpan w:val="2"/>
          </w:tcPr>
          <w:p>
            <w:pPr>
              <w:jc w:val="right"/>
              <w:ind w:right="20"/>
              <w:spacing w:after="0"/>
              <w:rPr>
                <w:sz w:val="20"/>
                <w:szCs w:val="20"/>
                <w:color w:val="auto"/>
              </w:rPr>
            </w:pPr>
            <w:r>
              <w:rPr>
                <w:rFonts w:ascii="Arial" w:cs="Arial" w:eastAsia="Arial" w:hAnsi="Arial"/>
                <w:sz w:val="19"/>
                <w:szCs w:val="19"/>
                <w:b w:val="1"/>
                <w:bCs w:val="1"/>
                <w:color w:val="231F20"/>
              </w:rPr>
              <w:t>$</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231F20"/>
              </w:rPr>
              <w:t></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9"/>
                <w:szCs w:val="19"/>
                <w:b w:val="1"/>
                <w:bCs w:val="1"/>
                <w:color w:val="231F20"/>
                <w:w w:val="75"/>
              </w:rPr>
              <w:t>$</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231F20"/>
              </w:rPr>
              <w:t></w:t>
            </w:r>
          </w:p>
        </w:tc>
        <w:tc>
          <w:tcPr>
            <w:tcW w:w="16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9"/>
                <w:szCs w:val="19"/>
                <w:b w:val="1"/>
                <w:bCs w:val="1"/>
                <w:color w:val="231F20"/>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231F20"/>
              </w:rPr>
              <w:t>15,468</w:t>
            </w:r>
          </w:p>
        </w:tc>
      </w:tr>
      <w:tr>
        <w:trPr>
          <w:trHeight w:val="238"/>
        </w:trPr>
        <w:tc>
          <w:tcPr>
            <w:tcW w:w="3840" w:type="dxa"/>
            <w:vAlign w:val="bottom"/>
          </w:tcPr>
          <w:p>
            <w:pPr>
              <w:spacing w:after="0"/>
              <w:rPr>
                <w:sz w:val="20"/>
                <w:szCs w:val="20"/>
                <w:color w:val="auto"/>
              </w:rPr>
            </w:pPr>
            <w:r>
              <w:rPr>
                <w:rFonts w:ascii="Arial" w:cs="Arial" w:eastAsia="Arial" w:hAnsi="Arial"/>
                <w:sz w:val="19"/>
                <w:szCs w:val="19"/>
                <w:b w:val="1"/>
                <w:bCs w:val="1"/>
                <w:color w:val="231F20"/>
              </w:rPr>
              <w:t>Short-term investments</w:t>
            </w: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8"/>
        </w:trPr>
        <w:tc>
          <w:tcPr>
            <w:tcW w:w="3840" w:type="dxa"/>
            <w:vAlign w:val="bottom"/>
          </w:tcPr>
          <w:p>
            <w:pPr>
              <w:ind w:left="200"/>
              <w:spacing w:after="0"/>
              <w:rPr>
                <w:sz w:val="20"/>
                <w:szCs w:val="20"/>
                <w:color w:val="auto"/>
              </w:rPr>
            </w:pPr>
            <w:r>
              <w:rPr>
                <w:rFonts w:ascii="Arial" w:cs="Arial" w:eastAsia="Arial" w:hAnsi="Arial"/>
                <w:sz w:val="19"/>
                <w:szCs w:val="19"/>
                <w:b w:val="1"/>
                <w:bCs w:val="1"/>
                <w:color w:val="231F20"/>
              </w:rPr>
              <w:t>U.S. Treasury securities</w:t>
            </w:r>
          </w:p>
        </w:tc>
        <w:tc>
          <w:tcPr>
            <w:tcW w:w="1220" w:type="dxa"/>
            <w:vAlign w:val="bottom"/>
          </w:tcPr>
          <w:p>
            <w:pPr>
              <w:jc w:val="center"/>
              <w:spacing w:after="0"/>
              <w:rPr>
                <w:sz w:val="20"/>
                <w:szCs w:val="20"/>
                <w:color w:val="auto"/>
              </w:rPr>
            </w:pPr>
            <w:r>
              <w:rPr>
                <w:rFonts w:ascii="Arial" w:cs="Arial" w:eastAsia="Arial" w:hAnsi="Arial"/>
                <w:sz w:val="19"/>
                <w:szCs w:val="19"/>
                <w:b w:val="1"/>
                <w:bCs w:val="1"/>
                <w:color w:val="231F20"/>
                <w:w w:val="89"/>
              </w:rPr>
              <w:t>Level 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231F20"/>
              </w:rPr>
              <w:t>52,167</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148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231F20"/>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231F20"/>
              </w:rPr>
              <w:t>52,315</w:t>
            </w:r>
          </w:p>
        </w:tc>
      </w:tr>
      <w:tr>
        <w:trPr>
          <w:trHeight w:val="235"/>
        </w:trPr>
        <w:tc>
          <w:tcPr>
            <w:tcW w:w="3840" w:type="dxa"/>
            <w:vAlign w:val="bottom"/>
          </w:tcPr>
          <w:p>
            <w:pPr>
              <w:ind w:left="200"/>
              <w:spacing w:after="0"/>
              <w:rPr>
                <w:sz w:val="20"/>
                <w:szCs w:val="20"/>
                <w:color w:val="auto"/>
              </w:rPr>
            </w:pPr>
            <w:r>
              <w:rPr>
                <w:rFonts w:ascii="Arial" w:cs="Arial" w:eastAsia="Arial" w:hAnsi="Arial"/>
                <w:sz w:val="19"/>
                <w:szCs w:val="19"/>
                <w:b w:val="1"/>
                <w:bCs w:val="1"/>
                <w:color w:val="231F20"/>
              </w:rPr>
              <w:t>U.S. government agency securities</w:t>
            </w:r>
          </w:p>
        </w:tc>
        <w:tc>
          <w:tcPr>
            <w:tcW w:w="1220" w:type="dxa"/>
            <w:vAlign w:val="bottom"/>
          </w:tcPr>
          <w:p>
            <w:pPr>
              <w:jc w:val="center"/>
              <w:spacing w:after="0"/>
              <w:rPr>
                <w:sz w:val="20"/>
                <w:szCs w:val="20"/>
                <w:color w:val="auto"/>
              </w:rPr>
            </w:pPr>
            <w:r>
              <w:rPr>
                <w:rFonts w:ascii="Arial" w:cs="Arial" w:eastAsia="Arial" w:hAnsi="Arial"/>
                <w:sz w:val="19"/>
                <w:szCs w:val="19"/>
                <w:b w:val="1"/>
                <w:bCs w:val="1"/>
                <w:color w:val="231F20"/>
                <w:w w:val="89"/>
              </w:rPr>
              <w:t>Level 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231F20"/>
              </w:rPr>
              <w:t>3,101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6</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231F20"/>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231F20"/>
              </w:rPr>
              <w:t>3,107</w:t>
            </w:r>
          </w:p>
        </w:tc>
      </w:tr>
      <w:tr>
        <w:trPr>
          <w:trHeight w:val="238"/>
        </w:trPr>
        <w:tc>
          <w:tcPr>
            <w:tcW w:w="3840" w:type="dxa"/>
            <w:vAlign w:val="bottom"/>
          </w:tcPr>
          <w:p>
            <w:pPr>
              <w:ind w:left="200"/>
              <w:spacing w:after="0"/>
              <w:rPr>
                <w:sz w:val="20"/>
                <w:szCs w:val="20"/>
                <w:color w:val="auto"/>
              </w:rPr>
            </w:pPr>
            <w:r>
              <w:rPr>
                <w:rFonts w:ascii="Arial" w:cs="Arial" w:eastAsia="Arial" w:hAnsi="Arial"/>
                <w:sz w:val="19"/>
                <w:szCs w:val="19"/>
                <w:b w:val="1"/>
                <w:bCs w:val="1"/>
                <w:color w:val="231F20"/>
              </w:rPr>
              <w:t>Corporate debt securities</w:t>
            </w:r>
          </w:p>
        </w:tc>
        <w:tc>
          <w:tcPr>
            <w:tcW w:w="1220" w:type="dxa"/>
            <w:vAlign w:val="bottom"/>
          </w:tcPr>
          <w:p>
            <w:pPr>
              <w:jc w:val="center"/>
              <w:spacing w:after="0"/>
              <w:rPr>
                <w:sz w:val="20"/>
                <w:szCs w:val="20"/>
                <w:color w:val="auto"/>
              </w:rPr>
            </w:pPr>
            <w:r>
              <w:rPr>
                <w:rFonts w:ascii="Arial" w:cs="Arial" w:eastAsia="Arial" w:hAnsi="Arial"/>
                <w:sz w:val="19"/>
                <w:szCs w:val="19"/>
                <w:b w:val="1"/>
                <w:bCs w:val="1"/>
                <w:color w:val="231F20"/>
                <w:w w:val="89"/>
              </w:rPr>
              <w:t>Level 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231F20"/>
              </w:rPr>
              <w:t>52,657</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122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231F20"/>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231F20"/>
              </w:rPr>
              <w:t>52,779</w:t>
            </w:r>
          </w:p>
        </w:tc>
      </w:tr>
      <w:tr>
        <w:trPr>
          <w:trHeight w:val="238"/>
        </w:trPr>
        <w:tc>
          <w:tcPr>
            <w:tcW w:w="3840" w:type="dxa"/>
            <w:vAlign w:val="bottom"/>
          </w:tcPr>
          <w:p>
            <w:pPr>
              <w:ind w:left="200"/>
              <w:spacing w:after="0"/>
              <w:rPr>
                <w:sz w:val="20"/>
                <w:szCs w:val="20"/>
                <w:color w:val="auto"/>
              </w:rPr>
            </w:pPr>
            <w:r>
              <w:rPr>
                <w:rFonts w:ascii="Arial" w:cs="Arial" w:eastAsia="Arial" w:hAnsi="Arial"/>
                <w:sz w:val="19"/>
                <w:szCs w:val="19"/>
                <w:b w:val="1"/>
                <w:bCs w:val="1"/>
                <w:color w:val="231F20"/>
              </w:rPr>
              <w:t>Commercial paper</w:t>
            </w:r>
          </w:p>
        </w:tc>
        <w:tc>
          <w:tcPr>
            <w:tcW w:w="1220" w:type="dxa"/>
            <w:vAlign w:val="bottom"/>
          </w:tcPr>
          <w:p>
            <w:pPr>
              <w:jc w:val="center"/>
              <w:spacing w:after="0"/>
              <w:rPr>
                <w:sz w:val="20"/>
                <w:szCs w:val="20"/>
                <w:color w:val="auto"/>
              </w:rPr>
            </w:pPr>
            <w:r>
              <w:rPr>
                <w:rFonts w:ascii="Arial" w:cs="Arial" w:eastAsia="Arial" w:hAnsi="Arial"/>
                <w:sz w:val="19"/>
                <w:szCs w:val="19"/>
                <w:b w:val="1"/>
                <w:bCs w:val="1"/>
                <w:color w:val="231F20"/>
                <w:w w:val="89"/>
              </w:rPr>
              <w:t>Level 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231F20"/>
              </w:rPr>
              <w:t>1,988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231F20"/>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231F20"/>
              </w:rPr>
              <w:t>1,989</w:t>
            </w:r>
          </w:p>
        </w:tc>
      </w:tr>
      <w:tr>
        <w:trPr>
          <w:trHeight w:val="235"/>
        </w:trPr>
        <w:tc>
          <w:tcPr>
            <w:tcW w:w="3840" w:type="dxa"/>
            <w:vAlign w:val="bottom"/>
          </w:tcPr>
          <w:p>
            <w:pPr>
              <w:spacing w:after="0"/>
              <w:rPr>
                <w:sz w:val="20"/>
                <w:szCs w:val="20"/>
                <w:color w:val="auto"/>
              </w:rPr>
            </w:pPr>
            <w:r>
              <w:rPr>
                <w:rFonts w:ascii="Arial" w:cs="Arial" w:eastAsia="Arial" w:hAnsi="Arial"/>
                <w:sz w:val="19"/>
                <w:szCs w:val="19"/>
                <w:b w:val="1"/>
                <w:bCs w:val="1"/>
                <w:color w:val="231F20"/>
              </w:rPr>
              <w:t>Long-term investments</w:t>
            </w: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7"/>
        </w:trPr>
        <w:tc>
          <w:tcPr>
            <w:tcW w:w="3840" w:type="dxa"/>
            <w:vAlign w:val="bottom"/>
          </w:tcPr>
          <w:p>
            <w:pPr>
              <w:ind w:left="200"/>
              <w:spacing w:after="0"/>
              <w:rPr>
                <w:sz w:val="20"/>
                <w:szCs w:val="20"/>
                <w:color w:val="auto"/>
              </w:rPr>
            </w:pPr>
            <w:r>
              <w:rPr>
                <w:rFonts w:ascii="Arial" w:cs="Arial" w:eastAsia="Arial" w:hAnsi="Arial"/>
                <w:sz w:val="19"/>
                <w:szCs w:val="19"/>
                <w:b w:val="1"/>
                <w:bCs w:val="1"/>
                <w:color w:val="231F20"/>
              </w:rPr>
              <w:t>Corporate debt securities</w:t>
            </w:r>
          </w:p>
        </w:tc>
        <w:tc>
          <w:tcPr>
            <w:tcW w:w="1220" w:type="dxa"/>
            <w:vAlign w:val="bottom"/>
          </w:tcPr>
          <w:p>
            <w:pPr>
              <w:jc w:val="center"/>
              <w:spacing w:after="0"/>
              <w:rPr>
                <w:sz w:val="20"/>
                <w:szCs w:val="20"/>
                <w:color w:val="auto"/>
              </w:rPr>
            </w:pPr>
            <w:r>
              <w:rPr>
                <w:rFonts w:ascii="Arial" w:cs="Arial" w:eastAsia="Arial" w:hAnsi="Arial"/>
                <w:sz w:val="19"/>
                <w:szCs w:val="19"/>
                <w:b w:val="1"/>
                <w:bCs w:val="1"/>
                <w:color w:val="231F20"/>
                <w:w w:val="89"/>
              </w:rPr>
              <w:t>Level 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231F20"/>
              </w:rPr>
              <w:t>3,526</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231F20"/>
              </w:rPr>
              <w:t>(3)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231F20"/>
              </w:rPr>
              <w:t>3,524</w:t>
            </w:r>
          </w:p>
        </w:tc>
      </w:tr>
      <w:tr>
        <w:trPr>
          <w:trHeight w:val="20"/>
        </w:trPr>
        <w:tc>
          <w:tcPr>
            <w:tcW w:w="3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1020" w:type="dxa"/>
            <w:vAlign w:val="bottom"/>
            <w:shd w:val="clear" w:color="auto" w:fill="231F2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1000" w:type="dxa"/>
            <w:vAlign w:val="bottom"/>
            <w:shd w:val="clear" w:color="auto" w:fill="231F2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102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1020" w:type="dxa"/>
            <w:vAlign w:val="bottom"/>
            <w:shd w:val="clear" w:color="auto" w:fill="231F20"/>
          </w:tcPr>
          <w:p>
            <w:pPr>
              <w:spacing w:after="0" w:line="20" w:lineRule="exact"/>
              <w:rPr>
                <w:sz w:val="1"/>
                <w:szCs w:val="1"/>
                <w:color w:val="auto"/>
              </w:rPr>
            </w:pPr>
          </w:p>
        </w:tc>
      </w:tr>
      <w:tr>
        <w:trPr>
          <w:trHeight w:val="225"/>
        </w:trPr>
        <w:tc>
          <w:tcPr>
            <w:tcW w:w="3840" w:type="dxa"/>
            <w:vAlign w:val="bottom"/>
          </w:tcPr>
          <w:p>
            <w:pPr>
              <w:spacing w:after="0"/>
              <w:rPr>
                <w:sz w:val="20"/>
                <w:szCs w:val="20"/>
                <w:color w:val="auto"/>
              </w:rPr>
            </w:pPr>
            <w:r>
              <w:rPr>
                <w:rFonts w:ascii="Arial" w:cs="Arial" w:eastAsia="Arial" w:hAnsi="Arial"/>
                <w:sz w:val="19"/>
                <w:szCs w:val="19"/>
                <w:b w:val="1"/>
                <w:bCs w:val="1"/>
                <w:color w:val="231F20"/>
              </w:rPr>
              <w:t>Total</w:t>
            </w:r>
          </w:p>
        </w:tc>
        <w:tc>
          <w:tcPr>
            <w:tcW w:w="12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9"/>
                <w:szCs w:val="19"/>
                <w:b w:val="1"/>
                <w:bCs w:val="1"/>
                <w:color w:val="231F20"/>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231F20"/>
              </w:rPr>
              <w:t>128,907</w:t>
            </w:r>
          </w:p>
        </w:tc>
        <w:tc>
          <w:tcPr>
            <w:tcW w:w="340" w:type="dxa"/>
            <w:vAlign w:val="bottom"/>
            <w:gridSpan w:val="2"/>
          </w:tcPr>
          <w:p>
            <w:pPr>
              <w:jc w:val="right"/>
              <w:ind w:right="20"/>
              <w:spacing w:after="0"/>
              <w:rPr>
                <w:sz w:val="20"/>
                <w:szCs w:val="20"/>
                <w:color w:val="auto"/>
              </w:rPr>
            </w:pPr>
            <w:r>
              <w:rPr>
                <w:rFonts w:ascii="Arial" w:cs="Arial" w:eastAsia="Arial" w:hAnsi="Arial"/>
                <w:sz w:val="19"/>
                <w:szCs w:val="19"/>
                <w:b w:val="1"/>
                <w:bCs w:val="1"/>
                <w:color w:val="231F20"/>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278</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9"/>
                <w:szCs w:val="19"/>
                <w:b w:val="1"/>
                <w:bCs w:val="1"/>
                <w:color w:val="231F20"/>
                <w:w w:val="75"/>
              </w:rPr>
              <w:t>$</w:t>
            </w:r>
          </w:p>
        </w:tc>
        <w:tc>
          <w:tcPr>
            <w:tcW w:w="118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231F20"/>
              </w:rPr>
              <w:t>(3)</w:t>
            </w:r>
          </w:p>
        </w:tc>
        <w:tc>
          <w:tcPr>
            <w:tcW w:w="180" w:type="dxa"/>
            <w:vAlign w:val="bottom"/>
            <w:gridSpan w:val="2"/>
          </w:tcPr>
          <w:p>
            <w:pPr>
              <w:jc w:val="right"/>
              <w:spacing w:after="0"/>
              <w:rPr>
                <w:sz w:val="20"/>
                <w:szCs w:val="20"/>
                <w:color w:val="auto"/>
              </w:rPr>
            </w:pPr>
            <w:r>
              <w:rPr>
                <w:rFonts w:ascii="Arial" w:cs="Arial" w:eastAsia="Arial" w:hAnsi="Arial"/>
                <w:sz w:val="19"/>
                <w:szCs w:val="19"/>
                <w:b w:val="1"/>
                <w:bCs w:val="1"/>
                <w:color w:val="231F20"/>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231F20"/>
              </w:rPr>
              <w:t>129,182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3285490</wp:posOffset>
            </wp:positionH>
            <wp:positionV relativeFrom="paragraph">
              <wp:posOffset>-11430</wp:posOffset>
            </wp:positionV>
            <wp:extent cx="3320415" cy="5588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320415" cy="55880"/>
                    </a:xfrm>
                    <a:prstGeom prst="rect">
                      <a:avLst/>
                    </a:prstGeom>
                    <a:noFill/>
                  </pic:spPr>
                </pic:pic>
              </a:graphicData>
            </a:graphic>
          </wp:anchor>
        </w:drawing>
      </w:r>
    </w:p>
    <w:p>
      <w:pPr>
        <w:sectPr>
          <w:pgSz w:w="12240" w:h="15840" w:orient="portrait"/>
          <w:cols w:equalWidth="0" w:num="1">
            <w:col w:w="10460"/>
          </w:cols>
          <w:pgMar w:left="880" w:top="1160" w:right="900" w:bottom="4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31F20"/>
        </w:rPr>
        <w:t>105</w:t>
      </w:r>
    </w:p>
    <w:p>
      <w:pPr>
        <w:sectPr>
          <w:pgSz w:w="12240" w:h="15840" w:orient="portrait"/>
          <w:cols w:equalWidth="0" w:num="1">
            <w:col w:w="10460"/>
          </w:cols>
          <w:pgMar w:left="880" w:top="1160" w:right="900" w:bottom="401" w:gutter="0" w:footer="0" w:header="0"/>
          <w:type w:val="continuous"/>
        </w:sectPr>
      </w:pPr>
    </w:p>
    <w:bookmarkStart w:id="113" w:name="page114"/>
    <w:bookmarkEnd w:id="113"/>
    <w:tbl>
      <w:tblPr>
        <w:tblLayout w:type="fixed"/>
        <w:tblInd w:w="0" w:type="dxa"/>
        <w:tblCellMar>
          <w:top w:w="0" w:type="dxa"/>
          <w:left w:w="0" w:type="dxa"/>
          <w:bottom w:w="0" w:type="dxa"/>
          <w:right w:w="0" w:type="dxa"/>
        </w:tblCellMar>
      </w:tblPr>
      <w:tr>
        <w:trPr>
          <w:trHeight w:val="220"/>
        </w:trPr>
        <w:tc>
          <w:tcPr>
            <w:tcW w:w="3840" w:type="dxa"/>
            <w:vAlign w:val="bottom"/>
          </w:tcPr>
          <w:p>
            <w:pPr>
              <w:spacing w:after="0"/>
              <w:rPr>
                <w:sz w:val="19"/>
                <w:szCs w:val="19"/>
                <w:color w:val="auto"/>
              </w:rPr>
            </w:pPr>
          </w:p>
        </w:tc>
        <w:tc>
          <w:tcPr>
            <w:tcW w:w="1220" w:type="dxa"/>
            <w:vAlign w:val="bottom"/>
            <w:tcBorders>
              <w:bottom w:val="single" w:sz="8" w:color="231F20"/>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1020" w:type="dxa"/>
            <w:vAlign w:val="bottom"/>
            <w:tcBorders>
              <w:bottom w:val="single" w:sz="8" w:color="231F20"/>
            </w:tcBorders>
          </w:tcPr>
          <w:p>
            <w:pPr>
              <w:spacing w:after="0"/>
              <w:rPr>
                <w:sz w:val="19"/>
                <w:szCs w:val="19"/>
                <w:color w:val="auto"/>
              </w:rPr>
            </w:pPr>
          </w:p>
        </w:tc>
        <w:tc>
          <w:tcPr>
            <w:tcW w:w="1600" w:type="dxa"/>
            <w:vAlign w:val="bottom"/>
            <w:tcBorders>
              <w:bottom w:val="single" w:sz="8" w:color="231F20"/>
            </w:tcBorders>
            <w:gridSpan w:val="4"/>
          </w:tcPr>
          <w:p>
            <w:pPr>
              <w:jc w:val="center"/>
              <w:ind w:right="20"/>
              <w:spacing w:after="0"/>
              <w:rPr>
                <w:sz w:val="20"/>
                <w:szCs w:val="20"/>
                <w:color w:val="auto"/>
              </w:rPr>
            </w:pPr>
            <w:r>
              <w:rPr>
                <w:rFonts w:ascii="Arial" w:cs="Arial" w:eastAsia="Arial" w:hAnsi="Arial"/>
                <w:sz w:val="19"/>
                <w:szCs w:val="19"/>
                <w:b w:val="1"/>
                <w:bCs w:val="1"/>
                <w:color w:val="231F20"/>
                <w:w w:val="92"/>
              </w:rPr>
              <w:t>December 31, 2023</w:t>
            </w:r>
          </w:p>
        </w:tc>
        <w:tc>
          <w:tcPr>
            <w:tcW w:w="100" w:type="dxa"/>
            <w:vAlign w:val="bottom"/>
            <w:tcBorders>
              <w:bottom w:val="single" w:sz="8" w:color="231F20"/>
            </w:tcBorders>
          </w:tcPr>
          <w:p>
            <w:pPr>
              <w:spacing w:after="0"/>
              <w:rPr>
                <w:sz w:val="19"/>
                <w:szCs w:val="19"/>
                <w:color w:val="auto"/>
              </w:rPr>
            </w:pPr>
          </w:p>
        </w:tc>
        <w:tc>
          <w:tcPr>
            <w:tcW w:w="1000" w:type="dxa"/>
            <w:vAlign w:val="bottom"/>
            <w:tcBorders>
              <w:bottom w:val="single" w:sz="8" w:color="231F20"/>
            </w:tcBorders>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000" w:type="dxa"/>
            <w:vAlign w:val="bottom"/>
            <w:tcBorders>
              <w:bottom w:val="single" w:sz="8" w:color="231F20"/>
            </w:tcBorders>
          </w:tcPr>
          <w:p>
            <w:pPr>
              <w:spacing w:after="0"/>
              <w:rPr>
                <w:sz w:val="19"/>
                <w:szCs w:val="19"/>
                <w:color w:val="auto"/>
              </w:rPr>
            </w:pPr>
          </w:p>
        </w:tc>
      </w:tr>
      <w:tr>
        <w:trPr>
          <w:trHeight w:val="212"/>
        </w:trPr>
        <w:tc>
          <w:tcPr>
            <w:tcW w:w="3840" w:type="dxa"/>
            <w:vAlign w:val="bottom"/>
          </w:tcPr>
          <w:p>
            <w:pPr>
              <w:spacing w:after="0"/>
              <w:rPr>
                <w:sz w:val="18"/>
                <w:szCs w:val="18"/>
                <w:color w:val="auto"/>
              </w:rPr>
            </w:pPr>
          </w:p>
        </w:tc>
        <w:tc>
          <w:tcPr>
            <w:tcW w:w="1220" w:type="dxa"/>
            <w:vAlign w:val="bottom"/>
          </w:tcPr>
          <w:p>
            <w:pPr>
              <w:jc w:val="center"/>
              <w:spacing w:after="0" w:line="212" w:lineRule="exact"/>
              <w:rPr>
                <w:sz w:val="20"/>
                <w:szCs w:val="20"/>
                <w:color w:val="auto"/>
              </w:rPr>
            </w:pPr>
            <w:r>
              <w:rPr>
                <w:rFonts w:ascii="Arial" w:cs="Arial" w:eastAsia="Arial" w:hAnsi="Arial"/>
                <w:sz w:val="19"/>
                <w:szCs w:val="19"/>
                <w:b w:val="1"/>
                <w:bCs w:val="1"/>
                <w:color w:val="231F20"/>
                <w:w w:val="96"/>
              </w:rPr>
              <w:t>Fair Value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3"/>
        </w:trPr>
        <w:tc>
          <w:tcPr>
            <w:tcW w:w="38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9"/>
                <w:szCs w:val="19"/>
                <w:b w:val="1"/>
                <w:bCs w:val="1"/>
                <w:color w:val="231F20"/>
                <w:w w:val="95"/>
              </w:rPr>
              <w:t>Hierarchy</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23"/>
              <w:spacing w:after="0"/>
              <w:rPr>
                <w:sz w:val="20"/>
                <w:szCs w:val="20"/>
                <w:color w:val="auto"/>
              </w:rPr>
            </w:pPr>
            <w:r>
              <w:rPr>
                <w:rFonts w:ascii="Arial" w:cs="Arial" w:eastAsia="Arial" w:hAnsi="Arial"/>
                <w:sz w:val="19"/>
                <w:szCs w:val="19"/>
                <w:b w:val="1"/>
                <w:bCs w:val="1"/>
                <w:color w:val="231F20"/>
                <w:w w:val="94"/>
              </w:rPr>
              <w:t>Amortized</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9"/>
                <w:szCs w:val="19"/>
                <w:b w:val="1"/>
                <w:bCs w:val="1"/>
                <w:color w:val="231F20"/>
                <w:w w:val="93"/>
              </w:rPr>
              <w:t>Unrealized</w:t>
            </w:r>
          </w:p>
        </w:tc>
        <w:tc>
          <w:tcPr>
            <w:tcW w:w="10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9"/>
                <w:szCs w:val="19"/>
                <w:b w:val="1"/>
                <w:bCs w:val="1"/>
                <w:color w:val="231F20"/>
                <w:w w:val="91"/>
              </w:rPr>
              <w:t>Unrealized</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38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9"/>
                <w:szCs w:val="19"/>
                <w:b w:val="1"/>
                <w:bCs w:val="1"/>
                <w:color w:val="231F20"/>
                <w:w w:val="94"/>
              </w:rPr>
              <w:t>Level</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283"/>
              <w:spacing w:after="0"/>
              <w:rPr>
                <w:sz w:val="20"/>
                <w:szCs w:val="20"/>
                <w:color w:val="auto"/>
              </w:rPr>
            </w:pPr>
            <w:r>
              <w:rPr>
                <w:rFonts w:ascii="Arial" w:cs="Arial" w:eastAsia="Arial" w:hAnsi="Arial"/>
                <w:sz w:val="19"/>
                <w:szCs w:val="19"/>
                <w:b w:val="1"/>
                <w:bCs w:val="1"/>
                <w:color w:val="231F20"/>
              </w:rPr>
              <w:t>Cost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9"/>
                <w:szCs w:val="19"/>
                <w:b w:val="1"/>
                <w:bCs w:val="1"/>
                <w:color w:val="231F20"/>
                <w:w w:val="90"/>
              </w:rPr>
              <w:t>Gains</w:t>
            </w:r>
          </w:p>
        </w:tc>
        <w:tc>
          <w:tcPr>
            <w:tcW w:w="100" w:type="dxa"/>
            <w:vAlign w:val="bottom"/>
          </w:tcPr>
          <w:p>
            <w:pPr>
              <w:spacing w:after="0"/>
              <w:rPr>
                <w:sz w:val="19"/>
                <w:szCs w:val="19"/>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9"/>
                <w:szCs w:val="19"/>
                <w:b w:val="1"/>
                <w:bCs w:val="1"/>
                <w:color w:val="231F20"/>
              </w:rPr>
              <w:t>Losses</w:t>
            </w:r>
          </w:p>
        </w:tc>
        <w:tc>
          <w:tcPr>
            <w:tcW w:w="120" w:type="dxa"/>
            <w:vAlign w:val="bottom"/>
          </w:tcPr>
          <w:p>
            <w:pPr>
              <w:spacing w:after="0"/>
              <w:rPr>
                <w:sz w:val="19"/>
                <w:szCs w:val="19"/>
                <w:color w:val="auto"/>
              </w:rPr>
            </w:pPr>
          </w:p>
        </w:tc>
        <w:tc>
          <w:tcPr>
            <w:tcW w:w="1000" w:type="dxa"/>
            <w:vAlign w:val="bottom"/>
          </w:tcPr>
          <w:p>
            <w:pPr>
              <w:jc w:val="right"/>
              <w:ind w:right="23"/>
              <w:spacing w:after="0"/>
              <w:rPr>
                <w:sz w:val="20"/>
                <w:szCs w:val="20"/>
                <w:color w:val="auto"/>
              </w:rPr>
            </w:pPr>
            <w:r>
              <w:rPr>
                <w:rFonts w:ascii="Arial" w:cs="Arial" w:eastAsia="Arial" w:hAnsi="Arial"/>
                <w:sz w:val="19"/>
                <w:szCs w:val="19"/>
                <w:b w:val="1"/>
                <w:bCs w:val="1"/>
                <w:color w:val="231F20"/>
                <w:w w:val="94"/>
              </w:rPr>
              <w:t>Fair Value</w:t>
            </w:r>
          </w:p>
        </w:tc>
      </w:tr>
      <w:tr>
        <w:trPr>
          <w:trHeight w:val="213"/>
        </w:trPr>
        <w:tc>
          <w:tcPr>
            <w:tcW w:w="3840" w:type="dxa"/>
            <w:vAlign w:val="bottom"/>
          </w:tcPr>
          <w:p>
            <w:pPr>
              <w:spacing w:after="0" w:line="213" w:lineRule="exact"/>
              <w:rPr>
                <w:sz w:val="20"/>
                <w:szCs w:val="20"/>
                <w:color w:val="auto"/>
              </w:rPr>
            </w:pPr>
            <w:r>
              <w:rPr>
                <w:rFonts w:ascii="Arial" w:cs="Arial" w:eastAsia="Arial" w:hAnsi="Arial"/>
                <w:sz w:val="19"/>
                <w:szCs w:val="19"/>
                <w:b w:val="1"/>
                <w:bCs w:val="1"/>
                <w:color w:val="231F20"/>
              </w:rPr>
              <w:t>Cash equivalents</w:t>
            </w:r>
          </w:p>
        </w:tc>
        <w:tc>
          <w:tcPr>
            <w:tcW w:w="1220" w:type="dxa"/>
            <w:vAlign w:val="bottom"/>
            <w:tcBorders>
              <w:top w:val="single" w:sz="8" w:color="231F20"/>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231F20"/>
            </w:tcBorders>
          </w:tcPr>
          <w:p>
            <w:pPr>
              <w:spacing w:after="0"/>
              <w:rPr>
                <w:sz w:val="18"/>
                <w:szCs w:val="18"/>
                <w:color w:val="auto"/>
              </w:rPr>
            </w:pPr>
          </w:p>
        </w:tc>
        <w:tc>
          <w:tcPr>
            <w:tcW w:w="1020" w:type="dxa"/>
            <w:vAlign w:val="bottom"/>
            <w:tcBorders>
              <w:top w:val="single" w:sz="8" w:color="231F20"/>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231F20"/>
            </w:tcBorders>
          </w:tcPr>
          <w:p>
            <w:pPr>
              <w:spacing w:after="0"/>
              <w:rPr>
                <w:sz w:val="18"/>
                <w:szCs w:val="18"/>
                <w:color w:val="auto"/>
              </w:rPr>
            </w:pPr>
          </w:p>
        </w:tc>
        <w:tc>
          <w:tcPr>
            <w:tcW w:w="1020" w:type="dxa"/>
            <w:vAlign w:val="bottom"/>
            <w:tcBorders>
              <w:top w:val="single" w:sz="8" w:color="231F20"/>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231F20"/>
            </w:tcBorders>
          </w:tcPr>
          <w:p>
            <w:pPr>
              <w:spacing w:after="0"/>
              <w:rPr>
                <w:sz w:val="18"/>
                <w:szCs w:val="18"/>
                <w:color w:val="auto"/>
              </w:rPr>
            </w:pPr>
          </w:p>
        </w:tc>
        <w:tc>
          <w:tcPr>
            <w:tcW w:w="1000" w:type="dxa"/>
            <w:vAlign w:val="bottom"/>
            <w:tcBorders>
              <w:top w:val="single" w:sz="8" w:color="231F20"/>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231F20"/>
            </w:tcBorders>
          </w:tcPr>
          <w:p>
            <w:pPr>
              <w:spacing w:after="0"/>
              <w:rPr>
                <w:sz w:val="18"/>
                <w:szCs w:val="18"/>
                <w:color w:val="auto"/>
              </w:rPr>
            </w:pPr>
          </w:p>
        </w:tc>
        <w:tc>
          <w:tcPr>
            <w:tcW w:w="1000" w:type="dxa"/>
            <w:vAlign w:val="bottom"/>
            <w:tcBorders>
              <w:top w:val="single" w:sz="8" w:color="231F20"/>
            </w:tcBorders>
          </w:tcPr>
          <w:p>
            <w:pPr>
              <w:spacing w:after="0"/>
              <w:rPr>
                <w:sz w:val="18"/>
                <w:szCs w:val="18"/>
                <w:color w:val="auto"/>
              </w:rPr>
            </w:pPr>
          </w:p>
        </w:tc>
      </w:tr>
      <w:tr>
        <w:trPr>
          <w:trHeight w:val="223"/>
        </w:trPr>
        <w:tc>
          <w:tcPr>
            <w:tcW w:w="3840" w:type="dxa"/>
            <w:vAlign w:val="bottom"/>
          </w:tcPr>
          <w:p>
            <w:pPr>
              <w:ind w:left="200"/>
              <w:spacing w:after="0"/>
              <w:rPr>
                <w:sz w:val="20"/>
                <w:szCs w:val="20"/>
                <w:color w:val="auto"/>
              </w:rPr>
            </w:pPr>
            <w:r>
              <w:rPr>
                <w:rFonts w:ascii="Arial" w:cs="Arial" w:eastAsia="Arial" w:hAnsi="Arial"/>
                <w:sz w:val="19"/>
                <w:szCs w:val="19"/>
                <w:b w:val="1"/>
                <w:bCs w:val="1"/>
                <w:color w:val="231F20"/>
              </w:rPr>
              <w:t>Money market funds</w:t>
            </w:r>
          </w:p>
        </w:tc>
        <w:tc>
          <w:tcPr>
            <w:tcW w:w="1220" w:type="dxa"/>
            <w:vAlign w:val="bottom"/>
          </w:tcPr>
          <w:p>
            <w:pPr>
              <w:jc w:val="center"/>
              <w:spacing w:after="0"/>
              <w:rPr>
                <w:sz w:val="20"/>
                <w:szCs w:val="20"/>
                <w:color w:val="auto"/>
              </w:rPr>
            </w:pPr>
            <w:r>
              <w:rPr>
                <w:rFonts w:ascii="Arial" w:cs="Arial" w:eastAsia="Arial" w:hAnsi="Arial"/>
                <w:sz w:val="19"/>
                <w:szCs w:val="19"/>
                <w:b w:val="1"/>
                <w:bCs w:val="1"/>
                <w:color w:val="231F20"/>
                <w:w w:val="93"/>
              </w:rPr>
              <w:t>Level 1</w:t>
            </w:r>
          </w:p>
        </w:tc>
        <w:tc>
          <w:tcPr>
            <w:tcW w:w="240" w:type="dxa"/>
            <w:vAlign w:val="bottom"/>
            <w:gridSpan w:val="2"/>
          </w:tcPr>
          <w:p>
            <w:pPr>
              <w:jc w:val="right"/>
              <w:spacing w:after="0"/>
              <w:rPr>
                <w:sz w:val="20"/>
                <w:szCs w:val="20"/>
                <w:color w:val="auto"/>
              </w:rPr>
            </w:pPr>
            <w:r>
              <w:rPr>
                <w:rFonts w:ascii="Arial" w:cs="Arial" w:eastAsia="Arial" w:hAnsi="Arial"/>
                <w:sz w:val="19"/>
                <w:szCs w:val="19"/>
                <w:b w:val="1"/>
                <w:bCs w:val="1"/>
                <w:color w:val="231F20"/>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231F20"/>
              </w:rPr>
              <w:t>15,591</w:t>
            </w:r>
          </w:p>
        </w:tc>
        <w:tc>
          <w:tcPr>
            <w:tcW w:w="340" w:type="dxa"/>
            <w:vAlign w:val="bottom"/>
            <w:gridSpan w:val="2"/>
          </w:tcPr>
          <w:p>
            <w:pPr>
              <w:jc w:val="right"/>
              <w:spacing w:after="0"/>
              <w:rPr>
                <w:sz w:val="20"/>
                <w:szCs w:val="20"/>
                <w:color w:val="auto"/>
              </w:rPr>
            </w:pPr>
            <w:r>
              <w:rPr>
                <w:rFonts w:ascii="Arial" w:cs="Arial" w:eastAsia="Arial" w:hAnsi="Arial"/>
                <w:sz w:val="19"/>
                <w:szCs w:val="19"/>
                <w:b w:val="1"/>
                <w:bCs w:val="1"/>
                <w:color w:val="231F20"/>
              </w:rPr>
              <w:t>$</w:t>
            </w:r>
          </w:p>
        </w:tc>
        <w:tc>
          <w:tcPr>
            <w:tcW w:w="1020" w:type="dxa"/>
            <w:vAlign w:val="bottom"/>
          </w:tcPr>
          <w:p>
            <w:pPr>
              <w:jc w:val="right"/>
              <w:spacing w:after="0" w:line="224" w:lineRule="exact"/>
              <w:rPr>
                <w:sz w:val="20"/>
                <w:szCs w:val="20"/>
                <w:color w:val="auto"/>
              </w:rPr>
            </w:pPr>
            <w:r>
              <w:rPr>
                <w:rFonts w:ascii="PMingLiU" w:cs="PMingLiU" w:eastAsia="PMingLiU" w:hAnsi="PMingLiU"/>
                <w:sz w:val="19"/>
                <w:szCs w:val="19"/>
                <w:b w:val="1"/>
                <w:bCs w:val="1"/>
                <w:color w:val="231F20"/>
              </w:rPr>
              <w:t></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231F20"/>
                <w:w w:val="71"/>
              </w:rPr>
              <w:t>$</w:t>
            </w:r>
          </w:p>
        </w:tc>
        <w:tc>
          <w:tcPr>
            <w:tcW w:w="1000" w:type="dxa"/>
            <w:vAlign w:val="bottom"/>
          </w:tcPr>
          <w:p>
            <w:pPr>
              <w:jc w:val="right"/>
              <w:spacing w:after="0" w:line="224" w:lineRule="exact"/>
              <w:rPr>
                <w:sz w:val="20"/>
                <w:szCs w:val="20"/>
                <w:color w:val="auto"/>
              </w:rPr>
            </w:pPr>
            <w:r>
              <w:rPr>
                <w:rFonts w:ascii="PMingLiU" w:cs="PMingLiU" w:eastAsia="PMingLiU" w:hAnsi="PMingLiU"/>
                <w:sz w:val="19"/>
                <w:szCs w:val="19"/>
                <w:b w:val="1"/>
                <w:bCs w:val="1"/>
                <w:color w:val="231F20"/>
              </w:rPr>
              <w:t></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9"/>
                <w:szCs w:val="19"/>
                <w:b w:val="1"/>
                <w:bCs w:val="1"/>
                <w:color w:val="231F20"/>
                <w:w w:val="75"/>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15,591</w:t>
            </w:r>
          </w:p>
        </w:tc>
      </w:tr>
      <w:tr>
        <w:trPr>
          <w:trHeight w:val="223"/>
        </w:trPr>
        <w:tc>
          <w:tcPr>
            <w:tcW w:w="3840" w:type="dxa"/>
            <w:vAlign w:val="bottom"/>
          </w:tcPr>
          <w:p>
            <w:pPr>
              <w:ind w:left="200"/>
              <w:spacing w:after="0"/>
              <w:rPr>
                <w:sz w:val="20"/>
                <w:szCs w:val="20"/>
                <w:color w:val="auto"/>
              </w:rPr>
            </w:pPr>
            <w:r>
              <w:rPr>
                <w:rFonts w:ascii="Arial" w:cs="Arial" w:eastAsia="Arial" w:hAnsi="Arial"/>
                <w:sz w:val="19"/>
                <w:szCs w:val="19"/>
                <w:b w:val="1"/>
                <w:bCs w:val="1"/>
                <w:color w:val="231F20"/>
              </w:rPr>
              <w:t>Corporate debt securities</w:t>
            </w:r>
          </w:p>
        </w:tc>
        <w:tc>
          <w:tcPr>
            <w:tcW w:w="1220" w:type="dxa"/>
            <w:vAlign w:val="bottom"/>
          </w:tcPr>
          <w:p>
            <w:pPr>
              <w:jc w:val="center"/>
              <w:spacing w:after="0"/>
              <w:rPr>
                <w:sz w:val="20"/>
                <w:szCs w:val="20"/>
                <w:color w:val="auto"/>
              </w:rPr>
            </w:pPr>
            <w:r>
              <w:rPr>
                <w:rFonts w:ascii="Arial" w:cs="Arial" w:eastAsia="Arial" w:hAnsi="Arial"/>
                <w:sz w:val="19"/>
                <w:szCs w:val="19"/>
                <w:b w:val="1"/>
                <w:bCs w:val="1"/>
                <w:color w:val="231F20"/>
                <w:w w:val="93"/>
              </w:rPr>
              <w:t>Level 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231F20"/>
              </w:rPr>
              <w:t>4,489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9"/>
                <w:szCs w:val="19"/>
                <w:b w:val="1"/>
                <w:bCs w:val="1"/>
                <w:color w:val="231F20"/>
              </w:rPr>
              <w:t>1</w:t>
            </w:r>
          </w:p>
        </w:tc>
        <w:tc>
          <w:tcPr>
            <w:tcW w:w="100" w:type="dxa"/>
            <w:vAlign w:val="bottom"/>
          </w:tcPr>
          <w:p>
            <w:pPr>
              <w:spacing w:after="0"/>
              <w:rPr>
                <w:sz w:val="19"/>
                <w:szCs w:val="19"/>
                <w:color w:val="auto"/>
              </w:rPr>
            </w:pPr>
          </w:p>
        </w:tc>
        <w:tc>
          <w:tcPr>
            <w:tcW w:w="1000" w:type="dxa"/>
            <w:vAlign w:val="bottom"/>
          </w:tcPr>
          <w:p>
            <w:pPr>
              <w:jc w:val="right"/>
              <w:spacing w:after="0" w:line="224" w:lineRule="exact"/>
              <w:rPr>
                <w:sz w:val="20"/>
                <w:szCs w:val="20"/>
                <w:color w:val="auto"/>
              </w:rPr>
            </w:pPr>
            <w:r>
              <w:rPr>
                <w:rFonts w:ascii="PMingLiU" w:cs="PMingLiU" w:eastAsia="PMingLiU" w:hAnsi="PMingLiU"/>
                <w:sz w:val="19"/>
                <w:szCs w:val="19"/>
                <w:b w:val="1"/>
                <w:bCs w:val="1"/>
                <w:color w:val="231F20"/>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4,490</w:t>
            </w:r>
          </w:p>
        </w:tc>
      </w:tr>
      <w:tr>
        <w:trPr>
          <w:trHeight w:val="223"/>
        </w:trPr>
        <w:tc>
          <w:tcPr>
            <w:tcW w:w="3840" w:type="dxa"/>
            <w:vAlign w:val="bottom"/>
          </w:tcPr>
          <w:p>
            <w:pPr>
              <w:spacing w:after="0"/>
              <w:rPr>
                <w:sz w:val="20"/>
                <w:szCs w:val="20"/>
                <w:color w:val="auto"/>
              </w:rPr>
            </w:pPr>
            <w:r>
              <w:rPr>
                <w:rFonts w:ascii="Arial" w:cs="Arial" w:eastAsia="Arial" w:hAnsi="Arial"/>
                <w:sz w:val="19"/>
                <w:szCs w:val="19"/>
                <w:b w:val="1"/>
                <w:bCs w:val="1"/>
                <w:color w:val="231F20"/>
              </w:rPr>
              <w:t>Short-term investments</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3840" w:type="dxa"/>
            <w:vAlign w:val="bottom"/>
          </w:tcPr>
          <w:p>
            <w:pPr>
              <w:ind w:left="200"/>
              <w:spacing w:after="0"/>
              <w:rPr>
                <w:sz w:val="20"/>
                <w:szCs w:val="20"/>
                <w:color w:val="auto"/>
              </w:rPr>
            </w:pPr>
            <w:r>
              <w:rPr>
                <w:rFonts w:ascii="Arial" w:cs="Arial" w:eastAsia="Arial" w:hAnsi="Arial"/>
                <w:sz w:val="19"/>
                <w:szCs w:val="19"/>
                <w:b w:val="1"/>
                <w:bCs w:val="1"/>
                <w:color w:val="231F20"/>
              </w:rPr>
              <w:t>U.S. Treasury securities</w:t>
            </w:r>
          </w:p>
        </w:tc>
        <w:tc>
          <w:tcPr>
            <w:tcW w:w="1220" w:type="dxa"/>
            <w:vAlign w:val="bottom"/>
          </w:tcPr>
          <w:p>
            <w:pPr>
              <w:jc w:val="center"/>
              <w:spacing w:after="0"/>
              <w:rPr>
                <w:sz w:val="20"/>
                <w:szCs w:val="20"/>
                <w:color w:val="auto"/>
              </w:rPr>
            </w:pPr>
            <w:r>
              <w:rPr>
                <w:rFonts w:ascii="Arial" w:cs="Arial" w:eastAsia="Arial" w:hAnsi="Arial"/>
                <w:sz w:val="19"/>
                <w:szCs w:val="19"/>
                <w:b w:val="1"/>
                <w:bCs w:val="1"/>
                <w:color w:val="231F20"/>
                <w:w w:val="93"/>
              </w:rPr>
              <w:t>Level 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231F20"/>
              </w:rPr>
              <w:t>74,790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9"/>
                <w:szCs w:val="19"/>
                <w:b w:val="1"/>
                <w:bCs w:val="1"/>
                <w:color w:val="231F20"/>
              </w:rPr>
              <w:t>80</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231F20"/>
              </w:rPr>
              <w:t>(20)</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74,850</w:t>
            </w:r>
          </w:p>
        </w:tc>
      </w:tr>
      <w:tr>
        <w:trPr>
          <w:trHeight w:val="223"/>
        </w:trPr>
        <w:tc>
          <w:tcPr>
            <w:tcW w:w="3840" w:type="dxa"/>
            <w:vAlign w:val="bottom"/>
          </w:tcPr>
          <w:p>
            <w:pPr>
              <w:ind w:left="200"/>
              <w:spacing w:after="0"/>
              <w:rPr>
                <w:sz w:val="20"/>
                <w:szCs w:val="20"/>
                <w:color w:val="auto"/>
              </w:rPr>
            </w:pPr>
            <w:r>
              <w:rPr>
                <w:rFonts w:ascii="Arial" w:cs="Arial" w:eastAsia="Arial" w:hAnsi="Arial"/>
                <w:sz w:val="19"/>
                <w:szCs w:val="19"/>
                <w:b w:val="1"/>
                <w:bCs w:val="1"/>
                <w:color w:val="231F20"/>
              </w:rPr>
              <w:t>U.S. government agency securities</w:t>
            </w:r>
          </w:p>
        </w:tc>
        <w:tc>
          <w:tcPr>
            <w:tcW w:w="1220" w:type="dxa"/>
            <w:vAlign w:val="bottom"/>
          </w:tcPr>
          <w:p>
            <w:pPr>
              <w:jc w:val="center"/>
              <w:spacing w:after="0"/>
              <w:rPr>
                <w:sz w:val="20"/>
                <w:szCs w:val="20"/>
                <w:color w:val="auto"/>
              </w:rPr>
            </w:pPr>
            <w:r>
              <w:rPr>
                <w:rFonts w:ascii="Arial" w:cs="Arial" w:eastAsia="Arial" w:hAnsi="Arial"/>
                <w:sz w:val="19"/>
                <w:szCs w:val="19"/>
                <w:b w:val="1"/>
                <w:bCs w:val="1"/>
                <w:color w:val="231F20"/>
                <w:w w:val="93"/>
              </w:rPr>
              <w:t>Level 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231F20"/>
              </w:rPr>
              <w:t>28,215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line="224" w:lineRule="exact"/>
              <w:rPr>
                <w:sz w:val="20"/>
                <w:szCs w:val="20"/>
                <w:color w:val="auto"/>
              </w:rPr>
            </w:pPr>
            <w:r>
              <w:rPr>
                <w:rFonts w:ascii="PMingLiU" w:cs="PMingLiU" w:eastAsia="PMingLiU" w:hAnsi="PMingLiU"/>
                <w:sz w:val="19"/>
                <w:szCs w:val="19"/>
                <w:b w:val="1"/>
                <w:bCs w:val="1"/>
                <w:color w:val="231F20"/>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231F20"/>
              </w:rPr>
              <w:t>(38)</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28,177</w:t>
            </w:r>
          </w:p>
        </w:tc>
      </w:tr>
      <w:tr>
        <w:trPr>
          <w:trHeight w:val="223"/>
        </w:trPr>
        <w:tc>
          <w:tcPr>
            <w:tcW w:w="3840" w:type="dxa"/>
            <w:vAlign w:val="bottom"/>
          </w:tcPr>
          <w:p>
            <w:pPr>
              <w:ind w:left="200"/>
              <w:spacing w:after="0"/>
              <w:rPr>
                <w:sz w:val="20"/>
                <w:szCs w:val="20"/>
                <w:color w:val="auto"/>
              </w:rPr>
            </w:pPr>
            <w:r>
              <w:rPr>
                <w:rFonts w:ascii="Arial" w:cs="Arial" w:eastAsia="Arial" w:hAnsi="Arial"/>
                <w:sz w:val="19"/>
                <w:szCs w:val="19"/>
                <w:b w:val="1"/>
                <w:bCs w:val="1"/>
                <w:color w:val="231F20"/>
              </w:rPr>
              <w:t>Corporate debt securities</w:t>
            </w:r>
          </w:p>
        </w:tc>
        <w:tc>
          <w:tcPr>
            <w:tcW w:w="1220" w:type="dxa"/>
            <w:vAlign w:val="bottom"/>
          </w:tcPr>
          <w:p>
            <w:pPr>
              <w:jc w:val="center"/>
              <w:spacing w:after="0"/>
              <w:rPr>
                <w:sz w:val="20"/>
                <w:szCs w:val="20"/>
                <w:color w:val="auto"/>
              </w:rPr>
            </w:pPr>
            <w:r>
              <w:rPr>
                <w:rFonts w:ascii="Arial" w:cs="Arial" w:eastAsia="Arial" w:hAnsi="Arial"/>
                <w:sz w:val="19"/>
                <w:szCs w:val="19"/>
                <w:b w:val="1"/>
                <w:bCs w:val="1"/>
                <w:color w:val="231F20"/>
                <w:w w:val="93"/>
              </w:rPr>
              <w:t>Level 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231F20"/>
              </w:rPr>
              <w:t>21,881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9"/>
                <w:szCs w:val="19"/>
                <w:b w:val="1"/>
                <w:bCs w:val="1"/>
                <w:color w:val="231F20"/>
              </w:rPr>
              <w:t>24</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231F20"/>
              </w:rPr>
              <w:t>(3)</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21,902</w:t>
            </w:r>
          </w:p>
        </w:tc>
      </w:tr>
      <w:tr>
        <w:trPr>
          <w:trHeight w:val="223"/>
        </w:trPr>
        <w:tc>
          <w:tcPr>
            <w:tcW w:w="3840" w:type="dxa"/>
            <w:vAlign w:val="bottom"/>
          </w:tcPr>
          <w:p>
            <w:pPr>
              <w:ind w:left="200"/>
              <w:spacing w:after="0"/>
              <w:rPr>
                <w:sz w:val="20"/>
                <w:szCs w:val="20"/>
                <w:color w:val="auto"/>
              </w:rPr>
            </w:pPr>
            <w:r>
              <w:rPr>
                <w:rFonts w:ascii="Arial" w:cs="Arial" w:eastAsia="Arial" w:hAnsi="Arial"/>
                <w:sz w:val="19"/>
                <w:szCs w:val="19"/>
                <w:b w:val="1"/>
                <w:bCs w:val="1"/>
                <w:color w:val="231F20"/>
              </w:rPr>
              <w:t>Commercial paper</w:t>
            </w:r>
          </w:p>
        </w:tc>
        <w:tc>
          <w:tcPr>
            <w:tcW w:w="1220" w:type="dxa"/>
            <w:vAlign w:val="bottom"/>
          </w:tcPr>
          <w:p>
            <w:pPr>
              <w:jc w:val="center"/>
              <w:spacing w:after="0"/>
              <w:rPr>
                <w:sz w:val="20"/>
                <w:szCs w:val="20"/>
                <w:color w:val="auto"/>
              </w:rPr>
            </w:pPr>
            <w:r>
              <w:rPr>
                <w:rFonts w:ascii="Arial" w:cs="Arial" w:eastAsia="Arial" w:hAnsi="Arial"/>
                <w:sz w:val="19"/>
                <w:szCs w:val="19"/>
                <w:b w:val="1"/>
                <w:bCs w:val="1"/>
                <w:color w:val="231F20"/>
                <w:w w:val="93"/>
              </w:rPr>
              <w:t>Level 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231F20"/>
              </w:rPr>
              <w:t>34,967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9"/>
                <w:szCs w:val="19"/>
                <w:b w:val="1"/>
                <w:bCs w:val="1"/>
                <w:color w:val="231F20"/>
              </w:rPr>
              <w:t>22</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231F20"/>
              </w:rPr>
              <w:t>(9)</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34,980</w:t>
            </w:r>
          </w:p>
        </w:tc>
      </w:tr>
      <w:tr>
        <w:trPr>
          <w:trHeight w:val="223"/>
        </w:trPr>
        <w:tc>
          <w:tcPr>
            <w:tcW w:w="3840" w:type="dxa"/>
            <w:vAlign w:val="bottom"/>
          </w:tcPr>
          <w:p>
            <w:pPr>
              <w:ind w:left="200"/>
              <w:spacing w:after="0"/>
              <w:rPr>
                <w:sz w:val="20"/>
                <w:szCs w:val="20"/>
                <w:color w:val="auto"/>
              </w:rPr>
            </w:pPr>
            <w:r>
              <w:rPr>
                <w:rFonts w:ascii="Arial" w:cs="Arial" w:eastAsia="Arial" w:hAnsi="Arial"/>
                <w:sz w:val="19"/>
                <w:szCs w:val="19"/>
                <w:b w:val="1"/>
                <w:bCs w:val="1"/>
                <w:color w:val="231F20"/>
              </w:rPr>
              <w:t>Asset-backed securities</w:t>
            </w:r>
          </w:p>
        </w:tc>
        <w:tc>
          <w:tcPr>
            <w:tcW w:w="1220" w:type="dxa"/>
            <w:vAlign w:val="bottom"/>
          </w:tcPr>
          <w:p>
            <w:pPr>
              <w:jc w:val="center"/>
              <w:spacing w:after="0"/>
              <w:rPr>
                <w:sz w:val="20"/>
                <w:szCs w:val="20"/>
                <w:color w:val="auto"/>
              </w:rPr>
            </w:pPr>
            <w:r>
              <w:rPr>
                <w:rFonts w:ascii="Arial" w:cs="Arial" w:eastAsia="Arial" w:hAnsi="Arial"/>
                <w:sz w:val="19"/>
                <w:szCs w:val="19"/>
                <w:b w:val="1"/>
                <w:bCs w:val="1"/>
                <w:color w:val="231F20"/>
                <w:w w:val="93"/>
              </w:rPr>
              <w:t>Level 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231F20"/>
              </w:rPr>
              <w:t>423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line="224" w:lineRule="exact"/>
              <w:rPr>
                <w:sz w:val="20"/>
                <w:szCs w:val="20"/>
                <w:color w:val="auto"/>
              </w:rPr>
            </w:pPr>
            <w:r>
              <w:rPr>
                <w:rFonts w:ascii="PMingLiU" w:cs="PMingLiU" w:eastAsia="PMingLiU" w:hAnsi="PMingLiU"/>
                <w:sz w:val="19"/>
                <w:szCs w:val="19"/>
                <w:b w:val="1"/>
                <w:bCs w:val="1"/>
                <w:color w:val="231F20"/>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231F20"/>
              </w:rPr>
              <w:t>(2)</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421</w:t>
            </w:r>
          </w:p>
        </w:tc>
      </w:tr>
      <w:tr>
        <w:trPr>
          <w:trHeight w:val="223"/>
        </w:trPr>
        <w:tc>
          <w:tcPr>
            <w:tcW w:w="3840" w:type="dxa"/>
            <w:vAlign w:val="bottom"/>
          </w:tcPr>
          <w:p>
            <w:pPr>
              <w:spacing w:after="0"/>
              <w:rPr>
                <w:sz w:val="20"/>
                <w:szCs w:val="20"/>
                <w:color w:val="auto"/>
              </w:rPr>
            </w:pPr>
            <w:r>
              <w:rPr>
                <w:rFonts w:ascii="Arial" w:cs="Arial" w:eastAsia="Arial" w:hAnsi="Arial"/>
                <w:sz w:val="19"/>
                <w:szCs w:val="19"/>
                <w:b w:val="1"/>
                <w:bCs w:val="1"/>
                <w:color w:val="231F20"/>
              </w:rPr>
              <w:t>Long-term investments</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3840" w:type="dxa"/>
            <w:vAlign w:val="bottom"/>
          </w:tcPr>
          <w:p>
            <w:pPr>
              <w:ind w:left="200"/>
              <w:spacing w:after="0"/>
              <w:rPr>
                <w:sz w:val="20"/>
                <w:szCs w:val="20"/>
                <w:color w:val="auto"/>
              </w:rPr>
            </w:pPr>
            <w:r>
              <w:rPr>
                <w:rFonts w:ascii="Arial" w:cs="Arial" w:eastAsia="Arial" w:hAnsi="Arial"/>
                <w:sz w:val="19"/>
                <w:szCs w:val="19"/>
                <w:b w:val="1"/>
                <w:bCs w:val="1"/>
                <w:color w:val="231F20"/>
              </w:rPr>
              <w:t>U.S. Treasury securities</w:t>
            </w:r>
          </w:p>
        </w:tc>
        <w:tc>
          <w:tcPr>
            <w:tcW w:w="1220" w:type="dxa"/>
            <w:vAlign w:val="bottom"/>
          </w:tcPr>
          <w:p>
            <w:pPr>
              <w:jc w:val="center"/>
              <w:spacing w:after="0"/>
              <w:rPr>
                <w:sz w:val="20"/>
                <w:szCs w:val="20"/>
                <w:color w:val="auto"/>
              </w:rPr>
            </w:pPr>
            <w:r>
              <w:rPr>
                <w:rFonts w:ascii="Arial" w:cs="Arial" w:eastAsia="Arial" w:hAnsi="Arial"/>
                <w:sz w:val="19"/>
                <w:szCs w:val="19"/>
                <w:b w:val="1"/>
                <w:bCs w:val="1"/>
                <w:color w:val="231F20"/>
                <w:w w:val="93"/>
              </w:rPr>
              <w:t>Level 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231F20"/>
              </w:rPr>
              <w:t>14,737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9"/>
                <w:szCs w:val="19"/>
                <w:b w:val="1"/>
                <w:bCs w:val="1"/>
                <w:color w:val="231F20"/>
              </w:rPr>
              <w:t>75</w:t>
            </w:r>
          </w:p>
        </w:tc>
        <w:tc>
          <w:tcPr>
            <w:tcW w:w="100" w:type="dxa"/>
            <w:vAlign w:val="bottom"/>
          </w:tcPr>
          <w:p>
            <w:pPr>
              <w:spacing w:after="0"/>
              <w:rPr>
                <w:sz w:val="19"/>
                <w:szCs w:val="19"/>
                <w:color w:val="auto"/>
              </w:rPr>
            </w:pPr>
          </w:p>
        </w:tc>
        <w:tc>
          <w:tcPr>
            <w:tcW w:w="1000" w:type="dxa"/>
            <w:vAlign w:val="bottom"/>
          </w:tcPr>
          <w:p>
            <w:pPr>
              <w:jc w:val="right"/>
              <w:spacing w:after="0" w:line="224" w:lineRule="exact"/>
              <w:rPr>
                <w:sz w:val="20"/>
                <w:szCs w:val="20"/>
                <w:color w:val="auto"/>
              </w:rPr>
            </w:pPr>
            <w:r>
              <w:rPr>
                <w:rFonts w:ascii="PMingLiU" w:cs="PMingLiU" w:eastAsia="PMingLiU" w:hAnsi="PMingLiU"/>
                <w:sz w:val="19"/>
                <w:szCs w:val="19"/>
                <w:b w:val="1"/>
                <w:bCs w:val="1"/>
                <w:color w:val="231F20"/>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14,812</w:t>
            </w:r>
          </w:p>
        </w:tc>
      </w:tr>
      <w:tr>
        <w:trPr>
          <w:trHeight w:val="223"/>
        </w:trPr>
        <w:tc>
          <w:tcPr>
            <w:tcW w:w="3840" w:type="dxa"/>
            <w:vAlign w:val="bottom"/>
          </w:tcPr>
          <w:p>
            <w:pPr>
              <w:ind w:left="200"/>
              <w:spacing w:after="0"/>
              <w:rPr>
                <w:sz w:val="20"/>
                <w:szCs w:val="20"/>
                <w:color w:val="auto"/>
              </w:rPr>
            </w:pPr>
            <w:r>
              <w:rPr>
                <w:rFonts w:ascii="Arial" w:cs="Arial" w:eastAsia="Arial" w:hAnsi="Arial"/>
                <w:sz w:val="19"/>
                <w:szCs w:val="19"/>
                <w:b w:val="1"/>
                <w:bCs w:val="1"/>
                <w:color w:val="231F20"/>
              </w:rPr>
              <w:t>U.S. government agency securities</w:t>
            </w:r>
          </w:p>
        </w:tc>
        <w:tc>
          <w:tcPr>
            <w:tcW w:w="1220" w:type="dxa"/>
            <w:vAlign w:val="bottom"/>
          </w:tcPr>
          <w:p>
            <w:pPr>
              <w:jc w:val="center"/>
              <w:spacing w:after="0"/>
              <w:rPr>
                <w:sz w:val="20"/>
                <w:szCs w:val="20"/>
                <w:color w:val="auto"/>
              </w:rPr>
            </w:pPr>
            <w:r>
              <w:rPr>
                <w:rFonts w:ascii="Arial" w:cs="Arial" w:eastAsia="Arial" w:hAnsi="Arial"/>
                <w:sz w:val="19"/>
                <w:szCs w:val="19"/>
                <w:b w:val="1"/>
                <w:bCs w:val="1"/>
                <w:color w:val="231F20"/>
                <w:w w:val="93"/>
              </w:rPr>
              <w:t>Level 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231F20"/>
              </w:rPr>
              <w:t>3,009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9"/>
                <w:szCs w:val="19"/>
                <w:b w:val="1"/>
                <w:bCs w:val="1"/>
                <w:color w:val="231F20"/>
              </w:rPr>
              <w:t>31</w:t>
            </w:r>
          </w:p>
        </w:tc>
        <w:tc>
          <w:tcPr>
            <w:tcW w:w="100" w:type="dxa"/>
            <w:vAlign w:val="bottom"/>
          </w:tcPr>
          <w:p>
            <w:pPr>
              <w:spacing w:after="0"/>
              <w:rPr>
                <w:sz w:val="19"/>
                <w:szCs w:val="19"/>
                <w:color w:val="auto"/>
              </w:rPr>
            </w:pPr>
          </w:p>
        </w:tc>
        <w:tc>
          <w:tcPr>
            <w:tcW w:w="1000" w:type="dxa"/>
            <w:vAlign w:val="bottom"/>
          </w:tcPr>
          <w:p>
            <w:pPr>
              <w:jc w:val="right"/>
              <w:spacing w:after="0" w:line="224" w:lineRule="exact"/>
              <w:rPr>
                <w:sz w:val="20"/>
                <w:szCs w:val="20"/>
                <w:color w:val="auto"/>
              </w:rPr>
            </w:pPr>
            <w:r>
              <w:rPr>
                <w:rFonts w:ascii="PMingLiU" w:cs="PMingLiU" w:eastAsia="PMingLiU" w:hAnsi="PMingLiU"/>
                <w:sz w:val="19"/>
                <w:szCs w:val="19"/>
                <w:b w:val="1"/>
                <w:bCs w:val="1"/>
                <w:color w:val="231F20"/>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rPr>
              <w:t>3,040</w:t>
            </w:r>
          </w:p>
        </w:tc>
      </w:tr>
      <w:tr>
        <w:trPr>
          <w:trHeight w:val="223"/>
        </w:trPr>
        <w:tc>
          <w:tcPr>
            <w:tcW w:w="3840" w:type="dxa"/>
            <w:vAlign w:val="bottom"/>
          </w:tcPr>
          <w:p>
            <w:pPr>
              <w:ind w:left="200"/>
              <w:spacing w:after="0"/>
              <w:rPr>
                <w:sz w:val="20"/>
                <w:szCs w:val="20"/>
                <w:color w:val="auto"/>
              </w:rPr>
            </w:pPr>
            <w:r>
              <w:rPr>
                <w:rFonts w:ascii="Arial" w:cs="Arial" w:eastAsia="Arial" w:hAnsi="Arial"/>
                <w:sz w:val="19"/>
                <w:szCs w:val="19"/>
                <w:b w:val="1"/>
                <w:bCs w:val="1"/>
                <w:color w:val="231F20"/>
              </w:rPr>
              <w:t>Corporate debt securities</w:t>
            </w:r>
          </w:p>
        </w:tc>
        <w:tc>
          <w:tcPr>
            <w:tcW w:w="1220" w:type="dxa"/>
            <w:vAlign w:val="bottom"/>
          </w:tcPr>
          <w:p>
            <w:pPr>
              <w:jc w:val="center"/>
              <w:spacing w:after="0"/>
              <w:rPr>
                <w:sz w:val="20"/>
                <w:szCs w:val="20"/>
                <w:color w:val="auto"/>
              </w:rPr>
            </w:pPr>
            <w:r>
              <w:rPr>
                <w:rFonts w:ascii="Arial" w:cs="Arial" w:eastAsia="Arial" w:hAnsi="Arial"/>
                <w:sz w:val="19"/>
                <w:szCs w:val="19"/>
                <w:b w:val="1"/>
                <w:bCs w:val="1"/>
                <w:color w:val="231F20"/>
                <w:w w:val="93"/>
              </w:rPr>
              <w:t>Level 2</w:t>
            </w:r>
          </w:p>
        </w:tc>
        <w:tc>
          <w:tcPr>
            <w:tcW w:w="140" w:type="dxa"/>
            <w:vAlign w:val="bottom"/>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102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17,464</w:t>
            </w:r>
          </w:p>
        </w:tc>
        <w:tc>
          <w:tcPr>
            <w:tcW w:w="240" w:type="dxa"/>
            <w:vAlign w:val="bottom"/>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102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95</w:t>
            </w:r>
          </w:p>
        </w:tc>
        <w:tc>
          <w:tcPr>
            <w:tcW w:w="240" w:type="dxa"/>
            <w:vAlign w:val="bottom"/>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1000" w:type="dxa"/>
            <w:vAlign w:val="bottom"/>
            <w:tcBorders>
              <w:bottom w:val="single" w:sz="8" w:color="231F20"/>
            </w:tcBorders>
          </w:tcPr>
          <w:p>
            <w:pPr>
              <w:jc w:val="right"/>
              <w:spacing w:after="0" w:line="223" w:lineRule="exact"/>
              <w:rPr>
                <w:sz w:val="20"/>
                <w:szCs w:val="20"/>
                <w:color w:val="auto"/>
              </w:rPr>
            </w:pPr>
            <w:r>
              <w:rPr>
                <w:rFonts w:ascii="PMingLiU" w:cs="PMingLiU" w:eastAsia="PMingLiU" w:hAnsi="PMingLiU"/>
                <w:sz w:val="19"/>
                <w:szCs w:val="19"/>
                <w:b w:val="1"/>
                <w:bCs w:val="1"/>
                <w:color w:val="231F20"/>
              </w:rPr>
              <w:t></w:t>
            </w:r>
          </w:p>
        </w:tc>
        <w:tc>
          <w:tcPr>
            <w:tcW w:w="24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17,559</w:t>
            </w:r>
          </w:p>
        </w:tc>
      </w:tr>
      <w:tr>
        <w:trPr>
          <w:trHeight w:val="213"/>
        </w:trPr>
        <w:tc>
          <w:tcPr>
            <w:tcW w:w="3840" w:type="dxa"/>
            <w:vAlign w:val="bottom"/>
          </w:tcPr>
          <w:p>
            <w:pPr>
              <w:spacing w:after="0" w:line="214" w:lineRule="exact"/>
              <w:rPr>
                <w:sz w:val="20"/>
                <w:szCs w:val="20"/>
                <w:color w:val="auto"/>
              </w:rPr>
            </w:pPr>
            <w:r>
              <w:rPr>
                <w:rFonts w:ascii="Arial" w:cs="Arial" w:eastAsia="Arial" w:hAnsi="Arial"/>
                <w:sz w:val="19"/>
                <w:szCs w:val="19"/>
                <w:b w:val="1"/>
                <w:bCs w:val="1"/>
                <w:color w:val="231F20"/>
              </w:rPr>
              <w:t>Total</w:t>
            </w:r>
          </w:p>
        </w:tc>
        <w:tc>
          <w:tcPr>
            <w:tcW w:w="1220" w:type="dxa"/>
            <w:vAlign w:val="bottom"/>
          </w:tcPr>
          <w:p>
            <w:pPr>
              <w:spacing w:after="0"/>
              <w:rPr>
                <w:sz w:val="18"/>
                <w:szCs w:val="18"/>
                <w:color w:val="auto"/>
              </w:rPr>
            </w:pPr>
          </w:p>
        </w:tc>
        <w:tc>
          <w:tcPr>
            <w:tcW w:w="240" w:type="dxa"/>
            <w:vAlign w:val="bottom"/>
            <w:gridSpan w:val="2"/>
          </w:tcPr>
          <w:p>
            <w:pPr>
              <w:jc w:val="right"/>
              <w:spacing w:after="0" w:line="214" w:lineRule="exact"/>
              <w:rPr>
                <w:sz w:val="20"/>
                <w:szCs w:val="20"/>
                <w:color w:val="auto"/>
              </w:rPr>
            </w:pPr>
            <w:r>
              <w:rPr>
                <w:rFonts w:ascii="Arial" w:cs="Arial" w:eastAsia="Arial" w:hAnsi="Arial"/>
                <w:sz w:val="19"/>
                <w:szCs w:val="19"/>
                <w:b w:val="1"/>
                <w:bCs w:val="1"/>
                <w:color w:val="231F20"/>
              </w:rPr>
              <w:t>$</w:t>
            </w:r>
          </w:p>
        </w:tc>
        <w:tc>
          <w:tcPr>
            <w:tcW w:w="1020" w:type="dxa"/>
            <w:vAlign w:val="bottom"/>
          </w:tcPr>
          <w:p>
            <w:pPr>
              <w:jc w:val="right"/>
              <w:spacing w:after="0" w:line="214" w:lineRule="exact"/>
              <w:rPr>
                <w:sz w:val="20"/>
                <w:szCs w:val="20"/>
                <w:color w:val="auto"/>
              </w:rPr>
            </w:pPr>
            <w:r>
              <w:rPr>
                <w:rFonts w:ascii="Arial" w:cs="Arial" w:eastAsia="Arial" w:hAnsi="Arial"/>
                <w:sz w:val="19"/>
                <w:szCs w:val="19"/>
                <w:b w:val="1"/>
                <w:bCs w:val="1"/>
                <w:color w:val="231F20"/>
              </w:rPr>
              <w:t>215,566</w:t>
            </w:r>
          </w:p>
        </w:tc>
        <w:tc>
          <w:tcPr>
            <w:tcW w:w="340" w:type="dxa"/>
            <w:vAlign w:val="bottom"/>
            <w:gridSpan w:val="2"/>
          </w:tcPr>
          <w:p>
            <w:pPr>
              <w:jc w:val="right"/>
              <w:spacing w:after="0" w:line="214" w:lineRule="exact"/>
              <w:rPr>
                <w:sz w:val="20"/>
                <w:szCs w:val="20"/>
                <w:color w:val="auto"/>
              </w:rPr>
            </w:pPr>
            <w:r>
              <w:rPr>
                <w:rFonts w:ascii="Arial" w:cs="Arial" w:eastAsia="Arial" w:hAnsi="Arial"/>
                <w:sz w:val="19"/>
                <w:szCs w:val="19"/>
                <w:b w:val="1"/>
                <w:bCs w:val="1"/>
                <w:color w:val="231F20"/>
              </w:rPr>
              <w:t>$</w:t>
            </w:r>
          </w:p>
        </w:tc>
        <w:tc>
          <w:tcPr>
            <w:tcW w:w="1260" w:type="dxa"/>
            <w:vAlign w:val="bottom"/>
            <w:gridSpan w:val="2"/>
          </w:tcPr>
          <w:p>
            <w:pPr>
              <w:jc w:val="right"/>
              <w:ind w:right="240"/>
              <w:spacing w:after="0" w:line="214" w:lineRule="exact"/>
              <w:rPr>
                <w:sz w:val="20"/>
                <w:szCs w:val="20"/>
                <w:color w:val="auto"/>
              </w:rPr>
            </w:pPr>
            <w:r>
              <w:rPr>
                <w:rFonts w:ascii="Arial" w:cs="Arial" w:eastAsia="Arial" w:hAnsi="Arial"/>
                <w:sz w:val="19"/>
                <w:szCs w:val="19"/>
                <w:b w:val="1"/>
                <w:bCs w:val="1"/>
                <w:color w:val="231F20"/>
              </w:rPr>
              <w:t>328</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231F20"/>
                <w:w w:val="71"/>
              </w:rPr>
              <w:t>$</w:t>
            </w:r>
          </w:p>
        </w:tc>
        <w:tc>
          <w:tcPr>
            <w:tcW w:w="1240" w:type="dxa"/>
            <w:vAlign w:val="bottom"/>
            <w:gridSpan w:val="2"/>
          </w:tcPr>
          <w:p>
            <w:pPr>
              <w:jc w:val="right"/>
              <w:ind w:right="160"/>
              <w:spacing w:after="0" w:line="214" w:lineRule="exact"/>
              <w:rPr>
                <w:sz w:val="20"/>
                <w:szCs w:val="20"/>
                <w:color w:val="auto"/>
              </w:rPr>
            </w:pPr>
            <w:r>
              <w:rPr>
                <w:rFonts w:ascii="Arial" w:cs="Arial" w:eastAsia="Arial" w:hAnsi="Arial"/>
                <w:sz w:val="19"/>
                <w:szCs w:val="19"/>
                <w:b w:val="1"/>
                <w:bCs w:val="1"/>
                <w:color w:val="231F20"/>
              </w:rPr>
              <w:t>(72)</w:t>
            </w:r>
          </w:p>
        </w:tc>
        <w:tc>
          <w:tcPr>
            <w:tcW w:w="120" w:type="dxa"/>
            <w:vAlign w:val="bottom"/>
          </w:tcPr>
          <w:p>
            <w:pPr>
              <w:jc w:val="right"/>
              <w:spacing w:after="0" w:line="214" w:lineRule="exact"/>
              <w:rPr>
                <w:sz w:val="20"/>
                <w:szCs w:val="20"/>
                <w:color w:val="auto"/>
              </w:rPr>
            </w:pPr>
            <w:r>
              <w:rPr>
                <w:rFonts w:ascii="Arial" w:cs="Arial" w:eastAsia="Arial" w:hAnsi="Arial"/>
                <w:sz w:val="19"/>
                <w:szCs w:val="19"/>
                <w:b w:val="1"/>
                <w:bCs w:val="1"/>
                <w:color w:val="231F20"/>
                <w:w w:val="75"/>
              </w:rPr>
              <w:t>$</w:t>
            </w:r>
          </w:p>
        </w:tc>
        <w:tc>
          <w:tcPr>
            <w:tcW w:w="1000" w:type="dxa"/>
            <w:vAlign w:val="bottom"/>
          </w:tcPr>
          <w:p>
            <w:pPr>
              <w:jc w:val="right"/>
              <w:spacing w:after="0" w:line="214" w:lineRule="exact"/>
              <w:rPr>
                <w:sz w:val="20"/>
                <w:szCs w:val="20"/>
                <w:color w:val="auto"/>
              </w:rPr>
            </w:pPr>
            <w:r>
              <w:rPr>
                <w:rFonts w:ascii="Arial" w:cs="Arial" w:eastAsia="Arial" w:hAnsi="Arial"/>
                <w:sz w:val="19"/>
                <w:szCs w:val="19"/>
                <w:b w:val="1"/>
                <w:bCs w:val="1"/>
                <w:color w:val="231F20"/>
              </w:rPr>
              <w:t>215,822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-11430</wp:posOffset>
            </wp:positionV>
            <wp:extent cx="3317240" cy="5461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317240" cy="54610"/>
                    </a:xfrm>
                    <a:prstGeom prst="rect">
                      <a:avLst/>
                    </a:prstGeom>
                    <a:noFill/>
                  </pic:spPr>
                </pic:pic>
              </a:graphicData>
            </a:graphic>
          </wp:anchor>
        </w:drawing>
      </w:r>
    </w:p>
    <w:p>
      <w:pPr>
        <w:spacing w:after="0" w:line="256" w:lineRule="exact"/>
        <w:rPr>
          <w:sz w:val="20"/>
          <w:szCs w:val="20"/>
          <w:color w:val="auto"/>
        </w:rPr>
      </w:pPr>
    </w:p>
    <w:p>
      <w:pPr>
        <w:ind w:right="40" w:firstLine="475"/>
        <w:spacing w:after="0" w:line="239" w:lineRule="auto"/>
        <w:rPr>
          <w:sz w:val="20"/>
          <w:szCs w:val="20"/>
          <w:color w:val="auto"/>
        </w:rPr>
      </w:pPr>
      <w:r>
        <w:rPr>
          <w:rFonts w:ascii="Arial" w:cs="Arial" w:eastAsia="Arial" w:hAnsi="Arial"/>
          <w:sz w:val="19"/>
          <w:szCs w:val="19"/>
          <w:b w:val="1"/>
          <w:bCs w:val="1"/>
          <w:color w:val="231F20"/>
        </w:rPr>
        <w:t>The Company did not have any outstanding financial liabilities to be re-measured on a recurring basis as of December 31, 2024 and 2023.</w:t>
      </w:r>
    </w:p>
    <w:p>
      <w:pPr>
        <w:spacing w:after="0" w:line="126" w:lineRule="exact"/>
        <w:rPr>
          <w:sz w:val="20"/>
          <w:szCs w:val="20"/>
          <w:color w:val="auto"/>
        </w:rPr>
      </w:pPr>
    </w:p>
    <w:p>
      <w:pPr>
        <w:ind w:right="420" w:firstLine="475"/>
        <w:spacing w:after="0" w:line="239" w:lineRule="auto"/>
        <w:rPr>
          <w:sz w:val="20"/>
          <w:szCs w:val="20"/>
          <w:color w:val="auto"/>
        </w:rPr>
      </w:pPr>
      <w:r>
        <w:rPr>
          <w:rFonts w:ascii="Arial" w:cs="Arial" w:eastAsia="Arial" w:hAnsi="Arial"/>
          <w:sz w:val="19"/>
          <w:szCs w:val="19"/>
          <w:b w:val="1"/>
          <w:bCs w:val="1"/>
          <w:color w:val="231F20"/>
        </w:rPr>
        <w:t>The fair value of cash equivalents and available-for-sale investments by classification included in the consolidated balance sheets was as follows as of December 31, 2024 and 2023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gridSpan w:val="2"/>
          </w:tcPr>
          <w:p>
            <w:pPr>
              <w:ind w:left="140"/>
              <w:spacing w:after="0"/>
              <w:rPr>
                <w:sz w:val="20"/>
                <w:szCs w:val="20"/>
                <w:color w:val="auto"/>
              </w:rPr>
            </w:pPr>
            <w:r>
              <w:rPr>
                <w:rFonts w:ascii="Arial" w:cs="Arial" w:eastAsia="Arial" w:hAnsi="Arial"/>
                <w:sz w:val="19"/>
                <w:szCs w:val="19"/>
                <w:b w:val="1"/>
                <w:bCs w:val="1"/>
                <w:color w:val="231F20"/>
              </w:rPr>
              <w:t>December 31,</w:t>
            </w:r>
          </w:p>
        </w:tc>
        <w:tc>
          <w:tcPr>
            <w:tcW w:w="240" w:type="dxa"/>
            <w:vAlign w:val="bottom"/>
          </w:tcPr>
          <w:p>
            <w:pPr>
              <w:spacing w:after="0"/>
              <w:rPr>
                <w:sz w:val="19"/>
                <w:szCs w:val="19"/>
                <w:color w:val="auto"/>
              </w:rPr>
            </w:pPr>
          </w:p>
        </w:tc>
        <w:tc>
          <w:tcPr>
            <w:tcW w:w="1660" w:type="dxa"/>
            <w:vAlign w:val="bottom"/>
          </w:tcPr>
          <w:p>
            <w:pPr>
              <w:jc w:val="right"/>
              <w:ind w:right="283"/>
              <w:spacing w:after="0"/>
              <w:rPr>
                <w:sz w:val="20"/>
                <w:szCs w:val="20"/>
                <w:color w:val="auto"/>
              </w:rPr>
            </w:pPr>
            <w:r>
              <w:rPr>
                <w:rFonts w:ascii="Arial" w:cs="Arial" w:eastAsia="Arial" w:hAnsi="Arial"/>
                <w:sz w:val="19"/>
                <w:szCs w:val="19"/>
                <w:b w:val="1"/>
                <w:bCs w:val="1"/>
                <w:color w:val="231F20"/>
              </w:rPr>
              <w:t>December 31,</w:t>
            </w:r>
          </w:p>
        </w:tc>
      </w:tr>
      <w:tr>
        <w:trPr>
          <w:trHeight w:val="223"/>
        </w:trPr>
        <w:tc>
          <w:tcPr>
            <w:tcW w:w="6280" w:type="dxa"/>
            <w:vAlign w:val="bottom"/>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1640" w:type="dxa"/>
            <w:vAlign w:val="bottom"/>
            <w:tcBorders>
              <w:bottom w:val="single" w:sz="8" w:color="231F20"/>
            </w:tcBorders>
          </w:tcPr>
          <w:p>
            <w:pPr>
              <w:jc w:val="right"/>
              <w:ind w:right="643"/>
              <w:spacing w:after="0"/>
              <w:rPr>
                <w:sz w:val="20"/>
                <w:szCs w:val="20"/>
                <w:color w:val="auto"/>
              </w:rPr>
            </w:pPr>
            <w:r>
              <w:rPr>
                <w:rFonts w:ascii="Arial" w:cs="Arial" w:eastAsia="Arial" w:hAnsi="Arial"/>
                <w:sz w:val="19"/>
                <w:szCs w:val="19"/>
                <w:b w:val="1"/>
                <w:bCs w:val="1"/>
                <w:color w:val="231F20"/>
              </w:rPr>
              <w:t>2024</w:t>
            </w:r>
          </w:p>
        </w:tc>
        <w:tc>
          <w:tcPr>
            <w:tcW w:w="320" w:type="dxa"/>
            <w:vAlign w:val="bottom"/>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1660" w:type="dxa"/>
            <w:vAlign w:val="bottom"/>
            <w:tcBorders>
              <w:bottom w:val="single" w:sz="8" w:color="231F20"/>
            </w:tcBorders>
          </w:tcPr>
          <w:p>
            <w:pPr>
              <w:jc w:val="right"/>
              <w:ind w:right="663"/>
              <w:spacing w:after="0"/>
              <w:rPr>
                <w:sz w:val="20"/>
                <w:szCs w:val="20"/>
                <w:color w:val="auto"/>
              </w:rPr>
            </w:pPr>
            <w:r>
              <w:rPr>
                <w:rFonts w:ascii="Arial" w:cs="Arial" w:eastAsia="Arial" w:hAnsi="Arial"/>
                <w:sz w:val="19"/>
                <w:szCs w:val="19"/>
                <w:b w:val="1"/>
                <w:bCs w:val="1"/>
                <w:color w:val="231F20"/>
              </w:rPr>
              <w:t>2023</w:t>
            </w:r>
          </w:p>
        </w:tc>
      </w:tr>
      <w:tr>
        <w:trPr>
          <w:trHeight w:val="213"/>
        </w:trPr>
        <w:tc>
          <w:tcPr>
            <w:tcW w:w="6280" w:type="dxa"/>
            <w:vAlign w:val="bottom"/>
          </w:tcPr>
          <w:p>
            <w:pPr>
              <w:spacing w:after="0" w:line="214" w:lineRule="exact"/>
              <w:rPr>
                <w:sz w:val="20"/>
                <w:szCs w:val="20"/>
                <w:color w:val="auto"/>
              </w:rPr>
            </w:pPr>
            <w:r>
              <w:rPr>
                <w:rFonts w:ascii="Arial" w:cs="Arial" w:eastAsia="Arial" w:hAnsi="Arial"/>
                <w:sz w:val="19"/>
                <w:szCs w:val="19"/>
                <w:b w:val="1"/>
                <w:bCs w:val="1"/>
                <w:color w:val="231F20"/>
              </w:rPr>
              <w:t>Cash equivalents</w:t>
            </w:r>
          </w:p>
        </w:tc>
        <w:tc>
          <w:tcPr>
            <w:tcW w:w="240" w:type="dxa"/>
            <w:vAlign w:val="bottom"/>
          </w:tcPr>
          <w:p>
            <w:pPr>
              <w:jc w:val="right"/>
              <w:ind w:right="43"/>
              <w:spacing w:after="0" w:line="214" w:lineRule="exact"/>
              <w:rPr>
                <w:sz w:val="20"/>
                <w:szCs w:val="20"/>
                <w:color w:val="auto"/>
              </w:rPr>
            </w:pPr>
            <w:r>
              <w:rPr>
                <w:rFonts w:ascii="Arial" w:cs="Arial" w:eastAsia="Arial" w:hAnsi="Arial"/>
                <w:sz w:val="19"/>
                <w:szCs w:val="19"/>
                <w:b w:val="1"/>
                <w:bCs w:val="1"/>
                <w:color w:val="231F20"/>
                <w:w w:val="75"/>
              </w:rPr>
              <w:t>$</w:t>
            </w:r>
          </w:p>
        </w:tc>
        <w:tc>
          <w:tcPr>
            <w:tcW w:w="1640" w:type="dxa"/>
            <w:vAlign w:val="bottom"/>
          </w:tcPr>
          <w:p>
            <w:pPr>
              <w:jc w:val="right"/>
              <w:spacing w:after="0" w:line="214" w:lineRule="exact"/>
              <w:rPr>
                <w:sz w:val="20"/>
                <w:szCs w:val="20"/>
                <w:color w:val="auto"/>
              </w:rPr>
            </w:pPr>
            <w:r>
              <w:rPr>
                <w:rFonts w:ascii="Arial" w:cs="Arial" w:eastAsia="Arial" w:hAnsi="Arial"/>
                <w:sz w:val="19"/>
                <w:szCs w:val="19"/>
                <w:b w:val="1"/>
                <w:bCs w:val="1"/>
                <w:color w:val="231F20"/>
              </w:rPr>
              <w:t>15,468</w:t>
            </w:r>
          </w:p>
        </w:tc>
        <w:tc>
          <w:tcPr>
            <w:tcW w:w="320" w:type="dxa"/>
            <w:vAlign w:val="bottom"/>
          </w:tcPr>
          <w:p>
            <w:pPr>
              <w:spacing w:after="0"/>
              <w:rPr>
                <w:sz w:val="18"/>
                <w:szCs w:val="18"/>
                <w:color w:val="auto"/>
              </w:rPr>
            </w:pPr>
          </w:p>
        </w:tc>
        <w:tc>
          <w:tcPr>
            <w:tcW w:w="240" w:type="dxa"/>
            <w:vAlign w:val="bottom"/>
          </w:tcPr>
          <w:p>
            <w:pPr>
              <w:jc w:val="right"/>
              <w:ind w:right="43"/>
              <w:spacing w:after="0" w:line="214" w:lineRule="exact"/>
              <w:rPr>
                <w:sz w:val="20"/>
                <w:szCs w:val="20"/>
                <w:color w:val="auto"/>
              </w:rPr>
            </w:pPr>
            <w:r>
              <w:rPr>
                <w:rFonts w:ascii="Arial" w:cs="Arial" w:eastAsia="Arial" w:hAnsi="Arial"/>
                <w:sz w:val="19"/>
                <w:szCs w:val="19"/>
                <w:b w:val="1"/>
                <w:bCs w:val="1"/>
                <w:color w:val="231F20"/>
                <w:w w:val="75"/>
              </w:rPr>
              <w:t>$</w:t>
            </w:r>
          </w:p>
        </w:tc>
        <w:tc>
          <w:tcPr>
            <w:tcW w:w="1660" w:type="dxa"/>
            <w:vAlign w:val="bottom"/>
          </w:tcPr>
          <w:p>
            <w:pPr>
              <w:jc w:val="right"/>
              <w:spacing w:after="0" w:line="214" w:lineRule="exact"/>
              <w:rPr>
                <w:sz w:val="20"/>
                <w:szCs w:val="20"/>
                <w:color w:val="auto"/>
              </w:rPr>
            </w:pPr>
            <w:r>
              <w:rPr>
                <w:rFonts w:ascii="Arial" w:cs="Arial" w:eastAsia="Arial" w:hAnsi="Arial"/>
                <w:sz w:val="19"/>
                <w:szCs w:val="19"/>
                <w:b w:val="1"/>
                <w:bCs w:val="1"/>
                <w:color w:val="231F20"/>
              </w:rPr>
              <w:t>20,081</w:t>
            </w:r>
          </w:p>
        </w:tc>
      </w:tr>
      <w:tr>
        <w:trPr>
          <w:trHeight w:val="221"/>
        </w:trPr>
        <w:tc>
          <w:tcPr>
            <w:tcW w:w="6280" w:type="dxa"/>
            <w:vAlign w:val="bottom"/>
          </w:tcPr>
          <w:p>
            <w:pPr>
              <w:spacing w:after="0"/>
              <w:rPr>
                <w:sz w:val="20"/>
                <w:szCs w:val="20"/>
                <w:color w:val="auto"/>
              </w:rPr>
            </w:pPr>
            <w:r>
              <w:rPr>
                <w:rFonts w:ascii="Arial" w:cs="Arial" w:eastAsia="Arial" w:hAnsi="Arial"/>
                <w:sz w:val="19"/>
                <w:szCs w:val="19"/>
                <w:b w:val="1"/>
                <w:bCs w:val="1"/>
                <w:color w:val="231F20"/>
              </w:rPr>
              <w:t>Short-term investments</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9"/>
                <w:szCs w:val="19"/>
                <w:b w:val="1"/>
                <w:bCs w:val="1"/>
                <w:color w:val="231F20"/>
              </w:rPr>
              <w:t>110,190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9"/>
                <w:szCs w:val="19"/>
                <w:b w:val="1"/>
                <w:bCs w:val="1"/>
                <w:color w:val="231F20"/>
              </w:rPr>
              <w:t>160,330</w:t>
            </w:r>
          </w:p>
        </w:tc>
      </w:tr>
      <w:tr>
        <w:trPr>
          <w:trHeight w:val="224"/>
        </w:trPr>
        <w:tc>
          <w:tcPr>
            <w:tcW w:w="6280" w:type="dxa"/>
            <w:vAlign w:val="bottom"/>
          </w:tcPr>
          <w:p>
            <w:pPr>
              <w:spacing w:after="0"/>
              <w:rPr>
                <w:sz w:val="20"/>
                <w:szCs w:val="20"/>
                <w:color w:val="auto"/>
              </w:rPr>
            </w:pPr>
            <w:r>
              <w:rPr>
                <w:rFonts w:ascii="Arial" w:cs="Arial" w:eastAsia="Arial" w:hAnsi="Arial"/>
                <w:sz w:val="19"/>
                <w:szCs w:val="19"/>
                <w:b w:val="1"/>
                <w:bCs w:val="1"/>
                <w:color w:val="231F20"/>
              </w:rPr>
              <w:t>Long-term investments</w:t>
            </w:r>
          </w:p>
        </w:tc>
        <w:tc>
          <w:tcPr>
            <w:tcW w:w="240" w:type="dxa"/>
            <w:vAlign w:val="bottom"/>
            <w:tcBorders>
              <w:bottom w:val="single" w:sz="8" w:color="231F20"/>
            </w:tcBorders>
          </w:tcPr>
          <w:p>
            <w:pPr>
              <w:spacing w:after="0"/>
              <w:rPr>
                <w:sz w:val="19"/>
                <w:szCs w:val="19"/>
                <w:color w:val="auto"/>
              </w:rPr>
            </w:pPr>
          </w:p>
        </w:tc>
        <w:tc>
          <w:tcPr>
            <w:tcW w:w="164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3,524</w:t>
            </w:r>
          </w:p>
        </w:tc>
        <w:tc>
          <w:tcPr>
            <w:tcW w:w="320" w:type="dxa"/>
            <w:vAlign w:val="bottom"/>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166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35,411</w:t>
            </w:r>
          </w:p>
        </w:tc>
      </w:tr>
      <w:tr>
        <w:trPr>
          <w:trHeight w:val="212"/>
        </w:trPr>
        <w:tc>
          <w:tcPr>
            <w:tcW w:w="6280" w:type="dxa"/>
            <w:vAlign w:val="bottom"/>
          </w:tcPr>
          <w:p>
            <w:pPr>
              <w:spacing w:after="0" w:line="212" w:lineRule="exact"/>
              <w:rPr>
                <w:sz w:val="20"/>
                <w:szCs w:val="20"/>
                <w:color w:val="auto"/>
              </w:rPr>
            </w:pPr>
            <w:r>
              <w:rPr>
                <w:rFonts w:ascii="Arial" w:cs="Arial" w:eastAsia="Arial" w:hAnsi="Arial"/>
                <w:sz w:val="19"/>
                <w:szCs w:val="19"/>
                <w:b w:val="1"/>
                <w:bCs w:val="1"/>
                <w:color w:val="231F20"/>
              </w:rPr>
              <w:t>Total</w:t>
            </w:r>
          </w:p>
        </w:tc>
        <w:tc>
          <w:tcPr>
            <w:tcW w:w="240" w:type="dxa"/>
            <w:vAlign w:val="bottom"/>
          </w:tcPr>
          <w:p>
            <w:pPr>
              <w:jc w:val="right"/>
              <w:ind w:right="43"/>
              <w:spacing w:after="0" w:line="212" w:lineRule="exact"/>
              <w:rPr>
                <w:sz w:val="20"/>
                <w:szCs w:val="20"/>
                <w:color w:val="auto"/>
              </w:rPr>
            </w:pPr>
            <w:r>
              <w:rPr>
                <w:rFonts w:ascii="Arial" w:cs="Arial" w:eastAsia="Arial" w:hAnsi="Arial"/>
                <w:sz w:val="19"/>
                <w:szCs w:val="19"/>
                <w:b w:val="1"/>
                <w:bCs w:val="1"/>
                <w:color w:val="231F20"/>
                <w:w w:val="75"/>
              </w:rPr>
              <w:t>$</w:t>
            </w:r>
          </w:p>
        </w:tc>
        <w:tc>
          <w:tcPr>
            <w:tcW w:w="1640" w:type="dxa"/>
            <w:vAlign w:val="bottom"/>
          </w:tcPr>
          <w:p>
            <w:pPr>
              <w:jc w:val="right"/>
              <w:spacing w:after="0" w:line="212" w:lineRule="exact"/>
              <w:rPr>
                <w:sz w:val="20"/>
                <w:szCs w:val="20"/>
                <w:color w:val="auto"/>
              </w:rPr>
            </w:pPr>
            <w:r>
              <w:rPr>
                <w:rFonts w:ascii="Arial" w:cs="Arial" w:eastAsia="Arial" w:hAnsi="Arial"/>
                <w:sz w:val="19"/>
                <w:szCs w:val="19"/>
                <w:b w:val="1"/>
                <w:bCs w:val="1"/>
                <w:color w:val="231F20"/>
              </w:rPr>
              <w:t>129,182</w:t>
            </w:r>
          </w:p>
        </w:tc>
        <w:tc>
          <w:tcPr>
            <w:tcW w:w="320" w:type="dxa"/>
            <w:vAlign w:val="bottom"/>
          </w:tcPr>
          <w:p>
            <w:pPr>
              <w:spacing w:after="0"/>
              <w:rPr>
                <w:sz w:val="18"/>
                <w:szCs w:val="18"/>
                <w:color w:val="auto"/>
              </w:rPr>
            </w:pPr>
          </w:p>
        </w:tc>
        <w:tc>
          <w:tcPr>
            <w:tcW w:w="240" w:type="dxa"/>
            <w:vAlign w:val="bottom"/>
          </w:tcPr>
          <w:p>
            <w:pPr>
              <w:jc w:val="right"/>
              <w:ind w:right="43"/>
              <w:spacing w:after="0" w:line="212" w:lineRule="exact"/>
              <w:rPr>
                <w:sz w:val="20"/>
                <w:szCs w:val="20"/>
                <w:color w:val="auto"/>
              </w:rPr>
            </w:pPr>
            <w:r>
              <w:rPr>
                <w:rFonts w:ascii="Arial" w:cs="Arial" w:eastAsia="Arial" w:hAnsi="Arial"/>
                <w:sz w:val="19"/>
                <w:szCs w:val="19"/>
                <w:b w:val="1"/>
                <w:bCs w:val="1"/>
                <w:color w:val="231F20"/>
                <w:w w:val="75"/>
              </w:rPr>
              <w:t>$</w:t>
            </w:r>
          </w:p>
        </w:tc>
        <w:tc>
          <w:tcPr>
            <w:tcW w:w="1660" w:type="dxa"/>
            <w:vAlign w:val="bottom"/>
          </w:tcPr>
          <w:p>
            <w:pPr>
              <w:jc w:val="right"/>
              <w:spacing w:after="0" w:line="212" w:lineRule="exact"/>
              <w:rPr>
                <w:sz w:val="20"/>
                <w:szCs w:val="20"/>
                <w:color w:val="auto"/>
              </w:rPr>
            </w:pPr>
            <w:r>
              <w:rPr>
                <w:rFonts w:ascii="Arial" w:cs="Arial" w:eastAsia="Arial" w:hAnsi="Arial"/>
                <w:sz w:val="19"/>
                <w:szCs w:val="19"/>
                <w:b w:val="1"/>
                <w:bCs w:val="1"/>
                <w:color w:val="231F20"/>
              </w:rPr>
              <w:t>215,822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3971290</wp:posOffset>
            </wp:positionH>
            <wp:positionV relativeFrom="paragraph">
              <wp:posOffset>-11430</wp:posOffset>
            </wp:positionV>
            <wp:extent cx="2628265" cy="5588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628265" cy="55880"/>
                    </a:xfrm>
                    <a:prstGeom prst="rect">
                      <a:avLst/>
                    </a:prstGeom>
                    <a:noFill/>
                  </pic:spPr>
                </pic:pic>
              </a:graphicData>
            </a:graphic>
          </wp:anchor>
        </w:drawing>
      </w:r>
    </w:p>
    <w:p>
      <w:pPr>
        <w:spacing w:after="0" w:line="228" w:lineRule="exact"/>
        <w:rPr>
          <w:sz w:val="20"/>
          <w:szCs w:val="20"/>
          <w:color w:val="auto"/>
        </w:rPr>
      </w:pPr>
    </w:p>
    <w:p>
      <w:pPr>
        <w:ind w:right="200" w:firstLine="475"/>
        <w:spacing w:after="0" w:line="239" w:lineRule="auto"/>
        <w:rPr>
          <w:sz w:val="20"/>
          <w:szCs w:val="20"/>
          <w:color w:val="auto"/>
        </w:rPr>
      </w:pPr>
      <w:r>
        <w:rPr>
          <w:rFonts w:ascii="Arial" w:cs="Arial" w:eastAsia="Arial" w:hAnsi="Arial"/>
          <w:sz w:val="19"/>
          <w:szCs w:val="19"/>
          <w:b w:val="1"/>
          <w:bCs w:val="1"/>
          <w:color w:val="231F20"/>
        </w:rPr>
        <w:t>Cash and cash equivalents in the above table excludes bank account cash of $2.1 million and $2.3 million as of December 31, 2024 and 2023, respectively.</w:t>
      </w:r>
    </w:p>
    <w:p>
      <w:pPr>
        <w:spacing w:after="0" w:line="129" w:lineRule="exact"/>
        <w:rPr>
          <w:sz w:val="20"/>
          <w:szCs w:val="20"/>
          <w:color w:val="auto"/>
        </w:rPr>
      </w:pPr>
    </w:p>
    <w:p>
      <w:pPr>
        <w:ind w:firstLine="475"/>
        <w:spacing w:after="0" w:line="239" w:lineRule="auto"/>
        <w:rPr>
          <w:sz w:val="20"/>
          <w:szCs w:val="20"/>
          <w:color w:val="auto"/>
        </w:rPr>
      </w:pPr>
      <w:r>
        <w:rPr>
          <w:rFonts w:ascii="Arial" w:cs="Arial" w:eastAsia="Arial" w:hAnsi="Arial"/>
          <w:sz w:val="19"/>
          <w:szCs w:val="19"/>
          <w:b w:val="1"/>
          <w:bCs w:val="1"/>
          <w:color w:val="231F20"/>
        </w:rPr>
        <w:t>The fair value of cash equivalents and available-for-sale investments by contractual maturity was as follows as of December 31, 2024 and 2023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gridSpan w:val="2"/>
          </w:tcPr>
          <w:p>
            <w:pPr>
              <w:ind w:left="140"/>
              <w:spacing w:after="0"/>
              <w:rPr>
                <w:sz w:val="20"/>
                <w:szCs w:val="20"/>
                <w:color w:val="auto"/>
              </w:rPr>
            </w:pPr>
            <w:r>
              <w:rPr>
                <w:rFonts w:ascii="Arial" w:cs="Arial" w:eastAsia="Arial" w:hAnsi="Arial"/>
                <w:sz w:val="19"/>
                <w:szCs w:val="19"/>
                <w:b w:val="1"/>
                <w:bCs w:val="1"/>
                <w:color w:val="231F20"/>
              </w:rPr>
              <w:t>December 31,</w:t>
            </w:r>
          </w:p>
        </w:tc>
        <w:tc>
          <w:tcPr>
            <w:tcW w:w="240" w:type="dxa"/>
            <w:vAlign w:val="bottom"/>
          </w:tcPr>
          <w:p>
            <w:pPr>
              <w:spacing w:after="0"/>
              <w:rPr>
                <w:sz w:val="19"/>
                <w:szCs w:val="19"/>
                <w:color w:val="auto"/>
              </w:rPr>
            </w:pPr>
          </w:p>
        </w:tc>
        <w:tc>
          <w:tcPr>
            <w:tcW w:w="1660" w:type="dxa"/>
            <w:vAlign w:val="bottom"/>
          </w:tcPr>
          <w:p>
            <w:pPr>
              <w:jc w:val="right"/>
              <w:ind w:right="283"/>
              <w:spacing w:after="0"/>
              <w:rPr>
                <w:sz w:val="20"/>
                <w:szCs w:val="20"/>
                <w:color w:val="auto"/>
              </w:rPr>
            </w:pPr>
            <w:r>
              <w:rPr>
                <w:rFonts w:ascii="Arial" w:cs="Arial" w:eastAsia="Arial" w:hAnsi="Arial"/>
                <w:sz w:val="19"/>
                <w:szCs w:val="19"/>
                <w:b w:val="1"/>
                <w:bCs w:val="1"/>
                <w:color w:val="231F20"/>
              </w:rPr>
              <w:t>December 31,</w:t>
            </w:r>
          </w:p>
        </w:tc>
      </w:tr>
      <w:tr>
        <w:trPr>
          <w:trHeight w:val="224"/>
        </w:trPr>
        <w:tc>
          <w:tcPr>
            <w:tcW w:w="6280" w:type="dxa"/>
            <w:vAlign w:val="bottom"/>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1640" w:type="dxa"/>
            <w:vAlign w:val="bottom"/>
            <w:tcBorders>
              <w:bottom w:val="single" w:sz="8" w:color="231F20"/>
            </w:tcBorders>
          </w:tcPr>
          <w:p>
            <w:pPr>
              <w:jc w:val="right"/>
              <w:ind w:right="643"/>
              <w:spacing w:after="0"/>
              <w:rPr>
                <w:sz w:val="20"/>
                <w:szCs w:val="20"/>
                <w:color w:val="auto"/>
              </w:rPr>
            </w:pPr>
            <w:r>
              <w:rPr>
                <w:rFonts w:ascii="Arial" w:cs="Arial" w:eastAsia="Arial" w:hAnsi="Arial"/>
                <w:sz w:val="19"/>
                <w:szCs w:val="19"/>
                <w:b w:val="1"/>
                <w:bCs w:val="1"/>
                <w:color w:val="231F20"/>
              </w:rPr>
              <w:t>2024</w:t>
            </w:r>
          </w:p>
        </w:tc>
        <w:tc>
          <w:tcPr>
            <w:tcW w:w="320" w:type="dxa"/>
            <w:vAlign w:val="bottom"/>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1660" w:type="dxa"/>
            <w:vAlign w:val="bottom"/>
            <w:tcBorders>
              <w:bottom w:val="single" w:sz="8" w:color="231F20"/>
            </w:tcBorders>
          </w:tcPr>
          <w:p>
            <w:pPr>
              <w:jc w:val="right"/>
              <w:ind w:right="663"/>
              <w:spacing w:after="0"/>
              <w:rPr>
                <w:sz w:val="20"/>
                <w:szCs w:val="20"/>
                <w:color w:val="auto"/>
              </w:rPr>
            </w:pPr>
            <w:r>
              <w:rPr>
                <w:rFonts w:ascii="Arial" w:cs="Arial" w:eastAsia="Arial" w:hAnsi="Arial"/>
                <w:sz w:val="19"/>
                <w:szCs w:val="19"/>
                <w:b w:val="1"/>
                <w:bCs w:val="1"/>
                <w:color w:val="231F20"/>
              </w:rPr>
              <w:t>2023</w:t>
            </w:r>
          </w:p>
        </w:tc>
      </w:tr>
      <w:tr>
        <w:trPr>
          <w:trHeight w:val="212"/>
        </w:trPr>
        <w:tc>
          <w:tcPr>
            <w:tcW w:w="6280" w:type="dxa"/>
            <w:vAlign w:val="bottom"/>
          </w:tcPr>
          <w:p>
            <w:pPr>
              <w:spacing w:after="0" w:line="212" w:lineRule="exact"/>
              <w:rPr>
                <w:sz w:val="20"/>
                <w:szCs w:val="20"/>
                <w:color w:val="auto"/>
              </w:rPr>
            </w:pPr>
            <w:r>
              <w:rPr>
                <w:rFonts w:ascii="Arial" w:cs="Arial" w:eastAsia="Arial" w:hAnsi="Arial"/>
                <w:sz w:val="19"/>
                <w:szCs w:val="19"/>
                <w:b w:val="1"/>
                <w:bCs w:val="1"/>
                <w:color w:val="231F20"/>
              </w:rPr>
              <w:t>Maturing in one year or less</w:t>
            </w:r>
          </w:p>
        </w:tc>
        <w:tc>
          <w:tcPr>
            <w:tcW w:w="240" w:type="dxa"/>
            <w:vAlign w:val="bottom"/>
          </w:tcPr>
          <w:p>
            <w:pPr>
              <w:jc w:val="right"/>
              <w:ind w:right="43"/>
              <w:spacing w:after="0" w:line="212" w:lineRule="exact"/>
              <w:rPr>
                <w:sz w:val="20"/>
                <w:szCs w:val="20"/>
                <w:color w:val="auto"/>
              </w:rPr>
            </w:pPr>
            <w:r>
              <w:rPr>
                <w:rFonts w:ascii="Arial" w:cs="Arial" w:eastAsia="Arial" w:hAnsi="Arial"/>
                <w:sz w:val="19"/>
                <w:szCs w:val="19"/>
                <w:b w:val="1"/>
                <w:bCs w:val="1"/>
                <w:color w:val="231F20"/>
                <w:w w:val="75"/>
              </w:rPr>
              <w:t>$</w:t>
            </w:r>
          </w:p>
        </w:tc>
        <w:tc>
          <w:tcPr>
            <w:tcW w:w="1640" w:type="dxa"/>
            <w:vAlign w:val="bottom"/>
          </w:tcPr>
          <w:p>
            <w:pPr>
              <w:jc w:val="right"/>
              <w:spacing w:after="0" w:line="212" w:lineRule="exact"/>
              <w:rPr>
                <w:sz w:val="20"/>
                <w:szCs w:val="20"/>
                <w:color w:val="auto"/>
              </w:rPr>
            </w:pPr>
            <w:r>
              <w:rPr>
                <w:rFonts w:ascii="Arial" w:cs="Arial" w:eastAsia="Arial" w:hAnsi="Arial"/>
                <w:sz w:val="19"/>
                <w:szCs w:val="19"/>
                <w:b w:val="1"/>
                <w:bCs w:val="1"/>
                <w:color w:val="231F20"/>
              </w:rPr>
              <w:t>125,658</w:t>
            </w:r>
          </w:p>
        </w:tc>
        <w:tc>
          <w:tcPr>
            <w:tcW w:w="320" w:type="dxa"/>
            <w:vAlign w:val="bottom"/>
          </w:tcPr>
          <w:p>
            <w:pPr>
              <w:spacing w:after="0"/>
              <w:rPr>
                <w:sz w:val="18"/>
                <w:szCs w:val="18"/>
                <w:color w:val="auto"/>
              </w:rPr>
            </w:pPr>
          </w:p>
        </w:tc>
        <w:tc>
          <w:tcPr>
            <w:tcW w:w="240" w:type="dxa"/>
            <w:vAlign w:val="bottom"/>
          </w:tcPr>
          <w:p>
            <w:pPr>
              <w:jc w:val="right"/>
              <w:ind w:right="43"/>
              <w:spacing w:after="0" w:line="212" w:lineRule="exact"/>
              <w:rPr>
                <w:sz w:val="20"/>
                <w:szCs w:val="20"/>
                <w:color w:val="auto"/>
              </w:rPr>
            </w:pPr>
            <w:r>
              <w:rPr>
                <w:rFonts w:ascii="Arial" w:cs="Arial" w:eastAsia="Arial" w:hAnsi="Arial"/>
                <w:sz w:val="19"/>
                <w:szCs w:val="19"/>
                <w:b w:val="1"/>
                <w:bCs w:val="1"/>
                <w:color w:val="231F20"/>
                <w:w w:val="75"/>
              </w:rPr>
              <w:t>$</w:t>
            </w:r>
          </w:p>
        </w:tc>
        <w:tc>
          <w:tcPr>
            <w:tcW w:w="1660" w:type="dxa"/>
            <w:vAlign w:val="bottom"/>
          </w:tcPr>
          <w:p>
            <w:pPr>
              <w:jc w:val="right"/>
              <w:spacing w:after="0" w:line="212" w:lineRule="exact"/>
              <w:rPr>
                <w:sz w:val="20"/>
                <w:szCs w:val="20"/>
                <w:color w:val="auto"/>
              </w:rPr>
            </w:pPr>
            <w:r>
              <w:rPr>
                <w:rFonts w:ascii="Arial" w:cs="Arial" w:eastAsia="Arial" w:hAnsi="Arial"/>
                <w:sz w:val="19"/>
                <w:szCs w:val="19"/>
                <w:b w:val="1"/>
                <w:bCs w:val="1"/>
                <w:color w:val="231F20"/>
              </w:rPr>
              <w:t>180,411</w:t>
            </w:r>
          </w:p>
        </w:tc>
      </w:tr>
      <w:tr>
        <w:trPr>
          <w:trHeight w:val="224"/>
        </w:trPr>
        <w:tc>
          <w:tcPr>
            <w:tcW w:w="6280" w:type="dxa"/>
            <w:vAlign w:val="bottom"/>
          </w:tcPr>
          <w:p>
            <w:pPr>
              <w:spacing w:after="0"/>
              <w:rPr>
                <w:sz w:val="20"/>
                <w:szCs w:val="20"/>
                <w:color w:val="auto"/>
              </w:rPr>
            </w:pPr>
            <w:r>
              <w:rPr>
                <w:rFonts w:ascii="Arial" w:cs="Arial" w:eastAsia="Arial" w:hAnsi="Arial"/>
                <w:sz w:val="19"/>
                <w:szCs w:val="19"/>
                <w:b w:val="1"/>
                <w:bCs w:val="1"/>
                <w:color w:val="231F20"/>
              </w:rPr>
              <w:t>Maturing after one year through five years</w:t>
            </w:r>
          </w:p>
        </w:tc>
        <w:tc>
          <w:tcPr>
            <w:tcW w:w="240" w:type="dxa"/>
            <w:vAlign w:val="bottom"/>
            <w:tcBorders>
              <w:bottom w:val="single" w:sz="8" w:color="231F20"/>
            </w:tcBorders>
          </w:tcPr>
          <w:p>
            <w:pPr>
              <w:spacing w:after="0"/>
              <w:rPr>
                <w:sz w:val="19"/>
                <w:szCs w:val="19"/>
                <w:color w:val="auto"/>
              </w:rPr>
            </w:pPr>
          </w:p>
        </w:tc>
        <w:tc>
          <w:tcPr>
            <w:tcW w:w="164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3,524</w:t>
            </w:r>
          </w:p>
        </w:tc>
        <w:tc>
          <w:tcPr>
            <w:tcW w:w="320" w:type="dxa"/>
            <w:vAlign w:val="bottom"/>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166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35,411</w:t>
            </w:r>
          </w:p>
        </w:tc>
      </w:tr>
      <w:tr>
        <w:trPr>
          <w:trHeight w:val="212"/>
        </w:trPr>
        <w:tc>
          <w:tcPr>
            <w:tcW w:w="6280" w:type="dxa"/>
            <w:vAlign w:val="bottom"/>
          </w:tcPr>
          <w:p>
            <w:pPr>
              <w:spacing w:after="0" w:line="212" w:lineRule="exact"/>
              <w:rPr>
                <w:sz w:val="20"/>
                <w:szCs w:val="20"/>
                <w:color w:val="auto"/>
              </w:rPr>
            </w:pPr>
            <w:r>
              <w:rPr>
                <w:rFonts w:ascii="Arial" w:cs="Arial" w:eastAsia="Arial" w:hAnsi="Arial"/>
                <w:sz w:val="19"/>
                <w:szCs w:val="19"/>
                <w:b w:val="1"/>
                <w:bCs w:val="1"/>
                <w:color w:val="231F20"/>
              </w:rPr>
              <w:t>Total</w:t>
            </w:r>
          </w:p>
        </w:tc>
        <w:tc>
          <w:tcPr>
            <w:tcW w:w="240" w:type="dxa"/>
            <w:vAlign w:val="bottom"/>
          </w:tcPr>
          <w:p>
            <w:pPr>
              <w:jc w:val="right"/>
              <w:ind w:right="43"/>
              <w:spacing w:after="0" w:line="212" w:lineRule="exact"/>
              <w:rPr>
                <w:sz w:val="20"/>
                <w:szCs w:val="20"/>
                <w:color w:val="auto"/>
              </w:rPr>
            </w:pPr>
            <w:r>
              <w:rPr>
                <w:rFonts w:ascii="Arial" w:cs="Arial" w:eastAsia="Arial" w:hAnsi="Arial"/>
                <w:sz w:val="19"/>
                <w:szCs w:val="19"/>
                <w:b w:val="1"/>
                <w:bCs w:val="1"/>
                <w:color w:val="231F20"/>
                <w:w w:val="75"/>
              </w:rPr>
              <w:t>$</w:t>
            </w:r>
          </w:p>
        </w:tc>
        <w:tc>
          <w:tcPr>
            <w:tcW w:w="1640" w:type="dxa"/>
            <w:vAlign w:val="bottom"/>
          </w:tcPr>
          <w:p>
            <w:pPr>
              <w:jc w:val="right"/>
              <w:spacing w:after="0" w:line="212" w:lineRule="exact"/>
              <w:rPr>
                <w:sz w:val="20"/>
                <w:szCs w:val="20"/>
                <w:color w:val="auto"/>
              </w:rPr>
            </w:pPr>
            <w:r>
              <w:rPr>
                <w:rFonts w:ascii="Arial" w:cs="Arial" w:eastAsia="Arial" w:hAnsi="Arial"/>
                <w:sz w:val="19"/>
                <w:szCs w:val="19"/>
                <w:b w:val="1"/>
                <w:bCs w:val="1"/>
                <w:color w:val="231F20"/>
              </w:rPr>
              <w:t>129,182</w:t>
            </w:r>
          </w:p>
        </w:tc>
        <w:tc>
          <w:tcPr>
            <w:tcW w:w="320" w:type="dxa"/>
            <w:vAlign w:val="bottom"/>
          </w:tcPr>
          <w:p>
            <w:pPr>
              <w:spacing w:after="0"/>
              <w:rPr>
                <w:sz w:val="18"/>
                <w:szCs w:val="18"/>
                <w:color w:val="auto"/>
              </w:rPr>
            </w:pPr>
          </w:p>
        </w:tc>
        <w:tc>
          <w:tcPr>
            <w:tcW w:w="240" w:type="dxa"/>
            <w:vAlign w:val="bottom"/>
          </w:tcPr>
          <w:p>
            <w:pPr>
              <w:jc w:val="right"/>
              <w:ind w:right="43"/>
              <w:spacing w:after="0" w:line="212" w:lineRule="exact"/>
              <w:rPr>
                <w:sz w:val="20"/>
                <w:szCs w:val="20"/>
                <w:color w:val="auto"/>
              </w:rPr>
            </w:pPr>
            <w:r>
              <w:rPr>
                <w:rFonts w:ascii="Arial" w:cs="Arial" w:eastAsia="Arial" w:hAnsi="Arial"/>
                <w:sz w:val="19"/>
                <w:szCs w:val="19"/>
                <w:b w:val="1"/>
                <w:bCs w:val="1"/>
                <w:color w:val="231F20"/>
                <w:w w:val="75"/>
              </w:rPr>
              <w:t>$</w:t>
            </w:r>
          </w:p>
        </w:tc>
        <w:tc>
          <w:tcPr>
            <w:tcW w:w="1660" w:type="dxa"/>
            <w:vAlign w:val="bottom"/>
          </w:tcPr>
          <w:p>
            <w:pPr>
              <w:jc w:val="right"/>
              <w:spacing w:after="0" w:line="212" w:lineRule="exact"/>
              <w:rPr>
                <w:sz w:val="20"/>
                <w:szCs w:val="20"/>
                <w:color w:val="auto"/>
              </w:rPr>
            </w:pPr>
            <w:r>
              <w:rPr>
                <w:rFonts w:ascii="Arial" w:cs="Arial" w:eastAsia="Arial" w:hAnsi="Arial"/>
                <w:sz w:val="19"/>
                <w:szCs w:val="19"/>
                <w:b w:val="1"/>
                <w:bCs w:val="1"/>
                <w:color w:val="231F20"/>
              </w:rPr>
              <w:t>215,822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3971290</wp:posOffset>
            </wp:positionH>
            <wp:positionV relativeFrom="paragraph">
              <wp:posOffset>-11430</wp:posOffset>
            </wp:positionV>
            <wp:extent cx="2628265" cy="5461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628265" cy="54610"/>
                    </a:xfrm>
                    <a:prstGeom prst="rect">
                      <a:avLst/>
                    </a:prstGeom>
                    <a:noFill/>
                  </pic:spPr>
                </pic:pic>
              </a:graphicData>
            </a:graphic>
          </wp:anchor>
        </w:drawing>
      </w:r>
    </w:p>
    <w:p>
      <w:pPr>
        <w:spacing w:after="0" w:line="228" w:lineRule="exact"/>
        <w:rPr>
          <w:sz w:val="20"/>
          <w:szCs w:val="20"/>
          <w:color w:val="auto"/>
        </w:rPr>
      </w:pPr>
    </w:p>
    <w:p>
      <w:pPr>
        <w:jc w:val="both"/>
        <w:ind w:right="160" w:firstLine="475"/>
        <w:spacing w:after="0" w:line="220" w:lineRule="exact"/>
        <w:rPr>
          <w:sz w:val="20"/>
          <w:szCs w:val="20"/>
          <w:color w:val="auto"/>
        </w:rPr>
      </w:pPr>
      <w:r>
        <w:rPr>
          <w:rFonts w:ascii="Arial" w:cs="Arial" w:eastAsia="Arial" w:hAnsi="Arial"/>
          <w:sz w:val="16"/>
          <w:szCs w:val="16"/>
          <w:b w:val="1"/>
          <w:bCs w:val="1"/>
          <w:color w:val="231F20"/>
        </w:rPr>
        <w:t>The primary objective of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investment portfolio is to maintain safety of principal, prudent levels of liquidity and acceptable levels of risk.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investment policy limits investments to certain types of instruments issued by institutions with investment-grade credit ratings, and it places restrictions on maturities and concentration by asset class and issuer.</w:t>
      </w:r>
    </w:p>
    <w:p>
      <w:pPr>
        <w:spacing w:after="0" w:line="127" w:lineRule="exact"/>
        <w:rPr>
          <w:sz w:val="20"/>
          <w:szCs w:val="20"/>
          <w:color w:val="auto"/>
        </w:rPr>
      </w:pPr>
    </w:p>
    <w:p>
      <w:pPr>
        <w:ind w:right="120" w:firstLine="475"/>
        <w:spacing w:after="0" w:line="295" w:lineRule="auto"/>
        <w:rPr>
          <w:sz w:val="20"/>
          <w:szCs w:val="20"/>
          <w:color w:val="auto"/>
        </w:rPr>
      </w:pPr>
      <w:r>
        <w:rPr>
          <w:rFonts w:ascii="Arial" w:cs="Arial" w:eastAsia="Arial" w:hAnsi="Arial"/>
          <w:sz w:val="17"/>
          <w:szCs w:val="17"/>
          <w:b w:val="1"/>
          <w:bCs w:val="1"/>
          <w:color w:val="231F20"/>
        </w:rPr>
        <w:t>There were no transfers of assets or liabilities between the fair value measurement levels during the years ended December 31, 2024 and 2023 and there were no financial instruments classified as Level 3 as of December 31, 2024 and 2023.</w:t>
      </w:r>
    </w:p>
    <w:p>
      <w:pPr>
        <w:spacing w:after="0" w:line="84" w:lineRule="exact"/>
        <w:rPr>
          <w:sz w:val="20"/>
          <w:szCs w:val="20"/>
          <w:color w:val="auto"/>
        </w:rPr>
      </w:pPr>
    </w:p>
    <w:p>
      <w:pPr>
        <w:ind w:right="100" w:firstLine="475"/>
        <w:spacing w:after="0" w:line="218" w:lineRule="exact"/>
        <w:rPr>
          <w:sz w:val="20"/>
          <w:szCs w:val="20"/>
          <w:color w:val="auto"/>
        </w:rPr>
      </w:pPr>
      <w:r>
        <w:rPr>
          <w:rFonts w:ascii="Arial" w:cs="Arial" w:eastAsia="Arial" w:hAnsi="Arial"/>
          <w:sz w:val="17"/>
          <w:szCs w:val="17"/>
          <w:b w:val="1"/>
          <w:bCs w:val="1"/>
          <w:color w:val="231F20"/>
        </w:rPr>
        <w:t>As of December 31, 2024 and 2023, accrued interest receivable related to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investments of $0.9 million and $1.0 million, respectively, was included in prepaid expenses and other current assets on the consolidated balance sheets.</w:t>
      </w:r>
    </w:p>
    <w:p>
      <w:pPr>
        <w:spacing w:after="0" w:line="127" w:lineRule="exact"/>
        <w:rPr>
          <w:sz w:val="20"/>
          <w:szCs w:val="20"/>
          <w:color w:val="auto"/>
        </w:rPr>
      </w:pPr>
    </w:p>
    <w:p>
      <w:pPr>
        <w:ind w:firstLine="475"/>
        <w:spacing w:after="0" w:line="222" w:lineRule="exact"/>
        <w:rPr>
          <w:sz w:val="20"/>
          <w:szCs w:val="20"/>
          <w:color w:val="auto"/>
        </w:rPr>
      </w:pPr>
      <w:r>
        <w:rPr>
          <w:rFonts w:ascii="Arial" w:cs="Arial" w:eastAsia="Arial" w:hAnsi="Arial"/>
          <w:sz w:val="17"/>
          <w:szCs w:val="17"/>
          <w:b w:val="1"/>
          <w:bCs w:val="1"/>
          <w:color w:val="231F20"/>
        </w:rPr>
        <w:t>As of December 31, 2024, the unrealized losses for available-for-sale investments were non-credit related and the Company does not intend to sell the investments that were in an unrealized loss position, nor will it be required to sell those investments before recovery of their amortized costs basis, which may be maturity. As of December 31, 2024 and 2023, no allowance for credit losses for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investments was recorded. As of December 31, 2024 and 2023, securities with a fair value of zero and $5.9 million, respectively, were in a continuous net unrealized loss position for more than 12 months. As of December 31, 2024 and 2023, the Company has not recognized any impairment losses on available-for-sale investments.</w:t>
      </w:r>
    </w:p>
    <w:p>
      <w:pPr>
        <w:sectPr>
          <w:pgSz w:w="12240" w:h="15840" w:orient="portrait"/>
          <w:cols w:equalWidth="0" w:num="1">
            <w:col w:w="10420"/>
          </w:cols>
          <w:pgMar w:left="880" w:top="1160" w:right="940" w:bottom="4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231F20"/>
        </w:rPr>
        <w:t>106</w:t>
      </w:r>
    </w:p>
    <w:p>
      <w:pPr>
        <w:sectPr>
          <w:pgSz w:w="12240" w:h="15840" w:orient="portrait"/>
          <w:cols w:equalWidth="0" w:num="1">
            <w:col w:w="10420"/>
          </w:cols>
          <w:pgMar w:left="880" w:top="1160" w:right="940" w:bottom="401" w:gutter="0" w:footer="0" w:header="0"/>
          <w:type w:val="continuous"/>
        </w:sectPr>
      </w:pPr>
    </w:p>
    <w:bookmarkStart w:id="114" w:name="page115"/>
    <w:bookmarkEnd w:id="114"/>
    <w:p>
      <w:pPr>
        <w:spacing w:after="0"/>
        <w:rPr>
          <w:sz w:val="20"/>
          <w:szCs w:val="20"/>
          <w:color w:val="auto"/>
        </w:rPr>
      </w:pPr>
      <w:r>
        <w:rPr>
          <w:rFonts w:ascii="Arial" w:cs="Arial" w:eastAsia="Arial" w:hAnsi="Arial"/>
          <w:sz w:val="19"/>
          <w:szCs w:val="19"/>
          <w:b w:val="1"/>
          <w:bCs w:val="1"/>
          <w:color w:val="231F20"/>
        </w:rPr>
        <w:t>(4) BALANCE SHEET COMPONENTS</w:t>
      </w:r>
    </w:p>
    <w:p>
      <w:pPr>
        <w:spacing w:after="0" w:line="122"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Prepaid Expenses and Other Current Assets</w:t>
      </w:r>
    </w:p>
    <w:p>
      <w:pPr>
        <w:spacing w:after="0" w:line="125" w:lineRule="exact"/>
        <w:rPr>
          <w:sz w:val="20"/>
          <w:szCs w:val="20"/>
          <w:color w:val="auto"/>
        </w:rPr>
      </w:pPr>
    </w:p>
    <w:p>
      <w:pPr>
        <w:ind w:right="20" w:firstLine="475"/>
        <w:spacing w:after="0" w:line="239" w:lineRule="auto"/>
        <w:rPr>
          <w:sz w:val="20"/>
          <w:szCs w:val="20"/>
          <w:color w:val="auto"/>
        </w:rPr>
      </w:pPr>
      <w:r>
        <w:rPr>
          <w:rFonts w:ascii="Arial" w:cs="Arial" w:eastAsia="Arial" w:hAnsi="Arial"/>
          <w:sz w:val="19"/>
          <w:szCs w:val="19"/>
          <w:b w:val="1"/>
          <w:bCs w:val="1"/>
          <w:color w:val="231F20"/>
        </w:rPr>
        <w:t>The following table presents the components of prepaid expenses and other current assets as of December 31, 2024 and 2023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63"/>
              <w:spacing w:after="0"/>
              <w:rPr>
                <w:sz w:val="20"/>
                <w:szCs w:val="20"/>
                <w:color w:val="auto"/>
              </w:rPr>
            </w:pPr>
            <w:r>
              <w:rPr>
                <w:rFonts w:ascii="Arial" w:cs="Arial" w:eastAsia="Arial" w:hAnsi="Arial"/>
                <w:sz w:val="19"/>
                <w:szCs w:val="19"/>
                <w:b w:val="1"/>
                <w:bCs w:val="1"/>
                <w:color w:val="231F20"/>
                <w:w w:val="92"/>
              </w:rPr>
              <w:t>December 31,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83"/>
              <w:spacing w:after="0"/>
              <w:rPr>
                <w:sz w:val="20"/>
                <w:szCs w:val="20"/>
                <w:color w:val="auto"/>
              </w:rPr>
            </w:pPr>
            <w:r>
              <w:rPr>
                <w:rFonts w:ascii="Arial" w:cs="Arial" w:eastAsia="Arial" w:hAnsi="Arial"/>
                <w:sz w:val="19"/>
                <w:szCs w:val="19"/>
                <w:b w:val="1"/>
                <w:bCs w:val="1"/>
                <w:color w:val="231F20"/>
                <w:w w:val="92"/>
              </w:rPr>
              <w:t>December 31,</w:t>
            </w:r>
          </w:p>
        </w:tc>
      </w:tr>
      <w:tr>
        <w:trPr>
          <w:trHeight w:val="236"/>
        </w:trPr>
        <w:tc>
          <w:tcPr>
            <w:tcW w:w="7180" w:type="dxa"/>
            <w:vAlign w:val="bottom"/>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1320" w:type="dxa"/>
            <w:vAlign w:val="bottom"/>
            <w:tcBorders>
              <w:bottom w:val="single" w:sz="8" w:color="231F20"/>
            </w:tcBorders>
          </w:tcPr>
          <w:p>
            <w:pPr>
              <w:jc w:val="right"/>
              <w:ind w:right="443"/>
              <w:spacing w:after="0"/>
              <w:rPr>
                <w:sz w:val="20"/>
                <w:szCs w:val="20"/>
                <w:color w:val="auto"/>
              </w:rPr>
            </w:pPr>
            <w:r>
              <w:rPr>
                <w:rFonts w:ascii="Arial" w:cs="Arial" w:eastAsia="Arial" w:hAnsi="Arial"/>
                <w:sz w:val="19"/>
                <w:szCs w:val="19"/>
                <w:b w:val="1"/>
                <w:bCs w:val="1"/>
                <w:color w:val="231F20"/>
              </w:rPr>
              <w:t>2024</w:t>
            </w:r>
          </w:p>
        </w:tc>
        <w:tc>
          <w:tcPr>
            <w:tcW w:w="280" w:type="dxa"/>
            <w:vAlign w:val="bottom"/>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1340" w:type="dxa"/>
            <w:vAlign w:val="bottom"/>
            <w:tcBorders>
              <w:bottom w:val="single" w:sz="8" w:color="231F20"/>
            </w:tcBorders>
          </w:tcPr>
          <w:p>
            <w:pPr>
              <w:jc w:val="right"/>
              <w:ind w:right="443"/>
              <w:spacing w:after="0"/>
              <w:rPr>
                <w:sz w:val="20"/>
                <w:szCs w:val="20"/>
                <w:color w:val="auto"/>
              </w:rPr>
            </w:pPr>
            <w:r>
              <w:rPr>
                <w:rFonts w:ascii="Arial" w:cs="Arial" w:eastAsia="Arial" w:hAnsi="Arial"/>
                <w:sz w:val="19"/>
                <w:szCs w:val="19"/>
                <w:b w:val="1"/>
                <w:bCs w:val="1"/>
                <w:color w:val="231F20"/>
              </w:rPr>
              <w:t>2023</w:t>
            </w:r>
          </w:p>
        </w:tc>
      </w:tr>
      <w:tr>
        <w:trPr>
          <w:trHeight w:val="226"/>
        </w:trPr>
        <w:tc>
          <w:tcPr>
            <w:tcW w:w="7180" w:type="dxa"/>
            <w:vAlign w:val="bottom"/>
          </w:tcPr>
          <w:p>
            <w:pPr>
              <w:spacing w:after="0"/>
              <w:rPr>
                <w:sz w:val="20"/>
                <w:szCs w:val="20"/>
                <w:color w:val="auto"/>
              </w:rPr>
            </w:pPr>
            <w:r>
              <w:rPr>
                <w:rFonts w:ascii="Arial" w:cs="Arial" w:eastAsia="Arial" w:hAnsi="Arial"/>
                <w:sz w:val="19"/>
                <w:szCs w:val="19"/>
                <w:b w:val="1"/>
                <w:bCs w:val="1"/>
                <w:color w:val="231F20"/>
              </w:rPr>
              <w:t>Prepaid clinical expenses</w:t>
            </w:r>
          </w:p>
        </w:tc>
        <w:tc>
          <w:tcPr>
            <w:tcW w:w="140" w:type="dxa"/>
            <w:vAlign w:val="bottom"/>
          </w:tcPr>
          <w:p>
            <w:pPr>
              <w:jc w:val="right"/>
              <w:spacing w:after="0"/>
              <w:rPr>
                <w:sz w:val="20"/>
                <w:szCs w:val="20"/>
                <w:color w:val="auto"/>
              </w:rPr>
            </w:pPr>
            <w:r>
              <w:rPr>
                <w:rFonts w:ascii="Arial" w:cs="Arial" w:eastAsia="Arial" w:hAnsi="Arial"/>
                <w:sz w:val="19"/>
                <w:szCs w:val="19"/>
                <w:b w:val="1"/>
                <w:bCs w:val="1"/>
                <w:color w:val="231F20"/>
                <w:w w:val="75"/>
              </w:rPr>
              <w:t>$</w:t>
            </w:r>
          </w:p>
        </w:tc>
        <w:tc>
          <w:tcPr>
            <w:tcW w:w="1320" w:type="dxa"/>
            <w:vAlign w:val="bottom"/>
          </w:tcPr>
          <w:p>
            <w:pPr>
              <w:jc w:val="right"/>
              <w:spacing w:after="0"/>
              <w:rPr>
                <w:sz w:val="20"/>
                <w:szCs w:val="20"/>
                <w:color w:val="auto"/>
              </w:rPr>
            </w:pPr>
            <w:r>
              <w:rPr>
                <w:rFonts w:ascii="Arial" w:cs="Arial" w:eastAsia="Arial" w:hAnsi="Arial"/>
                <w:sz w:val="19"/>
                <w:szCs w:val="19"/>
                <w:b w:val="1"/>
                <w:bCs w:val="1"/>
                <w:color w:val="231F20"/>
              </w:rPr>
              <w:t>3,757</w:t>
            </w:r>
          </w:p>
        </w:tc>
        <w:tc>
          <w:tcPr>
            <w:tcW w:w="400" w:type="dxa"/>
            <w:vAlign w:val="bottom"/>
            <w:gridSpan w:val="2"/>
          </w:tcPr>
          <w:p>
            <w:pPr>
              <w:jc w:val="right"/>
              <w:ind w:right="20"/>
              <w:spacing w:after="0"/>
              <w:rPr>
                <w:sz w:val="20"/>
                <w:szCs w:val="20"/>
                <w:color w:val="auto"/>
              </w:rPr>
            </w:pPr>
            <w:r>
              <w:rPr>
                <w:rFonts w:ascii="Arial" w:cs="Arial" w:eastAsia="Arial" w:hAnsi="Arial"/>
                <w:sz w:val="19"/>
                <w:szCs w:val="19"/>
                <w:b w:val="1"/>
                <w:bCs w:val="1"/>
                <w:color w:val="231F20"/>
              </w:rPr>
              <w:t>$</w:t>
            </w:r>
          </w:p>
        </w:tc>
        <w:tc>
          <w:tcPr>
            <w:tcW w:w="1340" w:type="dxa"/>
            <w:vAlign w:val="bottom"/>
          </w:tcPr>
          <w:p>
            <w:pPr>
              <w:jc w:val="right"/>
              <w:spacing w:after="0"/>
              <w:rPr>
                <w:sz w:val="20"/>
                <w:szCs w:val="20"/>
                <w:color w:val="auto"/>
              </w:rPr>
            </w:pPr>
            <w:r>
              <w:rPr>
                <w:rFonts w:ascii="Arial" w:cs="Arial" w:eastAsia="Arial" w:hAnsi="Arial"/>
                <w:sz w:val="19"/>
                <w:szCs w:val="19"/>
                <w:b w:val="1"/>
                <w:bCs w:val="1"/>
                <w:color w:val="231F20"/>
              </w:rPr>
              <w:t>3,049</w:t>
            </w:r>
          </w:p>
        </w:tc>
      </w:tr>
      <w:tr>
        <w:trPr>
          <w:trHeight w:val="238"/>
        </w:trPr>
        <w:tc>
          <w:tcPr>
            <w:tcW w:w="7180" w:type="dxa"/>
            <w:vAlign w:val="bottom"/>
          </w:tcPr>
          <w:p>
            <w:pPr>
              <w:spacing w:after="0"/>
              <w:rPr>
                <w:sz w:val="20"/>
                <w:szCs w:val="20"/>
                <w:color w:val="auto"/>
              </w:rPr>
            </w:pPr>
            <w:r>
              <w:rPr>
                <w:rFonts w:ascii="Arial" w:cs="Arial" w:eastAsia="Arial" w:hAnsi="Arial"/>
                <w:sz w:val="19"/>
                <w:szCs w:val="19"/>
                <w:b w:val="1"/>
                <w:bCs w:val="1"/>
                <w:color w:val="231F20"/>
              </w:rPr>
              <w:t>Prepaid expenses</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9"/>
                <w:szCs w:val="19"/>
                <w:b w:val="1"/>
                <w:bCs w:val="1"/>
                <w:color w:val="231F20"/>
              </w:rPr>
              <w:t>1,343</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9"/>
                <w:szCs w:val="19"/>
                <w:b w:val="1"/>
                <w:bCs w:val="1"/>
                <w:color w:val="231F20"/>
              </w:rPr>
              <w:t>830</w:t>
            </w:r>
          </w:p>
        </w:tc>
      </w:tr>
      <w:tr>
        <w:trPr>
          <w:trHeight w:val="235"/>
        </w:trPr>
        <w:tc>
          <w:tcPr>
            <w:tcW w:w="7180" w:type="dxa"/>
            <w:vAlign w:val="bottom"/>
          </w:tcPr>
          <w:p>
            <w:pPr>
              <w:spacing w:after="0"/>
              <w:rPr>
                <w:sz w:val="20"/>
                <w:szCs w:val="20"/>
                <w:color w:val="auto"/>
              </w:rPr>
            </w:pPr>
            <w:r>
              <w:rPr>
                <w:rFonts w:ascii="Arial" w:cs="Arial" w:eastAsia="Arial" w:hAnsi="Arial"/>
                <w:sz w:val="19"/>
                <w:szCs w:val="19"/>
                <w:b w:val="1"/>
                <w:bCs w:val="1"/>
                <w:color w:val="231F20"/>
              </w:rPr>
              <w:t>Interest and investment receivables</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9"/>
                <w:szCs w:val="19"/>
                <w:b w:val="1"/>
                <w:bCs w:val="1"/>
                <w:color w:val="231F20"/>
              </w:rPr>
              <w:t>892</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9"/>
                <w:szCs w:val="19"/>
                <w:b w:val="1"/>
                <w:bCs w:val="1"/>
                <w:color w:val="231F20"/>
              </w:rPr>
              <w:t>996</w:t>
            </w:r>
          </w:p>
        </w:tc>
      </w:tr>
      <w:tr>
        <w:trPr>
          <w:trHeight w:val="238"/>
        </w:trPr>
        <w:tc>
          <w:tcPr>
            <w:tcW w:w="7180" w:type="dxa"/>
            <w:vAlign w:val="bottom"/>
          </w:tcPr>
          <w:p>
            <w:pPr>
              <w:spacing w:after="0"/>
              <w:rPr>
                <w:sz w:val="20"/>
                <w:szCs w:val="20"/>
                <w:color w:val="auto"/>
              </w:rPr>
            </w:pPr>
            <w:r>
              <w:rPr>
                <w:rFonts w:ascii="Arial" w:cs="Arial" w:eastAsia="Arial" w:hAnsi="Arial"/>
                <w:sz w:val="19"/>
                <w:szCs w:val="19"/>
                <w:b w:val="1"/>
                <w:bCs w:val="1"/>
                <w:color w:val="231F20"/>
              </w:rPr>
              <w:t>Prepaid insurance</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9"/>
                <w:szCs w:val="19"/>
                <w:b w:val="1"/>
                <w:bCs w:val="1"/>
                <w:color w:val="231F20"/>
              </w:rPr>
              <w:t>576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9"/>
                <w:szCs w:val="19"/>
                <w:b w:val="1"/>
                <w:bCs w:val="1"/>
                <w:color w:val="231F20"/>
              </w:rPr>
              <w:t>609</w:t>
            </w:r>
          </w:p>
        </w:tc>
      </w:tr>
      <w:tr>
        <w:trPr>
          <w:trHeight w:val="237"/>
        </w:trPr>
        <w:tc>
          <w:tcPr>
            <w:tcW w:w="7180" w:type="dxa"/>
            <w:vAlign w:val="bottom"/>
          </w:tcPr>
          <w:p>
            <w:pPr>
              <w:spacing w:after="0"/>
              <w:rPr>
                <w:sz w:val="20"/>
                <w:szCs w:val="20"/>
                <w:color w:val="auto"/>
              </w:rPr>
            </w:pPr>
            <w:r>
              <w:rPr>
                <w:rFonts w:ascii="Arial" w:cs="Arial" w:eastAsia="Arial" w:hAnsi="Arial"/>
                <w:sz w:val="19"/>
                <w:szCs w:val="19"/>
                <w:b w:val="1"/>
                <w:bCs w:val="1"/>
                <w:color w:val="231F20"/>
              </w:rPr>
              <w:t>Other current assets</w:t>
            </w:r>
          </w:p>
        </w:tc>
        <w:tc>
          <w:tcPr>
            <w:tcW w:w="140" w:type="dxa"/>
            <w:vAlign w:val="bottom"/>
            <w:tcBorders>
              <w:bottom w:val="single" w:sz="8" w:color="231F20"/>
            </w:tcBorders>
          </w:tcPr>
          <w:p>
            <w:pPr>
              <w:spacing w:after="0"/>
              <w:rPr>
                <w:sz w:val="20"/>
                <w:szCs w:val="20"/>
                <w:color w:val="auto"/>
              </w:rPr>
            </w:pPr>
          </w:p>
        </w:tc>
        <w:tc>
          <w:tcPr>
            <w:tcW w:w="132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27</w:t>
            </w:r>
          </w:p>
        </w:tc>
        <w:tc>
          <w:tcPr>
            <w:tcW w:w="280" w:type="dxa"/>
            <w:vAlign w:val="bottom"/>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134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439</w:t>
            </w:r>
          </w:p>
        </w:tc>
      </w:tr>
      <w:tr>
        <w:trPr>
          <w:trHeight w:val="225"/>
        </w:trPr>
        <w:tc>
          <w:tcPr>
            <w:tcW w:w="7180" w:type="dxa"/>
            <w:vAlign w:val="bottom"/>
          </w:tcPr>
          <w:p>
            <w:pPr>
              <w:ind w:left="200"/>
              <w:spacing w:after="0"/>
              <w:rPr>
                <w:sz w:val="20"/>
                <w:szCs w:val="20"/>
                <w:color w:val="auto"/>
              </w:rPr>
            </w:pPr>
            <w:r>
              <w:rPr>
                <w:rFonts w:ascii="Arial" w:cs="Arial" w:eastAsia="Arial" w:hAnsi="Arial"/>
                <w:sz w:val="19"/>
                <w:szCs w:val="19"/>
                <w:b w:val="1"/>
                <w:bCs w:val="1"/>
                <w:color w:val="231F20"/>
              </w:rPr>
              <w:t>Total prepaid expenses and other current assets</w:t>
            </w:r>
          </w:p>
        </w:tc>
        <w:tc>
          <w:tcPr>
            <w:tcW w:w="140" w:type="dxa"/>
            <w:vAlign w:val="bottom"/>
          </w:tcPr>
          <w:p>
            <w:pPr>
              <w:jc w:val="right"/>
              <w:spacing w:after="0"/>
              <w:rPr>
                <w:sz w:val="20"/>
                <w:szCs w:val="20"/>
                <w:color w:val="auto"/>
              </w:rPr>
            </w:pPr>
            <w:r>
              <w:rPr>
                <w:rFonts w:ascii="Arial" w:cs="Arial" w:eastAsia="Arial" w:hAnsi="Arial"/>
                <w:sz w:val="19"/>
                <w:szCs w:val="19"/>
                <w:b w:val="1"/>
                <w:bCs w:val="1"/>
                <w:color w:val="231F20"/>
                <w:w w:val="75"/>
              </w:rPr>
              <w:t>$</w:t>
            </w:r>
          </w:p>
        </w:tc>
        <w:tc>
          <w:tcPr>
            <w:tcW w:w="1320" w:type="dxa"/>
            <w:vAlign w:val="bottom"/>
          </w:tcPr>
          <w:p>
            <w:pPr>
              <w:jc w:val="right"/>
              <w:spacing w:after="0"/>
              <w:rPr>
                <w:sz w:val="20"/>
                <w:szCs w:val="20"/>
                <w:color w:val="auto"/>
              </w:rPr>
            </w:pPr>
            <w:r>
              <w:rPr>
                <w:rFonts w:ascii="Arial" w:cs="Arial" w:eastAsia="Arial" w:hAnsi="Arial"/>
                <w:sz w:val="19"/>
                <w:szCs w:val="19"/>
                <w:b w:val="1"/>
                <w:bCs w:val="1"/>
                <w:color w:val="231F20"/>
              </w:rPr>
              <w:t>6,595</w:t>
            </w:r>
          </w:p>
        </w:tc>
        <w:tc>
          <w:tcPr>
            <w:tcW w:w="400" w:type="dxa"/>
            <w:vAlign w:val="bottom"/>
            <w:gridSpan w:val="2"/>
          </w:tcPr>
          <w:p>
            <w:pPr>
              <w:jc w:val="right"/>
              <w:ind w:right="20"/>
              <w:spacing w:after="0"/>
              <w:rPr>
                <w:sz w:val="20"/>
                <w:szCs w:val="20"/>
                <w:color w:val="auto"/>
              </w:rPr>
            </w:pPr>
            <w:r>
              <w:rPr>
                <w:rFonts w:ascii="Arial" w:cs="Arial" w:eastAsia="Arial" w:hAnsi="Arial"/>
                <w:sz w:val="19"/>
                <w:szCs w:val="19"/>
                <w:b w:val="1"/>
                <w:bCs w:val="1"/>
                <w:color w:val="231F20"/>
              </w:rPr>
              <w:t>$</w:t>
            </w:r>
          </w:p>
        </w:tc>
        <w:tc>
          <w:tcPr>
            <w:tcW w:w="1340" w:type="dxa"/>
            <w:vAlign w:val="bottom"/>
          </w:tcPr>
          <w:p>
            <w:pPr>
              <w:jc w:val="right"/>
              <w:spacing w:after="0"/>
              <w:rPr>
                <w:sz w:val="20"/>
                <w:szCs w:val="20"/>
                <w:color w:val="auto"/>
              </w:rPr>
            </w:pPr>
            <w:r>
              <w:rPr>
                <w:rFonts w:ascii="Arial" w:cs="Arial" w:eastAsia="Arial" w:hAnsi="Arial"/>
                <w:sz w:val="19"/>
                <w:szCs w:val="19"/>
                <w:b w:val="1"/>
                <w:bCs w:val="1"/>
                <w:color w:val="231F20"/>
              </w:rPr>
              <w:t>5,923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-11430</wp:posOffset>
            </wp:positionV>
            <wp:extent cx="2049145" cy="5461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049145" cy="54610"/>
                    </a:xfrm>
                    <a:prstGeom prst="rect">
                      <a:avLst/>
                    </a:prstGeom>
                    <a:noFill/>
                  </pic:spPr>
                </pic:pic>
              </a:graphicData>
            </a:graphic>
          </wp:anchor>
        </w:drawing>
      </w:r>
    </w:p>
    <w:p>
      <w:pPr>
        <w:spacing w:after="0" w:line="261"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Property and Equipment, Net</w:t>
      </w:r>
    </w:p>
    <w:p>
      <w:pPr>
        <w:spacing w:after="0" w:line="128"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231F20"/>
        </w:rPr>
        <w:t>The following table presents the components of property and equipment, net as of December 31, 2024 and 2023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440"/>
              <w:spacing w:after="0"/>
              <w:rPr>
                <w:sz w:val="20"/>
                <w:szCs w:val="20"/>
                <w:color w:val="auto"/>
              </w:rPr>
            </w:pPr>
            <w:r>
              <w:rPr>
                <w:rFonts w:ascii="Arial" w:cs="Arial" w:eastAsia="Arial" w:hAnsi="Arial"/>
                <w:sz w:val="19"/>
                <w:szCs w:val="19"/>
                <w:b w:val="1"/>
                <w:bCs w:val="1"/>
                <w:color w:val="231F20"/>
                <w:w w:val="92"/>
              </w:rPr>
              <w:t>December 31,</w:t>
            </w:r>
          </w:p>
        </w:tc>
        <w:tc>
          <w:tcPr>
            <w:tcW w:w="1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9"/>
                <w:szCs w:val="19"/>
                <w:b w:val="1"/>
                <w:bCs w:val="1"/>
                <w:color w:val="231F20"/>
                <w:w w:val="93"/>
              </w:rPr>
              <w:t>December 31,</w:t>
            </w:r>
          </w:p>
        </w:tc>
      </w:tr>
      <w:tr>
        <w:trPr>
          <w:trHeight w:val="223"/>
        </w:trPr>
        <w:tc>
          <w:tcPr>
            <w:tcW w:w="720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320" w:type="dxa"/>
            <w:vAlign w:val="bottom"/>
            <w:tcBorders>
              <w:bottom w:val="single" w:sz="8" w:color="231F20"/>
            </w:tcBorders>
          </w:tcPr>
          <w:p>
            <w:pPr>
              <w:jc w:val="right"/>
              <w:ind w:right="423"/>
              <w:spacing w:after="0"/>
              <w:rPr>
                <w:sz w:val="20"/>
                <w:szCs w:val="20"/>
                <w:color w:val="auto"/>
              </w:rPr>
            </w:pPr>
            <w:r>
              <w:rPr>
                <w:rFonts w:ascii="Arial" w:cs="Arial" w:eastAsia="Arial" w:hAnsi="Arial"/>
                <w:sz w:val="19"/>
                <w:szCs w:val="19"/>
                <w:b w:val="1"/>
                <w:bCs w:val="1"/>
                <w:color w:val="231F20"/>
              </w:rPr>
              <w:t>2024</w:t>
            </w:r>
          </w:p>
        </w:tc>
        <w:tc>
          <w:tcPr>
            <w:tcW w:w="28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340" w:type="dxa"/>
            <w:vAlign w:val="bottom"/>
            <w:tcBorders>
              <w:bottom w:val="single" w:sz="8" w:color="231F20"/>
            </w:tcBorders>
          </w:tcPr>
          <w:p>
            <w:pPr>
              <w:jc w:val="right"/>
              <w:ind w:right="443"/>
              <w:spacing w:after="0"/>
              <w:rPr>
                <w:sz w:val="20"/>
                <w:szCs w:val="20"/>
                <w:color w:val="auto"/>
              </w:rPr>
            </w:pPr>
            <w:r>
              <w:rPr>
                <w:rFonts w:ascii="Arial" w:cs="Arial" w:eastAsia="Arial" w:hAnsi="Arial"/>
                <w:sz w:val="19"/>
                <w:szCs w:val="19"/>
                <w:b w:val="1"/>
                <w:bCs w:val="1"/>
                <w:color w:val="231F20"/>
              </w:rPr>
              <w:t>2023</w:t>
            </w:r>
          </w:p>
        </w:tc>
        <w:tc>
          <w:tcPr>
            <w:tcW w:w="60" w:type="dxa"/>
            <w:vAlign w:val="bottom"/>
          </w:tcPr>
          <w:p>
            <w:pPr>
              <w:spacing w:after="0"/>
              <w:rPr>
                <w:sz w:val="19"/>
                <w:szCs w:val="19"/>
                <w:color w:val="auto"/>
              </w:rPr>
            </w:pPr>
          </w:p>
        </w:tc>
      </w:tr>
      <w:tr>
        <w:trPr>
          <w:trHeight w:val="213"/>
        </w:trPr>
        <w:tc>
          <w:tcPr>
            <w:tcW w:w="7200" w:type="dxa"/>
            <w:vAlign w:val="bottom"/>
          </w:tcPr>
          <w:p>
            <w:pPr>
              <w:spacing w:after="0" w:line="214" w:lineRule="exact"/>
              <w:rPr>
                <w:sz w:val="20"/>
                <w:szCs w:val="20"/>
                <w:color w:val="auto"/>
              </w:rPr>
            </w:pPr>
            <w:r>
              <w:rPr>
                <w:rFonts w:ascii="Arial" w:cs="Arial" w:eastAsia="Arial" w:hAnsi="Arial"/>
                <w:sz w:val="19"/>
                <w:szCs w:val="19"/>
                <w:b w:val="1"/>
                <w:bCs w:val="1"/>
                <w:color w:val="231F20"/>
              </w:rPr>
              <w:t>Leasehold improvements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231F20"/>
                <w:w w:val="71"/>
              </w:rPr>
              <w:t>$</w:t>
            </w:r>
          </w:p>
        </w:tc>
        <w:tc>
          <w:tcPr>
            <w:tcW w:w="1600" w:type="dxa"/>
            <w:vAlign w:val="bottom"/>
            <w:gridSpan w:val="2"/>
          </w:tcPr>
          <w:p>
            <w:pPr>
              <w:jc w:val="right"/>
              <w:ind w:right="280"/>
              <w:spacing w:after="0" w:line="214" w:lineRule="exact"/>
              <w:rPr>
                <w:sz w:val="20"/>
                <w:szCs w:val="20"/>
                <w:color w:val="auto"/>
              </w:rPr>
            </w:pPr>
            <w:r>
              <w:rPr>
                <w:rFonts w:ascii="Arial" w:cs="Arial" w:eastAsia="Arial" w:hAnsi="Arial"/>
                <w:sz w:val="19"/>
                <w:szCs w:val="19"/>
                <w:b w:val="1"/>
                <w:bCs w:val="1"/>
                <w:color w:val="231F20"/>
              </w:rPr>
              <w:t>2,509</w:t>
            </w:r>
          </w:p>
        </w:tc>
        <w:tc>
          <w:tcPr>
            <w:tcW w:w="120" w:type="dxa"/>
            <w:vAlign w:val="bottom"/>
          </w:tcPr>
          <w:p>
            <w:pPr>
              <w:jc w:val="right"/>
              <w:spacing w:after="0" w:line="214" w:lineRule="exact"/>
              <w:rPr>
                <w:sz w:val="20"/>
                <w:szCs w:val="20"/>
                <w:color w:val="auto"/>
              </w:rPr>
            </w:pPr>
            <w:r>
              <w:rPr>
                <w:rFonts w:ascii="Arial" w:cs="Arial" w:eastAsia="Arial" w:hAnsi="Arial"/>
                <w:sz w:val="19"/>
                <w:szCs w:val="19"/>
                <w:b w:val="1"/>
                <w:bCs w:val="1"/>
                <w:color w:val="231F20"/>
                <w:w w:val="75"/>
              </w:rPr>
              <w:t>$</w:t>
            </w:r>
          </w:p>
        </w:tc>
        <w:tc>
          <w:tcPr>
            <w:tcW w:w="1400" w:type="dxa"/>
            <w:vAlign w:val="bottom"/>
            <w:gridSpan w:val="2"/>
          </w:tcPr>
          <w:p>
            <w:pPr>
              <w:jc w:val="right"/>
              <w:ind w:right="60"/>
              <w:spacing w:after="0" w:line="214" w:lineRule="exact"/>
              <w:rPr>
                <w:sz w:val="20"/>
                <w:szCs w:val="20"/>
                <w:color w:val="auto"/>
              </w:rPr>
            </w:pPr>
            <w:r>
              <w:rPr>
                <w:rFonts w:ascii="Arial" w:cs="Arial" w:eastAsia="Arial" w:hAnsi="Arial"/>
                <w:sz w:val="19"/>
                <w:szCs w:val="19"/>
                <w:b w:val="1"/>
                <w:bCs w:val="1"/>
                <w:color w:val="231F20"/>
              </w:rPr>
              <w:t>2,513</w:t>
            </w:r>
          </w:p>
        </w:tc>
      </w:tr>
      <w:tr>
        <w:trPr>
          <w:trHeight w:val="223"/>
        </w:trPr>
        <w:tc>
          <w:tcPr>
            <w:tcW w:w="7200" w:type="dxa"/>
            <w:vAlign w:val="bottom"/>
          </w:tcPr>
          <w:p>
            <w:pPr>
              <w:spacing w:after="0"/>
              <w:rPr>
                <w:sz w:val="20"/>
                <w:szCs w:val="20"/>
                <w:color w:val="auto"/>
              </w:rPr>
            </w:pPr>
            <w:r>
              <w:rPr>
                <w:rFonts w:ascii="Arial" w:cs="Arial" w:eastAsia="Arial" w:hAnsi="Arial"/>
                <w:sz w:val="19"/>
                <w:szCs w:val="19"/>
                <w:b w:val="1"/>
                <w:bCs w:val="1"/>
                <w:color w:val="231F20"/>
              </w:rPr>
              <w:t>Laboratory equipment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9"/>
                <w:szCs w:val="19"/>
                <w:b w:val="1"/>
                <w:bCs w:val="1"/>
                <w:color w:val="231F20"/>
              </w:rPr>
              <w:t>1,835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9"/>
                <w:szCs w:val="19"/>
                <w:b w:val="1"/>
                <w:bCs w:val="1"/>
                <w:color w:val="231F20"/>
              </w:rPr>
              <w:t>1,733</w:t>
            </w:r>
          </w:p>
        </w:tc>
      </w:tr>
      <w:tr>
        <w:trPr>
          <w:trHeight w:val="223"/>
        </w:trPr>
        <w:tc>
          <w:tcPr>
            <w:tcW w:w="7200" w:type="dxa"/>
            <w:vAlign w:val="bottom"/>
          </w:tcPr>
          <w:p>
            <w:pPr>
              <w:spacing w:after="0"/>
              <w:rPr>
                <w:sz w:val="20"/>
                <w:szCs w:val="20"/>
                <w:color w:val="auto"/>
              </w:rPr>
            </w:pPr>
            <w:r>
              <w:rPr>
                <w:rFonts w:ascii="Arial" w:cs="Arial" w:eastAsia="Arial" w:hAnsi="Arial"/>
                <w:sz w:val="19"/>
                <w:szCs w:val="19"/>
                <w:b w:val="1"/>
                <w:bCs w:val="1"/>
                <w:color w:val="231F20"/>
              </w:rPr>
              <w:t>Computer hardware and software</w:t>
            </w:r>
          </w:p>
        </w:tc>
        <w:tc>
          <w:tcPr>
            <w:tcW w:w="12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9"/>
                <w:szCs w:val="19"/>
                <w:b w:val="1"/>
                <w:bCs w:val="1"/>
                <w:color w:val="231F20"/>
              </w:rPr>
              <w:t>473</w:t>
            </w:r>
          </w:p>
        </w:tc>
        <w:tc>
          <w:tcPr>
            <w:tcW w:w="12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9"/>
                <w:szCs w:val="19"/>
                <w:b w:val="1"/>
                <w:bCs w:val="1"/>
                <w:color w:val="231F20"/>
              </w:rPr>
              <w:t>414</w:t>
            </w:r>
          </w:p>
        </w:tc>
      </w:tr>
      <w:tr>
        <w:trPr>
          <w:trHeight w:val="222"/>
        </w:trPr>
        <w:tc>
          <w:tcPr>
            <w:tcW w:w="7200" w:type="dxa"/>
            <w:vAlign w:val="bottom"/>
          </w:tcPr>
          <w:p>
            <w:pPr>
              <w:spacing w:after="0"/>
              <w:rPr>
                <w:sz w:val="20"/>
                <w:szCs w:val="20"/>
                <w:color w:val="auto"/>
              </w:rPr>
            </w:pPr>
            <w:r>
              <w:rPr>
                <w:rFonts w:ascii="Arial" w:cs="Arial" w:eastAsia="Arial" w:hAnsi="Arial"/>
                <w:sz w:val="19"/>
                <w:szCs w:val="19"/>
                <w:b w:val="1"/>
                <w:bCs w:val="1"/>
                <w:color w:val="231F20"/>
              </w:rPr>
              <w:t>Furniture and fixtures</w:t>
            </w:r>
          </w:p>
        </w:tc>
        <w:tc>
          <w:tcPr>
            <w:tcW w:w="120" w:type="dxa"/>
            <w:vAlign w:val="bottom"/>
            <w:tcBorders>
              <w:bottom w:val="single" w:sz="8" w:color="231F20"/>
            </w:tcBorders>
          </w:tcPr>
          <w:p>
            <w:pPr>
              <w:spacing w:after="0"/>
              <w:rPr>
                <w:sz w:val="19"/>
                <w:szCs w:val="19"/>
                <w:color w:val="auto"/>
              </w:rPr>
            </w:pPr>
          </w:p>
        </w:tc>
        <w:tc>
          <w:tcPr>
            <w:tcW w:w="132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165</w:t>
            </w:r>
          </w:p>
        </w:tc>
        <w:tc>
          <w:tcPr>
            <w:tcW w:w="28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34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166</w:t>
            </w:r>
          </w:p>
        </w:tc>
        <w:tc>
          <w:tcPr>
            <w:tcW w:w="60" w:type="dxa"/>
            <w:vAlign w:val="bottom"/>
          </w:tcPr>
          <w:p>
            <w:pPr>
              <w:spacing w:after="0"/>
              <w:rPr>
                <w:sz w:val="19"/>
                <w:szCs w:val="19"/>
                <w:color w:val="auto"/>
              </w:rPr>
            </w:pPr>
          </w:p>
        </w:tc>
      </w:tr>
      <w:tr>
        <w:trPr>
          <w:trHeight w:val="212"/>
        </w:trPr>
        <w:tc>
          <w:tcPr>
            <w:tcW w:w="7200" w:type="dxa"/>
            <w:vAlign w:val="bottom"/>
          </w:tcPr>
          <w:p>
            <w:pPr>
              <w:ind w:left="200"/>
              <w:spacing w:after="0" w:line="212" w:lineRule="exact"/>
              <w:rPr>
                <w:sz w:val="20"/>
                <w:szCs w:val="20"/>
                <w:color w:val="auto"/>
              </w:rPr>
            </w:pPr>
            <w:r>
              <w:rPr>
                <w:rFonts w:ascii="Arial" w:cs="Arial" w:eastAsia="Arial" w:hAnsi="Arial"/>
                <w:sz w:val="19"/>
                <w:szCs w:val="19"/>
                <w:b w:val="1"/>
                <w:bCs w:val="1"/>
                <w:color w:val="231F20"/>
              </w:rPr>
              <w:t>Property and equipment, gross</w:t>
            </w:r>
          </w:p>
        </w:tc>
        <w:tc>
          <w:tcPr>
            <w:tcW w:w="120" w:type="dxa"/>
            <w:vAlign w:val="bottom"/>
          </w:tcPr>
          <w:p>
            <w:pPr>
              <w:spacing w:after="0"/>
              <w:rPr>
                <w:sz w:val="18"/>
                <w:szCs w:val="18"/>
                <w:color w:val="auto"/>
              </w:rPr>
            </w:pPr>
          </w:p>
        </w:tc>
        <w:tc>
          <w:tcPr>
            <w:tcW w:w="1320" w:type="dxa"/>
            <w:vAlign w:val="bottom"/>
          </w:tcPr>
          <w:p>
            <w:pPr>
              <w:jc w:val="right"/>
              <w:spacing w:after="0" w:line="212" w:lineRule="exact"/>
              <w:rPr>
                <w:sz w:val="20"/>
                <w:szCs w:val="20"/>
                <w:color w:val="auto"/>
              </w:rPr>
            </w:pPr>
            <w:r>
              <w:rPr>
                <w:rFonts w:ascii="Arial" w:cs="Arial" w:eastAsia="Arial" w:hAnsi="Arial"/>
                <w:sz w:val="19"/>
                <w:szCs w:val="19"/>
                <w:b w:val="1"/>
                <w:bCs w:val="1"/>
                <w:color w:val="231F20"/>
              </w:rPr>
              <w:t>4,982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line="212" w:lineRule="exact"/>
              <w:rPr>
                <w:sz w:val="20"/>
                <w:szCs w:val="20"/>
                <w:color w:val="auto"/>
              </w:rPr>
            </w:pPr>
            <w:r>
              <w:rPr>
                <w:rFonts w:ascii="Arial" w:cs="Arial" w:eastAsia="Arial" w:hAnsi="Arial"/>
                <w:sz w:val="19"/>
                <w:szCs w:val="19"/>
                <w:b w:val="1"/>
                <w:bCs w:val="1"/>
                <w:color w:val="231F20"/>
              </w:rPr>
              <w:t>4,826</w:t>
            </w:r>
          </w:p>
        </w:tc>
        <w:tc>
          <w:tcPr>
            <w:tcW w:w="60" w:type="dxa"/>
            <w:vAlign w:val="bottom"/>
          </w:tcPr>
          <w:p>
            <w:pPr>
              <w:spacing w:after="0"/>
              <w:rPr>
                <w:sz w:val="18"/>
                <w:szCs w:val="18"/>
                <w:color w:val="auto"/>
              </w:rPr>
            </w:pPr>
          </w:p>
        </w:tc>
      </w:tr>
      <w:tr>
        <w:trPr>
          <w:trHeight w:val="224"/>
        </w:trPr>
        <w:tc>
          <w:tcPr>
            <w:tcW w:w="7200" w:type="dxa"/>
            <w:vAlign w:val="bottom"/>
          </w:tcPr>
          <w:p>
            <w:pPr>
              <w:spacing w:after="0"/>
              <w:rPr>
                <w:sz w:val="20"/>
                <w:szCs w:val="20"/>
                <w:color w:val="auto"/>
              </w:rPr>
            </w:pPr>
            <w:r>
              <w:rPr>
                <w:rFonts w:ascii="Arial" w:cs="Arial" w:eastAsia="Arial" w:hAnsi="Arial"/>
                <w:sz w:val="19"/>
                <w:szCs w:val="19"/>
                <w:b w:val="1"/>
                <w:bCs w:val="1"/>
                <w:color w:val="231F20"/>
              </w:rPr>
              <w:t>Less: accumulated depreciation</w:t>
            </w:r>
          </w:p>
        </w:tc>
        <w:tc>
          <w:tcPr>
            <w:tcW w:w="12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9"/>
                <w:szCs w:val="19"/>
                <w:b w:val="1"/>
                <w:bCs w:val="1"/>
                <w:color w:val="231F20"/>
              </w:rPr>
              <w:t>(2,077)</w:t>
            </w:r>
          </w:p>
        </w:tc>
        <w:tc>
          <w:tcPr>
            <w:tcW w:w="12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(1,237)</w:t>
            </w:r>
          </w:p>
        </w:tc>
      </w:tr>
      <w:tr>
        <w:trPr>
          <w:trHeight w:val="212"/>
        </w:trPr>
        <w:tc>
          <w:tcPr>
            <w:tcW w:w="7200" w:type="dxa"/>
            <w:vAlign w:val="bottom"/>
          </w:tcPr>
          <w:p>
            <w:pPr>
              <w:ind w:left="200"/>
              <w:spacing w:after="0" w:line="212" w:lineRule="exact"/>
              <w:rPr>
                <w:sz w:val="20"/>
                <w:szCs w:val="20"/>
                <w:color w:val="auto"/>
              </w:rPr>
            </w:pPr>
            <w:r>
              <w:rPr>
                <w:rFonts w:ascii="Arial" w:cs="Arial" w:eastAsia="Arial" w:hAnsi="Arial"/>
                <w:sz w:val="19"/>
                <w:szCs w:val="19"/>
                <w:b w:val="1"/>
                <w:bCs w:val="1"/>
                <w:color w:val="231F20"/>
              </w:rPr>
              <w:t>Property and equipment, net</w:t>
            </w:r>
          </w:p>
        </w:tc>
        <w:tc>
          <w:tcPr>
            <w:tcW w:w="120" w:type="dxa"/>
            <w:vAlign w:val="bottom"/>
            <w:tcBorders>
              <w:top w:val="single" w:sz="8" w:color="231F20"/>
            </w:tcBorders>
          </w:tcPr>
          <w:p>
            <w:pPr>
              <w:jc w:val="right"/>
              <w:spacing w:after="0"/>
              <w:rPr>
                <w:sz w:val="20"/>
                <w:szCs w:val="20"/>
                <w:color w:val="auto"/>
              </w:rPr>
            </w:pPr>
            <w:r>
              <w:rPr>
                <w:rFonts w:ascii="Arial" w:cs="Arial" w:eastAsia="Arial" w:hAnsi="Arial"/>
                <w:sz w:val="15"/>
                <w:szCs w:val="15"/>
                <w:b w:val="1"/>
                <w:bCs w:val="1"/>
                <w:color w:val="231F20"/>
                <w:w w:val="71"/>
              </w:rPr>
              <w:t>$</w:t>
            </w:r>
          </w:p>
        </w:tc>
        <w:tc>
          <w:tcPr>
            <w:tcW w:w="1320" w:type="dxa"/>
            <w:vAlign w:val="bottom"/>
            <w:tcBorders>
              <w:top w:val="single" w:sz="8" w:color="231F20"/>
            </w:tcBorders>
          </w:tcPr>
          <w:p>
            <w:pPr>
              <w:jc w:val="right"/>
              <w:spacing w:after="0" w:line="212" w:lineRule="exact"/>
              <w:rPr>
                <w:sz w:val="20"/>
                <w:szCs w:val="20"/>
                <w:color w:val="auto"/>
              </w:rPr>
            </w:pPr>
            <w:r>
              <w:rPr>
                <w:rFonts w:ascii="Arial" w:cs="Arial" w:eastAsia="Arial" w:hAnsi="Arial"/>
                <w:sz w:val="19"/>
                <w:szCs w:val="19"/>
                <w:b w:val="1"/>
                <w:bCs w:val="1"/>
                <w:color w:val="231F20"/>
              </w:rPr>
              <w:t>2,905</w:t>
            </w:r>
          </w:p>
        </w:tc>
        <w:tc>
          <w:tcPr>
            <w:tcW w:w="280" w:type="dxa"/>
            <w:vAlign w:val="bottom"/>
          </w:tcPr>
          <w:p>
            <w:pPr>
              <w:spacing w:after="0"/>
              <w:rPr>
                <w:sz w:val="18"/>
                <w:szCs w:val="18"/>
                <w:color w:val="auto"/>
              </w:rPr>
            </w:pPr>
          </w:p>
        </w:tc>
        <w:tc>
          <w:tcPr>
            <w:tcW w:w="120" w:type="dxa"/>
            <w:vAlign w:val="bottom"/>
            <w:tcBorders>
              <w:top w:val="single" w:sz="8" w:color="231F20"/>
            </w:tcBorders>
          </w:tcPr>
          <w:p>
            <w:pPr>
              <w:jc w:val="right"/>
              <w:spacing w:after="0" w:line="212" w:lineRule="exact"/>
              <w:rPr>
                <w:sz w:val="20"/>
                <w:szCs w:val="20"/>
                <w:color w:val="auto"/>
              </w:rPr>
            </w:pPr>
            <w:r>
              <w:rPr>
                <w:rFonts w:ascii="Arial" w:cs="Arial" w:eastAsia="Arial" w:hAnsi="Arial"/>
                <w:sz w:val="19"/>
                <w:szCs w:val="19"/>
                <w:b w:val="1"/>
                <w:bCs w:val="1"/>
                <w:color w:val="231F20"/>
                <w:w w:val="75"/>
              </w:rPr>
              <w:t>$</w:t>
            </w:r>
          </w:p>
        </w:tc>
        <w:tc>
          <w:tcPr>
            <w:tcW w:w="1340" w:type="dxa"/>
            <w:vAlign w:val="bottom"/>
            <w:tcBorders>
              <w:top w:val="single" w:sz="8" w:color="231F20"/>
            </w:tcBorders>
          </w:tcPr>
          <w:p>
            <w:pPr>
              <w:jc w:val="right"/>
              <w:spacing w:after="0" w:line="212" w:lineRule="exact"/>
              <w:rPr>
                <w:sz w:val="20"/>
                <w:szCs w:val="20"/>
                <w:color w:val="auto"/>
              </w:rPr>
            </w:pPr>
            <w:r>
              <w:rPr>
                <w:rFonts w:ascii="Arial" w:cs="Arial" w:eastAsia="Arial" w:hAnsi="Arial"/>
                <w:sz w:val="19"/>
                <w:szCs w:val="19"/>
                <w:b w:val="1"/>
                <w:bCs w:val="1"/>
                <w:color w:val="231F20"/>
              </w:rPr>
              <w:t>3,589</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4552315</wp:posOffset>
            </wp:positionH>
            <wp:positionV relativeFrom="paragraph">
              <wp:posOffset>-11430</wp:posOffset>
            </wp:positionV>
            <wp:extent cx="2047875" cy="5588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047875" cy="55880"/>
                    </a:xfrm>
                    <a:prstGeom prst="rect">
                      <a:avLst/>
                    </a:prstGeom>
                    <a:noFill/>
                  </pic:spPr>
                </pic:pic>
              </a:graphicData>
            </a:graphic>
          </wp:anchor>
        </w:drawing>
      </w:r>
    </w:p>
    <w:p>
      <w:pPr>
        <w:spacing w:after="0" w:line="256"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231F20"/>
        </w:rPr>
        <w:t>Depreciation was $0.9 million, $0.8 million, and $0.3 million for years ended December 31, 2024, 2023 and 2022, respectively.</w:t>
      </w:r>
    </w:p>
    <w:p>
      <w:pPr>
        <w:spacing w:after="0" w:line="267"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Other Assets</w:t>
      </w:r>
    </w:p>
    <w:p>
      <w:pPr>
        <w:spacing w:after="0" w:line="128"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231F20"/>
        </w:rPr>
        <w:t>The following table presents the components of other assets, net as of December 31, 2024 and 2023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440"/>
              <w:spacing w:after="0"/>
              <w:rPr>
                <w:sz w:val="20"/>
                <w:szCs w:val="20"/>
                <w:color w:val="auto"/>
              </w:rPr>
            </w:pPr>
            <w:r>
              <w:rPr>
                <w:rFonts w:ascii="Arial" w:cs="Arial" w:eastAsia="Arial" w:hAnsi="Arial"/>
                <w:sz w:val="19"/>
                <w:szCs w:val="19"/>
                <w:b w:val="1"/>
                <w:bCs w:val="1"/>
                <w:color w:val="231F20"/>
                <w:w w:val="92"/>
              </w:rPr>
              <w:t>December 31,</w:t>
            </w:r>
          </w:p>
        </w:tc>
        <w:tc>
          <w:tcPr>
            <w:tcW w:w="120" w:type="dxa"/>
            <w:vAlign w:val="bottom"/>
          </w:tcPr>
          <w:p>
            <w:pPr>
              <w:spacing w:after="0"/>
              <w:rPr>
                <w:sz w:val="19"/>
                <w:szCs w:val="19"/>
                <w:color w:val="auto"/>
              </w:rPr>
            </w:pPr>
          </w:p>
        </w:tc>
        <w:tc>
          <w:tcPr>
            <w:tcW w:w="1340" w:type="dxa"/>
            <w:vAlign w:val="bottom"/>
          </w:tcPr>
          <w:p>
            <w:pPr>
              <w:jc w:val="right"/>
              <w:ind w:right="63"/>
              <w:spacing w:after="0"/>
              <w:rPr>
                <w:sz w:val="20"/>
                <w:szCs w:val="20"/>
                <w:color w:val="auto"/>
              </w:rPr>
            </w:pPr>
            <w:r>
              <w:rPr>
                <w:rFonts w:ascii="Arial" w:cs="Arial" w:eastAsia="Arial" w:hAnsi="Arial"/>
                <w:sz w:val="19"/>
                <w:szCs w:val="19"/>
                <w:b w:val="1"/>
                <w:bCs w:val="1"/>
                <w:color w:val="231F20"/>
                <w:w w:val="93"/>
              </w:rPr>
              <w:t>December 31,</w:t>
            </w:r>
          </w:p>
        </w:tc>
      </w:tr>
      <w:tr>
        <w:trPr>
          <w:trHeight w:val="223"/>
        </w:trPr>
        <w:tc>
          <w:tcPr>
            <w:tcW w:w="720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320" w:type="dxa"/>
            <w:vAlign w:val="bottom"/>
            <w:tcBorders>
              <w:bottom w:val="single" w:sz="8" w:color="231F20"/>
            </w:tcBorders>
          </w:tcPr>
          <w:p>
            <w:pPr>
              <w:jc w:val="right"/>
              <w:ind w:right="423"/>
              <w:spacing w:after="0"/>
              <w:rPr>
                <w:sz w:val="20"/>
                <w:szCs w:val="20"/>
                <w:color w:val="auto"/>
              </w:rPr>
            </w:pPr>
            <w:r>
              <w:rPr>
                <w:rFonts w:ascii="Arial" w:cs="Arial" w:eastAsia="Arial" w:hAnsi="Arial"/>
                <w:sz w:val="19"/>
                <w:szCs w:val="19"/>
                <w:b w:val="1"/>
                <w:bCs w:val="1"/>
                <w:color w:val="231F20"/>
              </w:rPr>
              <w:t>2024</w:t>
            </w:r>
          </w:p>
        </w:tc>
        <w:tc>
          <w:tcPr>
            <w:tcW w:w="28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340" w:type="dxa"/>
            <w:vAlign w:val="bottom"/>
            <w:tcBorders>
              <w:bottom w:val="single" w:sz="8" w:color="231F20"/>
            </w:tcBorders>
          </w:tcPr>
          <w:p>
            <w:pPr>
              <w:jc w:val="right"/>
              <w:ind w:right="443"/>
              <w:spacing w:after="0"/>
              <w:rPr>
                <w:sz w:val="20"/>
                <w:szCs w:val="20"/>
                <w:color w:val="auto"/>
              </w:rPr>
            </w:pPr>
            <w:r>
              <w:rPr>
                <w:rFonts w:ascii="Arial" w:cs="Arial" w:eastAsia="Arial" w:hAnsi="Arial"/>
                <w:sz w:val="19"/>
                <w:szCs w:val="19"/>
                <w:b w:val="1"/>
                <w:bCs w:val="1"/>
                <w:color w:val="231F20"/>
              </w:rPr>
              <w:t>2023</w:t>
            </w:r>
          </w:p>
        </w:tc>
      </w:tr>
      <w:tr>
        <w:trPr>
          <w:trHeight w:val="213"/>
        </w:trPr>
        <w:tc>
          <w:tcPr>
            <w:tcW w:w="7200" w:type="dxa"/>
            <w:vAlign w:val="bottom"/>
          </w:tcPr>
          <w:p>
            <w:pPr>
              <w:spacing w:after="0" w:line="214" w:lineRule="exact"/>
              <w:rPr>
                <w:sz w:val="20"/>
                <w:szCs w:val="20"/>
                <w:color w:val="auto"/>
              </w:rPr>
            </w:pPr>
            <w:r>
              <w:rPr>
                <w:rFonts w:ascii="Arial" w:cs="Arial" w:eastAsia="Arial" w:hAnsi="Arial"/>
                <w:sz w:val="19"/>
                <w:szCs w:val="19"/>
                <w:b w:val="1"/>
                <w:bCs w:val="1"/>
                <w:color w:val="231F20"/>
              </w:rPr>
              <w:t>Operating lease right-of-use assets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231F20"/>
                <w:w w:val="71"/>
              </w:rPr>
              <w:t>$</w:t>
            </w:r>
          </w:p>
        </w:tc>
        <w:tc>
          <w:tcPr>
            <w:tcW w:w="1600" w:type="dxa"/>
            <w:vAlign w:val="bottom"/>
            <w:gridSpan w:val="2"/>
          </w:tcPr>
          <w:p>
            <w:pPr>
              <w:jc w:val="right"/>
              <w:ind w:right="280"/>
              <w:spacing w:after="0" w:line="214" w:lineRule="exact"/>
              <w:rPr>
                <w:sz w:val="20"/>
                <w:szCs w:val="20"/>
                <w:color w:val="auto"/>
              </w:rPr>
            </w:pPr>
            <w:r>
              <w:rPr>
                <w:rFonts w:ascii="Arial" w:cs="Arial" w:eastAsia="Arial" w:hAnsi="Arial"/>
                <w:sz w:val="19"/>
                <w:szCs w:val="19"/>
                <w:b w:val="1"/>
                <w:bCs w:val="1"/>
                <w:color w:val="231F20"/>
              </w:rPr>
              <w:t>4,023</w:t>
            </w:r>
          </w:p>
        </w:tc>
        <w:tc>
          <w:tcPr>
            <w:tcW w:w="120" w:type="dxa"/>
            <w:vAlign w:val="bottom"/>
          </w:tcPr>
          <w:p>
            <w:pPr>
              <w:jc w:val="right"/>
              <w:spacing w:after="0" w:line="214" w:lineRule="exact"/>
              <w:rPr>
                <w:sz w:val="20"/>
                <w:szCs w:val="20"/>
                <w:color w:val="auto"/>
              </w:rPr>
            </w:pPr>
            <w:r>
              <w:rPr>
                <w:rFonts w:ascii="Arial" w:cs="Arial" w:eastAsia="Arial" w:hAnsi="Arial"/>
                <w:sz w:val="19"/>
                <w:szCs w:val="19"/>
                <w:b w:val="1"/>
                <w:bCs w:val="1"/>
                <w:color w:val="231F20"/>
                <w:w w:val="75"/>
              </w:rPr>
              <w:t>$</w:t>
            </w:r>
          </w:p>
        </w:tc>
        <w:tc>
          <w:tcPr>
            <w:tcW w:w="1340" w:type="dxa"/>
            <w:vAlign w:val="bottom"/>
          </w:tcPr>
          <w:p>
            <w:pPr>
              <w:jc w:val="right"/>
              <w:spacing w:after="0" w:line="214" w:lineRule="exact"/>
              <w:rPr>
                <w:sz w:val="20"/>
                <w:szCs w:val="20"/>
                <w:color w:val="auto"/>
              </w:rPr>
            </w:pPr>
            <w:r>
              <w:rPr>
                <w:rFonts w:ascii="Arial" w:cs="Arial" w:eastAsia="Arial" w:hAnsi="Arial"/>
                <w:sz w:val="19"/>
                <w:szCs w:val="19"/>
                <w:b w:val="1"/>
                <w:bCs w:val="1"/>
                <w:color w:val="231F20"/>
              </w:rPr>
              <w:t>4,847</w:t>
            </w:r>
          </w:p>
        </w:tc>
      </w:tr>
      <w:tr>
        <w:trPr>
          <w:trHeight w:val="223"/>
        </w:trPr>
        <w:tc>
          <w:tcPr>
            <w:tcW w:w="7200" w:type="dxa"/>
            <w:vAlign w:val="bottom"/>
          </w:tcPr>
          <w:p>
            <w:pPr>
              <w:spacing w:after="0"/>
              <w:rPr>
                <w:sz w:val="20"/>
                <w:szCs w:val="20"/>
                <w:color w:val="auto"/>
              </w:rPr>
            </w:pPr>
            <w:r>
              <w:rPr>
                <w:rFonts w:ascii="Arial" w:cs="Arial" w:eastAsia="Arial" w:hAnsi="Arial"/>
                <w:sz w:val="19"/>
                <w:szCs w:val="19"/>
                <w:b w:val="1"/>
                <w:bCs w:val="1"/>
                <w:color w:val="231F20"/>
              </w:rPr>
              <w:t>Finance lease right-of-use assets</w:t>
            </w:r>
          </w:p>
        </w:tc>
        <w:tc>
          <w:tcPr>
            <w:tcW w:w="12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9"/>
                <w:szCs w:val="19"/>
                <w:b w:val="1"/>
                <w:bCs w:val="1"/>
                <w:color w:val="231F20"/>
              </w:rPr>
              <w:t>2,704</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9"/>
                <w:szCs w:val="19"/>
                <w:b w:val="1"/>
                <w:bCs w:val="1"/>
                <w:color w:val="231F20"/>
              </w:rPr>
              <w:t>2,405</w:t>
            </w:r>
          </w:p>
        </w:tc>
      </w:tr>
      <w:tr>
        <w:trPr>
          <w:trHeight w:val="223"/>
        </w:trPr>
        <w:tc>
          <w:tcPr>
            <w:tcW w:w="7200" w:type="dxa"/>
            <w:vAlign w:val="bottom"/>
          </w:tcPr>
          <w:p>
            <w:pPr>
              <w:spacing w:after="0"/>
              <w:rPr>
                <w:sz w:val="20"/>
                <w:szCs w:val="20"/>
                <w:color w:val="auto"/>
              </w:rPr>
            </w:pPr>
            <w:r>
              <w:rPr>
                <w:rFonts w:ascii="Arial" w:cs="Arial" w:eastAsia="Arial" w:hAnsi="Arial"/>
                <w:sz w:val="19"/>
                <w:szCs w:val="19"/>
                <w:b w:val="1"/>
                <w:bCs w:val="1"/>
                <w:color w:val="231F20"/>
              </w:rPr>
              <w:t>Other assets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9"/>
                <w:szCs w:val="19"/>
                <w:b w:val="1"/>
                <w:bCs w:val="1"/>
                <w:color w:val="231F20"/>
              </w:rPr>
              <w:t>200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9"/>
                <w:szCs w:val="19"/>
                <w:b w:val="1"/>
                <w:bCs w:val="1"/>
                <w:color w:val="231F20"/>
              </w:rPr>
              <w:t>200</w:t>
            </w:r>
          </w:p>
        </w:tc>
      </w:tr>
      <w:tr>
        <w:trPr>
          <w:trHeight w:val="223"/>
        </w:trPr>
        <w:tc>
          <w:tcPr>
            <w:tcW w:w="7200" w:type="dxa"/>
            <w:vAlign w:val="bottom"/>
          </w:tcPr>
          <w:p>
            <w:pPr>
              <w:spacing w:after="0"/>
              <w:rPr>
                <w:sz w:val="20"/>
                <w:szCs w:val="20"/>
                <w:color w:val="auto"/>
              </w:rPr>
            </w:pPr>
            <w:r>
              <w:rPr>
                <w:rFonts w:ascii="Arial" w:cs="Arial" w:eastAsia="Arial" w:hAnsi="Arial"/>
                <w:sz w:val="19"/>
                <w:szCs w:val="19"/>
                <w:b w:val="1"/>
                <w:bCs w:val="1"/>
                <w:color w:val="231F20"/>
              </w:rPr>
              <w:t>Long-term prepaid contract manufacturing costs</w:t>
            </w:r>
          </w:p>
        </w:tc>
        <w:tc>
          <w:tcPr>
            <w:tcW w:w="12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9"/>
                <w:szCs w:val="19"/>
                <w:b w:val="1"/>
                <w:bCs w:val="1"/>
                <w:color w:val="231F20"/>
              </w:rPr>
              <w:t>67</w:t>
            </w:r>
          </w:p>
        </w:tc>
        <w:tc>
          <w:tcPr>
            <w:tcW w:w="120" w:type="dxa"/>
            <w:vAlign w:val="bottom"/>
          </w:tcPr>
          <w:p>
            <w:pPr>
              <w:spacing w:after="0"/>
              <w:rPr>
                <w:sz w:val="19"/>
                <w:szCs w:val="19"/>
                <w:color w:val="auto"/>
              </w:rPr>
            </w:pPr>
          </w:p>
        </w:tc>
        <w:tc>
          <w:tcPr>
            <w:tcW w:w="1340" w:type="dxa"/>
            <w:vAlign w:val="bottom"/>
          </w:tcPr>
          <w:p>
            <w:pPr>
              <w:jc w:val="right"/>
              <w:spacing w:after="0" w:line="224" w:lineRule="exact"/>
              <w:rPr>
                <w:sz w:val="20"/>
                <w:szCs w:val="20"/>
                <w:color w:val="auto"/>
              </w:rPr>
            </w:pPr>
            <w:r>
              <w:rPr>
                <w:rFonts w:ascii="PMingLiU" w:cs="PMingLiU" w:eastAsia="PMingLiU" w:hAnsi="PMingLiU"/>
                <w:sz w:val="19"/>
                <w:szCs w:val="19"/>
                <w:b w:val="1"/>
                <w:bCs w:val="1"/>
                <w:color w:val="231F20"/>
              </w:rPr>
              <w:t></w:t>
            </w:r>
          </w:p>
        </w:tc>
      </w:tr>
      <w:tr>
        <w:trPr>
          <w:trHeight w:val="223"/>
        </w:trPr>
        <w:tc>
          <w:tcPr>
            <w:tcW w:w="7200" w:type="dxa"/>
            <w:vAlign w:val="bottom"/>
          </w:tcPr>
          <w:p>
            <w:pPr>
              <w:spacing w:after="0"/>
              <w:rPr>
                <w:sz w:val="20"/>
                <w:szCs w:val="20"/>
                <w:color w:val="auto"/>
              </w:rPr>
            </w:pPr>
            <w:r>
              <w:rPr>
                <w:rFonts w:ascii="Arial" w:cs="Arial" w:eastAsia="Arial" w:hAnsi="Arial"/>
                <w:sz w:val="19"/>
                <w:szCs w:val="19"/>
                <w:b w:val="1"/>
                <w:bCs w:val="1"/>
                <w:color w:val="231F20"/>
              </w:rPr>
              <w:t>Long-term prepaid clinical expenses</w:t>
            </w:r>
          </w:p>
        </w:tc>
        <w:tc>
          <w:tcPr>
            <w:tcW w:w="120" w:type="dxa"/>
            <w:vAlign w:val="bottom"/>
          </w:tcPr>
          <w:p>
            <w:pPr>
              <w:spacing w:after="0"/>
              <w:rPr>
                <w:sz w:val="19"/>
                <w:szCs w:val="19"/>
                <w:color w:val="auto"/>
              </w:rPr>
            </w:pPr>
          </w:p>
        </w:tc>
        <w:tc>
          <w:tcPr>
            <w:tcW w:w="1600" w:type="dxa"/>
            <w:vAlign w:val="bottom"/>
            <w:gridSpan w:val="2"/>
          </w:tcPr>
          <w:p>
            <w:pPr>
              <w:jc w:val="right"/>
              <w:ind w:right="280"/>
              <w:spacing w:after="0" w:line="223" w:lineRule="exact"/>
              <w:rPr>
                <w:sz w:val="20"/>
                <w:szCs w:val="20"/>
                <w:color w:val="auto"/>
              </w:rPr>
            </w:pPr>
            <w:r>
              <w:rPr>
                <w:rFonts w:ascii="PMingLiU" w:cs="PMingLiU" w:eastAsia="PMingLiU" w:hAnsi="PMingLiU"/>
                <w:sz w:val="19"/>
                <w:szCs w:val="19"/>
                <w:b w:val="1"/>
                <w:bCs w:val="1"/>
                <w:color w:val="231F20"/>
              </w:rPr>
              <w:t></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9"/>
                <w:szCs w:val="19"/>
                <w:b w:val="1"/>
                <w:bCs w:val="1"/>
                <w:color w:val="231F20"/>
              </w:rPr>
              <w:t>7,442</w:t>
            </w:r>
          </w:p>
        </w:tc>
      </w:tr>
      <w:tr>
        <w:trPr>
          <w:trHeight w:val="213"/>
        </w:trPr>
        <w:tc>
          <w:tcPr>
            <w:tcW w:w="7200" w:type="dxa"/>
            <w:vAlign w:val="bottom"/>
          </w:tcPr>
          <w:p>
            <w:pPr>
              <w:ind w:left="200"/>
              <w:spacing w:after="0" w:line="214" w:lineRule="exact"/>
              <w:rPr>
                <w:sz w:val="20"/>
                <w:szCs w:val="20"/>
                <w:color w:val="auto"/>
              </w:rPr>
            </w:pPr>
            <w:r>
              <w:rPr>
                <w:rFonts w:ascii="Arial" w:cs="Arial" w:eastAsia="Arial" w:hAnsi="Arial"/>
                <w:sz w:val="19"/>
                <w:szCs w:val="19"/>
                <w:b w:val="1"/>
                <w:bCs w:val="1"/>
                <w:color w:val="231F20"/>
              </w:rPr>
              <w:t>Total other assets</w:t>
            </w:r>
          </w:p>
        </w:tc>
        <w:tc>
          <w:tcPr>
            <w:tcW w:w="120" w:type="dxa"/>
            <w:vAlign w:val="bottom"/>
            <w:tcBorders>
              <w:top w:val="single" w:sz="8" w:color="231F20"/>
            </w:tcBorders>
          </w:tcPr>
          <w:p>
            <w:pPr>
              <w:jc w:val="right"/>
              <w:spacing w:after="0"/>
              <w:rPr>
                <w:sz w:val="20"/>
                <w:szCs w:val="20"/>
                <w:color w:val="auto"/>
              </w:rPr>
            </w:pPr>
            <w:r>
              <w:rPr>
                <w:rFonts w:ascii="Arial" w:cs="Arial" w:eastAsia="Arial" w:hAnsi="Arial"/>
                <w:sz w:val="15"/>
                <w:szCs w:val="15"/>
                <w:b w:val="1"/>
                <w:bCs w:val="1"/>
                <w:color w:val="231F20"/>
                <w:w w:val="71"/>
              </w:rPr>
              <w:t>$</w:t>
            </w:r>
          </w:p>
        </w:tc>
        <w:tc>
          <w:tcPr>
            <w:tcW w:w="1320" w:type="dxa"/>
            <w:vAlign w:val="bottom"/>
            <w:tcBorders>
              <w:top w:val="single" w:sz="8" w:color="231F20"/>
            </w:tcBorders>
          </w:tcPr>
          <w:p>
            <w:pPr>
              <w:jc w:val="right"/>
              <w:spacing w:after="0" w:line="214" w:lineRule="exact"/>
              <w:rPr>
                <w:sz w:val="20"/>
                <w:szCs w:val="20"/>
                <w:color w:val="auto"/>
              </w:rPr>
            </w:pPr>
            <w:r>
              <w:rPr>
                <w:rFonts w:ascii="Arial" w:cs="Arial" w:eastAsia="Arial" w:hAnsi="Arial"/>
                <w:sz w:val="19"/>
                <w:szCs w:val="19"/>
                <w:b w:val="1"/>
                <w:bCs w:val="1"/>
                <w:color w:val="231F20"/>
              </w:rPr>
              <w:t>6,994</w:t>
            </w:r>
          </w:p>
        </w:tc>
        <w:tc>
          <w:tcPr>
            <w:tcW w:w="280" w:type="dxa"/>
            <w:vAlign w:val="bottom"/>
          </w:tcPr>
          <w:p>
            <w:pPr>
              <w:spacing w:after="0"/>
              <w:rPr>
                <w:sz w:val="18"/>
                <w:szCs w:val="18"/>
                <w:color w:val="auto"/>
              </w:rPr>
            </w:pPr>
          </w:p>
        </w:tc>
        <w:tc>
          <w:tcPr>
            <w:tcW w:w="120" w:type="dxa"/>
            <w:vAlign w:val="bottom"/>
            <w:tcBorders>
              <w:top w:val="single" w:sz="8" w:color="231F20"/>
            </w:tcBorders>
          </w:tcPr>
          <w:p>
            <w:pPr>
              <w:jc w:val="right"/>
              <w:spacing w:after="0" w:line="214" w:lineRule="exact"/>
              <w:rPr>
                <w:sz w:val="20"/>
                <w:szCs w:val="20"/>
                <w:color w:val="auto"/>
              </w:rPr>
            </w:pPr>
            <w:r>
              <w:rPr>
                <w:rFonts w:ascii="Arial" w:cs="Arial" w:eastAsia="Arial" w:hAnsi="Arial"/>
                <w:sz w:val="19"/>
                <w:szCs w:val="19"/>
                <w:b w:val="1"/>
                <w:bCs w:val="1"/>
                <w:color w:val="231F20"/>
                <w:w w:val="75"/>
              </w:rPr>
              <w:t>$</w:t>
            </w:r>
          </w:p>
        </w:tc>
        <w:tc>
          <w:tcPr>
            <w:tcW w:w="1340" w:type="dxa"/>
            <w:vAlign w:val="bottom"/>
            <w:tcBorders>
              <w:top w:val="single" w:sz="8" w:color="231F20"/>
            </w:tcBorders>
          </w:tcPr>
          <w:p>
            <w:pPr>
              <w:jc w:val="right"/>
              <w:spacing w:after="0" w:line="214" w:lineRule="exact"/>
              <w:rPr>
                <w:sz w:val="20"/>
                <w:szCs w:val="20"/>
                <w:color w:val="auto"/>
              </w:rPr>
            </w:pPr>
            <w:r>
              <w:rPr>
                <w:rFonts w:ascii="Arial" w:cs="Arial" w:eastAsia="Arial" w:hAnsi="Arial"/>
                <w:sz w:val="19"/>
                <w:szCs w:val="19"/>
                <w:b w:val="1"/>
                <w:bCs w:val="1"/>
                <w:color w:val="231F20"/>
              </w:rPr>
              <w:t>14,894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4552315</wp:posOffset>
            </wp:positionH>
            <wp:positionV relativeFrom="paragraph">
              <wp:posOffset>-13335</wp:posOffset>
            </wp:positionV>
            <wp:extent cx="2047875" cy="5588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047875" cy="55880"/>
                    </a:xfrm>
                    <a:prstGeom prst="rect">
                      <a:avLst/>
                    </a:prstGeom>
                    <a:noFill/>
                  </pic:spPr>
                </pic:pic>
              </a:graphicData>
            </a:graphic>
          </wp:anchor>
        </w:drawing>
      </w:r>
    </w:p>
    <w:p>
      <w:pPr>
        <w:spacing w:after="0" w:line="261"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Accrued Expenses and Other Current Liabilities</w:t>
      </w:r>
    </w:p>
    <w:p>
      <w:pPr>
        <w:spacing w:after="0" w:line="125" w:lineRule="exact"/>
        <w:rPr>
          <w:sz w:val="20"/>
          <w:szCs w:val="20"/>
          <w:color w:val="auto"/>
        </w:rPr>
      </w:pPr>
    </w:p>
    <w:p>
      <w:pPr>
        <w:ind w:firstLine="475"/>
        <w:spacing w:after="0" w:line="239" w:lineRule="auto"/>
        <w:rPr>
          <w:sz w:val="20"/>
          <w:szCs w:val="20"/>
          <w:color w:val="auto"/>
        </w:rPr>
      </w:pPr>
      <w:r>
        <w:rPr>
          <w:rFonts w:ascii="Arial" w:cs="Arial" w:eastAsia="Arial" w:hAnsi="Arial"/>
          <w:sz w:val="19"/>
          <w:szCs w:val="19"/>
          <w:b w:val="1"/>
          <w:bCs w:val="1"/>
          <w:color w:val="231F20"/>
        </w:rPr>
        <w:t>The following table presents the components of accrued expenses and other current liabilities as of December 31, 2024 and 2023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440"/>
              <w:spacing w:after="0"/>
              <w:rPr>
                <w:sz w:val="20"/>
                <w:szCs w:val="20"/>
                <w:color w:val="auto"/>
              </w:rPr>
            </w:pPr>
            <w:r>
              <w:rPr>
                <w:rFonts w:ascii="Arial" w:cs="Arial" w:eastAsia="Arial" w:hAnsi="Arial"/>
                <w:sz w:val="19"/>
                <w:szCs w:val="19"/>
                <w:b w:val="1"/>
                <w:bCs w:val="1"/>
                <w:color w:val="231F20"/>
                <w:w w:val="92"/>
              </w:rPr>
              <w:t>December 31,</w:t>
            </w:r>
          </w:p>
        </w:tc>
        <w:tc>
          <w:tcPr>
            <w:tcW w:w="120" w:type="dxa"/>
            <w:vAlign w:val="bottom"/>
          </w:tcPr>
          <w:p>
            <w:pPr>
              <w:spacing w:after="0"/>
              <w:rPr>
                <w:sz w:val="19"/>
                <w:szCs w:val="19"/>
                <w:color w:val="auto"/>
              </w:rPr>
            </w:pPr>
          </w:p>
        </w:tc>
        <w:tc>
          <w:tcPr>
            <w:tcW w:w="1340" w:type="dxa"/>
            <w:vAlign w:val="bottom"/>
          </w:tcPr>
          <w:p>
            <w:pPr>
              <w:jc w:val="right"/>
              <w:ind w:right="63"/>
              <w:spacing w:after="0"/>
              <w:rPr>
                <w:sz w:val="20"/>
                <w:szCs w:val="20"/>
                <w:color w:val="auto"/>
              </w:rPr>
            </w:pPr>
            <w:r>
              <w:rPr>
                <w:rFonts w:ascii="Arial" w:cs="Arial" w:eastAsia="Arial" w:hAnsi="Arial"/>
                <w:sz w:val="19"/>
                <w:szCs w:val="19"/>
                <w:b w:val="1"/>
                <w:bCs w:val="1"/>
                <w:color w:val="231F20"/>
                <w:w w:val="93"/>
              </w:rPr>
              <w:t>December 31,</w:t>
            </w:r>
          </w:p>
        </w:tc>
      </w:tr>
      <w:tr>
        <w:trPr>
          <w:trHeight w:val="223"/>
        </w:trPr>
        <w:tc>
          <w:tcPr>
            <w:tcW w:w="720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320" w:type="dxa"/>
            <w:vAlign w:val="bottom"/>
            <w:tcBorders>
              <w:bottom w:val="single" w:sz="8" w:color="231F20"/>
            </w:tcBorders>
          </w:tcPr>
          <w:p>
            <w:pPr>
              <w:jc w:val="right"/>
              <w:ind w:right="423"/>
              <w:spacing w:after="0"/>
              <w:rPr>
                <w:sz w:val="20"/>
                <w:szCs w:val="20"/>
                <w:color w:val="auto"/>
              </w:rPr>
            </w:pPr>
            <w:r>
              <w:rPr>
                <w:rFonts w:ascii="Arial" w:cs="Arial" w:eastAsia="Arial" w:hAnsi="Arial"/>
                <w:sz w:val="19"/>
                <w:szCs w:val="19"/>
                <w:b w:val="1"/>
                <w:bCs w:val="1"/>
                <w:color w:val="231F20"/>
              </w:rPr>
              <w:t>2024</w:t>
            </w:r>
          </w:p>
        </w:tc>
        <w:tc>
          <w:tcPr>
            <w:tcW w:w="28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340" w:type="dxa"/>
            <w:vAlign w:val="bottom"/>
            <w:tcBorders>
              <w:bottom w:val="single" w:sz="8" w:color="231F20"/>
            </w:tcBorders>
          </w:tcPr>
          <w:p>
            <w:pPr>
              <w:jc w:val="right"/>
              <w:ind w:right="443"/>
              <w:spacing w:after="0"/>
              <w:rPr>
                <w:sz w:val="20"/>
                <w:szCs w:val="20"/>
                <w:color w:val="auto"/>
              </w:rPr>
            </w:pPr>
            <w:r>
              <w:rPr>
                <w:rFonts w:ascii="Arial" w:cs="Arial" w:eastAsia="Arial" w:hAnsi="Arial"/>
                <w:sz w:val="19"/>
                <w:szCs w:val="19"/>
                <w:b w:val="1"/>
                <w:bCs w:val="1"/>
                <w:color w:val="231F20"/>
              </w:rPr>
              <w:t>2023</w:t>
            </w:r>
          </w:p>
        </w:tc>
      </w:tr>
      <w:tr>
        <w:trPr>
          <w:trHeight w:val="213"/>
        </w:trPr>
        <w:tc>
          <w:tcPr>
            <w:tcW w:w="7200" w:type="dxa"/>
            <w:vAlign w:val="bottom"/>
          </w:tcPr>
          <w:p>
            <w:pPr>
              <w:spacing w:after="0" w:line="214" w:lineRule="exact"/>
              <w:rPr>
                <w:sz w:val="20"/>
                <w:szCs w:val="20"/>
                <w:color w:val="auto"/>
              </w:rPr>
            </w:pPr>
            <w:r>
              <w:rPr>
                <w:rFonts w:ascii="Arial" w:cs="Arial" w:eastAsia="Arial" w:hAnsi="Arial"/>
                <w:sz w:val="19"/>
                <w:szCs w:val="19"/>
                <w:b w:val="1"/>
                <w:bCs w:val="1"/>
                <w:color w:val="231F20"/>
              </w:rPr>
              <w:t>Accrued compensation and related expenses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231F20"/>
                <w:w w:val="71"/>
              </w:rPr>
              <w:t>$</w:t>
            </w:r>
          </w:p>
        </w:tc>
        <w:tc>
          <w:tcPr>
            <w:tcW w:w="1600" w:type="dxa"/>
            <w:vAlign w:val="bottom"/>
            <w:gridSpan w:val="2"/>
          </w:tcPr>
          <w:p>
            <w:pPr>
              <w:jc w:val="right"/>
              <w:ind w:right="280"/>
              <w:spacing w:after="0" w:line="214" w:lineRule="exact"/>
              <w:rPr>
                <w:sz w:val="20"/>
                <w:szCs w:val="20"/>
                <w:color w:val="auto"/>
              </w:rPr>
            </w:pPr>
            <w:r>
              <w:rPr>
                <w:rFonts w:ascii="Arial" w:cs="Arial" w:eastAsia="Arial" w:hAnsi="Arial"/>
                <w:sz w:val="19"/>
                <w:szCs w:val="19"/>
                <w:b w:val="1"/>
                <w:bCs w:val="1"/>
                <w:color w:val="231F20"/>
              </w:rPr>
              <w:t>5,306</w:t>
            </w:r>
          </w:p>
        </w:tc>
        <w:tc>
          <w:tcPr>
            <w:tcW w:w="120" w:type="dxa"/>
            <w:vAlign w:val="bottom"/>
          </w:tcPr>
          <w:p>
            <w:pPr>
              <w:jc w:val="right"/>
              <w:spacing w:after="0" w:line="214" w:lineRule="exact"/>
              <w:rPr>
                <w:sz w:val="20"/>
                <w:szCs w:val="20"/>
                <w:color w:val="auto"/>
              </w:rPr>
            </w:pPr>
            <w:r>
              <w:rPr>
                <w:rFonts w:ascii="Arial" w:cs="Arial" w:eastAsia="Arial" w:hAnsi="Arial"/>
                <w:sz w:val="19"/>
                <w:szCs w:val="19"/>
                <w:b w:val="1"/>
                <w:bCs w:val="1"/>
                <w:color w:val="231F20"/>
                <w:w w:val="75"/>
              </w:rPr>
              <w:t>$</w:t>
            </w:r>
          </w:p>
        </w:tc>
        <w:tc>
          <w:tcPr>
            <w:tcW w:w="1340" w:type="dxa"/>
            <w:vAlign w:val="bottom"/>
          </w:tcPr>
          <w:p>
            <w:pPr>
              <w:jc w:val="right"/>
              <w:spacing w:after="0" w:line="214" w:lineRule="exact"/>
              <w:rPr>
                <w:sz w:val="20"/>
                <w:szCs w:val="20"/>
                <w:color w:val="auto"/>
              </w:rPr>
            </w:pPr>
            <w:r>
              <w:rPr>
                <w:rFonts w:ascii="Arial" w:cs="Arial" w:eastAsia="Arial" w:hAnsi="Arial"/>
                <w:sz w:val="19"/>
                <w:szCs w:val="19"/>
                <w:b w:val="1"/>
                <w:bCs w:val="1"/>
                <w:color w:val="231F20"/>
              </w:rPr>
              <w:t>6,067</w:t>
            </w:r>
          </w:p>
        </w:tc>
      </w:tr>
      <w:tr>
        <w:trPr>
          <w:trHeight w:val="223"/>
        </w:trPr>
        <w:tc>
          <w:tcPr>
            <w:tcW w:w="7200" w:type="dxa"/>
            <w:vAlign w:val="bottom"/>
          </w:tcPr>
          <w:p>
            <w:pPr>
              <w:spacing w:after="0"/>
              <w:rPr>
                <w:sz w:val="20"/>
                <w:szCs w:val="20"/>
                <w:color w:val="auto"/>
              </w:rPr>
            </w:pPr>
            <w:r>
              <w:rPr>
                <w:rFonts w:ascii="Arial" w:cs="Arial" w:eastAsia="Arial" w:hAnsi="Arial"/>
                <w:sz w:val="19"/>
                <w:szCs w:val="19"/>
                <w:b w:val="1"/>
                <w:bCs w:val="1"/>
                <w:color w:val="231F20"/>
              </w:rPr>
              <w:t>Accrued clinical and nonclinical study costs</w:t>
            </w:r>
          </w:p>
        </w:tc>
        <w:tc>
          <w:tcPr>
            <w:tcW w:w="12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9"/>
                <w:szCs w:val="19"/>
                <w:b w:val="1"/>
                <w:bCs w:val="1"/>
                <w:color w:val="231F20"/>
              </w:rPr>
              <w:t>3,858</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9"/>
                <w:szCs w:val="19"/>
                <w:b w:val="1"/>
                <w:bCs w:val="1"/>
                <w:color w:val="231F20"/>
              </w:rPr>
              <w:t>8,873</w:t>
            </w:r>
          </w:p>
        </w:tc>
      </w:tr>
      <w:tr>
        <w:trPr>
          <w:trHeight w:val="223"/>
        </w:trPr>
        <w:tc>
          <w:tcPr>
            <w:tcW w:w="7200" w:type="dxa"/>
            <w:vAlign w:val="bottom"/>
          </w:tcPr>
          <w:p>
            <w:pPr>
              <w:spacing w:after="0"/>
              <w:rPr>
                <w:sz w:val="20"/>
                <w:szCs w:val="20"/>
                <w:color w:val="auto"/>
              </w:rPr>
            </w:pPr>
            <w:r>
              <w:rPr>
                <w:rFonts w:ascii="Arial" w:cs="Arial" w:eastAsia="Arial" w:hAnsi="Arial"/>
                <w:sz w:val="19"/>
                <w:szCs w:val="19"/>
                <w:b w:val="1"/>
                <w:bCs w:val="1"/>
                <w:color w:val="231F20"/>
              </w:rPr>
              <w:t>Accrued contract manufacturing</w:t>
            </w:r>
          </w:p>
        </w:tc>
        <w:tc>
          <w:tcPr>
            <w:tcW w:w="12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9"/>
                <w:szCs w:val="19"/>
                <w:b w:val="1"/>
                <w:bCs w:val="1"/>
                <w:color w:val="231F20"/>
              </w:rPr>
              <w:t>1,479</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9"/>
                <w:szCs w:val="19"/>
                <w:b w:val="1"/>
                <w:bCs w:val="1"/>
                <w:color w:val="231F20"/>
              </w:rPr>
              <w:t>9,543</w:t>
            </w:r>
          </w:p>
        </w:tc>
      </w:tr>
      <w:tr>
        <w:trPr>
          <w:trHeight w:val="223"/>
        </w:trPr>
        <w:tc>
          <w:tcPr>
            <w:tcW w:w="7200" w:type="dxa"/>
            <w:vAlign w:val="bottom"/>
          </w:tcPr>
          <w:p>
            <w:pPr>
              <w:spacing w:after="0"/>
              <w:rPr>
                <w:sz w:val="20"/>
                <w:szCs w:val="20"/>
                <w:color w:val="auto"/>
              </w:rPr>
            </w:pPr>
            <w:r>
              <w:rPr>
                <w:rFonts w:ascii="Arial" w:cs="Arial" w:eastAsia="Arial" w:hAnsi="Arial"/>
                <w:sz w:val="19"/>
                <w:szCs w:val="19"/>
                <w:b w:val="1"/>
                <w:bCs w:val="1"/>
                <w:color w:val="231F20"/>
              </w:rPr>
              <w:t>Accrued property and equipment</w:t>
            </w:r>
          </w:p>
        </w:tc>
        <w:tc>
          <w:tcPr>
            <w:tcW w:w="12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9"/>
                <w:szCs w:val="19"/>
                <w:b w:val="1"/>
                <w:bCs w:val="1"/>
                <w:color w:val="231F20"/>
              </w:rPr>
              <w:t>203</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9"/>
                <w:szCs w:val="19"/>
                <w:b w:val="1"/>
                <w:bCs w:val="1"/>
                <w:color w:val="231F20"/>
              </w:rPr>
              <w:t>179</w:t>
            </w:r>
          </w:p>
        </w:tc>
      </w:tr>
      <w:tr>
        <w:trPr>
          <w:trHeight w:val="223"/>
        </w:trPr>
        <w:tc>
          <w:tcPr>
            <w:tcW w:w="7200" w:type="dxa"/>
            <w:vAlign w:val="bottom"/>
          </w:tcPr>
          <w:p>
            <w:pPr>
              <w:spacing w:after="0"/>
              <w:rPr>
                <w:sz w:val="20"/>
                <w:szCs w:val="20"/>
                <w:color w:val="auto"/>
              </w:rPr>
            </w:pPr>
            <w:r>
              <w:rPr>
                <w:rFonts w:ascii="Arial" w:cs="Arial" w:eastAsia="Arial" w:hAnsi="Arial"/>
                <w:sz w:val="19"/>
                <w:szCs w:val="19"/>
                <w:b w:val="1"/>
                <w:bCs w:val="1"/>
                <w:color w:val="231F20"/>
              </w:rPr>
              <w:t>Other current liabilities</w:t>
            </w:r>
          </w:p>
        </w:tc>
        <w:tc>
          <w:tcPr>
            <w:tcW w:w="120" w:type="dxa"/>
            <w:vAlign w:val="bottom"/>
            <w:tcBorders>
              <w:bottom w:val="single" w:sz="8" w:color="231F20"/>
            </w:tcBorders>
          </w:tcPr>
          <w:p>
            <w:pPr>
              <w:spacing w:after="0"/>
              <w:rPr>
                <w:sz w:val="19"/>
                <w:szCs w:val="19"/>
                <w:color w:val="auto"/>
              </w:rPr>
            </w:pPr>
          </w:p>
        </w:tc>
        <w:tc>
          <w:tcPr>
            <w:tcW w:w="132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2,573</w:t>
            </w:r>
          </w:p>
        </w:tc>
        <w:tc>
          <w:tcPr>
            <w:tcW w:w="28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34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2,205</w:t>
            </w:r>
          </w:p>
        </w:tc>
      </w:tr>
      <w:tr>
        <w:trPr>
          <w:trHeight w:val="213"/>
        </w:trPr>
        <w:tc>
          <w:tcPr>
            <w:tcW w:w="7200" w:type="dxa"/>
            <w:vAlign w:val="bottom"/>
          </w:tcPr>
          <w:p>
            <w:pPr>
              <w:ind w:left="200"/>
              <w:spacing w:after="0" w:line="214" w:lineRule="exact"/>
              <w:rPr>
                <w:sz w:val="20"/>
                <w:szCs w:val="20"/>
                <w:color w:val="auto"/>
              </w:rPr>
            </w:pPr>
            <w:r>
              <w:rPr>
                <w:rFonts w:ascii="Arial" w:cs="Arial" w:eastAsia="Arial" w:hAnsi="Arial"/>
                <w:sz w:val="19"/>
                <w:szCs w:val="19"/>
                <w:b w:val="1"/>
                <w:bCs w:val="1"/>
                <w:color w:val="231F20"/>
              </w:rPr>
              <w:t>Total accrued expenses and other current liabilities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231F20"/>
                <w:w w:val="71"/>
              </w:rPr>
              <w:t>$</w:t>
            </w:r>
          </w:p>
        </w:tc>
        <w:tc>
          <w:tcPr>
            <w:tcW w:w="1320" w:type="dxa"/>
            <w:vAlign w:val="bottom"/>
          </w:tcPr>
          <w:p>
            <w:pPr>
              <w:jc w:val="right"/>
              <w:spacing w:after="0" w:line="214" w:lineRule="exact"/>
              <w:rPr>
                <w:sz w:val="20"/>
                <w:szCs w:val="20"/>
                <w:color w:val="auto"/>
              </w:rPr>
            </w:pPr>
            <w:r>
              <w:rPr>
                <w:rFonts w:ascii="Arial" w:cs="Arial" w:eastAsia="Arial" w:hAnsi="Arial"/>
                <w:sz w:val="19"/>
                <w:szCs w:val="19"/>
                <w:b w:val="1"/>
                <w:bCs w:val="1"/>
                <w:color w:val="231F20"/>
              </w:rPr>
              <w:t>13,419</w:t>
            </w:r>
          </w:p>
        </w:tc>
        <w:tc>
          <w:tcPr>
            <w:tcW w:w="280" w:type="dxa"/>
            <w:vAlign w:val="bottom"/>
          </w:tcPr>
          <w:p>
            <w:pPr>
              <w:spacing w:after="0"/>
              <w:rPr>
                <w:sz w:val="18"/>
                <w:szCs w:val="18"/>
                <w:color w:val="auto"/>
              </w:rPr>
            </w:pPr>
          </w:p>
        </w:tc>
        <w:tc>
          <w:tcPr>
            <w:tcW w:w="120" w:type="dxa"/>
            <w:vAlign w:val="bottom"/>
          </w:tcPr>
          <w:p>
            <w:pPr>
              <w:jc w:val="right"/>
              <w:spacing w:after="0" w:line="214" w:lineRule="exact"/>
              <w:rPr>
                <w:sz w:val="20"/>
                <w:szCs w:val="20"/>
                <w:color w:val="auto"/>
              </w:rPr>
            </w:pPr>
            <w:r>
              <w:rPr>
                <w:rFonts w:ascii="Arial" w:cs="Arial" w:eastAsia="Arial" w:hAnsi="Arial"/>
                <w:sz w:val="19"/>
                <w:szCs w:val="19"/>
                <w:b w:val="1"/>
                <w:bCs w:val="1"/>
                <w:color w:val="231F20"/>
                <w:w w:val="75"/>
              </w:rPr>
              <w:t>$</w:t>
            </w:r>
          </w:p>
        </w:tc>
        <w:tc>
          <w:tcPr>
            <w:tcW w:w="1340" w:type="dxa"/>
            <w:vAlign w:val="bottom"/>
          </w:tcPr>
          <w:p>
            <w:pPr>
              <w:jc w:val="right"/>
              <w:spacing w:after="0" w:line="214" w:lineRule="exact"/>
              <w:rPr>
                <w:sz w:val="20"/>
                <w:szCs w:val="20"/>
                <w:color w:val="auto"/>
              </w:rPr>
            </w:pPr>
            <w:r>
              <w:rPr>
                <w:rFonts w:ascii="Arial" w:cs="Arial" w:eastAsia="Arial" w:hAnsi="Arial"/>
                <w:sz w:val="19"/>
                <w:szCs w:val="19"/>
                <w:b w:val="1"/>
                <w:bCs w:val="1"/>
                <w:color w:val="231F20"/>
              </w:rPr>
              <w:t>26,867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4552315</wp:posOffset>
            </wp:positionH>
            <wp:positionV relativeFrom="paragraph">
              <wp:posOffset>-11430</wp:posOffset>
            </wp:positionV>
            <wp:extent cx="2047875" cy="5461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047875" cy="54610"/>
                    </a:xfrm>
                    <a:prstGeom prst="rect">
                      <a:avLst/>
                    </a:prstGeom>
                    <a:noFill/>
                  </pic:spPr>
                </pic:pic>
              </a:graphicData>
            </a:graphic>
          </wp:anchor>
        </w:drawing>
      </w:r>
    </w:p>
    <w:p>
      <w:pPr>
        <w:sectPr>
          <w:pgSz w:w="12240" w:h="15840" w:orient="portrait"/>
          <w:cols w:equalWidth="0" w:num="1">
            <w:col w:w="10480"/>
          </w:cols>
          <w:pgMar w:left="880" w:top="1160" w:right="880" w:bottom="4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31F20"/>
        </w:rPr>
        <w:t>107</w:t>
      </w:r>
    </w:p>
    <w:p>
      <w:pPr>
        <w:sectPr>
          <w:pgSz w:w="12240" w:h="15840" w:orient="portrait"/>
          <w:cols w:equalWidth="0" w:num="1">
            <w:col w:w="10480"/>
          </w:cols>
          <w:pgMar w:left="880" w:top="1160" w:right="880" w:bottom="401" w:gutter="0" w:footer="0" w:header="0"/>
          <w:type w:val="continuous"/>
        </w:sectPr>
      </w:pPr>
    </w:p>
    <w:bookmarkStart w:id="115" w:name="page116"/>
    <w:bookmarkEnd w:id="115"/>
    <w:p>
      <w:pPr>
        <w:spacing w:after="0"/>
        <w:rPr>
          <w:sz w:val="20"/>
          <w:szCs w:val="20"/>
          <w:color w:val="auto"/>
        </w:rPr>
      </w:pPr>
      <w:r>
        <w:rPr>
          <w:rFonts w:ascii="Arial" w:cs="Arial" w:eastAsia="Arial" w:hAnsi="Arial"/>
          <w:sz w:val="19"/>
          <w:szCs w:val="19"/>
          <w:b w:val="1"/>
          <w:bCs w:val="1"/>
          <w:color w:val="231F20"/>
        </w:rPr>
        <w:t>(5) LEASES</w:t>
      </w:r>
    </w:p>
    <w:p>
      <w:pPr>
        <w:spacing w:after="0" w:line="128" w:lineRule="exact"/>
        <w:rPr>
          <w:sz w:val="20"/>
          <w:szCs w:val="20"/>
          <w:color w:val="auto"/>
        </w:rPr>
      </w:pPr>
    </w:p>
    <w:p>
      <w:pPr>
        <w:ind w:right="40" w:firstLine="475"/>
        <w:spacing w:after="0" w:line="277" w:lineRule="auto"/>
        <w:rPr>
          <w:sz w:val="20"/>
          <w:szCs w:val="20"/>
          <w:color w:val="auto"/>
        </w:rPr>
      </w:pPr>
      <w:r>
        <w:rPr>
          <w:rFonts w:ascii="Arial" w:cs="Arial" w:eastAsia="Arial" w:hAnsi="Arial"/>
          <w:sz w:val="17"/>
          <w:szCs w:val="17"/>
          <w:b w:val="1"/>
          <w:bCs w:val="1"/>
          <w:color w:val="231F20"/>
        </w:rPr>
        <w:t>In May 2016, the Company entered into a pharmaceutical support services agreement, which included embedded leases that allowed the Company the right to direct the use of certain equipment. The embedded leases commenced in September 2020 and were set to expire in August 2023 with no stated option to extend the term. In May 2023, the Company entered into an addendum to extend the existing lease through May 2026 and lease additional number of certain equipment. In October 2023, the Company entered into an additional addendum to lease an additional number of certain equipment through May 2026. In June 2024, the Company entered into another addendum to extend the existing lease through July 2027 and lease additional number of certain equipment. The Company classified the leases as finance leases.</w:t>
      </w:r>
    </w:p>
    <w:p>
      <w:pPr>
        <w:spacing w:after="0" w:line="98" w:lineRule="exact"/>
        <w:rPr>
          <w:sz w:val="20"/>
          <w:szCs w:val="20"/>
          <w:color w:val="auto"/>
        </w:rPr>
      </w:pPr>
    </w:p>
    <w:p>
      <w:pPr>
        <w:ind w:right="20" w:firstLine="475"/>
        <w:spacing w:after="0" w:line="243" w:lineRule="auto"/>
        <w:rPr>
          <w:sz w:val="20"/>
          <w:szCs w:val="20"/>
          <w:color w:val="auto"/>
        </w:rPr>
      </w:pPr>
      <w:r>
        <w:rPr>
          <w:rFonts w:ascii="Arial" w:cs="Arial" w:eastAsia="Arial" w:hAnsi="Arial"/>
          <w:sz w:val="19"/>
          <w:szCs w:val="19"/>
          <w:b w:val="1"/>
          <w:bCs w:val="1"/>
          <w:color w:val="231F20"/>
        </w:rPr>
        <w:t>In May 2021, the Company entered into a lease agreement for approximately 10,000 square feet of office space located in South San Francisco, California. The lease commenced on June 6, 2021 and expires on August 31, 2026. The lease does not provide an option to extend after it expires. The total lease payments for the life of the lease are approximately $2.0 million. The Company classified the lease as an operating lease.</w:t>
      </w:r>
    </w:p>
    <w:p>
      <w:pPr>
        <w:spacing w:after="0" w:line="123" w:lineRule="exact"/>
        <w:rPr>
          <w:sz w:val="20"/>
          <w:szCs w:val="20"/>
          <w:color w:val="auto"/>
        </w:rPr>
      </w:pPr>
    </w:p>
    <w:p>
      <w:pPr>
        <w:ind w:firstLine="475"/>
        <w:spacing w:after="0" w:line="276" w:lineRule="auto"/>
        <w:rPr>
          <w:sz w:val="20"/>
          <w:szCs w:val="20"/>
          <w:color w:val="auto"/>
        </w:rPr>
      </w:pPr>
      <w:r>
        <w:rPr>
          <w:rFonts w:ascii="Arial" w:cs="Arial" w:eastAsia="Arial" w:hAnsi="Arial"/>
          <w:sz w:val="17"/>
          <w:szCs w:val="17"/>
          <w:b w:val="1"/>
          <w:bCs w:val="1"/>
          <w:color w:val="231F20"/>
        </w:rPr>
        <w:t>In February 2022, the Company entered into a lease agreement totaling approximately 11,074 square feet of office and laboratory space located in Palo Alto, California. The lease consists of two premises and expires in February 2030. The lease provides for an option to extend for two years after expiration. The lease for one of the premises commenced in February 2022 and the lease for the second premises commenced in April 2022. The lease provides for an annual base rent of approximately $0.8 million, which increases on an annual basis by 3%. The total lease payments for the life of the lease are approximately $6.9 million. The Company is also responsible for leasehold improvement costs related to the second premises, which totaled to $2.3 million, of which $1.5 million is to be paid with interest at a rate of 7% per annum as additional payments over the life of the lease. The Company classified the lease as an operating lease. Under the terms of the lease agreement, the Company issued a letter of credit to the landlord in the amount of $0.1 million, which is collateralized by a restricted cash deposit of $0.1 million. The restricted cash deposit was included in the other assets on the consolidated balance sheets.</w:t>
      </w:r>
    </w:p>
    <w:p>
      <w:pPr>
        <w:spacing w:after="0" w:line="99" w:lineRule="exact"/>
        <w:rPr>
          <w:sz w:val="20"/>
          <w:szCs w:val="20"/>
          <w:color w:val="auto"/>
        </w:rPr>
      </w:pPr>
    </w:p>
    <w:p>
      <w:pPr>
        <w:ind w:right="140" w:firstLine="475"/>
        <w:spacing w:after="0" w:line="221" w:lineRule="exact"/>
        <w:rPr>
          <w:sz w:val="20"/>
          <w:szCs w:val="20"/>
          <w:color w:val="auto"/>
        </w:rPr>
      </w:pPr>
      <w:r>
        <w:rPr>
          <w:rFonts w:ascii="Arial" w:cs="Arial" w:eastAsia="Arial" w:hAnsi="Arial"/>
          <w:sz w:val="19"/>
          <w:szCs w:val="19"/>
          <w:b w:val="1"/>
          <w:bCs w:val="1"/>
          <w:color w:val="231F20"/>
        </w:rPr>
        <w:t xml:space="preserve">As of December 31, 2024, the ROU assets recorded for operating leases and finance leases were $4.0 million and $2.7 million, respectively. As of December 31, 2023, the ROU assets recorded for operating leases and finance leases were $4.8 million and $2.4 million, respectively. The amounts were included in the other assets on the consolidated balance sheets (see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Note 4. Balance Sheet Components</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Other Assets</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w:t>
      </w:r>
    </w:p>
    <w:p>
      <w:pPr>
        <w:spacing w:after="0" w:line="128" w:lineRule="exact"/>
        <w:rPr>
          <w:sz w:val="20"/>
          <w:szCs w:val="20"/>
          <w:color w:val="auto"/>
        </w:rPr>
      </w:pPr>
    </w:p>
    <w:p>
      <w:pPr>
        <w:ind w:right="680" w:firstLine="475"/>
        <w:spacing w:after="0" w:line="218" w:lineRule="exact"/>
        <w:rPr>
          <w:sz w:val="20"/>
          <w:szCs w:val="20"/>
          <w:color w:val="auto"/>
        </w:rPr>
      </w:pPr>
      <w:r>
        <w:rPr>
          <w:rFonts w:ascii="Arial" w:cs="Arial" w:eastAsia="Arial" w:hAnsi="Arial"/>
          <w:sz w:val="19"/>
          <w:szCs w:val="19"/>
          <w:b w:val="1"/>
          <w:bCs w:val="1"/>
          <w:color w:val="231F20"/>
        </w:rPr>
        <w:t>The following table presents the maturities and balance sheet information of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operating and finance lease liabilities as of December 31, 2024 (in thousands, except lease term and discount rate):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3480" w:type="dxa"/>
            <w:vAlign w:val="bottom"/>
            <w:tcBorders>
              <w:bottom w:val="single" w:sz="8" w:color="231F20"/>
            </w:tcBorders>
            <w:gridSpan w:val="5"/>
          </w:tcPr>
          <w:p>
            <w:pPr>
              <w:jc w:val="right"/>
              <w:ind w:right="944"/>
              <w:spacing w:after="0"/>
              <w:rPr>
                <w:sz w:val="20"/>
                <w:szCs w:val="20"/>
                <w:color w:val="auto"/>
              </w:rPr>
            </w:pPr>
            <w:r>
              <w:rPr>
                <w:rFonts w:ascii="Arial" w:cs="Arial" w:eastAsia="Arial" w:hAnsi="Arial"/>
                <w:sz w:val="19"/>
                <w:szCs w:val="19"/>
                <w:b w:val="1"/>
                <w:bCs w:val="1"/>
                <w:color w:val="231F20"/>
              </w:rPr>
              <w:t>December 31, 2024</w:t>
            </w:r>
          </w:p>
        </w:tc>
        <w:tc>
          <w:tcPr>
            <w:tcW w:w="160" w:type="dxa"/>
            <w:vAlign w:val="bottom"/>
          </w:tcPr>
          <w:p>
            <w:pPr>
              <w:spacing w:after="0"/>
              <w:rPr>
                <w:sz w:val="19"/>
                <w:szCs w:val="19"/>
                <w:color w:val="auto"/>
              </w:rPr>
            </w:pPr>
          </w:p>
        </w:tc>
      </w:tr>
      <w:tr>
        <w:trPr>
          <w:trHeight w:val="214"/>
        </w:trPr>
        <w:tc>
          <w:tcPr>
            <w:tcW w:w="5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1460" w:type="dxa"/>
            <w:vAlign w:val="bottom"/>
            <w:tcBorders>
              <w:bottom w:val="single" w:sz="8" w:color="231F20"/>
            </w:tcBorders>
          </w:tcPr>
          <w:p>
            <w:pPr>
              <w:jc w:val="right"/>
              <w:ind w:right="144"/>
              <w:spacing w:after="0"/>
              <w:rPr>
                <w:sz w:val="20"/>
                <w:szCs w:val="20"/>
                <w:color w:val="auto"/>
              </w:rPr>
            </w:pPr>
            <w:r>
              <w:rPr>
                <w:rFonts w:ascii="Arial" w:cs="Arial" w:eastAsia="Arial" w:hAnsi="Arial"/>
                <w:sz w:val="16"/>
                <w:szCs w:val="16"/>
                <w:b w:val="1"/>
                <w:bCs w:val="1"/>
                <w:color w:val="231F20"/>
                <w:w w:val="89"/>
              </w:rPr>
              <w:t>Operating Leases</w:t>
            </w:r>
          </w:p>
        </w:tc>
        <w:tc>
          <w:tcPr>
            <w:tcW w:w="400" w:type="dxa"/>
            <w:vAlign w:val="bottom"/>
            <w:gridSpan w:val="2"/>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1420" w:type="dxa"/>
            <w:vAlign w:val="bottom"/>
            <w:tcBorders>
              <w:bottom w:val="single" w:sz="8" w:color="231F20"/>
            </w:tcBorders>
          </w:tcPr>
          <w:p>
            <w:pPr>
              <w:jc w:val="right"/>
              <w:ind w:right="224"/>
              <w:spacing w:after="0"/>
              <w:rPr>
                <w:sz w:val="20"/>
                <w:szCs w:val="20"/>
                <w:color w:val="auto"/>
              </w:rPr>
            </w:pPr>
            <w:r>
              <w:rPr>
                <w:rFonts w:ascii="Arial" w:cs="Arial" w:eastAsia="Arial" w:hAnsi="Arial"/>
                <w:sz w:val="16"/>
                <w:szCs w:val="16"/>
                <w:b w:val="1"/>
                <w:bCs w:val="1"/>
                <w:color w:val="231F20"/>
                <w:w w:val="90"/>
              </w:rPr>
              <w:t>Finance Leases</w:t>
            </w:r>
          </w:p>
        </w:tc>
        <w:tc>
          <w:tcPr>
            <w:tcW w:w="160" w:type="dxa"/>
            <w:vAlign w:val="bottom"/>
          </w:tcPr>
          <w:p>
            <w:pPr>
              <w:spacing w:after="0"/>
              <w:rPr>
                <w:sz w:val="18"/>
                <w:szCs w:val="18"/>
                <w:color w:val="auto"/>
              </w:rPr>
            </w:pPr>
          </w:p>
        </w:tc>
      </w:tr>
      <w:tr>
        <w:trPr>
          <w:trHeight w:val="211"/>
        </w:trPr>
        <w:tc>
          <w:tcPr>
            <w:tcW w:w="5260" w:type="dxa"/>
            <w:vAlign w:val="bottom"/>
          </w:tcPr>
          <w:p>
            <w:pPr>
              <w:spacing w:after="0" w:line="211" w:lineRule="exact"/>
              <w:rPr>
                <w:sz w:val="20"/>
                <w:szCs w:val="20"/>
                <w:color w:val="auto"/>
              </w:rPr>
            </w:pPr>
            <w:r>
              <w:rPr>
                <w:rFonts w:ascii="Arial" w:cs="Arial" w:eastAsia="Arial" w:hAnsi="Arial"/>
                <w:sz w:val="19"/>
                <w:szCs w:val="19"/>
                <w:b w:val="1"/>
                <w:bCs w:val="1"/>
                <w:color w:val="231F20"/>
              </w:rPr>
              <w:t>2025</w:t>
            </w:r>
          </w:p>
        </w:tc>
        <w:tc>
          <w:tcPr>
            <w:tcW w:w="1560" w:type="dxa"/>
            <w:vAlign w:val="bottom"/>
            <w:gridSpan w:val="2"/>
          </w:tcPr>
          <w:p>
            <w:pPr>
              <w:jc w:val="right"/>
              <w:ind w:right="60"/>
              <w:spacing w:after="0" w:line="211" w:lineRule="exact"/>
              <w:rPr>
                <w:sz w:val="20"/>
                <w:szCs w:val="20"/>
                <w:color w:val="auto"/>
              </w:rPr>
            </w:pPr>
            <w:r>
              <w:rPr>
                <w:rFonts w:ascii="Arial" w:cs="Arial" w:eastAsia="Arial" w:hAnsi="Arial"/>
                <w:sz w:val="19"/>
                <w:szCs w:val="19"/>
                <w:b w:val="1"/>
                <w:bCs w:val="1"/>
                <w:color w:val="231F20"/>
              </w:rPr>
              <w:t>$</w:t>
            </w:r>
          </w:p>
        </w:tc>
        <w:tc>
          <w:tcPr>
            <w:tcW w:w="1480" w:type="dxa"/>
            <w:vAlign w:val="bottom"/>
            <w:gridSpan w:val="2"/>
          </w:tcPr>
          <w:p>
            <w:pPr>
              <w:jc w:val="right"/>
              <w:ind w:right="20"/>
              <w:spacing w:after="0" w:line="211" w:lineRule="exact"/>
              <w:rPr>
                <w:sz w:val="20"/>
                <w:szCs w:val="20"/>
                <w:color w:val="auto"/>
              </w:rPr>
            </w:pPr>
            <w:r>
              <w:rPr>
                <w:rFonts w:ascii="Arial" w:cs="Arial" w:eastAsia="Arial" w:hAnsi="Arial"/>
                <w:sz w:val="19"/>
                <w:szCs w:val="19"/>
                <w:b w:val="1"/>
                <w:bCs w:val="1"/>
                <w:color w:val="231F20"/>
              </w:rPr>
              <w:t>1,305</w:t>
            </w:r>
          </w:p>
        </w:tc>
        <w:tc>
          <w:tcPr>
            <w:tcW w:w="380" w:type="dxa"/>
            <w:vAlign w:val="bottom"/>
          </w:tcPr>
          <w:p>
            <w:pPr>
              <w:spacing w:after="0"/>
              <w:rPr>
                <w:sz w:val="18"/>
                <w:szCs w:val="18"/>
                <w:color w:val="auto"/>
              </w:rPr>
            </w:pPr>
          </w:p>
        </w:tc>
        <w:tc>
          <w:tcPr>
            <w:tcW w:w="200" w:type="dxa"/>
            <w:vAlign w:val="bottom"/>
          </w:tcPr>
          <w:p>
            <w:pPr>
              <w:jc w:val="right"/>
              <w:ind w:right="3"/>
              <w:spacing w:after="0" w:line="211" w:lineRule="exact"/>
              <w:rPr>
                <w:sz w:val="20"/>
                <w:szCs w:val="20"/>
                <w:color w:val="auto"/>
              </w:rPr>
            </w:pPr>
            <w:r>
              <w:rPr>
                <w:rFonts w:ascii="Arial" w:cs="Arial" w:eastAsia="Arial" w:hAnsi="Arial"/>
                <w:sz w:val="19"/>
                <w:szCs w:val="19"/>
                <w:b w:val="1"/>
                <w:bCs w:val="1"/>
                <w:color w:val="231F20"/>
                <w:w w:val="75"/>
              </w:rPr>
              <w:t>$</w:t>
            </w:r>
          </w:p>
        </w:tc>
        <w:tc>
          <w:tcPr>
            <w:tcW w:w="1580" w:type="dxa"/>
            <w:vAlign w:val="bottom"/>
            <w:gridSpan w:val="2"/>
          </w:tcPr>
          <w:p>
            <w:pPr>
              <w:jc w:val="right"/>
              <w:ind w:right="160"/>
              <w:spacing w:after="0" w:line="211" w:lineRule="exact"/>
              <w:rPr>
                <w:sz w:val="20"/>
                <w:szCs w:val="20"/>
                <w:color w:val="auto"/>
              </w:rPr>
            </w:pPr>
            <w:r>
              <w:rPr>
                <w:rFonts w:ascii="Arial" w:cs="Arial" w:eastAsia="Arial" w:hAnsi="Arial"/>
                <w:sz w:val="19"/>
                <w:szCs w:val="19"/>
                <w:b w:val="1"/>
                <w:bCs w:val="1"/>
                <w:color w:val="231F20"/>
              </w:rPr>
              <w:t>1,056</w:t>
            </w:r>
          </w:p>
        </w:tc>
      </w:tr>
      <w:tr>
        <w:trPr>
          <w:trHeight w:val="223"/>
        </w:trPr>
        <w:tc>
          <w:tcPr>
            <w:tcW w:w="5260" w:type="dxa"/>
            <w:vAlign w:val="bottom"/>
          </w:tcPr>
          <w:p>
            <w:pPr>
              <w:spacing w:after="0"/>
              <w:rPr>
                <w:sz w:val="20"/>
                <w:szCs w:val="20"/>
                <w:color w:val="auto"/>
              </w:rPr>
            </w:pPr>
            <w:r>
              <w:rPr>
                <w:rFonts w:ascii="Arial" w:cs="Arial" w:eastAsia="Arial" w:hAnsi="Arial"/>
                <w:sz w:val="19"/>
                <w:szCs w:val="19"/>
                <w:b w:val="1"/>
                <w:bCs w:val="1"/>
                <w:color w:val="231F20"/>
              </w:rPr>
              <w:t>2026</w:t>
            </w: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9"/>
                <w:szCs w:val="19"/>
                <w:b w:val="1"/>
                <w:bCs w:val="1"/>
                <w:color w:val="231F20"/>
              </w:rPr>
              <w:t>1,187</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9"/>
                <w:szCs w:val="19"/>
                <w:b w:val="1"/>
                <w:bCs w:val="1"/>
                <w:color w:val="231F20"/>
              </w:rPr>
              <w:t>1,056</w:t>
            </w:r>
          </w:p>
        </w:tc>
        <w:tc>
          <w:tcPr>
            <w:tcW w:w="160" w:type="dxa"/>
            <w:vAlign w:val="bottom"/>
          </w:tcPr>
          <w:p>
            <w:pPr>
              <w:spacing w:after="0"/>
              <w:rPr>
                <w:sz w:val="19"/>
                <w:szCs w:val="19"/>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9"/>
                <w:szCs w:val="19"/>
                <w:b w:val="1"/>
                <w:bCs w:val="1"/>
                <w:color w:val="231F20"/>
              </w:rPr>
              <w:t>2027</w:t>
            </w: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9"/>
                <w:szCs w:val="19"/>
                <w:b w:val="1"/>
                <w:bCs w:val="1"/>
                <w:color w:val="231F20"/>
              </w:rPr>
              <w:t>912</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9"/>
                <w:szCs w:val="19"/>
                <w:b w:val="1"/>
                <w:bCs w:val="1"/>
                <w:color w:val="231F20"/>
              </w:rPr>
              <w:t>616</w:t>
            </w:r>
          </w:p>
        </w:tc>
        <w:tc>
          <w:tcPr>
            <w:tcW w:w="160" w:type="dxa"/>
            <w:vAlign w:val="bottom"/>
          </w:tcPr>
          <w:p>
            <w:pPr>
              <w:spacing w:after="0"/>
              <w:rPr>
                <w:sz w:val="19"/>
                <w:szCs w:val="19"/>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9"/>
                <w:szCs w:val="19"/>
                <w:b w:val="1"/>
                <w:bCs w:val="1"/>
                <w:color w:val="231F20"/>
              </w:rPr>
              <w:t>2028</w:t>
            </w: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9"/>
                <w:szCs w:val="19"/>
                <w:b w:val="1"/>
                <w:bCs w:val="1"/>
                <w:color w:val="231F20"/>
              </w:rPr>
              <w:t>939</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line="224" w:lineRule="exact"/>
              <w:rPr>
                <w:sz w:val="20"/>
                <w:szCs w:val="20"/>
                <w:color w:val="auto"/>
              </w:rPr>
            </w:pPr>
            <w:r>
              <w:rPr>
                <w:rFonts w:ascii="PMingLiU" w:cs="PMingLiU" w:eastAsia="PMingLiU" w:hAnsi="PMingLiU"/>
                <w:sz w:val="19"/>
                <w:szCs w:val="19"/>
                <w:b w:val="1"/>
                <w:bCs w:val="1"/>
                <w:color w:val="231F20"/>
              </w:rPr>
              <w:t></w:t>
            </w:r>
          </w:p>
        </w:tc>
        <w:tc>
          <w:tcPr>
            <w:tcW w:w="160" w:type="dxa"/>
            <w:vAlign w:val="bottom"/>
          </w:tcPr>
          <w:p>
            <w:pPr>
              <w:spacing w:after="0"/>
              <w:rPr>
                <w:sz w:val="19"/>
                <w:szCs w:val="19"/>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9"/>
                <w:szCs w:val="19"/>
                <w:b w:val="1"/>
                <w:bCs w:val="1"/>
                <w:color w:val="231F20"/>
              </w:rPr>
              <w:t>2029</w:t>
            </w: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9"/>
                <w:szCs w:val="19"/>
                <w:b w:val="1"/>
                <w:bCs w:val="1"/>
                <w:color w:val="231F20"/>
              </w:rPr>
              <w:t>967</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line="224" w:lineRule="exact"/>
              <w:rPr>
                <w:sz w:val="20"/>
                <w:szCs w:val="20"/>
                <w:color w:val="auto"/>
              </w:rPr>
            </w:pPr>
            <w:r>
              <w:rPr>
                <w:rFonts w:ascii="PMingLiU" w:cs="PMingLiU" w:eastAsia="PMingLiU" w:hAnsi="PMingLiU"/>
                <w:sz w:val="19"/>
                <w:szCs w:val="19"/>
                <w:b w:val="1"/>
                <w:bCs w:val="1"/>
                <w:color w:val="231F20"/>
              </w:rPr>
              <w:t></w:t>
            </w:r>
          </w:p>
        </w:tc>
        <w:tc>
          <w:tcPr>
            <w:tcW w:w="160" w:type="dxa"/>
            <w:vAlign w:val="bottom"/>
          </w:tcPr>
          <w:p>
            <w:pPr>
              <w:spacing w:after="0"/>
              <w:rPr>
                <w:sz w:val="19"/>
                <w:szCs w:val="19"/>
                <w:color w:val="auto"/>
              </w:rPr>
            </w:pPr>
          </w:p>
        </w:tc>
      </w:tr>
      <w:tr>
        <w:trPr>
          <w:trHeight w:val="224"/>
        </w:trPr>
        <w:tc>
          <w:tcPr>
            <w:tcW w:w="5260" w:type="dxa"/>
            <w:vAlign w:val="bottom"/>
          </w:tcPr>
          <w:p>
            <w:pPr>
              <w:spacing w:after="0"/>
              <w:rPr>
                <w:sz w:val="20"/>
                <w:szCs w:val="20"/>
                <w:color w:val="auto"/>
              </w:rPr>
            </w:pPr>
            <w:r>
              <w:rPr>
                <w:rFonts w:ascii="Arial" w:cs="Arial" w:eastAsia="Arial" w:hAnsi="Arial"/>
                <w:sz w:val="19"/>
                <w:szCs w:val="19"/>
                <w:b w:val="1"/>
                <w:bCs w:val="1"/>
                <w:color w:val="231F20"/>
              </w:rPr>
              <w:t>Thereafter</w:t>
            </w: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9"/>
                <w:szCs w:val="19"/>
                <w:b w:val="1"/>
                <w:bCs w:val="1"/>
                <w:color w:val="231F20"/>
              </w:rPr>
              <w:t>163</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line="224" w:lineRule="exact"/>
              <w:rPr>
                <w:sz w:val="20"/>
                <w:szCs w:val="20"/>
                <w:color w:val="auto"/>
              </w:rPr>
            </w:pPr>
            <w:r>
              <w:rPr>
                <w:rFonts w:ascii="PMingLiU" w:cs="PMingLiU" w:eastAsia="PMingLiU" w:hAnsi="PMingLiU"/>
                <w:sz w:val="19"/>
                <w:szCs w:val="19"/>
                <w:b w:val="1"/>
                <w:bCs w:val="1"/>
                <w:color w:val="231F20"/>
              </w:rPr>
              <w:t></w:t>
            </w:r>
          </w:p>
        </w:tc>
        <w:tc>
          <w:tcPr>
            <w:tcW w:w="160" w:type="dxa"/>
            <w:vAlign w:val="bottom"/>
          </w:tcPr>
          <w:p>
            <w:pPr>
              <w:spacing w:after="0"/>
              <w:rPr>
                <w:sz w:val="19"/>
                <w:szCs w:val="19"/>
                <w:color w:val="auto"/>
              </w:rPr>
            </w:pPr>
          </w:p>
        </w:tc>
      </w:tr>
      <w:tr>
        <w:trPr>
          <w:trHeight w:val="212"/>
        </w:trPr>
        <w:tc>
          <w:tcPr>
            <w:tcW w:w="5260" w:type="dxa"/>
            <w:vAlign w:val="bottom"/>
          </w:tcPr>
          <w:p>
            <w:pPr>
              <w:spacing w:after="0" w:line="212" w:lineRule="exact"/>
              <w:rPr>
                <w:sz w:val="20"/>
                <w:szCs w:val="20"/>
                <w:color w:val="auto"/>
              </w:rPr>
            </w:pPr>
            <w:r>
              <w:rPr>
                <w:rFonts w:ascii="Arial" w:cs="Arial" w:eastAsia="Arial" w:hAnsi="Arial"/>
                <w:sz w:val="19"/>
                <w:szCs w:val="19"/>
                <w:b w:val="1"/>
                <w:bCs w:val="1"/>
                <w:color w:val="231F20"/>
              </w:rPr>
              <w:t>Total lease payments</w:t>
            </w:r>
          </w:p>
        </w:tc>
        <w:tc>
          <w:tcPr>
            <w:tcW w:w="1400" w:type="dxa"/>
            <w:vAlign w:val="bottom"/>
          </w:tcPr>
          <w:p>
            <w:pPr>
              <w:spacing w:after="0"/>
              <w:rPr>
                <w:sz w:val="18"/>
                <w:szCs w:val="18"/>
                <w:color w:val="auto"/>
              </w:rPr>
            </w:pPr>
          </w:p>
        </w:tc>
        <w:tc>
          <w:tcPr>
            <w:tcW w:w="160" w:type="dxa"/>
            <w:vAlign w:val="bottom"/>
            <w:tcBorders>
              <w:top w:val="single" w:sz="8" w:color="231F20"/>
            </w:tcBorders>
          </w:tcPr>
          <w:p>
            <w:pPr>
              <w:spacing w:after="0"/>
              <w:rPr>
                <w:sz w:val="18"/>
                <w:szCs w:val="18"/>
                <w:color w:val="auto"/>
              </w:rPr>
            </w:pPr>
          </w:p>
        </w:tc>
        <w:tc>
          <w:tcPr>
            <w:tcW w:w="1460" w:type="dxa"/>
            <w:vAlign w:val="bottom"/>
            <w:tcBorders>
              <w:top w:val="single" w:sz="8" w:color="231F20"/>
            </w:tcBorders>
          </w:tcPr>
          <w:p>
            <w:pPr>
              <w:jc w:val="right"/>
              <w:spacing w:after="0" w:line="212" w:lineRule="exact"/>
              <w:rPr>
                <w:sz w:val="20"/>
                <w:szCs w:val="20"/>
                <w:color w:val="auto"/>
              </w:rPr>
            </w:pPr>
            <w:r>
              <w:rPr>
                <w:rFonts w:ascii="Arial" w:cs="Arial" w:eastAsia="Arial" w:hAnsi="Arial"/>
                <w:sz w:val="19"/>
                <w:szCs w:val="19"/>
                <w:b w:val="1"/>
                <w:bCs w:val="1"/>
                <w:color w:val="231F20"/>
              </w:rPr>
              <w:t>5,473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top w:val="single" w:sz="8" w:color="231F20"/>
            </w:tcBorders>
          </w:tcPr>
          <w:p>
            <w:pPr>
              <w:spacing w:after="0"/>
              <w:rPr>
                <w:sz w:val="18"/>
                <w:szCs w:val="18"/>
                <w:color w:val="auto"/>
              </w:rPr>
            </w:pPr>
          </w:p>
        </w:tc>
        <w:tc>
          <w:tcPr>
            <w:tcW w:w="1420" w:type="dxa"/>
            <w:vAlign w:val="bottom"/>
            <w:tcBorders>
              <w:top w:val="single" w:sz="8" w:color="231F20"/>
            </w:tcBorders>
          </w:tcPr>
          <w:p>
            <w:pPr>
              <w:jc w:val="right"/>
              <w:spacing w:after="0" w:line="212" w:lineRule="exact"/>
              <w:rPr>
                <w:sz w:val="20"/>
                <w:szCs w:val="20"/>
                <w:color w:val="auto"/>
              </w:rPr>
            </w:pPr>
            <w:r>
              <w:rPr>
                <w:rFonts w:ascii="Arial" w:cs="Arial" w:eastAsia="Arial" w:hAnsi="Arial"/>
                <w:sz w:val="19"/>
                <w:szCs w:val="19"/>
                <w:b w:val="1"/>
                <w:bCs w:val="1"/>
                <w:color w:val="231F20"/>
              </w:rPr>
              <w:t>2,728</w:t>
            </w:r>
          </w:p>
        </w:tc>
        <w:tc>
          <w:tcPr>
            <w:tcW w:w="160" w:type="dxa"/>
            <w:vAlign w:val="bottom"/>
          </w:tcPr>
          <w:p>
            <w:pPr>
              <w:spacing w:after="0"/>
              <w:rPr>
                <w:sz w:val="18"/>
                <w:szCs w:val="18"/>
                <w:color w:val="auto"/>
              </w:rPr>
            </w:pPr>
          </w:p>
        </w:tc>
      </w:tr>
      <w:tr>
        <w:trPr>
          <w:trHeight w:val="224"/>
        </w:trPr>
        <w:tc>
          <w:tcPr>
            <w:tcW w:w="5260" w:type="dxa"/>
            <w:vAlign w:val="bottom"/>
          </w:tcPr>
          <w:p>
            <w:pPr>
              <w:spacing w:after="0"/>
              <w:rPr>
                <w:sz w:val="20"/>
                <w:szCs w:val="20"/>
                <w:color w:val="auto"/>
              </w:rPr>
            </w:pPr>
            <w:r>
              <w:rPr>
                <w:rFonts w:ascii="Arial" w:cs="Arial" w:eastAsia="Arial" w:hAnsi="Arial"/>
                <w:sz w:val="19"/>
                <w:szCs w:val="19"/>
                <w:b w:val="1"/>
                <w:bCs w:val="1"/>
                <w:color w:val="231F20"/>
              </w:rPr>
              <w:t>Less: imputed interest</w:t>
            </w: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3"/>
          </w:tcPr>
          <w:p>
            <w:pPr>
              <w:jc w:val="right"/>
              <w:ind w:right="340"/>
              <w:spacing w:after="0"/>
              <w:rPr>
                <w:sz w:val="20"/>
                <w:szCs w:val="20"/>
                <w:color w:val="auto"/>
              </w:rPr>
            </w:pPr>
            <w:r>
              <w:rPr>
                <w:rFonts w:ascii="Arial" w:cs="Arial" w:eastAsia="Arial" w:hAnsi="Arial"/>
                <w:sz w:val="19"/>
                <w:szCs w:val="19"/>
                <w:b w:val="1"/>
                <w:bCs w:val="1"/>
                <w:color w:val="231F20"/>
              </w:rPr>
              <w:t>(1,062)</w:t>
            </w:r>
          </w:p>
        </w:tc>
        <w:tc>
          <w:tcPr>
            <w:tcW w:w="2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231F20"/>
              </w:rPr>
              <w:t>(65)</w:t>
            </w:r>
          </w:p>
        </w:tc>
      </w:tr>
      <w:tr>
        <w:trPr>
          <w:trHeight w:val="20"/>
        </w:trPr>
        <w:tc>
          <w:tcPr>
            <w:tcW w:w="5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shd w:val="clear" w:color="auto" w:fill="231F20"/>
          </w:tcPr>
          <w:p>
            <w:pPr>
              <w:spacing w:after="0" w:line="20" w:lineRule="exact"/>
              <w:rPr>
                <w:sz w:val="1"/>
                <w:szCs w:val="1"/>
                <w:color w:val="auto"/>
              </w:rPr>
            </w:pPr>
          </w:p>
        </w:tc>
        <w:tc>
          <w:tcPr>
            <w:tcW w:w="1480" w:type="dxa"/>
            <w:vAlign w:val="bottom"/>
            <w:gridSpan w:val="2"/>
            <w:shd w:val="clear" w:color="auto" w:fill="231F2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142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2"/>
        </w:trPr>
        <w:tc>
          <w:tcPr>
            <w:tcW w:w="5260" w:type="dxa"/>
            <w:vAlign w:val="bottom"/>
          </w:tcPr>
          <w:p>
            <w:pPr>
              <w:spacing w:after="0" w:line="212" w:lineRule="exact"/>
              <w:rPr>
                <w:sz w:val="20"/>
                <w:szCs w:val="20"/>
                <w:color w:val="auto"/>
              </w:rPr>
            </w:pPr>
            <w:r>
              <w:rPr>
                <w:rFonts w:ascii="Arial" w:cs="Arial" w:eastAsia="Arial" w:hAnsi="Arial"/>
                <w:sz w:val="19"/>
                <w:szCs w:val="19"/>
                <w:b w:val="1"/>
                <w:bCs w:val="1"/>
                <w:color w:val="231F20"/>
              </w:rPr>
              <w:t>Total lease liabilities</w:t>
            </w:r>
          </w:p>
        </w:tc>
        <w:tc>
          <w:tcPr>
            <w:tcW w:w="1560" w:type="dxa"/>
            <w:vAlign w:val="bottom"/>
            <w:gridSpan w:val="2"/>
          </w:tcPr>
          <w:p>
            <w:pPr>
              <w:jc w:val="right"/>
              <w:ind w:right="60"/>
              <w:spacing w:after="0" w:line="212" w:lineRule="exact"/>
              <w:rPr>
                <w:sz w:val="20"/>
                <w:szCs w:val="20"/>
                <w:color w:val="auto"/>
              </w:rPr>
            </w:pPr>
            <w:r>
              <w:rPr>
                <w:rFonts w:ascii="Arial" w:cs="Arial" w:eastAsia="Arial" w:hAnsi="Arial"/>
                <w:sz w:val="19"/>
                <w:szCs w:val="19"/>
                <w:b w:val="1"/>
                <w:bCs w:val="1"/>
                <w:color w:val="231F20"/>
              </w:rPr>
              <w:t>$</w:t>
            </w:r>
          </w:p>
        </w:tc>
        <w:tc>
          <w:tcPr>
            <w:tcW w:w="1480" w:type="dxa"/>
            <w:vAlign w:val="bottom"/>
            <w:gridSpan w:val="2"/>
          </w:tcPr>
          <w:p>
            <w:pPr>
              <w:jc w:val="right"/>
              <w:ind w:right="20"/>
              <w:spacing w:after="0" w:line="212" w:lineRule="exact"/>
              <w:rPr>
                <w:sz w:val="20"/>
                <w:szCs w:val="20"/>
                <w:color w:val="auto"/>
              </w:rPr>
            </w:pPr>
            <w:r>
              <w:rPr>
                <w:rFonts w:ascii="Arial" w:cs="Arial" w:eastAsia="Arial" w:hAnsi="Arial"/>
                <w:sz w:val="19"/>
                <w:szCs w:val="19"/>
                <w:b w:val="1"/>
                <w:bCs w:val="1"/>
                <w:color w:val="231F20"/>
              </w:rPr>
              <w:t>4,411</w:t>
            </w:r>
          </w:p>
        </w:tc>
        <w:tc>
          <w:tcPr>
            <w:tcW w:w="380" w:type="dxa"/>
            <w:vAlign w:val="bottom"/>
          </w:tcPr>
          <w:p>
            <w:pPr>
              <w:spacing w:after="0"/>
              <w:rPr>
                <w:sz w:val="18"/>
                <w:szCs w:val="18"/>
                <w:color w:val="auto"/>
              </w:rPr>
            </w:pPr>
          </w:p>
        </w:tc>
        <w:tc>
          <w:tcPr>
            <w:tcW w:w="200" w:type="dxa"/>
            <w:vAlign w:val="bottom"/>
          </w:tcPr>
          <w:p>
            <w:pPr>
              <w:jc w:val="right"/>
              <w:ind w:right="3"/>
              <w:spacing w:after="0" w:line="212" w:lineRule="exact"/>
              <w:rPr>
                <w:sz w:val="20"/>
                <w:szCs w:val="20"/>
                <w:color w:val="auto"/>
              </w:rPr>
            </w:pPr>
            <w:r>
              <w:rPr>
                <w:rFonts w:ascii="Arial" w:cs="Arial" w:eastAsia="Arial" w:hAnsi="Arial"/>
                <w:sz w:val="19"/>
                <w:szCs w:val="19"/>
                <w:b w:val="1"/>
                <w:bCs w:val="1"/>
                <w:color w:val="231F20"/>
                <w:w w:val="75"/>
              </w:rPr>
              <w:t>$</w:t>
            </w:r>
          </w:p>
        </w:tc>
        <w:tc>
          <w:tcPr>
            <w:tcW w:w="1420" w:type="dxa"/>
            <w:vAlign w:val="bottom"/>
          </w:tcPr>
          <w:p>
            <w:pPr>
              <w:jc w:val="right"/>
              <w:spacing w:after="0" w:line="212" w:lineRule="exact"/>
              <w:rPr>
                <w:sz w:val="20"/>
                <w:szCs w:val="20"/>
                <w:color w:val="auto"/>
              </w:rPr>
            </w:pPr>
            <w:r>
              <w:rPr>
                <w:rFonts w:ascii="Arial" w:cs="Arial" w:eastAsia="Arial" w:hAnsi="Arial"/>
                <w:sz w:val="19"/>
                <w:szCs w:val="19"/>
                <w:b w:val="1"/>
                <w:bCs w:val="1"/>
                <w:color w:val="231F20"/>
              </w:rPr>
              <w:t>2,663</w:t>
            </w:r>
          </w:p>
        </w:tc>
        <w:tc>
          <w:tcPr>
            <w:tcW w:w="160" w:type="dxa"/>
            <w:vAlign w:val="bottom"/>
          </w:tcPr>
          <w:p>
            <w:pPr>
              <w:spacing w:after="0"/>
              <w:rPr>
                <w:sz w:val="18"/>
                <w:szCs w:val="18"/>
                <w:color w:val="auto"/>
              </w:rPr>
            </w:pPr>
          </w:p>
        </w:tc>
      </w:tr>
      <w:tr>
        <w:trPr>
          <w:trHeight w:val="500"/>
        </w:trPr>
        <w:tc>
          <w:tcPr>
            <w:tcW w:w="5260" w:type="dxa"/>
            <w:vAlign w:val="bottom"/>
          </w:tcPr>
          <w:p>
            <w:pPr>
              <w:spacing w:after="0"/>
              <w:rPr>
                <w:sz w:val="20"/>
                <w:szCs w:val="20"/>
                <w:color w:val="auto"/>
              </w:rPr>
            </w:pPr>
            <w:r>
              <w:rPr>
                <w:rFonts w:ascii="Arial" w:cs="Arial" w:eastAsia="Arial" w:hAnsi="Arial"/>
                <w:sz w:val="19"/>
                <w:szCs w:val="19"/>
                <w:b w:val="1"/>
                <w:bCs w:val="1"/>
                <w:color w:val="231F20"/>
              </w:rPr>
              <w:t xml:space="preserve">Lease liabilities: current </w:t>
            </w:r>
            <w:r>
              <w:rPr>
                <w:rFonts w:ascii="Arial" w:cs="Arial" w:eastAsia="Arial" w:hAnsi="Arial"/>
                <w:sz w:val="25"/>
                <w:szCs w:val="25"/>
                <w:b w:val="1"/>
                <w:bCs w:val="1"/>
                <w:color w:val="231F20"/>
                <w:vertAlign w:val="superscript"/>
              </w:rPr>
              <w:t>(i)</w:t>
            </w:r>
          </w:p>
        </w:tc>
        <w:tc>
          <w:tcPr>
            <w:tcW w:w="1560" w:type="dxa"/>
            <w:vAlign w:val="bottom"/>
            <w:gridSpan w:val="2"/>
          </w:tcPr>
          <w:p>
            <w:pPr>
              <w:jc w:val="right"/>
              <w:ind w:right="60"/>
              <w:spacing w:after="0"/>
              <w:rPr>
                <w:sz w:val="20"/>
                <w:szCs w:val="20"/>
                <w:color w:val="auto"/>
              </w:rPr>
            </w:pPr>
            <w:r>
              <w:rPr>
                <w:rFonts w:ascii="Arial" w:cs="Arial" w:eastAsia="Arial" w:hAnsi="Arial"/>
                <w:sz w:val="19"/>
                <w:szCs w:val="19"/>
                <w:b w:val="1"/>
                <w:bCs w:val="1"/>
                <w:color w:val="231F20"/>
              </w:rPr>
              <w:t>$</w:t>
            </w:r>
          </w:p>
        </w:tc>
        <w:tc>
          <w:tcPr>
            <w:tcW w:w="1480" w:type="dxa"/>
            <w:vAlign w:val="bottom"/>
            <w:gridSpan w:val="2"/>
          </w:tcPr>
          <w:p>
            <w:pPr>
              <w:jc w:val="right"/>
              <w:ind w:right="20"/>
              <w:spacing w:after="0"/>
              <w:rPr>
                <w:sz w:val="20"/>
                <w:szCs w:val="20"/>
                <w:color w:val="auto"/>
              </w:rPr>
            </w:pPr>
            <w:r>
              <w:rPr>
                <w:rFonts w:ascii="Arial" w:cs="Arial" w:eastAsia="Arial" w:hAnsi="Arial"/>
                <w:sz w:val="19"/>
                <w:szCs w:val="19"/>
                <w:b w:val="1"/>
                <w:bCs w:val="1"/>
                <w:color w:val="231F20"/>
              </w:rPr>
              <w:t>949</w:t>
            </w:r>
          </w:p>
        </w:tc>
        <w:tc>
          <w:tcPr>
            <w:tcW w:w="380" w:type="dxa"/>
            <w:vAlign w:val="bottom"/>
          </w:tcPr>
          <w:p>
            <w:pPr>
              <w:spacing w:after="0"/>
              <w:rPr>
                <w:sz w:val="24"/>
                <w:szCs w:val="24"/>
                <w:color w:val="auto"/>
              </w:rPr>
            </w:pPr>
          </w:p>
        </w:tc>
        <w:tc>
          <w:tcPr>
            <w:tcW w:w="200" w:type="dxa"/>
            <w:vAlign w:val="bottom"/>
          </w:tcPr>
          <w:p>
            <w:pPr>
              <w:jc w:val="right"/>
              <w:ind w:right="3"/>
              <w:spacing w:after="0"/>
              <w:rPr>
                <w:sz w:val="20"/>
                <w:szCs w:val="20"/>
                <w:color w:val="auto"/>
              </w:rPr>
            </w:pPr>
            <w:r>
              <w:rPr>
                <w:rFonts w:ascii="Arial" w:cs="Arial" w:eastAsia="Arial" w:hAnsi="Arial"/>
                <w:sz w:val="19"/>
                <w:szCs w:val="19"/>
                <w:b w:val="1"/>
                <w:bCs w:val="1"/>
                <w:color w:val="231F20"/>
                <w:w w:val="75"/>
              </w:rPr>
              <w:t>$</w:t>
            </w:r>
          </w:p>
        </w:tc>
        <w:tc>
          <w:tcPr>
            <w:tcW w:w="158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231F20"/>
              </w:rPr>
              <w:t>963</w:t>
            </w:r>
          </w:p>
        </w:tc>
      </w:tr>
      <w:tr>
        <w:trPr>
          <w:trHeight w:val="215"/>
        </w:trPr>
        <w:tc>
          <w:tcPr>
            <w:tcW w:w="5260" w:type="dxa"/>
            <w:vAlign w:val="bottom"/>
          </w:tcPr>
          <w:p>
            <w:pPr>
              <w:spacing w:after="0" w:line="216" w:lineRule="exact"/>
              <w:rPr>
                <w:sz w:val="20"/>
                <w:szCs w:val="20"/>
                <w:color w:val="auto"/>
              </w:rPr>
            </w:pPr>
            <w:r>
              <w:rPr>
                <w:rFonts w:ascii="Arial" w:cs="Arial" w:eastAsia="Arial" w:hAnsi="Arial"/>
                <w:sz w:val="19"/>
                <w:szCs w:val="19"/>
                <w:b w:val="1"/>
                <w:bCs w:val="1"/>
                <w:color w:val="231F20"/>
              </w:rPr>
              <w:t xml:space="preserve">Lease liabilities: non-current </w:t>
            </w:r>
            <w:r>
              <w:rPr>
                <w:rFonts w:ascii="Arial" w:cs="Arial" w:eastAsia="Arial" w:hAnsi="Arial"/>
                <w:sz w:val="24"/>
                <w:szCs w:val="24"/>
                <w:b w:val="1"/>
                <w:bCs w:val="1"/>
                <w:color w:val="231F20"/>
                <w:vertAlign w:val="superscript"/>
              </w:rPr>
              <w:t>(ii)</w:t>
            </w:r>
          </w:p>
        </w:tc>
        <w:tc>
          <w:tcPr>
            <w:tcW w:w="1400" w:type="dxa"/>
            <w:vAlign w:val="bottom"/>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1460" w:type="dxa"/>
            <w:vAlign w:val="bottom"/>
            <w:tcBorders>
              <w:bottom w:val="single" w:sz="8" w:color="231F20"/>
            </w:tcBorders>
          </w:tcPr>
          <w:p>
            <w:pPr>
              <w:jc w:val="right"/>
              <w:spacing w:after="0" w:line="214" w:lineRule="exact"/>
              <w:rPr>
                <w:sz w:val="20"/>
                <w:szCs w:val="20"/>
                <w:color w:val="auto"/>
              </w:rPr>
            </w:pPr>
            <w:r>
              <w:rPr>
                <w:rFonts w:ascii="Arial" w:cs="Arial" w:eastAsia="Arial" w:hAnsi="Arial"/>
                <w:sz w:val="19"/>
                <w:szCs w:val="19"/>
                <w:b w:val="1"/>
                <w:bCs w:val="1"/>
                <w:color w:val="231F20"/>
              </w:rPr>
              <w:t>3,462</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1420" w:type="dxa"/>
            <w:vAlign w:val="bottom"/>
            <w:tcBorders>
              <w:bottom w:val="single" w:sz="8" w:color="231F20"/>
            </w:tcBorders>
          </w:tcPr>
          <w:p>
            <w:pPr>
              <w:jc w:val="right"/>
              <w:spacing w:after="0" w:line="214" w:lineRule="exact"/>
              <w:rPr>
                <w:sz w:val="20"/>
                <w:szCs w:val="20"/>
                <w:color w:val="auto"/>
              </w:rPr>
            </w:pPr>
            <w:r>
              <w:rPr>
                <w:rFonts w:ascii="Arial" w:cs="Arial" w:eastAsia="Arial" w:hAnsi="Arial"/>
                <w:sz w:val="19"/>
                <w:szCs w:val="19"/>
                <w:b w:val="1"/>
                <w:bCs w:val="1"/>
                <w:color w:val="231F20"/>
              </w:rPr>
              <w:t>1,700</w:t>
            </w:r>
          </w:p>
        </w:tc>
        <w:tc>
          <w:tcPr>
            <w:tcW w:w="160" w:type="dxa"/>
            <w:vAlign w:val="bottom"/>
          </w:tcPr>
          <w:p>
            <w:pPr>
              <w:spacing w:after="0"/>
              <w:rPr>
                <w:sz w:val="18"/>
                <w:szCs w:val="18"/>
                <w:color w:val="auto"/>
              </w:rPr>
            </w:pPr>
          </w:p>
        </w:tc>
      </w:tr>
      <w:tr>
        <w:trPr>
          <w:trHeight w:val="211"/>
        </w:trPr>
        <w:tc>
          <w:tcPr>
            <w:tcW w:w="5260" w:type="dxa"/>
            <w:vAlign w:val="bottom"/>
          </w:tcPr>
          <w:p>
            <w:pPr>
              <w:spacing w:after="0" w:line="211" w:lineRule="exact"/>
              <w:rPr>
                <w:sz w:val="20"/>
                <w:szCs w:val="20"/>
                <w:color w:val="auto"/>
              </w:rPr>
            </w:pPr>
            <w:r>
              <w:rPr>
                <w:rFonts w:ascii="Arial" w:cs="Arial" w:eastAsia="Arial" w:hAnsi="Arial"/>
                <w:sz w:val="19"/>
                <w:szCs w:val="19"/>
                <w:b w:val="1"/>
                <w:bCs w:val="1"/>
                <w:color w:val="231F20"/>
              </w:rPr>
              <w:t>Total lease liabilities</w:t>
            </w:r>
          </w:p>
        </w:tc>
        <w:tc>
          <w:tcPr>
            <w:tcW w:w="1560" w:type="dxa"/>
            <w:vAlign w:val="bottom"/>
            <w:gridSpan w:val="2"/>
          </w:tcPr>
          <w:p>
            <w:pPr>
              <w:jc w:val="right"/>
              <w:ind w:right="60"/>
              <w:spacing w:after="0" w:line="211" w:lineRule="exact"/>
              <w:rPr>
                <w:sz w:val="20"/>
                <w:szCs w:val="20"/>
                <w:color w:val="auto"/>
              </w:rPr>
            </w:pPr>
            <w:r>
              <w:rPr>
                <w:rFonts w:ascii="Arial" w:cs="Arial" w:eastAsia="Arial" w:hAnsi="Arial"/>
                <w:sz w:val="19"/>
                <w:szCs w:val="19"/>
                <w:b w:val="1"/>
                <w:bCs w:val="1"/>
                <w:color w:val="231F20"/>
              </w:rPr>
              <w:t>$</w:t>
            </w:r>
          </w:p>
        </w:tc>
        <w:tc>
          <w:tcPr>
            <w:tcW w:w="1860" w:type="dxa"/>
            <w:vAlign w:val="bottom"/>
            <w:gridSpan w:val="3"/>
          </w:tcPr>
          <w:p>
            <w:pPr>
              <w:jc w:val="right"/>
              <w:ind w:right="400"/>
              <w:spacing w:after="0" w:line="211" w:lineRule="exact"/>
              <w:rPr>
                <w:sz w:val="20"/>
                <w:szCs w:val="20"/>
                <w:color w:val="auto"/>
              </w:rPr>
            </w:pPr>
            <w:r>
              <w:rPr>
                <w:rFonts w:ascii="Arial" w:cs="Arial" w:eastAsia="Arial" w:hAnsi="Arial"/>
                <w:sz w:val="19"/>
                <w:szCs w:val="19"/>
                <w:b w:val="1"/>
                <w:bCs w:val="1"/>
                <w:color w:val="231F20"/>
              </w:rPr>
              <w:t>4,411</w:t>
            </w:r>
          </w:p>
        </w:tc>
        <w:tc>
          <w:tcPr>
            <w:tcW w:w="200" w:type="dxa"/>
            <w:vAlign w:val="bottom"/>
          </w:tcPr>
          <w:p>
            <w:pPr>
              <w:jc w:val="right"/>
              <w:ind w:right="3"/>
              <w:spacing w:after="0" w:line="211" w:lineRule="exact"/>
              <w:rPr>
                <w:sz w:val="20"/>
                <w:szCs w:val="20"/>
                <w:color w:val="auto"/>
              </w:rPr>
            </w:pPr>
            <w:r>
              <w:rPr>
                <w:rFonts w:ascii="Arial" w:cs="Arial" w:eastAsia="Arial" w:hAnsi="Arial"/>
                <w:sz w:val="19"/>
                <w:szCs w:val="19"/>
                <w:b w:val="1"/>
                <w:bCs w:val="1"/>
                <w:color w:val="231F20"/>
                <w:w w:val="75"/>
              </w:rPr>
              <w:t>$</w:t>
            </w:r>
          </w:p>
        </w:tc>
        <w:tc>
          <w:tcPr>
            <w:tcW w:w="1580" w:type="dxa"/>
            <w:vAlign w:val="bottom"/>
            <w:gridSpan w:val="2"/>
          </w:tcPr>
          <w:p>
            <w:pPr>
              <w:jc w:val="right"/>
              <w:ind w:right="160"/>
              <w:spacing w:after="0" w:line="211" w:lineRule="exact"/>
              <w:rPr>
                <w:sz w:val="20"/>
                <w:szCs w:val="20"/>
                <w:color w:val="auto"/>
              </w:rPr>
            </w:pPr>
            <w:r>
              <w:rPr>
                <w:rFonts w:ascii="Arial" w:cs="Arial" w:eastAsia="Arial" w:hAnsi="Arial"/>
                <w:sz w:val="19"/>
                <w:szCs w:val="19"/>
                <w:b w:val="1"/>
                <w:bCs w:val="1"/>
                <w:color w:val="231F20"/>
              </w:rPr>
              <w:t>2,663</w:t>
            </w:r>
          </w:p>
        </w:tc>
      </w:tr>
      <w:tr>
        <w:trPr>
          <w:trHeight w:val="490"/>
        </w:trPr>
        <w:tc>
          <w:tcPr>
            <w:tcW w:w="5260" w:type="dxa"/>
            <w:vAlign w:val="bottom"/>
          </w:tcPr>
          <w:p>
            <w:pPr>
              <w:spacing w:after="0"/>
              <w:rPr>
                <w:sz w:val="20"/>
                <w:szCs w:val="20"/>
                <w:color w:val="auto"/>
              </w:rPr>
            </w:pPr>
            <w:r>
              <w:rPr>
                <w:rFonts w:ascii="Arial" w:cs="Arial" w:eastAsia="Arial" w:hAnsi="Arial"/>
                <w:sz w:val="19"/>
                <w:szCs w:val="19"/>
                <w:b w:val="1"/>
                <w:bCs w:val="1"/>
                <w:color w:val="231F20"/>
              </w:rPr>
              <w:t>Weighted average remaining lease term (in years)</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3"/>
          </w:tcPr>
          <w:p>
            <w:pPr>
              <w:jc w:val="right"/>
              <w:ind w:right="400"/>
              <w:spacing w:after="0"/>
              <w:rPr>
                <w:sz w:val="20"/>
                <w:szCs w:val="20"/>
                <w:color w:val="auto"/>
              </w:rPr>
            </w:pPr>
            <w:r>
              <w:rPr>
                <w:rFonts w:ascii="Arial" w:cs="Arial" w:eastAsia="Arial" w:hAnsi="Arial"/>
                <w:sz w:val="19"/>
                <w:szCs w:val="19"/>
                <w:b w:val="1"/>
                <w:bCs w:val="1"/>
                <w:color w:val="231F20"/>
              </w:rPr>
              <w:t>4.6</w:t>
            </w:r>
          </w:p>
        </w:tc>
        <w:tc>
          <w:tcPr>
            <w:tcW w:w="200" w:type="dxa"/>
            <w:vAlign w:val="bottom"/>
          </w:tcPr>
          <w:p>
            <w:pPr>
              <w:spacing w:after="0"/>
              <w:rPr>
                <w:sz w:val="24"/>
                <w:szCs w:val="24"/>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231F20"/>
              </w:rPr>
              <w:t>2.6</w:t>
            </w:r>
          </w:p>
        </w:tc>
      </w:tr>
      <w:tr>
        <w:trPr>
          <w:trHeight w:val="223"/>
        </w:trPr>
        <w:tc>
          <w:tcPr>
            <w:tcW w:w="5260" w:type="dxa"/>
            <w:vAlign w:val="bottom"/>
          </w:tcPr>
          <w:p>
            <w:pPr>
              <w:spacing w:after="0"/>
              <w:rPr>
                <w:sz w:val="20"/>
                <w:szCs w:val="20"/>
                <w:color w:val="auto"/>
              </w:rPr>
            </w:pPr>
            <w:r>
              <w:rPr>
                <w:rFonts w:ascii="Arial" w:cs="Arial" w:eastAsia="Arial" w:hAnsi="Arial"/>
                <w:sz w:val="19"/>
                <w:szCs w:val="19"/>
                <w:b w:val="1"/>
                <w:bCs w:val="1"/>
                <w:color w:val="231F20"/>
              </w:rPr>
              <w:t>Weighted average discount rate</w:t>
            </w: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3"/>
          </w:tcPr>
          <w:p>
            <w:pPr>
              <w:jc w:val="right"/>
              <w:ind w:right="240"/>
              <w:spacing w:after="0"/>
              <w:rPr>
                <w:sz w:val="20"/>
                <w:szCs w:val="20"/>
                <w:color w:val="auto"/>
              </w:rPr>
            </w:pPr>
            <w:r>
              <w:rPr>
                <w:rFonts w:ascii="Arial" w:cs="Arial" w:eastAsia="Arial" w:hAnsi="Arial"/>
                <w:sz w:val="19"/>
                <w:szCs w:val="19"/>
                <w:b w:val="1"/>
                <w:bCs w:val="1"/>
                <w:color w:val="231F20"/>
              </w:rPr>
              <w:t>9.0%</w:t>
            </w:r>
          </w:p>
        </w:tc>
        <w:tc>
          <w:tcPr>
            <w:tcW w:w="20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9"/>
                <w:szCs w:val="19"/>
                <w:b w:val="1"/>
                <w:bCs w:val="1"/>
                <w:color w:val="231F20"/>
              </w:rPr>
              <w:t>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4215130</wp:posOffset>
            </wp:positionH>
            <wp:positionV relativeFrom="paragraph">
              <wp:posOffset>-1064895</wp:posOffset>
            </wp:positionV>
            <wp:extent cx="2334260" cy="5461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334260" cy="54610"/>
                    </a:xfrm>
                    <a:prstGeom prst="rect">
                      <a:avLst/>
                    </a:prstGeom>
                    <a:noFill/>
                  </pic:spPr>
                </pic:pic>
              </a:graphicData>
            </a:graphic>
          </wp:anchor>
        </w:drawing>
        <w:drawing>
          <wp:anchor simplePos="0" relativeHeight="251657728" behindDoc="1" locked="0" layoutInCell="0" allowOverlap="1">
            <wp:simplePos x="0" y="0"/>
            <wp:positionH relativeFrom="column">
              <wp:posOffset>4215130</wp:posOffset>
            </wp:positionH>
            <wp:positionV relativeFrom="paragraph">
              <wp:posOffset>-464185</wp:posOffset>
            </wp:positionV>
            <wp:extent cx="2334260" cy="5461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334260" cy="54610"/>
                    </a:xfrm>
                    <a:prstGeom prst="rect">
                      <a:avLst/>
                    </a:prstGeom>
                    <a:noFill/>
                  </pic:spPr>
                </pic:pic>
              </a:graphicData>
            </a:graphic>
          </wp:anchor>
        </w:drawing>
      </w:r>
    </w:p>
    <w:p>
      <w:pPr>
        <w:spacing w:after="0" w:line="122" w:lineRule="exact"/>
        <w:rPr>
          <w:sz w:val="20"/>
          <w:szCs w:val="20"/>
          <w:color w:val="auto"/>
        </w:rPr>
      </w:pPr>
    </w:p>
    <w:p>
      <w:pPr>
        <w:ind w:left="960" w:hanging="650"/>
        <w:spacing w:after="0"/>
        <w:tabs>
          <w:tab w:leader="none" w:pos="960" w:val="left"/>
        </w:tabs>
        <w:numPr>
          <w:ilvl w:val="0"/>
          <w:numId w:val="13"/>
        </w:numPr>
        <w:rPr>
          <w:rFonts w:ascii="Arial" w:cs="Arial" w:eastAsia="Arial" w:hAnsi="Arial"/>
          <w:sz w:val="15"/>
          <w:szCs w:val="15"/>
          <w:b w:val="1"/>
          <w:bCs w:val="1"/>
          <w:color w:val="231F20"/>
        </w:rPr>
      </w:pPr>
      <w:r>
        <w:rPr>
          <w:rFonts w:ascii="Arial" w:cs="Arial" w:eastAsia="Arial" w:hAnsi="Arial"/>
          <w:sz w:val="15"/>
          <w:szCs w:val="15"/>
          <w:b w:val="1"/>
          <w:bCs w:val="1"/>
          <w:color w:val="231F20"/>
        </w:rPr>
        <w:t>Current lease liabilities are presented within accrued expenses and other current liabilities on the consolidated balance sheets.</w:t>
      </w:r>
    </w:p>
    <w:p>
      <w:pPr>
        <w:spacing w:after="0" w:line="29" w:lineRule="exact"/>
        <w:rPr>
          <w:rFonts w:ascii="Arial" w:cs="Arial" w:eastAsia="Arial" w:hAnsi="Arial"/>
          <w:sz w:val="15"/>
          <w:szCs w:val="15"/>
          <w:b w:val="1"/>
          <w:bCs w:val="1"/>
          <w:color w:val="231F20"/>
        </w:rPr>
      </w:pPr>
    </w:p>
    <w:p>
      <w:pPr>
        <w:ind w:left="960" w:hanging="698"/>
        <w:spacing w:after="0"/>
        <w:tabs>
          <w:tab w:leader="none" w:pos="960" w:val="left"/>
        </w:tabs>
        <w:numPr>
          <w:ilvl w:val="0"/>
          <w:numId w:val="13"/>
        </w:numPr>
        <w:rPr>
          <w:rFonts w:ascii="Arial" w:cs="Arial" w:eastAsia="Arial" w:hAnsi="Arial"/>
          <w:sz w:val="16"/>
          <w:szCs w:val="16"/>
          <w:b w:val="1"/>
          <w:bCs w:val="1"/>
          <w:color w:val="231F20"/>
        </w:rPr>
      </w:pPr>
      <w:r>
        <w:rPr>
          <w:rFonts w:ascii="Arial" w:cs="Arial" w:eastAsia="Arial" w:hAnsi="Arial"/>
          <w:sz w:val="16"/>
          <w:szCs w:val="16"/>
          <w:b w:val="1"/>
          <w:bCs w:val="1"/>
          <w:color w:val="231F20"/>
        </w:rPr>
        <w:t>Non-current lease liabilities are presented within other non-current liabilities on the consolidated balance sheets.</w:t>
      </w:r>
    </w:p>
    <w:p>
      <w:pPr>
        <w:sectPr>
          <w:pgSz w:w="12240" w:h="15840" w:orient="portrait"/>
          <w:cols w:equalWidth="0" w:num="1">
            <w:col w:w="10460"/>
          </w:cols>
          <w:pgMar w:left="880" w:top="1160" w:right="900" w:bottom="4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31F20"/>
        </w:rPr>
        <w:t>108</w:t>
      </w:r>
    </w:p>
    <w:p>
      <w:pPr>
        <w:sectPr>
          <w:pgSz w:w="12240" w:h="15840" w:orient="portrait"/>
          <w:cols w:equalWidth="0" w:num="1">
            <w:col w:w="10460"/>
          </w:cols>
          <w:pgMar w:left="880" w:top="1160" w:right="900" w:bottom="401" w:gutter="0" w:footer="0" w:header="0"/>
          <w:type w:val="continuous"/>
        </w:sectPr>
      </w:pPr>
    </w:p>
    <w:bookmarkStart w:id="116" w:name="page117"/>
    <w:bookmarkEnd w:id="116"/>
    <w:p>
      <w:pPr>
        <w:ind w:right="740" w:firstLine="475"/>
        <w:spacing w:after="0" w:line="239" w:lineRule="auto"/>
        <w:rPr>
          <w:sz w:val="20"/>
          <w:szCs w:val="20"/>
          <w:color w:val="auto"/>
        </w:rPr>
      </w:pPr>
      <w:r>
        <w:rPr>
          <w:rFonts w:ascii="Arial" w:cs="Arial" w:eastAsia="Arial" w:hAnsi="Arial"/>
          <w:sz w:val="19"/>
          <w:szCs w:val="19"/>
          <w:b w:val="1"/>
          <w:bCs w:val="1"/>
          <w:color w:val="231F20"/>
        </w:rPr>
        <w:t>The following table presents the components of lease costs for the years ended December 31, 2024, 2023, and 2022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ind w:right="43"/>
              <w:spacing w:after="0"/>
              <w:rPr>
                <w:sz w:val="20"/>
                <w:szCs w:val="20"/>
                <w:color w:val="auto"/>
              </w:rPr>
            </w:pPr>
            <w:r>
              <w:rPr>
                <w:rFonts w:ascii="Arial" w:cs="Arial" w:eastAsia="Arial" w:hAnsi="Arial"/>
                <w:sz w:val="19"/>
                <w:szCs w:val="19"/>
                <w:b w:val="1"/>
                <w:bCs w:val="1"/>
                <w:color w:val="231F20"/>
                <w:w w:val="95"/>
              </w:rPr>
              <w:t>Year Ended</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7"/>
        </w:trPr>
        <w:tc>
          <w:tcPr>
            <w:tcW w:w="4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20" w:type="dxa"/>
            <w:vAlign w:val="bottom"/>
            <w:tcBorders>
              <w:bottom w:val="single" w:sz="8" w:color="231F20"/>
            </w:tcBorders>
          </w:tcPr>
          <w:p>
            <w:pPr>
              <w:spacing w:after="0"/>
              <w:rPr>
                <w:sz w:val="20"/>
                <w:szCs w:val="20"/>
                <w:color w:val="auto"/>
              </w:rPr>
            </w:pPr>
          </w:p>
        </w:tc>
        <w:tc>
          <w:tcPr>
            <w:tcW w:w="480" w:type="dxa"/>
            <w:vAlign w:val="bottom"/>
            <w:tcBorders>
              <w:bottom w:val="single" w:sz="8" w:color="231F20"/>
            </w:tcBorders>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1300" w:type="dxa"/>
            <w:vAlign w:val="bottom"/>
            <w:tcBorders>
              <w:bottom w:val="single" w:sz="8" w:color="231F20"/>
            </w:tcBorders>
          </w:tcPr>
          <w:p>
            <w:pPr>
              <w:jc w:val="center"/>
              <w:ind w:right="23"/>
              <w:spacing w:after="0"/>
              <w:rPr>
                <w:sz w:val="20"/>
                <w:szCs w:val="20"/>
                <w:color w:val="auto"/>
              </w:rPr>
            </w:pPr>
            <w:r>
              <w:rPr>
                <w:rFonts w:ascii="Arial" w:cs="Arial" w:eastAsia="Arial" w:hAnsi="Arial"/>
                <w:sz w:val="19"/>
                <w:szCs w:val="19"/>
                <w:b w:val="1"/>
                <w:bCs w:val="1"/>
                <w:color w:val="231F20"/>
                <w:w w:val="92"/>
              </w:rPr>
              <w:t>December 31,</w:t>
            </w:r>
          </w:p>
        </w:tc>
        <w:tc>
          <w:tcPr>
            <w:tcW w:w="260" w:type="dxa"/>
            <w:vAlign w:val="bottom"/>
            <w:tcBorders>
              <w:bottom w:val="single" w:sz="8" w:color="231F20"/>
            </w:tcBorders>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120" w:type="dxa"/>
            <w:vAlign w:val="bottom"/>
            <w:tcBorders>
              <w:bottom w:val="single" w:sz="8" w:color="231F20"/>
            </w:tcBorders>
          </w:tcPr>
          <w:p>
            <w:pPr>
              <w:spacing w:after="0"/>
              <w:rPr>
                <w:sz w:val="20"/>
                <w:szCs w:val="20"/>
                <w:color w:val="auto"/>
              </w:rPr>
            </w:pPr>
          </w:p>
        </w:tc>
      </w:tr>
      <w:tr>
        <w:trPr>
          <w:trHeight w:val="226"/>
        </w:trPr>
        <w:tc>
          <w:tcPr>
            <w:tcW w:w="4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2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2024</w:t>
            </w:r>
          </w:p>
        </w:tc>
        <w:tc>
          <w:tcPr>
            <w:tcW w:w="480" w:type="dxa"/>
            <w:vAlign w:val="bottom"/>
            <w:tcBorders>
              <w:bottom w:val="single" w:sz="8" w:color="231F20"/>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300" w:type="dxa"/>
            <w:vAlign w:val="bottom"/>
            <w:tcBorders>
              <w:bottom w:val="single" w:sz="8" w:color="231F20"/>
            </w:tcBorders>
          </w:tcPr>
          <w:p>
            <w:pPr>
              <w:jc w:val="center"/>
              <w:ind w:right="23"/>
              <w:spacing w:after="0"/>
              <w:rPr>
                <w:sz w:val="20"/>
                <w:szCs w:val="20"/>
                <w:color w:val="auto"/>
              </w:rPr>
            </w:pPr>
            <w:r>
              <w:rPr>
                <w:rFonts w:ascii="Arial" w:cs="Arial" w:eastAsia="Arial" w:hAnsi="Arial"/>
                <w:sz w:val="19"/>
                <w:szCs w:val="19"/>
                <w:b w:val="1"/>
                <w:bCs w:val="1"/>
                <w:color w:val="231F20"/>
                <w:w w:val="89"/>
              </w:rPr>
              <w:t>2023</w:t>
            </w:r>
          </w:p>
        </w:tc>
        <w:tc>
          <w:tcPr>
            <w:tcW w:w="260" w:type="dxa"/>
            <w:vAlign w:val="bottom"/>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1120" w:type="dxa"/>
            <w:vAlign w:val="bottom"/>
            <w:tcBorders>
              <w:bottom w:val="single" w:sz="8" w:color="231F20"/>
            </w:tcBorders>
          </w:tcPr>
          <w:p>
            <w:pPr>
              <w:jc w:val="right"/>
              <w:ind w:right="423"/>
              <w:spacing w:after="0"/>
              <w:rPr>
                <w:sz w:val="20"/>
                <w:szCs w:val="20"/>
                <w:color w:val="auto"/>
              </w:rPr>
            </w:pPr>
            <w:r>
              <w:rPr>
                <w:rFonts w:ascii="Arial" w:cs="Arial" w:eastAsia="Arial" w:hAnsi="Arial"/>
                <w:sz w:val="19"/>
                <w:szCs w:val="19"/>
                <w:b w:val="1"/>
                <w:bCs w:val="1"/>
                <w:color w:val="231F20"/>
              </w:rPr>
              <w:t>2022</w:t>
            </w:r>
          </w:p>
        </w:tc>
      </w:tr>
      <w:tr>
        <w:trPr>
          <w:trHeight w:val="226"/>
        </w:trPr>
        <w:tc>
          <w:tcPr>
            <w:tcW w:w="4260" w:type="dxa"/>
            <w:vAlign w:val="bottom"/>
          </w:tcPr>
          <w:p>
            <w:pPr>
              <w:spacing w:after="0"/>
              <w:rPr>
                <w:sz w:val="20"/>
                <w:szCs w:val="20"/>
                <w:color w:val="auto"/>
              </w:rPr>
            </w:pPr>
            <w:r>
              <w:rPr>
                <w:rFonts w:ascii="Arial" w:cs="Arial" w:eastAsia="Arial" w:hAnsi="Arial"/>
                <w:sz w:val="19"/>
                <w:szCs w:val="19"/>
                <w:b w:val="1"/>
                <w:bCs w:val="1"/>
                <w:color w:val="231F20"/>
              </w:rPr>
              <w:t>Operating lease cost</w:t>
            </w:r>
          </w:p>
        </w:tc>
        <w:tc>
          <w:tcPr>
            <w:tcW w:w="2280" w:type="dxa"/>
            <w:vAlign w:val="bottom"/>
            <w:gridSpan w:val="2"/>
          </w:tcPr>
          <w:p>
            <w:pPr>
              <w:jc w:val="right"/>
              <w:ind w:right="743"/>
              <w:spacing w:after="0"/>
              <w:rPr>
                <w:sz w:val="20"/>
                <w:szCs w:val="20"/>
                <w:color w:val="auto"/>
              </w:rPr>
            </w:pPr>
            <w:r>
              <w:rPr>
                <w:rFonts w:ascii="Arial" w:cs="Arial" w:eastAsia="Arial" w:hAnsi="Arial"/>
                <w:sz w:val="19"/>
                <w:szCs w:val="19"/>
                <w:b w:val="1"/>
                <w:bCs w:val="1"/>
                <w:color w:val="231F20"/>
              </w:rPr>
              <w:t>$</w:t>
            </w:r>
          </w:p>
        </w:tc>
        <w:tc>
          <w:tcPr>
            <w:tcW w:w="480" w:type="dxa"/>
            <w:vAlign w:val="bottom"/>
          </w:tcPr>
          <w:p>
            <w:pPr>
              <w:jc w:val="right"/>
              <w:spacing w:after="0"/>
              <w:rPr>
                <w:sz w:val="20"/>
                <w:szCs w:val="20"/>
                <w:color w:val="auto"/>
              </w:rPr>
            </w:pPr>
            <w:r>
              <w:rPr>
                <w:rFonts w:ascii="Arial" w:cs="Arial" w:eastAsia="Arial" w:hAnsi="Arial"/>
                <w:sz w:val="19"/>
                <w:szCs w:val="19"/>
                <w:b w:val="1"/>
                <w:bCs w:val="1"/>
                <w:color w:val="231F20"/>
                <w:w w:val="92"/>
              </w:rPr>
              <w:t>1,244</w:t>
            </w:r>
          </w:p>
        </w:tc>
        <w:tc>
          <w:tcPr>
            <w:tcW w:w="380" w:type="dxa"/>
            <w:vAlign w:val="bottom"/>
            <w:gridSpan w:val="2"/>
          </w:tcPr>
          <w:p>
            <w:pPr>
              <w:jc w:val="right"/>
              <w:ind w:right="20"/>
              <w:spacing w:after="0"/>
              <w:rPr>
                <w:sz w:val="20"/>
                <w:szCs w:val="20"/>
                <w:color w:val="auto"/>
              </w:rPr>
            </w:pPr>
            <w:r>
              <w:rPr>
                <w:rFonts w:ascii="Arial" w:cs="Arial" w:eastAsia="Arial" w:hAnsi="Arial"/>
                <w:sz w:val="19"/>
                <w:szCs w:val="19"/>
                <w:b w:val="1"/>
                <w:bCs w:val="1"/>
                <w:color w:val="231F20"/>
              </w:rPr>
              <w:t>$</w:t>
            </w:r>
          </w:p>
        </w:tc>
        <w:tc>
          <w:tcPr>
            <w:tcW w:w="1300" w:type="dxa"/>
            <w:vAlign w:val="bottom"/>
          </w:tcPr>
          <w:p>
            <w:pPr>
              <w:jc w:val="right"/>
              <w:spacing w:after="0"/>
              <w:rPr>
                <w:sz w:val="20"/>
                <w:szCs w:val="20"/>
                <w:color w:val="auto"/>
              </w:rPr>
            </w:pPr>
            <w:r>
              <w:rPr>
                <w:rFonts w:ascii="Arial" w:cs="Arial" w:eastAsia="Arial" w:hAnsi="Arial"/>
                <w:sz w:val="19"/>
                <w:szCs w:val="19"/>
                <w:b w:val="1"/>
                <w:bCs w:val="1"/>
                <w:color w:val="231F20"/>
              </w:rPr>
              <w:t>1,263</w:t>
            </w:r>
          </w:p>
        </w:tc>
        <w:tc>
          <w:tcPr>
            <w:tcW w:w="560" w:type="dxa"/>
            <w:vAlign w:val="bottom"/>
            <w:gridSpan w:val="2"/>
          </w:tcPr>
          <w:p>
            <w:pPr>
              <w:jc w:val="right"/>
              <w:ind w:right="200"/>
              <w:spacing w:after="0"/>
              <w:rPr>
                <w:sz w:val="20"/>
                <w:szCs w:val="20"/>
                <w:color w:val="auto"/>
              </w:rPr>
            </w:pPr>
            <w:r>
              <w:rPr>
                <w:rFonts w:ascii="Arial" w:cs="Arial" w:eastAsia="Arial" w:hAnsi="Arial"/>
                <w:sz w:val="19"/>
                <w:szCs w:val="19"/>
                <w:b w:val="1"/>
                <w:bCs w:val="1"/>
                <w:color w:val="231F20"/>
              </w:rPr>
              <w:t>$</w:t>
            </w:r>
          </w:p>
        </w:tc>
        <w:tc>
          <w:tcPr>
            <w:tcW w:w="1120" w:type="dxa"/>
            <w:vAlign w:val="bottom"/>
          </w:tcPr>
          <w:p>
            <w:pPr>
              <w:jc w:val="right"/>
              <w:spacing w:after="0"/>
              <w:rPr>
                <w:sz w:val="20"/>
                <w:szCs w:val="20"/>
                <w:color w:val="auto"/>
              </w:rPr>
            </w:pPr>
            <w:r>
              <w:rPr>
                <w:rFonts w:ascii="Arial" w:cs="Arial" w:eastAsia="Arial" w:hAnsi="Arial"/>
                <w:sz w:val="19"/>
                <w:szCs w:val="19"/>
                <w:b w:val="1"/>
                <w:bCs w:val="1"/>
                <w:color w:val="231F20"/>
              </w:rPr>
              <w:t>1,159</w:t>
            </w:r>
          </w:p>
        </w:tc>
      </w:tr>
      <w:tr>
        <w:trPr>
          <w:trHeight w:val="260"/>
        </w:trPr>
        <w:tc>
          <w:tcPr>
            <w:tcW w:w="4260" w:type="dxa"/>
            <w:vAlign w:val="bottom"/>
          </w:tcPr>
          <w:p>
            <w:pPr>
              <w:spacing w:after="0" w:line="259" w:lineRule="exact"/>
              <w:rPr>
                <w:sz w:val="20"/>
                <w:szCs w:val="20"/>
                <w:color w:val="auto"/>
              </w:rPr>
            </w:pPr>
            <w:r>
              <w:rPr>
                <w:rFonts w:ascii="Arial" w:cs="Arial" w:eastAsia="Arial" w:hAnsi="Arial"/>
                <w:sz w:val="19"/>
                <w:szCs w:val="19"/>
                <w:b w:val="1"/>
                <w:bCs w:val="1"/>
                <w:color w:val="231F20"/>
              </w:rPr>
              <w:t xml:space="preserve">Variable lease cost and other, net </w:t>
            </w:r>
            <w:r>
              <w:rPr>
                <w:rFonts w:ascii="Arial" w:cs="Arial" w:eastAsia="Arial" w:hAnsi="Arial"/>
                <w:sz w:val="25"/>
                <w:szCs w:val="25"/>
                <w:b w:val="1"/>
                <w:bCs w:val="1"/>
                <w:color w:val="231F20"/>
                <w:vertAlign w:val="superscript"/>
              </w:rPr>
              <w:t>(i)</w:t>
            </w:r>
          </w:p>
        </w:tc>
        <w:tc>
          <w:tcPr>
            <w:tcW w:w="1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9"/>
                <w:szCs w:val="19"/>
                <w:b w:val="1"/>
                <w:bCs w:val="1"/>
                <w:color w:val="231F20"/>
              </w:rPr>
              <w:t>560</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9"/>
                <w:szCs w:val="19"/>
                <w:b w:val="1"/>
                <w:bCs w:val="1"/>
                <w:color w:val="231F20"/>
              </w:rPr>
              <w:t>461</w:t>
            </w: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9"/>
                <w:szCs w:val="19"/>
                <w:b w:val="1"/>
                <w:bCs w:val="1"/>
                <w:color w:val="231F20"/>
              </w:rPr>
              <w:t>262</w:t>
            </w:r>
          </w:p>
        </w:tc>
      </w:tr>
      <w:tr>
        <w:trPr>
          <w:trHeight w:val="213"/>
        </w:trPr>
        <w:tc>
          <w:tcPr>
            <w:tcW w:w="4260" w:type="dxa"/>
            <w:vAlign w:val="bottom"/>
          </w:tcPr>
          <w:p>
            <w:pPr>
              <w:spacing w:after="0" w:line="214" w:lineRule="exact"/>
              <w:rPr>
                <w:sz w:val="20"/>
                <w:szCs w:val="20"/>
                <w:color w:val="auto"/>
              </w:rPr>
            </w:pPr>
            <w:r>
              <w:rPr>
                <w:rFonts w:ascii="Arial" w:cs="Arial" w:eastAsia="Arial" w:hAnsi="Arial"/>
                <w:sz w:val="19"/>
                <w:szCs w:val="19"/>
                <w:b w:val="1"/>
                <w:bCs w:val="1"/>
                <w:color w:val="231F20"/>
              </w:rPr>
              <w:t>Short-term lease cost</w:t>
            </w:r>
          </w:p>
        </w:tc>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spacing w:after="0" w:line="214" w:lineRule="exact"/>
              <w:rPr>
                <w:sz w:val="20"/>
                <w:szCs w:val="20"/>
                <w:color w:val="auto"/>
              </w:rPr>
            </w:pPr>
            <w:r>
              <w:rPr>
                <w:rFonts w:ascii="Arial" w:cs="Arial" w:eastAsia="Arial" w:hAnsi="Arial"/>
                <w:sz w:val="19"/>
                <w:szCs w:val="19"/>
                <w:b w:val="1"/>
                <w:bCs w:val="1"/>
                <w:color w:val="231F20"/>
              </w:rPr>
              <w:t>14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line="214" w:lineRule="exact"/>
              <w:rPr>
                <w:sz w:val="20"/>
                <w:szCs w:val="20"/>
                <w:color w:val="auto"/>
              </w:rPr>
            </w:pPr>
            <w:r>
              <w:rPr>
                <w:rFonts w:ascii="Arial" w:cs="Arial" w:eastAsia="Arial" w:hAnsi="Arial"/>
                <w:sz w:val="19"/>
                <w:szCs w:val="19"/>
                <w:b w:val="1"/>
                <w:bCs w:val="1"/>
                <w:color w:val="231F20"/>
              </w:rPr>
              <w:t>17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line="214" w:lineRule="exact"/>
              <w:rPr>
                <w:sz w:val="20"/>
                <w:szCs w:val="20"/>
                <w:color w:val="auto"/>
              </w:rPr>
            </w:pPr>
            <w:r>
              <w:rPr>
                <w:rFonts w:ascii="Arial" w:cs="Arial" w:eastAsia="Arial" w:hAnsi="Arial"/>
                <w:sz w:val="19"/>
                <w:szCs w:val="19"/>
                <w:b w:val="1"/>
                <w:bCs w:val="1"/>
                <w:color w:val="231F20"/>
              </w:rPr>
              <w:t>88</w:t>
            </w:r>
          </w:p>
        </w:tc>
      </w:tr>
      <w:tr>
        <w:trPr>
          <w:trHeight w:val="238"/>
        </w:trPr>
        <w:tc>
          <w:tcPr>
            <w:tcW w:w="4260" w:type="dxa"/>
            <w:vAlign w:val="bottom"/>
          </w:tcPr>
          <w:p>
            <w:pPr>
              <w:spacing w:after="0"/>
              <w:rPr>
                <w:sz w:val="20"/>
                <w:szCs w:val="20"/>
                <w:color w:val="auto"/>
              </w:rPr>
            </w:pPr>
            <w:r>
              <w:rPr>
                <w:rFonts w:ascii="Arial" w:cs="Arial" w:eastAsia="Arial" w:hAnsi="Arial"/>
                <w:sz w:val="19"/>
                <w:szCs w:val="19"/>
                <w:b w:val="1"/>
                <w:bCs w:val="1"/>
                <w:color w:val="231F20"/>
              </w:rPr>
              <w:t>Finance lease cost:</w:t>
            </w:r>
          </w:p>
        </w:tc>
        <w:tc>
          <w:tcPr>
            <w:tcW w:w="1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5"/>
        </w:trPr>
        <w:tc>
          <w:tcPr>
            <w:tcW w:w="4260" w:type="dxa"/>
            <w:vAlign w:val="bottom"/>
          </w:tcPr>
          <w:p>
            <w:pPr>
              <w:ind w:left="200"/>
              <w:spacing w:after="0"/>
              <w:rPr>
                <w:sz w:val="20"/>
                <w:szCs w:val="20"/>
                <w:color w:val="auto"/>
              </w:rPr>
            </w:pPr>
            <w:r>
              <w:rPr>
                <w:rFonts w:ascii="Arial" w:cs="Arial" w:eastAsia="Arial" w:hAnsi="Arial"/>
                <w:sz w:val="19"/>
                <w:szCs w:val="19"/>
                <w:b w:val="1"/>
                <w:bCs w:val="1"/>
                <w:color w:val="231F20"/>
              </w:rPr>
              <w:t>Amortization of right-of-use assets</w:t>
            </w:r>
          </w:p>
        </w:tc>
        <w:tc>
          <w:tcPr>
            <w:tcW w:w="1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9"/>
                <w:szCs w:val="19"/>
                <w:b w:val="1"/>
                <w:bCs w:val="1"/>
                <w:color w:val="231F20"/>
              </w:rPr>
              <w:t>962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9"/>
                <w:szCs w:val="19"/>
                <w:b w:val="1"/>
                <w:bCs w:val="1"/>
                <w:color w:val="231F20"/>
              </w:rPr>
              <w:t>493</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9"/>
                <w:szCs w:val="19"/>
                <w:b w:val="1"/>
                <w:bCs w:val="1"/>
                <w:color w:val="231F20"/>
              </w:rPr>
              <w:t>447</w:t>
            </w:r>
          </w:p>
        </w:tc>
      </w:tr>
      <w:tr>
        <w:trPr>
          <w:trHeight w:val="237"/>
        </w:trPr>
        <w:tc>
          <w:tcPr>
            <w:tcW w:w="4260" w:type="dxa"/>
            <w:vAlign w:val="bottom"/>
          </w:tcPr>
          <w:p>
            <w:pPr>
              <w:ind w:left="200"/>
              <w:spacing w:after="0"/>
              <w:rPr>
                <w:sz w:val="20"/>
                <w:szCs w:val="20"/>
                <w:color w:val="auto"/>
              </w:rPr>
            </w:pPr>
            <w:r>
              <w:rPr>
                <w:rFonts w:ascii="Arial" w:cs="Arial" w:eastAsia="Arial" w:hAnsi="Arial"/>
                <w:sz w:val="19"/>
                <w:szCs w:val="19"/>
                <w:b w:val="1"/>
                <w:bCs w:val="1"/>
                <w:color w:val="231F20"/>
              </w:rPr>
              <w:t>Interest</w:t>
            </w:r>
          </w:p>
        </w:tc>
        <w:tc>
          <w:tcPr>
            <w:tcW w:w="1360" w:type="dxa"/>
            <w:vAlign w:val="bottom"/>
          </w:tcPr>
          <w:p>
            <w:pPr>
              <w:spacing w:after="0"/>
              <w:rPr>
                <w:sz w:val="20"/>
                <w:szCs w:val="20"/>
                <w:color w:val="auto"/>
              </w:rPr>
            </w:pPr>
          </w:p>
        </w:tc>
        <w:tc>
          <w:tcPr>
            <w:tcW w:w="920" w:type="dxa"/>
            <w:vAlign w:val="bottom"/>
            <w:tcBorders>
              <w:bottom w:val="single" w:sz="8" w:color="231F20"/>
            </w:tcBorders>
          </w:tcPr>
          <w:p>
            <w:pPr>
              <w:spacing w:after="0"/>
              <w:rPr>
                <w:sz w:val="20"/>
                <w:szCs w:val="20"/>
                <w:color w:val="auto"/>
              </w:rPr>
            </w:pPr>
          </w:p>
        </w:tc>
        <w:tc>
          <w:tcPr>
            <w:tcW w:w="48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220</w:t>
            </w:r>
          </w:p>
        </w:tc>
        <w:tc>
          <w:tcPr>
            <w:tcW w:w="260" w:type="dxa"/>
            <w:vAlign w:val="bottom"/>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130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44</w:t>
            </w:r>
          </w:p>
        </w:tc>
        <w:tc>
          <w:tcPr>
            <w:tcW w:w="26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12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9</w:t>
            </w:r>
          </w:p>
        </w:tc>
      </w:tr>
      <w:tr>
        <w:trPr>
          <w:trHeight w:val="228"/>
        </w:trPr>
        <w:tc>
          <w:tcPr>
            <w:tcW w:w="4260" w:type="dxa"/>
            <w:vAlign w:val="bottom"/>
          </w:tcPr>
          <w:p>
            <w:pPr>
              <w:spacing w:after="0"/>
              <w:rPr>
                <w:sz w:val="20"/>
                <w:szCs w:val="20"/>
                <w:color w:val="auto"/>
              </w:rPr>
            </w:pPr>
            <w:r>
              <w:rPr>
                <w:rFonts w:ascii="Arial" w:cs="Arial" w:eastAsia="Arial" w:hAnsi="Arial"/>
                <w:sz w:val="19"/>
                <w:szCs w:val="19"/>
                <w:b w:val="1"/>
                <w:bCs w:val="1"/>
                <w:color w:val="231F20"/>
              </w:rPr>
              <w:t>Total lease costs</w:t>
            </w:r>
          </w:p>
        </w:tc>
        <w:tc>
          <w:tcPr>
            <w:tcW w:w="2280" w:type="dxa"/>
            <w:vAlign w:val="bottom"/>
            <w:gridSpan w:val="2"/>
          </w:tcPr>
          <w:p>
            <w:pPr>
              <w:jc w:val="right"/>
              <w:ind w:right="743"/>
              <w:spacing w:after="0"/>
              <w:rPr>
                <w:sz w:val="20"/>
                <w:szCs w:val="20"/>
                <w:color w:val="auto"/>
              </w:rPr>
            </w:pPr>
            <w:r>
              <w:rPr>
                <w:rFonts w:ascii="Arial" w:cs="Arial" w:eastAsia="Arial" w:hAnsi="Arial"/>
                <w:sz w:val="19"/>
                <w:szCs w:val="19"/>
                <w:b w:val="1"/>
                <w:bCs w:val="1"/>
                <w:color w:val="231F20"/>
              </w:rPr>
              <w:t>$</w:t>
            </w:r>
          </w:p>
        </w:tc>
        <w:tc>
          <w:tcPr>
            <w:tcW w:w="480" w:type="dxa"/>
            <w:vAlign w:val="bottom"/>
          </w:tcPr>
          <w:p>
            <w:pPr>
              <w:jc w:val="right"/>
              <w:spacing w:after="0"/>
              <w:rPr>
                <w:sz w:val="20"/>
                <w:szCs w:val="20"/>
                <w:color w:val="auto"/>
              </w:rPr>
            </w:pPr>
            <w:r>
              <w:rPr>
                <w:rFonts w:ascii="Arial" w:cs="Arial" w:eastAsia="Arial" w:hAnsi="Arial"/>
                <w:sz w:val="19"/>
                <w:szCs w:val="19"/>
                <w:b w:val="1"/>
                <w:bCs w:val="1"/>
                <w:color w:val="231F20"/>
                <w:w w:val="92"/>
              </w:rPr>
              <w:t>3,000</w:t>
            </w:r>
          </w:p>
        </w:tc>
        <w:tc>
          <w:tcPr>
            <w:tcW w:w="380" w:type="dxa"/>
            <w:vAlign w:val="bottom"/>
            <w:gridSpan w:val="2"/>
          </w:tcPr>
          <w:p>
            <w:pPr>
              <w:jc w:val="right"/>
              <w:ind w:right="20"/>
              <w:spacing w:after="0"/>
              <w:rPr>
                <w:sz w:val="20"/>
                <w:szCs w:val="20"/>
                <w:color w:val="auto"/>
              </w:rPr>
            </w:pPr>
            <w:r>
              <w:rPr>
                <w:rFonts w:ascii="Arial" w:cs="Arial" w:eastAsia="Arial" w:hAnsi="Arial"/>
                <w:sz w:val="19"/>
                <w:szCs w:val="19"/>
                <w:b w:val="1"/>
                <w:bCs w:val="1"/>
                <w:color w:val="231F20"/>
              </w:rPr>
              <w:t>$</w:t>
            </w:r>
          </w:p>
        </w:tc>
        <w:tc>
          <w:tcPr>
            <w:tcW w:w="1300" w:type="dxa"/>
            <w:vAlign w:val="bottom"/>
          </w:tcPr>
          <w:p>
            <w:pPr>
              <w:jc w:val="right"/>
              <w:spacing w:after="0"/>
              <w:rPr>
                <w:sz w:val="20"/>
                <w:szCs w:val="20"/>
                <w:color w:val="auto"/>
              </w:rPr>
            </w:pPr>
            <w:r>
              <w:rPr>
                <w:rFonts w:ascii="Arial" w:cs="Arial" w:eastAsia="Arial" w:hAnsi="Arial"/>
                <w:sz w:val="19"/>
                <w:szCs w:val="19"/>
                <w:b w:val="1"/>
                <w:bCs w:val="1"/>
                <w:color w:val="231F20"/>
              </w:rPr>
              <w:t>2,278</w:t>
            </w:r>
          </w:p>
        </w:tc>
        <w:tc>
          <w:tcPr>
            <w:tcW w:w="560" w:type="dxa"/>
            <w:vAlign w:val="bottom"/>
            <w:gridSpan w:val="2"/>
          </w:tcPr>
          <w:p>
            <w:pPr>
              <w:jc w:val="right"/>
              <w:ind w:right="200"/>
              <w:spacing w:after="0"/>
              <w:rPr>
                <w:sz w:val="20"/>
                <w:szCs w:val="20"/>
                <w:color w:val="auto"/>
              </w:rPr>
            </w:pPr>
            <w:r>
              <w:rPr>
                <w:rFonts w:ascii="Arial" w:cs="Arial" w:eastAsia="Arial" w:hAnsi="Arial"/>
                <w:sz w:val="19"/>
                <w:szCs w:val="19"/>
                <w:b w:val="1"/>
                <w:bCs w:val="1"/>
                <w:color w:val="231F20"/>
              </w:rPr>
              <w:t>$</w:t>
            </w:r>
          </w:p>
        </w:tc>
        <w:tc>
          <w:tcPr>
            <w:tcW w:w="1120" w:type="dxa"/>
            <w:vAlign w:val="bottom"/>
          </w:tcPr>
          <w:p>
            <w:pPr>
              <w:jc w:val="right"/>
              <w:spacing w:after="0"/>
              <w:rPr>
                <w:sz w:val="20"/>
                <w:szCs w:val="20"/>
                <w:color w:val="auto"/>
              </w:rPr>
            </w:pPr>
            <w:r>
              <w:rPr>
                <w:rFonts w:ascii="Arial" w:cs="Arial" w:eastAsia="Arial" w:hAnsi="Arial"/>
                <w:sz w:val="19"/>
                <w:szCs w:val="19"/>
                <w:b w:val="1"/>
                <w:bCs w:val="1"/>
                <w:color w:val="231F20"/>
              </w:rPr>
              <w:t>1,965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3549650</wp:posOffset>
            </wp:positionH>
            <wp:positionV relativeFrom="paragraph">
              <wp:posOffset>-11430</wp:posOffset>
            </wp:positionV>
            <wp:extent cx="3051810" cy="5461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051810" cy="54610"/>
                    </a:xfrm>
                    <a:prstGeom prst="rect">
                      <a:avLst/>
                    </a:prstGeom>
                    <a:noFill/>
                  </pic:spPr>
                </pic:pic>
              </a:graphicData>
            </a:graphic>
          </wp:anchor>
        </w:drawing>
      </w:r>
    </w:p>
    <w:p>
      <w:pPr>
        <w:spacing w:after="0" w:line="166" w:lineRule="exact"/>
        <w:rPr>
          <w:sz w:val="20"/>
          <w:szCs w:val="20"/>
          <w:color w:val="auto"/>
        </w:rPr>
      </w:pPr>
    </w:p>
    <w:p>
      <w:pPr>
        <w:ind w:left="960" w:right="100" w:hanging="650"/>
        <w:spacing w:after="0" w:line="199" w:lineRule="exact"/>
        <w:tabs>
          <w:tab w:leader="none" w:pos="960" w:val="left"/>
        </w:tabs>
        <w:numPr>
          <w:ilvl w:val="0"/>
          <w:numId w:val="14"/>
        </w:numPr>
        <w:rPr>
          <w:rFonts w:ascii="Arial" w:cs="Arial" w:eastAsia="Arial" w:hAnsi="Arial"/>
          <w:sz w:val="18"/>
          <w:szCs w:val="18"/>
          <w:b w:val="1"/>
          <w:bCs w:val="1"/>
          <w:color w:val="231F20"/>
        </w:rPr>
      </w:pPr>
      <w:r>
        <w:rPr>
          <w:rFonts w:ascii="Arial" w:cs="Arial" w:eastAsia="Arial" w:hAnsi="Arial"/>
          <w:sz w:val="18"/>
          <w:szCs w:val="18"/>
          <w:b w:val="1"/>
          <w:bCs w:val="1"/>
          <w:color w:val="231F20"/>
        </w:rPr>
        <w:t>The variable lease cost and other, net is comprised primarily of common area maintenance charges for the operating lease, which are dependent on usage. These costs are classified as operating lease expense due to the election to not separate lease and non-lease components. These costs were not included within the measurement of the Company</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operating lease ROU assets and operating lease liabilities.</w:t>
      </w:r>
    </w:p>
    <w:p>
      <w:pPr>
        <w:spacing w:after="0" w:line="243" w:lineRule="exact"/>
        <w:rPr>
          <w:sz w:val="20"/>
          <w:szCs w:val="20"/>
          <w:color w:val="auto"/>
        </w:rPr>
      </w:pPr>
    </w:p>
    <w:p>
      <w:pPr>
        <w:ind w:firstLine="475"/>
        <w:spacing w:after="0" w:line="239" w:lineRule="auto"/>
        <w:rPr>
          <w:sz w:val="20"/>
          <w:szCs w:val="20"/>
          <w:color w:val="auto"/>
        </w:rPr>
      </w:pPr>
      <w:r>
        <w:rPr>
          <w:rFonts w:ascii="Arial" w:cs="Arial" w:eastAsia="Arial" w:hAnsi="Arial"/>
          <w:sz w:val="19"/>
          <w:szCs w:val="19"/>
          <w:b w:val="1"/>
          <w:bCs w:val="1"/>
          <w:color w:val="231F20"/>
        </w:rPr>
        <w:t>The following table presents the supplemental cash flow disclosures for cash paid for the years ended December 31, 2024, 2023, and 2022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center"/>
              <w:ind w:right="43"/>
              <w:spacing w:after="0"/>
              <w:rPr>
                <w:sz w:val="20"/>
                <w:szCs w:val="20"/>
                <w:color w:val="auto"/>
              </w:rPr>
            </w:pPr>
            <w:r>
              <w:rPr>
                <w:rFonts w:ascii="Arial" w:cs="Arial" w:eastAsia="Arial" w:hAnsi="Arial"/>
                <w:sz w:val="19"/>
                <w:szCs w:val="19"/>
                <w:b w:val="1"/>
                <w:bCs w:val="1"/>
                <w:color w:val="231F20"/>
                <w:w w:val="95"/>
              </w:rPr>
              <w:t>Year Ended</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6"/>
        </w:trPr>
        <w:tc>
          <w:tcPr>
            <w:tcW w:w="5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100" w:type="dxa"/>
            <w:vAlign w:val="bottom"/>
            <w:tcBorders>
              <w:bottom w:val="single" w:sz="8" w:color="231F20"/>
            </w:tcBorders>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1300" w:type="dxa"/>
            <w:vAlign w:val="bottom"/>
            <w:tcBorders>
              <w:bottom w:val="single" w:sz="8" w:color="231F20"/>
            </w:tcBorders>
          </w:tcPr>
          <w:p>
            <w:pPr>
              <w:jc w:val="center"/>
              <w:ind w:right="23"/>
              <w:spacing w:after="0"/>
              <w:rPr>
                <w:sz w:val="20"/>
                <w:szCs w:val="20"/>
                <w:color w:val="auto"/>
              </w:rPr>
            </w:pPr>
            <w:r>
              <w:rPr>
                <w:rFonts w:ascii="Arial" w:cs="Arial" w:eastAsia="Arial" w:hAnsi="Arial"/>
                <w:sz w:val="19"/>
                <w:szCs w:val="19"/>
                <w:b w:val="1"/>
                <w:bCs w:val="1"/>
                <w:color w:val="231F20"/>
                <w:w w:val="92"/>
              </w:rPr>
              <w:t>December 31,</w:t>
            </w:r>
          </w:p>
        </w:tc>
        <w:tc>
          <w:tcPr>
            <w:tcW w:w="260" w:type="dxa"/>
            <w:vAlign w:val="bottom"/>
            <w:tcBorders>
              <w:bottom w:val="single" w:sz="8" w:color="231F20"/>
            </w:tcBorders>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120" w:type="dxa"/>
            <w:vAlign w:val="bottom"/>
            <w:tcBorders>
              <w:bottom w:val="single" w:sz="8" w:color="231F20"/>
            </w:tcBorders>
          </w:tcPr>
          <w:p>
            <w:pPr>
              <w:spacing w:after="0"/>
              <w:rPr>
                <w:sz w:val="20"/>
                <w:szCs w:val="20"/>
                <w:color w:val="auto"/>
              </w:rPr>
            </w:pPr>
          </w:p>
        </w:tc>
      </w:tr>
      <w:tr>
        <w:trPr>
          <w:trHeight w:val="226"/>
        </w:trPr>
        <w:tc>
          <w:tcPr>
            <w:tcW w:w="5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tcPr>
          <w:p>
            <w:pPr>
              <w:jc w:val="right"/>
              <w:ind w:right="423"/>
              <w:spacing w:after="0"/>
              <w:rPr>
                <w:sz w:val="20"/>
                <w:szCs w:val="20"/>
                <w:color w:val="auto"/>
              </w:rPr>
            </w:pPr>
            <w:r>
              <w:rPr>
                <w:rFonts w:ascii="Arial" w:cs="Arial" w:eastAsia="Arial" w:hAnsi="Arial"/>
                <w:sz w:val="19"/>
                <w:szCs w:val="19"/>
                <w:b w:val="1"/>
                <w:bCs w:val="1"/>
                <w:color w:val="231F20"/>
              </w:rPr>
              <w:t>2024</w:t>
            </w:r>
          </w:p>
        </w:tc>
        <w:tc>
          <w:tcPr>
            <w:tcW w:w="26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300" w:type="dxa"/>
            <w:vAlign w:val="bottom"/>
            <w:tcBorders>
              <w:bottom w:val="single" w:sz="8" w:color="231F20"/>
            </w:tcBorders>
          </w:tcPr>
          <w:p>
            <w:pPr>
              <w:jc w:val="center"/>
              <w:ind w:right="23"/>
              <w:spacing w:after="0"/>
              <w:rPr>
                <w:sz w:val="20"/>
                <w:szCs w:val="20"/>
                <w:color w:val="auto"/>
              </w:rPr>
            </w:pPr>
            <w:r>
              <w:rPr>
                <w:rFonts w:ascii="Arial" w:cs="Arial" w:eastAsia="Arial" w:hAnsi="Arial"/>
                <w:sz w:val="19"/>
                <w:szCs w:val="19"/>
                <w:b w:val="1"/>
                <w:bCs w:val="1"/>
                <w:color w:val="231F20"/>
                <w:w w:val="89"/>
              </w:rPr>
              <w:t>2023</w:t>
            </w:r>
          </w:p>
        </w:tc>
        <w:tc>
          <w:tcPr>
            <w:tcW w:w="260" w:type="dxa"/>
            <w:vAlign w:val="bottom"/>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1120" w:type="dxa"/>
            <w:vAlign w:val="bottom"/>
            <w:tcBorders>
              <w:bottom w:val="single" w:sz="8" w:color="231F20"/>
            </w:tcBorders>
          </w:tcPr>
          <w:p>
            <w:pPr>
              <w:jc w:val="right"/>
              <w:ind w:right="423"/>
              <w:spacing w:after="0"/>
              <w:rPr>
                <w:sz w:val="20"/>
                <w:szCs w:val="20"/>
                <w:color w:val="auto"/>
              </w:rPr>
            </w:pPr>
            <w:r>
              <w:rPr>
                <w:rFonts w:ascii="Arial" w:cs="Arial" w:eastAsia="Arial" w:hAnsi="Arial"/>
                <w:sz w:val="19"/>
                <w:szCs w:val="19"/>
                <w:b w:val="1"/>
                <w:bCs w:val="1"/>
                <w:color w:val="231F20"/>
              </w:rPr>
              <w:t>2022</w:t>
            </w:r>
          </w:p>
        </w:tc>
      </w:tr>
      <w:tr>
        <w:trPr>
          <w:trHeight w:val="225"/>
        </w:trPr>
        <w:tc>
          <w:tcPr>
            <w:tcW w:w="5140" w:type="dxa"/>
            <w:vAlign w:val="bottom"/>
          </w:tcPr>
          <w:p>
            <w:pPr>
              <w:spacing w:after="0"/>
              <w:rPr>
                <w:sz w:val="20"/>
                <w:szCs w:val="20"/>
                <w:color w:val="auto"/>
              </w:rPr>
            </w:pPr>
            <w:r>
              <w:rPr>
                <w:rFonts w:ascii="Arial" w:cs="Arial" w:eastAsia="Arial" w:hAnsi="Arial"/>
                <w:sz w:val="19"/>
                <w:szCs w:val="19"/>
                <w:b w:val="1"/>
                <w:bCs w:val="1"/>
                <w:color w:val="231F20"/>
                <w:w w:val="93"/>
              </w:rPr>
              <w:t>Cash paid for amounts included in the measurement of lease</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9"/>
                <w:szCs w:val="19"/>
                <w:b w:val="1"/>
                <w:bCs w:val="1"/>
                <w:color w:val="231F20"/>
              </w:rPr>
              <w:t>liabilities:</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8"/>
        </w:trPr>
        <w:tc>
          <w:tcPr>
            <w:tcW w:w="5140" w:type="dxa"/>
            <w:vAlign w:val="bottom"/>
          </w:tcPr>
          <w:p>
            <w:pPr>
              <w:ind w:left="200"/>
              <w:spacing w:after="0"/>
              <w:rPr>
                <w:sz w:val="20"/>
                <w:szCs w:val="20"/>
                <w:color w:val="auto"/>
              </w:rPr>
            </w:pPr>
            <w:r>
              <w:rPr>
                <w:rFonts w:ascii="Arial" w:cs="Arial" w:eastAsia="Arial" w:hAnsi="Arial"/>
                <w:sz w:val="19"/>
                <w:szCs w:val="19"/>
                <w:b w:val="1"/>
                <w:bCs w:val="1"/>
                <w:color w:val="231F20"/>
              </w:rPr>
              <w:t>Operating cash flows from operating leases</w:t>
            </w:r>
          </w:p>
        </w:tc>
        <w:tc>
          <w:tcPr>
            <w:tcW w:w="780" w:type="dxa"/>
            <w:vAlign w:val="bottom"/>
            <w:gridSpan w:val="2"/>
          </w:tcPr>
          <w:p>
            <w:pPr>
              <w:jc w:val="right"/>
              <w:ind w:right="220"/>
              <w:spacing w:after="0"/>
              <w:rPr>
                <w:sz w:val="20"/>
                <w:szCs w:val="20"/>
                <w:color w:val="auto"/>
              </w:rPr>
            </w:pPr>
            <w:r>
              <w:rPr>
                <w:rFonts w:ascii="Arial" w:cs="Arial" w:eastAsia="Arial" w:hAnsi="Arial"/>
                <w:sz w:val="19"/>
                <w:szCs w:val="19"/>
                <w:b w:val="1"/>
                <w:bCs w:val="1"/>
                <w:color w:val="231F20"/>
              </w:rPr>
              <w:t>$</w:t>
            </w:r>
          </w:p>
        </w:tc>
        <w:tc>
          <w:tcPr>
            <w:tcW w:w="1100" w:type="dxa"/>
            <w:vAlign w:val="bottom"/>
          </w:tcPr>
          <w:p>
            <w:pPr>
              <w:jc w:val="right"/>
              <w:spacing w:after="0"/>
              <w:rPr>
                <w:sz w:val="20"/>
                <w:szCs w:val="20"/>
                <w:color w:val="auto"/>
              </w:rPr>
            </w:pPr>
            <w:r>
              <w:rPr>
                <w:rFonts w:ascii="Arial" w:cs="Arial" w:eastAsia="Arial" w:hAnsi="Arial"/>
                <w:sz w:val="19"/>
                <w:szCs w:val="19"/>
                <w:b w:val="1"/>
                <w:bCs w:val="1"/>
                <w:color w:val="231F20"/>
              </w:rPr>
              <w:t>1,267</w:t>
            </w:r>
          </w:p>
        </w:tc>
        <w:tc>
          <w:tcPr>
            <w:tcW w:w="380" w:type="dxa"/>
            <w:vAlign w:val="bottom"/>
            <w:gridSpan w:val="2"/>
          </w:tcPr>
          <w:p>
            <w:pPr>
              <w:jc w:val="right"/>
              <w:ind w:right="20"/>
              <w:spacing w:after="0"/>
              <w:rPr>
                <w:sz w:val="20"/>
                <w:szCs w:val="20"/>
                <w:color w:val="auto"/>
              </w:rPr>
            </w:pPr>
            <w:r>
              <w:rPr>
                <w:rFonts w:ascii="Arial" w:cs="Arial" w:eastAsia="Arial" w:hAnsi="Arial"/>
                <w:sz w:val="19"/>
                <w:szCs w:val="19"/>
                <w:b w:val="1"/>
                <w:bCs w:val="1"/>
                <w:color w:val="231F20"/>
              </w:rPr>
              <w:t>$</w:t>
            </w:r>
          </w:p>
        </w:tc>
        <w:tc>
          <w:tcPr>
            <w:tcW w:w="1300" w:type="dxa"/>
            <w:vAlign w:val="bottom"/>
          </w:tcPr>
          <w:p>
            <w:pPr>
              <w:jc w:val="right"/>
              <w:spacing w:after="0"/>
              <w:rPr>
                <w:sz w:val="20"/>
                <w:szCs w:val="20"/>
                <w:color w:val="auto"/>
              </w:rPr>
            </w:pPr>
            <w:r>
              <w:rPr>
                <w:rFonts w:ascii="Arial" w:cs="Arial" w:eastAsia="Arial" w:hAnsi="Arial"/>
                <w:sz w:val="19"/>
                <w:szCs w:val="19"/>
                <w:b w:val="1"/>
                <w:bCs w:val="1"/>
                <w:color w:val="231F20"/>
              </w:rPr>
              <w:t>1,241</w:t>
            </w:r>
          </w:p>
        </w:tc>
        <w:tc>
          <w:tcPr>
            <w:tcW w:w="560" w:type="dxa"/>
            <w:vAlign w:val="bottom"/>
            <w:gridSpan w:val="2"/>
          </w:tcPr>
          <w:p>
            <w:pPr>
              <w:jc w:val="right"/>
              <w:ind w:right="200"/>
              <w:spacing w:after="0"/>
              <w:rPr>
                <w:sz w:val="20"/>
                <w:szCs w:val="20"/>
                <w:color w:val="auto"/>
              </w:rPr>
            </w:pPr>
            <w:r>
              <w:rPr>
                <w:rFonts w:ascii="Arial" w:cs="Arial" w:eastAsia="Arial" w:hAnsi="Arial"/>
                <w:sz w:val="19"/>
                <w:szCs w:val="19"/>
                <w:b w:val="1"/>
                <w:bCs w:val="1"/>
                <w:color w:val="231F20"/>
              </w:rPr>
              <w:t>$</w:t>
            </w:r>
          </w:p>
        </w:tc>
        <w:tc>
          <w:tcPr>
            <w:tcW w:w="1120" w:type="dxa"/>
            <w:vAlign w:val="bottom"/>
          </w:tcPr>
          <w:p>
            <w:pPr>
              <w:jc w:val="right"/>
              <w:spacing w:after="0"/>
              <w:rPr>
                <w:sz w:val="20"/>
                <w:szCs w:val="20"/>
                <w:color w:val="auto"/>
              </w:rPr>
            </w:pPr>
            <w:r>
              <w:rPr>
                <w:rFonts w:ascii="Arial" w:cs="Arial" w:eastAsia="Arial" w:hAnsi="Arial"/>
                <w:sz w:val="19"/>
                <w:szCs w:val="19"/>
                <w:b w:val="1"/>
                <w:bCs w:val="1"/>
                <w:color w:val="231F20"/>
              </w:rPr>
              <w:t>933</w:t>
            </w:r>
          </w:p>
        </w:tc>
      </w:tr>
      <w:tr>
        <w:trPr>
          <w:trHeight w:val="238"/>
        </w:trPr>
        <w:tc>
          <w:tcPr>
            <w:tcW w:w="5140" w:type="dxa"/>
            <w:vAlign w:val="bottom"/>
          </w:tcPr>
          <w:p>
            <w:pPr>
              <w:ind w:left="200"/>
              <w:spacing w:after="0"/>
              <w:rPr>
                <w:sz w:val="20"/>
                <w:szCs w:val="20"/>
                <w:color w:val="auto"/>
              </w:rPr>
            </w:pPr>
            <w:r>
              <w:rPr>
                <w:rFonts w:ascii="Arial" w:cs="Arial" w:eastAsia="Arial" w:hAnsi="Arial"/>
                <w:sz w:val="19"/>
                <w:szCs w:val="19"/>
                <w:b w:val="1"/>
                <w:bCs w:val="1"/>
                <w:color w:val="231F20"/>
              </w:rPr>
              <w:t>Operating cash flows from finance leases</w:t>
            </w:r>
          </w:p>
        </w:tc>
        <w:tc>
          <w:tcPr>
            <w:tcW w:w="780" w:type="dxa"/>
            <w:vAlign w:val="bottom"/>
            <w:gridSpan w:val="2"/>
          </w:tcPr>
          <w:p>
            <w:pPr>
              <w:jc w:val="right"/>
              <w:ind w:right="220"/>
              <w:spacing w:after="0"/>
              <w:rPr>
                <w:sz w:val="20"/>
                <w:szCs w:val="20"/>
                <w:color w:val="auto"/>
              </w:rPr>
            </w:pPr>
            <w:r>
              <w:rPr>
                <w:rFonts w:ascii="Arial" w:cs="Arial" w:eastAsia="Arial" w:hAnsi="Arial"/>
                <w:sz w:val="19"/>
                <w:szCs w:val="19"/>
                <w:b w:val="1"/>
                <w:bCs w:val="1"/>
                <w:color w:val="231F20"/>
              </w:rPr>
              <w:t>$</w:t>
            </w:r>
          </w:p>
        </w:tc>
        <w:tc>
          <w:tcPr>
            <w:tcW w:w="1100" w:type="dxa"/>
            <w:vAlign w:val="bottom"/>
          </w:tcPr>
          <w:p>
            <w:pPr>
              <w:jc w:val="right"/>
              <w:spacing w:after="0"/>
              <w:rPr>
                <w:sz w:val="20"/>
                <w:szCs w:val="20"/>
                <w:color w:val="auto"/>
              </w:rPr>
            </w:pPr>
            <w:r>
              <w:rPr>
                <w:rFonts w:ascii="Arial" w:cs="Arial" w:eastAsia="Arial" w:hAnsi="Arial"/>
                <w:sz w:val="19"/>
                <w:szCs w:val="19"/>
                <w:b w:val="1"/>
                <w:bCs w:val="1"/>
                <w:color w:val="231F20"/>
              </w:rPr>
              <w:t>205</w:t>
            </w:r>
          </w:p>
        </w:tc>
        <w:tc>
          <w:tcPr>
            <w:tcW w:w="380" w:type="dxa"/>
            <w:vAlign w:val="bottom"/>
            <w:gridSpan w:val="2"/>
          </w:tcPr>
          <w:p>
            <w:pPr>
              <w:jc w:val="right"/>
              <w:ind w:right="20"/>
              <w:spacing w:after="0"/>
              <w:rPr>
                <w:sz w:val="20"/>
                <w:szCs w:val="20"/>
                <w:color w:val="auto"/>
              </w:rPr>
            </w:pPr>
            <w:r>
              <w:rPr>
                <w:rFonts w:ascii="Arial" w:cs="Arial" w:eastAsia="Arial" w:hAnsi="Arial"/>
                <w:sz w:val="19"/>
                <w:szCs w:val="19"/>
                <w:b w:val="1"/>
                <w:bCs w:val="1"/>
                <w:color w:val="231F20"/>
              </w:rPr>
              <w:t>$</w:t>
            </w:r>
          </w:p>
        </w:tc>
        <w:tc>
          <w:tcPr>
            <w:tcW w:w="1300" w:type="dxa"/>
            <w:vAlign w:val="bottom"/>
          </w:tcPr>
          <w:p>
            <w:pPr>
              <w:jc w:val="right"/>
              <w:spacing w:after="0"/>
              <w:rPr>
                <w:sz w:val="20"/>
                <w:szCs w:val="20"/>
                <w:color w:val="auto"/>
              </w:rPr>
            </w:pPr>
            <w:r>
              <w:rPr>
                <w:rFonts w:ascii="Arial" w:cs="Arial" w:eastAsia="Arial" w:hAnsi="Arial"/>
                <w:sz w:val="19"/>
                <w:szCs w:val="19"/>
                <w:b w:val="1"/>
                <w:bCs w:val="1"/>
                <w:color w:val="231F20"/>
              </w:rPr>
              <w:t>20</w:t>
            </w:r>
          </w:p>
        </w:tc>
        <w:tc>
          <w:tcPr>
            <w:tcW w:w="560" w:type="dxa"/>
            <w:vAlign w:val="bottom"/>
            <w:gridSpan w:val="2"/>
          </w:tcPr>
          <w:p>
            <w:pPr>
              <w:jc w:val="right"/>
              <w:ind w:right="200"/>
              <w:spacing w:after="0"/>
              <w:rPr>
                <w:sz w:val="20"/>
                <w:szCs w:val="20"/>
                <w:color w:val="auto"/>
              </w:rPr>
            </w:pPr>
            <w:r>
              <w:rPr>
                <w:rFonts w:ascii="Arial" w:cs="Arial" w:eastAsia="Arial" w:hAnsi="Arial"/>
                <w:sz w:val="19"/>
                <w:szCs w:val="19"/>
                <w:b w:val="1"/>
                <w:bCs w:val="1"/>
                <w:color w:val="231F20"/>
              </w:rPr>
              <w:t>$</w:t>
            </w:r>
          </w:p>
        </w:tc>
        <w:tc>
          <w:tcPr>
            <w:tcW w:w="1120" w:type="dxa"/>
            <w:vAlign w:val="bottom"/>
          </w:tcPr>
          <w:p>
            <w:pPr>
              <w:jc w:val="right"/>
              <w:spacing w:after="0"/>
              <w:rPr>
                <w:sz w:val="20"/>
                <w:szCs w:val="20"/>
                <w:color w:val="auto"/>
              </w:rPr>
            </w:pPr>
            <w:r>
              <w:rPr>
                <w:rFonts w:ascii="Arial" w:cs="Arial" w:eastAsia="Arial" w:hAnsi="Arial"/>
                <w:sz w:val="19"/>
                <w:szCs w:val="19"/>
                <w:b w:val="1"/>
                <w:bCs w:val="1"/>
                <w:color w:val="231F20"/>
              </w:rPr>
              <w:t>8</w:t>
            </w:r>
          </w:p>
        </w:tc>
      </w:tr>
      <w:tr>
        <w:trPr>
          <w:trHeight w:val="235"/>
        </w:trPr>
        <w:tc>
          <w:tcPr>
            <w:tcW w:w="5140" w:type="dxa"/>
            <w:vAlign w:val="bottom"/>
          </w:tcPr>
          <w:p>
            <w:pPr>
              <w:ind w:left="200"/>
              <w:spacing w:after="0"/>
              <w:rPr>
                <w:sz w:val="20"/>
                <w:szCs w:val="20"/>
                <w:color w:val="auto"/>
              </w:rPr>
            </w:pPr>
            <w:r>
              <w:rPr>
                <w:rFonts w:ascii="Arial" w:cs="Arial" w:eastAsia="Arial" w:hAnsi="Arial"/>
                <w:sz w:val="19"/>
                <w:szCs w:val="19"/>
                <w:b w:val="1"/>
                <w:bCs w:val="1"/>
                <w:color w:val="231F20"/>
              </w:rPr>
              <w:t>Financing cash flows from finance leases</w:t>
            </w:r>
          </w:p>
        </w:tc>
        <w:tc>
          <w:tcPr>
            <w:tcW w:w="780" w:type="dxa"/>
            <w:vAlign w:val="bottom"/>
            <w:gridSpan w:val="2"/>
          </w:tcPr>
          <w:p>
            <w:pPr>
              <w:jc w:val="right"/>
              <w:ind w:right="220"/>
              <w:spacing w:after="0"/>
              <w:rPr>
                <w:sz w:val="20"/>
                <w:szCs w:val="20"/>
                <w:color w:val="auto"/>
              </w:rPr>
            </w:pPr>
            <w:r>
              <w:rPr>
                <w:rFonts w:ascii="Arial" w:cs="Arial" w:eastAsia="Arial" w:hAnsi="Arial"/>
                <w:sz w:val="19"/>
                <w:szCs w:val="19"/>
                <w:b w:val="1"/>
                <w:bCs w:val="1"/>
                <w:color w:val="231F20"/>
              </w:rPr>
              <w:t>$</w:t>
            </w:r>
          </w:p>
        </w:tc>
        <w:tc>
          <w:tcPr>
            <w:tcW w:w="1100" w:type="dxa"/>
            <w:vAlign w:val="bottom"/>
          </w:tcPr>
          <w:p>
            <w:pPr>
              <w:jc w:val="right"/>
              <w:spacing w:after="0"/>
              <w:rPr>
                <w:sz w:val="20"/>
                <w:szCs w:val="20"/>
                <w:color w:val="auto"/>
              </w:rPr>
            </w:pPr>
            <w:r>
              <w:rPr>
                <w:rFonts w:ascii="Arial" w:cs="Arial" w:eastAsia="Arial" w:hAnsi="Arial"/>
                <w:sz w:val="19"/>
                <w:szCs w:val="19"/>
                <w:b w:val="1"/>
                <w:bCs w:val="1"/>
                <w:color w:val="231F20"/>
              </w:rPr>
              <w:t>827</w:t>
            </w:r>
          </w:p>
        </w:tc>
        <w:tc>
          <w:tcPr>
            <w:tcW w:w="380" w:type="dxa"/>
            <w:vAlign w:val="bottom"/>
            <w:gridSpan w:val="2"/>
          </w:tcPr>
          <w:p>
            <w:pPr>
              <w:jc w:val="right"/>
              <w:ind w:right="20"/>
              <w:spacing w:after="0"/>
              <w:rPr>
                <w:sz w:val="20"/>
                <w:szCs w:val="20"/>
                <w:color w:val="auto"/>
              </w:rPr>
            </w:pPr>
            <w:r>
              <w:rPr>
                <w:rFonts w:ascii="Arial" w:cs="Arial" w:eastAsia="Arial" w:hAnsi="Arial"/>
                <w:sz w:val="19"/>
                <w:szCs w:val="19"/>
                <w:b w:val="1"/>
                <w:bCs w:val="1"/>
                <w:color w:val="231F20"/>
              </w:rPr>
              <w:t>$</w:t>
            </w:r>
          </w:p>
        </w:tc>
        <w:tc>
          <w:tcPr>
            <w:tcW w:w="1300" w:type="dxa"/>
            <w:vAlign w:val="bottom"/>
          </w:tcPr>
          <w:p>
            <w:pPr>
              <w:jc w:val="right"/>
              <w:spacing w:after="0"/>
              <w:rPr>
                <w:sz w:val="20"/>
                <w:szCs w:val="20"/>
                <w:color w:val="auto"/>
              </w:rPr>
            </w:pPr>
            <w:r>
              <w:rPr>
                <w:rFonts w:ascii="Arial" w:cs="Arial" w:eastAsia="Arial" w:hAnsi="Arial"/>
                <w:sz w:val="19"/>
                <w:szCs w:val="19"/>
                <w:b w:val="1"/>
                <w:bCs w:val="1"/>
                <w:color w:val="231F20"/>
              </w:rPr>
              <w:t>388</w:t>
            </w:r>
          </w:p>
        </w:tc>
        <w:tc>
          <w:tcPr>
            <w:tcW w:w="560" w:type="dxa"/>
            <w:vAlign w:val="bottom"/>
            <w:gridSpan w:val="2"/>
          </w:tcPr>
          <w:p>
            <w:pPr>
              <w:jc w:val="right"/>
              <w:ind w:right="200"/>
              <w:spacing w:after="0"/>
              <w:rPr>
                <w:sz w:val="20"/>
                <w:szCs w:val="20"/>
                <w:color w:val="auto"/>
              </w:rPr>
            </w:pPr>
            <w:r>
              <w:rPr>
                <w:rFonts w:ascii="Arial" w:cs="Arial" w:eastAsia="Arial" w:hAnsi="Arial"/>
                <w:sz w:val="19"/>
                <w:szCs w:val="19"/>
                <w:b w:val="1"/>
                <w:bCs w:val="1"/>
                <w:color w:val="231F20"/>
              </w:rPr>
              <w:t>$</w:t>
            </w:r>
          </w:p>
        </w:tc>
        <w:tc>
          <w:tcPr>
            <w:tcW w:w="1120" w:type="dxa"/>
            <w:vAlign w:val="bottom"/>
          </w:tcPr>
          <w:p>
            <w:pPr>
              <w:jc w:val="right"/>
              <w:spacing w:after="0"/>
              <w:rPr>
                <w:sz w:val="20"/>
                <w:szCs w:val="20"/>
                <w:color w:val="auto"/>
              </w:rPr>
            </w:pPr>
            <w:r>
              <w:rPr>
                <w:rFonts w:ascii="Arial" w:cs="Arial" w:eastAsia="Arial" w:hAnsi="Arial"/>
                <w:sz w:val="19"/>
                <w:szCs w:val="19"/>
                <w:b w:val="1"/>
                <w:bCs w:val="1"/>
                <w:color w:val="231F20"/>
              </w:rPr>
              <w:t>388</w:t>
            </w:r>
          </w:p>
        </w:tc>
      </w:tr>
      <w:tr>
        <w:trPr>
          <w:trHeight w:val="238"/>
        </w:trPr>
        <w:tc>
          <w:tcPr>
            <w:tcW w:w="5140" w:type="dxa"/>
            <w:vAlign w:val="bottom"/>
          </w:tcPr>
          <w:p>
            <w:pPr>
              <w:spacing w:after="0"/>
              <w:rPr>
                <w:sz w:val="20"/>
                <w:szCs w:val="20"/>
                <w:color w:val="auto"/>
              </w:rPr>
            </w:pPr>
            <w:r>
              <w:rPr>
                <w:rFonts w:ascii="Arial" w:cs="Arial" w:eastAsia="Arial" w:hAnsi="Arial"/>
                <w:sz w:val="19"/>
                <w:szCs w:val="19"/>
                <w:b w:val="1"/>
                <w:bCs w:val="1"/>
                <w:color w:val="231F20"/>
              </w:rPr>
              <w:t>Right-of-use asset acquired under leases</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5"/>
        </w:trPr>
        <w:tc>
          <w:tcPr>
            <w:tcW w:w="5140" w:type="dxa"/>
            <w:vAlign w:val="bottom"/>
          </w:tcPr>
          <w:p>
            <w:pPr>
              <w:ind w:left="200"/>
              <w:spacing w:after="0"/>
              <w:rPr>
                <w:sz w:val="20"/>
                <w:szCs w:val="20"/>
                <w:color w:val="auto"/>
              </w:rPr>
            </w:pPr>
            <w:r>
              <w:rPr>
                <w:rFonts w:ascii="Arial" w:cs="Arial" w:eastAsia="Arial" w:hAnsi="Arial"/>
                <w:sz w:val="19"/>
                <w:szCs w:val="19"/>
                <w:b w:val="1"/>
                <w:bCs w:val="1"/>
                <w:color w:val="231F20"/>
              </w:rPr>
              <w:t>Operating leases</w:t>
            </w:r>
          </w:p>
        </w:tc>
        <w:tc>
          <w:tcPr>
            <w:tcW w:w="780" w:type="dxa"/>
            <w:vAlign w:val="bottom"/>
            <w:gridSpan w:val="2"/>
          </w:tcPr>
          <w:p>
            <w:pPr>
              <w:jc w:val="right"/>
              <w:ind w:right="220"/>
              <w:spacing w:after="0"/>
              <w:rPr>
                <w:sz w:val="20"/>
                <w:szCs w:val="20"/>
                <w:color w:val="auto"/>
              </w:rPr>
            </w:pPr>
            <w:r>
              <w:rPr>
                <w:rFonts w:ascii="Arial" w:cs="Arial" w:eastAsia="Arial" w:hAnsi="Arial"/>
                <w:sz w:val="19"/>
                <w:szCs w:val="19"/>
                <w:b w:val="1"/>
                <w:bCs w:val="1"/>
                <w:color w:val="231F20"/>
              </w:rPr>
              <w:t>$</w:t>
            </w:r>
          </w:p>
        </w:tc>
        <w:tc>
          <w:tcPr>
            <w:tcW w:w="110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231F20"/>
              </w:rPr>
              <w:t></w:t>
            </w:r>
          </w:p>
        </w:tc>
        <w:tc>
          <w:tcPr>
            <w:tcW w:w="380" w:type="dxa"/>
            <w:vAlign w:val="bottom"/>
            <w:gridSpan w:val="2"/>
          </w:tcPr>
          <w:p>
            <w:pPr>
              <w:jc w:val="right"/>
              <w:ind w:right="20"/>
              <w:spacing w:after="0"/>
              <w:rPr>
                <w:sz w:val="20"/>
                <w:szCs w:val="20"/>
                <w:color w:val="auto"/>
              </w:rPr>
            </w:pPr>
            <w:r>
              <w:rPr>
                <w:rFonts w:ascii="Arial" w:cs="Arial" w:eastAsia="Arial" w:hAnsi="Arial"/>
                <w:sz w:val="19"/>
                <w:szCs w:val="19"/>
                <w:b w:val="1"/>
                <w:bCs w:val="1"/>
                <w:color w:val="231F20"/>
              </w:rPr>
              <w:t>$</w:t>
            </w: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231F20"/>
              </w:rPr>
              <w:t></w:t>
            </w:r>
          </w:p>
        </w:tc>
        <w:tc>
          <w:tcPr>
            <w:tcW w:w="560" w:type="dxa"/>
            <w:vAlign w:val="bottom"/>
            <w:gridSpan w:val="2"/>
          </w:tcPr>
          <w:p>
            <w:pPr>
              <w:jc w:val="right"/>
              <w:ind w:right="200"/>
              <w:spacing w:after="0"/>
              <w:rPr>
                <w:sz w:val="20"/>
                <w:szCs w:val="20"/>
                <w:color w:val="auto"/>
              </w:rPr>
            </w:pPr>
            <w:r>
              <w:rPr>
                <w:rFonts w:ascii="Arial" w:cs="Arial" w:eastAsia="Arial" w:hAnsi="Arial"/>
                <w:sz w:val="19"/>
                <w:szCs w:val="19"/>
                <w:b w:val="1"/>
                <w:bCs w:val="1"/>
                <w:color w:val="231F20"/>
              </w:rPr>
              <w:t>$</w:t>
            </w:r>
          </w:p>
        </w:tc>
        <w:tc>
          <w:tcPr>
            <w:tcW w:w="1120" w:type="dxa"/>
            <w:vAlign w:val="bottom"/>
          </w:tcPr>
          <w:p>
            <w:pPr>
              <w:jc w:val="right"/>
              <w:spacing w:after="0"/>
              <w:rPr>
                <w:sz w:val="20"/>
                <w:szCs w:val="20"/>
                <w:color w:val="auto"/>
              </w:rPr>
            </w:pPr>
            <w:r>
              <w:rPr>
                <w:rFonts w:ascii="Arial" w:cs="Arial" w:eastAsia="Arial" w:hAnsi="Arial"/>
                <w:sz w:val="19"/>
                <w:szCs w:val="19"/>
                <w:b w:val="1"/>
                <w:bCs w:val="1"/>
                <w:color w:val="231F20"/>
              </w:rPr>
              <w:t>4,613</w:t>
            </w:r>
          </w:p>
        </w:tc>
      </w:tr>
      <w:tr>
        <w:trPr>
          <w:trHeight w:val="238"/>
        </w:trPr>
        <w:tc>
          <w:tcPr>
            <w:tcW w:w="5140" w:type="dxa"/>
            <w:vAlign w:val="bottom"/>
          </w:tcPr>
          <w:p>
            <w:pPr>
              <w:ind w:left="200"/>
              <w:spacing w:after="0"/>
              <w:rPr>
                <w:sz w:val="20"/>
                <w:szCs w:val="20"/>
                <w:color w:val="auto"/>
              </w:rPr>
            </w:pPr>
            <w:r>
              <w:rPr>
                <w:rFonts w:ascii="Arial" w:cs="Arial" w:eastAsia="Arial" w:hAnsi="Arial"/>
                <w:sz w:val="19"/>
                <w:szCs w:val="19"/>
                <w:b w:val="1"/>
                <w:bCs w:val="1"/>
                <w:color w:val="231F20"/>
              </w:rPr>
              <w:t>Finance leases</w:t>
            </w:r>
          </w:p>
        </w:tc>
        <w:tc>
          <w:tcPr>
            <w:tcW w:w="780" w:type="dxa"/>
            <w:vAlign w:val="bottom"/>
            <w:gridSpan w:val="2"/>
          </w:tcPr>
          <w:p>
            <w:pPr>
              <w:jc w:val="right"/>
              <w:ind w:right="220"/>
              <w:spacing w:after="0"/>
              <w:rPr>
                <w:sz w:val="20"/>
                <w:szCs w:val="20"/>
                <w:color w:val="auto"/>
              </w:rPr>
            </w:pPr>
            <w:r>
              <w:rPr>
                <w:rFonts w:ascii="Arial" w:cs="Arial" w:eastAsia="Arial" w:hAnsi="Arial"/>
                <w:sz w:val="19"/>
                <w:szCs w:val="19"/>
                <w:b w:val="1"/>
                <w:bCs w:val="1"/>
                <w:color w:val="231F20"/>
              </w:rPr>
              <w:t>$</w:t>
            </w:r>
          </w:p>
        </w:tc>
        <w:tc>
          <w:tcPr>
            <w:tcW w:w="1100" w:type="dxa"/>
            <w:vAlign w:val="bottom"/>
          </w:tcPr>
          <w:p>
            <w:pPr>
              <w:jc w:val="right"/>
              <w:spacing w:after="0"/>
              <w:rPr>
                <w:sz w:val="20"/>
                <w:szCs w:val="20"/>
                <w:color w:val="auto"/>
              </w:rPr>
            </w:pPr>
            <w:r>
              <w:rPr>
                <w:rFonts w:ascii="Arial" w:cs="Arial" w:eastAsia="Arial" w:hAnsi="Arial"/>
                <w:sz w:val="19"/>
                <w:szCs w:val="19"/>
                <w:b w:val="1"/>
                <w:bCs w:val="1"/>
                <w:color w:val="231F20"/>
              </w:rPr>
              <w:t>1,309</w:t>
            </w:r>
          </w:p>
        </w:tc>
        <w:tc>
          <w:tcPr>
            <w:tcW w:w="380" w:type="dxa"/>
            <w:vAlign w:val="bottom"/>
            <w:gridSpan w:val="2"/>
          </w:tcPr>
          <w:p>
            <w:pPr>
              <w:jc w:val="right"/>
              <w:ind w:right="20"/>
              <w:spacing w:after="0"/>
              <w:rPr>
                <w:sz w:val="20"/>
                <w:szCs w:val="20"/>
                <w:color w:val="auto"/>
              </w:rPr>
            </w:pPr>
            <w:r>
              <w:rPr>
                <w:rFonts w:ascii="Arial" w:cs="Arial" w:eastAsia="Arial" w:hAnsi="Arial"/>
                <w:sz w:val="19"/>
                <w:szCs w:val="19"/>
                <w:b w:val="1"/>
                <w:bCs w:val="1"/>
                <w:color w:val="231F20"/>
              </w:rPr>
              <w:t>$</w:t>
            </w:r>
          </w:p>
        </w:tc>
        <w:tc>
          <w:tcPr>
            <w:tcW w:w="1300" w:type="dxa"/>
            <w:vAlign w:val="bottom"/>
          </w:tcPr>
          <w:p>
            <w:pPr>
              <w:jc w:val="right"/>
              <w:spacing w:after="0"/>
              <w:rPr>
                <w:sz w:val="20"/>
                <w:szCs w:val="20"/>
                <w:color w:val="auto"/>
              </w:rPr>
            </w:pPr>
            <w:r>
              <w:rPr>
                <w:rFonts w:ascii="Arial" w:cs="Arial" w:eastAsia="Arial" w:hAnsi="Arial"/>
                <w:sz w:val="19"/>
                <w:szCs w:val="19"/>
                <w:b w:val="1"/>
                <w:bCs w:val="1"/>
                <w:color w:val="231F20"/>
              </w:rPr>
              <w:t>2,600</w:t>
            </w:r>
          </w:p>
        </w:tc>
        <w:tc>
          <w:tcPr>
            <w:tcW w:w="560" w:type="dxa"/>
            <w:vAlign w:val="bottom"/>
            <w:gridSpan w:val="2"/>
          </w:tcPr>
          <w:p>
            <w:pPr>
              <w:jc w:val="right"/>
              <w:ind w:right="200"/>
              <w:spacing w:after="0"/>
              <w:rPr>
                <w:sz w:val="20"/>
                <w:szCs w:val="20"/>
                <w:color w:val="auto"/>
              </w:rPr>
            </w:pPr>
            <w:r>
              <w:rPr>
                <w:rFonts w:ascii="Arial" w:cs="Arial" w:eastAsia="Arial" w:hAnsi="Arial"/>
                <w:sz w:val="19"/>
                <w:szCs w:val="19"/>
                <w:b w:val="1"/>
                <w:bCs w:val="1"/>
                <w:color w:val="231F20"/>
              </w:rPr>
              <w:t>$</w:t>
            </w:r>
          </w:p>
        </w:tc>
        <w:tc>
          <w:tcPr>
            <w:tcW w:w="112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231F20"/>
              </w:rPr>
              <w:t></w:t>
            </w:r>
          </w:p>
        </w:tc>
      </w:tr>
    </w:tbl>
    <w:p>
      <w:pPr>
        <w:spacing w:after="0" w:line="38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(6) TERM LOAN</w:t>
      </w:r>
    </w:p>
    <w:p>
      <w:pPr>
        <w:spacing w:after="0" w:line="200" w:lineRule="exact"/>
        <w:rPr>
          <w:sz w:val="20"/>
          <w:szCs w:val="20"/>
          <w:color w:val="auto"/>
        </w:rPr>
      </w:pPr>
    </w:p>
    <w:p>
      <w:pPr>
        <w:spacing w:after="0" w:line="261"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Oxford Finance and Silicon Valley Bank Loan</w:t>
      </w:r>
    </w:p>
    <w:p>
      <w:pPr>
        <w:spacing w:after="0" w:line="125" w:lineRule="exact"/>
        <w:rPr>
          <w:sz w:val="20"/>
          <w:szCs w:val="20"/>
          <w:color w:val="auto"/>
        </w:rPr>
      </w:pPr>
    </w:p>
    <w:p>
      <w:pPr>
        <w:ind w:right="40" w:firstLine="478"/>
        <w:spacing w:after="0" w:line="222" w:lineRule="exact"/>
        <w:rPr>
          <w:sz w:val="20"/>
          <w:szCs w:val="20"/>
          <w:color w:val="auto"/>
        </w:rPr>
      </w:pPr>
      <w:r>
        <w:rPr>
          <w:rFonts w:ascii="Arial" w:cs="Arial" w:eastAsia="Arial" w:hAnsi="Arial"/>
          <w:sz w:val="16"/>
          <w:szCs w:val="16"/>
          <w:b w:val="1"/>
          <w:bCs w:val="1"/>
          <w:color w:val="231F20"/>
        </w:rPr>
        <w:t>In October 2022, the Company entered into a loan and security agreement, or the Loan Agreement, with Oxford Finance LLC, Oxford Finance Credit Fund II LP, and Silicon Valley Bank, or Lenders, for a secured term loan facility of up to $100.0 million. Pursuant to the Loan Agreement, the Company drew an initial loan of $10.0 million. Under the original terms of the Loan Agreement, the Company had the right to draw an additional $40.0 million through the end of December 2023. The Loan Agreement provides for an additional $50.0 million over three tranches, with $12.5 million available in each of two tranches based upon the achievement of milestones related to the development of evorpacept and one preclinical product candidate, and $25.0 million at the Lenders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sole discretion. The proceeds of the loans may be used by the Company for working capital and to fund its general business requirements.</w:t>
      </w:r>
    </w:p>
    <w:p>
      <w:pPr>
        <w:spacing w:after="0" w:line="126" w:lineRule="exact"/>
        <w:rPr>
          <w:sz w:val="20"/>
          <w:szCs w:val="20"/>
          <w:color w:val="auto"/>
        </w:rPr>
      </w:pPr>
    </w:p>
    <w:p>
      <w:pPr>
        <w:ind w:right="120" w:firstLine="475"/>
        <w:spacing w:after="0" w:line="244" w:lineRule="auto"/>
        <w:rPr>
          <w:sz w:val="20"/>
          <w:szCs w:val="20"/>
          <w:color w:val="auto"/>
        </w:rPr>
      </w:pPr>
      <w:r>
        <w:rPr>
          <w:rFonts w:ascii="Arial" w:cs="Arial" w:eastAsia="Arial" w:hAnsi="Arial"/>
          <w:sz w:val="19"/>
          <w:szCs w:val="19"/>
          <w:b w:val="1"/>
          <w:bCs w:val="1"/>
          <w:color w:val="231F20"/>
        </w:rPr>
        <w:t>Borrowings under the Loan Agreement bear interest at a floating rate per annum equal to the greater of (i) 1-month term Secured Overnight Financing Rate, or SOFR, and (ii) 2.33%, plus 6.25%. The minimum per annum interest rate is 8.58%. Interest on the term loans is payable monthly in arrears. The Company will begin to make principal payments in equal monthly installments beginning on December 1, 2025. However, if either of the milestone related tranche term loans are funded, then the Company will begin to make principal payments in equal monthly installments beginning on December 1, 2026. The term loans mature on October 1, 2027.</w:t>
      </w:r>
    </w:p>
    <w:p>
      <w:pPr>
        <w:spacing w:after="0" w:line="122" w:lineRule="exact"/>
        <w:rPr>
          <w:sz w:val="20"/>
          <w:szCs w:val="20"/>
          <w:color w:val="auto"/>
        </w:rPr>
      </w:pPr>
    </w:p>
    <w:p>
      <w:pPr>
        <w:ind w:right="140" w:firstLine="475"/>
        <w:spacing w:after="0" w:line="279" w:lineRule="auto"/>
        <w:rPr>
          <w:sz w:val="20"/>
          <w:szCs w:val="20"/>
          <w:color w:val="auto"/>
        </w:rPr>
      </w:pPr>
      <w:r>
        <w:rPr>
          <w:rFonts w:ascii="Arial" w:cs="Arial" w:eastAsia="Arial" w:hAnsi="Arial"/>
          <w:sz w:val="17"/>
          <w:szCs w:val="17"/>
          <w:b w:val="1"/>
          <w:bCs w:val="1"/>
          <w:color w:val="231F20"/>
        </w:rPr>
        <w:t>The term loans may be prepaid in full or in part, in increments of $10.0 million, with various prepayment premiums. Upon the earlier prepayment or maturity of any term loan, the Company is required to pay a final payment fee of 6.0% of the original principal amount of such funded term loan. The final payment will be accreted to the final payment amount as interest expense using the effective interest method over the term of the loan through maturity date. The term loans once repaid or prepaid may not be reborrowed. The Company is also obligated to pay other customary fees for a loan facility of this size and type.</w:t>
      </w:r>
    </w:p>
    <w:p>
      <w:pPr>
        <w:sectPr>
          <w:pgSz w:w="12240" w:h="15840" w:orient="portrait"/>
          <w:cols w:equalWidth="0" w:num="1">
            <w:col w:w="10460"/>
          </w:cols>
          <w:pgMar w:left="880" w:top="1165" w:right="900" w:bottom="401" w:gutter="0" w:footer="0" w:header="0"/>
        </w:sect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31F20"/>
        </w:rPr>
        <w:t>109</w:t>
      </w:r>
    </w:p>
    <w:p>
      <w:pPr>
        <w:sectPr>
          <w:pgSz w:w="12240" w:h="15840" w:orient="portrait"/>
          <w:cols w:equalWidth="0" w:num="1">
            <w:col w:w="10460"/>
          </w:cols>
          <w:pgMar w:left="880" w:top="1165" w:right="900" w:bottom="401" w:gutter="0" w:footer="0" w:header="0"/>
          <w:type w:val="continuous"/>
        </w:sectPr>
      </w:pPr>
    </w:p>
    <w:bookmarkStart w:id="117" w:name="page118"/>
    <w:bookmarkEnd w:id="117"/>
    <w:p>
      <w:pPr>
        <w:ind w:firstLine="475"/>
        <w:spacing w:after="0" w:line="222" w:lineRule="exact"/>
        <w:rPr>
          <w:sz w:val="20"/>
          <w:szCs w:val="20"/>
          <w:color w:val="auto"/>
        </w:rPr>
      </w:pPr>
      <w:r>
        <w:rPr>
          <w:rFonts w:ascii="Arial" w:cs="Arial" w:eastAsia="Arial" w:hAnsi="Arial"/>
          <w:sz w:val="17"/>
          <w:szCs w:val="17"/>
          <w:b w:val="1"/>
          <w:bCs w:val="1"/>
          <w:color w:val="231F20"/>
        </w:rPr>
        <w:t>The term loans under the Loan Agreement are secured by substantially all of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assets, except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intellectual property, which is the subject of a negative pledge, and will be guaranteed by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future subsidiaries, subject to certain limitations. Upon the outstanding balance of the term loans reaching $75.0 million or greater,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intellectual property will become collateral. The Company and its subsidiary, ALX Oncology Limited, have guaranteed the obligations under the Loan Agreement. The Loan Agreement contains customary affirmative and negative covenants, including covenants limiting the ability of the Company to, among other things, dispose of assets, effect certain mergers, incur debt, grant liens, pay dividends and distributions on its capital stock, make investments and acquisitions, and enter into transactions with affiliates, in each case subject to customary exceptions for a loan facility of this size and type.</w:t>
      </w:r>
    </w:p>
    <w:p>
      <w:pPr>
        <w:spacing w:after="0" w:line="128" w:lineRule="exact"/>
        <w:rPr>
          <w:sz w:val="20"/>
          <w:szCs w:val="20"/>
          <w:color w:val="auto"/>
        </w:rPr>
      </w:pPr>
    </w:p>
    <w:p>
      <w:pPr>
        <w:ind w:right="120" w:firstLine="475"/>
        <w:spacing w:after="0" w:line="221" w:lineRule="exact"/>
        <w:rPr>
          <w:sz w:val="20"/>
          <w:szCs w:val="20"/>
          <w:color w:val="auto"/>
        </w:rPr>
      </w:pPr>
      <w:r>
        <w:rPr>
          <w:rFonts w:ascii="Arial" w:cs="Arial" w:eastAsia="Arial" w:hAnsi="Arial"/>
          <w:sz w:val="17"/>
          <w:szCs w:val="17"/>
          <w:b w:val="1"/>
          <w:bCs w:val="1"/>
          <w:color w:val="231F20"/>
        </w:rPr>
        <w:t>The Loan Agreement contains customary events of default, which include, but are not limited to payment defaults, material misrepresentations, breaches of covenants, cross defaults with certain other material indebtedness, bankruptcy and insolvency events, and judgment defaults. The occurrence of an event of default could result in the acceleration of our obligations under the Loan Agreement, the termination of the Lenders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commitments, a 5.0% increase in the applicable rate of interest and the exercise by the Lender of other rights and remedies provided for under the Loan Agreement.</w:t>
      </w:r>
    </w:p>
    <w:p>
      <w:pPr>
        <w:spacing w:after="0" w:line="128" w:lineRule="exact"/>
        <w:rPr>
          <w:sz w:val="20"/>
          <w:szCs w:val="20"/>
          <w:color w:val="auto"/>
        </w:rPr>
      </w:pPr>
    </w:p>
    <w:p>
      <w:pPr>
        <w:ind w:right="100" w:firstLine="475"/>
        <w:spacing w:after="0" w:line="279" w:lineRule="auto"/>
        <w:rPr>
          <w:sz w:val="20"/>
          <w:szCs w:val="20"/>
          <w:color w:val="auto"/>
        </w:rPr>
      </w:pPr>
      <w:r>
        <w:rPr>
          <w:rFonts w:ascii="Arial" w:cs="Arial" w:eastAsia="Arial" w:hAnsi="Arial"/>
          <w:sz w:val="17"/>
          <w:szCs w:val="17"/>
          <w:b w:val="1"/>
          <w:bCs w:val="1"/>
          <w:color w:val="231F20"/>
        </w:rPr>
        <w:t>The Company received net proceeds from issuance of the term loan of $9.3 million after deducting debt issuance costs of approximately $0.7 million. Debt issuance costs were recorded as debt discount on the term loan, offsetting term loan, non-current on the consolidated balance sheets. The debt discount will be amortized over the term of the loan as interest expense using the effective interest method. During the years ended December 31, 2024, 2023 and 2022, interest expense incurred in connection with the Loan Agreement was $1.2 million, $1.1 million, and $0.2 million, respectively.</w:t>
      </w:r>
    </w:p>
    <w:p>
      <w:pPr>
        <w:spacing w:after="0" w:line="95" w:lineRule="exact"/>
        <w:rPr>
          <w:sz w:val="20"/>
          <w:szCs w:val="20"/>
          <w:color w:val="auto"/>
        </w:rPr>
      </w:pPr>
    </w:p>
    <w:p>
      <w:pPr>
        <w:ind w:right="40" w:firstLine="475"/>
        <w:spacing w:after="0" w:line="279" w:lineRule="auto"/>
        <w:rPr>
          <w:sz w:val="20"/>
          <w:szCs w:val="20"/>
          <w:color w:val="auto"/>
        </w:rPr>
      </w:pPr>
      <w:r>
        <w:rPr>
          <w:rFonts w:ascii="Arial" w:cs="Arial" w:eastAsia="Arial" w:hAnsi="Arial"/>
          <w:sz w:val="17"/>
          <w:szCs w:val="17"/>
          <w:b w:val="1"/>
          <w:bCs w:val="1"/>
          <w:color w:val="231F20"/>
        </w:rPr>
        <w:t>The Company determined that certain loan features were embedded derivatives requiring bifurcation and separate accounting. Those embedded derivatives were bundled together as a single, compound embedded derivative and then bifurcated and accounted for separately from the host contract. As of December 31, 2024, the value of the embedded derivative is not material, but could become material in future periods if an event of default became more probable than is currently estimated. As of December 31, 2024, we were in compliance with all financial reporting covenants under the Loan Agreement.</w:t>
      </w:r>
    </w:p>
    <w:p>
      <w:pPr>
        <w:spacing w:after="0" w:line="95" w:lineRule="exact"/>
        <w:rPr>
          <w:sz w:val="20"/>
          <w:szCs w:val="20"/>
          <w:color w:val="auto"/>
        </w:rPr>
      </w:pPr>
    </w:p>
    <w:p>
      <w:pPr>
        <w:ind w:right="40" w:firstLine="475"/>
        <w:spacing w:after="0" w:line="222" w:lineRule="exact"/>
        <w:rPr>
          <w:sz w:val="20"/>
          <w:szCs w:val="20"/>
          <w:color w:val="auto"/>
        </w:rPr>
      </w:pPr>
      <w:r>
        <w:rPr>
          <w:rFonts w:ascii="Arial" w:cs="Arial" w:eastAsia="Arial" w:hAnsi="Arial"/>
          <w:sz w:val="18"/>
          <w:szCs w:val="18"/>
          <w:b w:val="1"/>
          <w:bCs w:val="1"/>
          <w:color w:val="231F20"/>
        </w:rPr>
        <w:t>In March 2023, Silicon Valley Bank (SVB) was closed by the California Department of Financial Protection and Innovation, which appointed the Federal Deposit Insurance Corporation, or FDIC, to act as receiver. The FDIC created Silicon Valley Bridge Bank, N.A., or SVBB, as successor to SVB. First Citizens BancShares, Inc., or First Citizens Bank, acquired SVBB from the FDIC and operates SVBB as Silicon Valley Bank, a division of First Citizens Bank, or SVB-First Citizens. Under the Loan Agreement, 50% of the funding comes from SVB, one of the three Lenders. Given the SVBB acquisition by First Citizens Bank, SVB-First Citizens will continue to fulfill SVB</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obligations under the Loan Agreement.</w:t>
      </w:r>
    </w:p>
    <w:p>
      <w:pPr>
        <w:spacing w:after="0" w:line="128" w:lineRule="exact"/>
        <w:rPr>
          <w:sz w:val="20"/>
          <w:szCs w:val="20"/>
          <w:color w:val="auto"/>
        </w:rPr>
      </w:pPr>
    </w:p>
    <w:p>
      <w:pPr>
        <w:ind w:right="80" w:firstLine="475"/>
        <w:spacing w:after="0" w:line="242" w:lineRule="auto"/>
        <w:rPr>
          <w:sz w:val="20"/>
          <w:szCs w:val="20"/>
          <w:color w:val="auto"/>
        </w:rPr>
      </w:pPr>
      <w:r>
        <w:rPr>
          <w:rFonts w:ascii="Arial" w:cs="Arial" w:eastAsia="Arial" w:hAnsi="Arial"/>
          <w:sz w:val="19"/>
          <w:szCs w:val="19"/>
          <w:b w:val="1"/>
          <w:bCs w:val="1"/>
          <w:color w:val="231F20"/>
        </w:rPr>
        <w:t>In May 2023, we entered into a second amendment to the Loan Agreement. The primary purpose of the second amendment was to reduce the percentage of the amount required to be held in our collateral account with SVB-First Citizens from 100% to not less than 50% of the aggregate dollar value of all our collateral accounts.</w:t>
      </w:r>
    </w:p>
    <w:p>
      <w:pPr>
        <w:spacing w:after="0" w:line="126" w:lineRule="exact"/>
        <w:rPr>
          <w:sz w:val="20"/>
          <w:szCs w:val="20"/>
          <w:color w:val="auto"/>
        </w:rPr>
      </w:pPr>
    </w:p>
    <w:p>
      <w:pPr>
        <w:ind w:right="40" w:firstLine="475"/>
        <w:spacing w:after="0" w:line="298" w:lineRule="auto"/>
        <w:rPr>
          <w:sz w:val="20"/>
          <w:szCs w:val="20"/>
          <w:color w:val="auto"/>
        </w:rPr>
      </w:pPr>
      <w:r>
        <w:rPr>
          <w:rFonts w:ascii="Arial" w:cs="Arial" w:eastAsia="Arial" w:hAnsi="Arial"/>
          <w:sz w:val="16"/>
          <w:szCs w:val="16"/>
          <w:b w:val="1"/>
          <w:bCs w:val="1"/>
          <w:color w:val="231F20"/>
        </w:rPr>
        <w:t>In December 2023, we entered into a third amendment to the Loan Agreement. The primary purpose of the third amendment was to (i) extend the draw period for the first tranche loans from December 31, 2023 to June 30, 2024, (ii) add as a condition for the funding of any first tranche loans after the effective date of the amendment, the requirement that the Phase 2 portion of the ASPEN-06 study in gastric/GEJ cancer either remains ongoing or the achievement of a milestone related to the development of the ASPEN-06 study, and (iii) add a contingency fee in the amount of $0.6 million to the Lenders if the Company prepays any of the loans under the Loan Agreement other than in connection with refinancing of the Loan Agreement with the Lenders and their affiliates.</w:t>
      </w:r>
    </w:p>
    <w:p>
      <w:pPr>
        <w:spacing w:after="0" w:line="84" w:lineRule="exact"/>
        <w:rPr>
          <w:sz w:val="20"/>
          <w:szCs w:val="20"/>
          <w:color w:val="auto"/>
        </w:rPr>
      </w:pPr>
    </w:p>
    <w:p>
      <w:pPr>
        <w:ind w:right="80" w:firstLine="475"/>
        <w:spacing w:after="0" w:line="221" w:lineRule="exact"/>
        <w:rPr>
          <w:sz w:val="20"/>
          <w:szCs w:val="20"/>
          <w:color w:val="auto"/>
        </w:rPr>
      </w:pPr>
      <w:r>
        <w:rPr>
          <w:rFonts w:ascii="Arial" w:cs="Arial" w:eastAsia="Arial" w:hAnsi="Arial"/>
          <w:sz w:val="17"/>
          <w:szCs w:val="17"/>
          <w:b w:val="1"/>
          <w:bCs w:val="1"/>
          <w:color w:val="231F20"/>
        </w:rPr>
        <w:t>The Company decided not to draw down on any portion of the $40.0 million available under the Loan Agreement by the deadline of June 30, 2024 and did not achieve all of the requirements needed to gain access to each of the two tranches available upon the achievement of pre-determined development milestones by the deadline of December 31, 2024. As a result, only the $25.0 million tranche available at the Lenders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sole discretion was available as of December 31, 2024.</w:t>
      </w:r>
    </w:p>
    <w:p>
      <w:pPr>
        <w:sectPr>
          <w:pgSz w:w="12240" w:h="15840" w:orient="portrait"/>
          <w:cols w:equalWidth="0" w:num="1">
            <w:col w:w="10480"/>
          </w:cols>
          <w:pgMar w:left="880" w:top="1165" w:right="880" w:bottom="4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31F20"/>
        </w:rPr>
        <w:t>110</w:t>
      </w:r>
    </w:p>
    <w:p>
      <w:pPr>
        <w:sectPr>
          <w:pgSz w:w="12240" w:h="15840" w:orient="portrait"/>
          <w:cols w:equalWidth="0" w:num="1">
            <w:col w:w="10480"/>
          </w:cols>
          <w:pgMar w:left="880" w:top="1165" w:right="880" w:bottom="401" w:gutter="0" w:footer="0" w:header="0"/>
          <w:type w:val="continuous"/>
        </w:sectPr>
      </w:pPr>
    </w:p>
    <w:bookmarkStart w:id="118" w:name="page119"/>
    <w:bookmarkEnd w:id="118"/>
    <w:p>
      <w:pPr>
        <w:ind w:left="480"/>
        <w:spacing w:after="0"/>
        <w:rPr>
          <w:sz w:val="20"/>
          <w:szCs w:val="20"/>
          <w:color w:val="auto"/>
        </w:rPr>
      </w:pPr>
      <w:r>
        <w:rPr>
          <w:rFonts w:ascii="Arial" w:cs="Arial" w:eastAsia="Arial" w:hAnsi="Arial"/>
          <w:sz w:val="19"/>
          <w:szCs w:val="19"/>
          <w:b w:val="1"/>
          <w:bCs w:val="1"/>
          <w:color w:val="231F20"/>
        </w:rPr>
        <w:t>As of December 31, 2024, the future maturities under the Loan Agreement are as follows (in thousands):</w:t>
      </w:r>
    </w:p>
    <w:p>
      <w:pPr>
        <w:spacing w:after="0" w:line="228" w:lineRule="exact"/>
        <w:rPr>
          <w:sz w:val="20"/>
          <w:szCs w:val="20"/>
          <w:color w:val="auto"/>
        </w:rPr>
      </w:pPr>
    </w:p>
    <w:tbl>
      <w:tblPr>
        <w:tblLayout w:type="fixed"/>
        <w:tblInd w:w="2000" w:type="dxa"/>
        <w:tblCellMar>
          <w:top w:w="0" w:type="dxa"/>
          <w:left w:w="0" w:type="dxa"/>
          <w:bottom w:w="0" w:type="dxa"/>
          <w:right w:w="0" w:type="dxa"/>
        </w:tblCellMar>
      </w:tblPr>
      <w:tr>
        <w:trPr>
          <w:trHeight w:val="219"/>
        </w:trPr>
        <w:tc>
          <w:tcPr>
            <w:tcW w:w="4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9"/>
                <w:szCs w:val="19"/>
                <w:b w:val="1"/>
                <w:bCs w:val="1"/>
                <w:color w:val="231F20"/>
                <w:w w:val="95"/>
              </w:rPr>
              <w:t>December 31, 2024</w:t>
            </w:r>
          </w:p>
        </w:tc>
      </w:tr>
      <w:tr>
        <w:trPr>
          <w:trHeight w:val="212"/>
        </w:trPr>
        <w:tc>
          <w:tcPr>
            <w:tcW w:w="4280" w:type="dxa"/>
            <w:vAlign w:val="bottom"/>
          </w:tcPr>
          <w:p>
            <w:pPr>
              <w:spacing w:after="0" w:line="212" w:lineRule="exact"/>
              <w:rPr>
                <w:sz w:val="20"/>
                <w:szCs w:val="20"/>
                <w:color w:val="auto"/>
              </w:rPr>
            </w:pPr>
            <w:r>
              <w:rPr>
                <w:rFonts w:ascii="Arial" w:cs="Arial" w:eastAsia="Arial" w:hAnsi="Arial"/>
                <w:sz w:val="19"/>
                <w:szCs w:val="19"/>
                <w:b w:val="1"/>
                <w:bCs w:val="1"/>
                <w:color w:val="231F20"/>
              </w:rPr>
              <w:t>2025</w:t>
            </w:r>
          </w:p>
        </w:tc>
        <w:tc>
          <w:tcPr>
            <w:tcW w:w="200" w:type="dxa"/>
            <w:vAlign w:val="bottom"/>
            <w:tcBorders>
              <w:top w:val="single" w:sz="8" w:color="231F20"/>
            </w:tcBorders>
          </w:tcPr>
          <w:p>
            <w:pPr>
              <w:jc w:val="right"/>
              <w:ind w:right="3"/>
              <w:spacing w:after="0" w:line="212" w:lineRule="exact"/>
              <w:rPr>
                <w:sz w:val="20"/>
                <w:szCs w:val="20"/>
                <w:color w:val="auto"/>
              </w:rPr>
            </w:pPr>
            <w:r>
              <w:rPr>
                <w:rFonts w:ascii="Arial" w:cs="Arial" w:eastAsia="Arial" w:hAnsi="Arial"/>
                <w:sz w:val="19"/>
                <w:szCs w:val="19"/>
                <w:b w:val="1"/>
                <w:bCs w:val="1"/>
                <w:color w:val="231F20"/>
                <w:w w:val="75"/>
              </w:rPr>
              <w:t>$</w:t>
            </w:r>
          </w:p>
        </w:tc>
        <w:tc>
          <w:tcPr>
            <w:tcW w:w="1940" w:type="dxa"/>
            <w:vAlign w:val="bottom"/>
            <w:tcBorders>
              <w:top w:val="single" w:sz="8" w:color="231F20"/>
            </w:tcBorders>
          </w:tcPr>
          <w:p>
            <w:pPr>
              <w:jc w:val="right"/>
              <w:spacing w:after="0" w:line="212" w:lineRule="exact"/>
              <w:rPr>
                <w:sz w:val="20"/>
                <w:szCs w:val="20"/>
                <w:color w:val="auto"/>
              </w:rPr>
            </w:pPr>
            <w:r>
              <w:rPr>
                <w:rFonts w:ascii="Arial" w:cs="Arial" w:eastAsia="Arial" w:hAnsi="Arial"/>
                <w:sz w:val="19"/>
                <w:szCs w:val="19"/>
                <w:b w:val="1"/>
                <w:bCs w:val="1"/>
                <w:color w:val="231F20"/>
              </w:rPr>
              <w:t>435</w:t>
            </w:r>
          </w:p>
        </w:tc>
        <w:tc>
          <w:tcPr>
            <w:tcW w:w="60" w:type="dxa"/>
            <w:vAlign w:val="bottom"/>
          </w:tcPr>
          <w:p>
            <w:pPr>
              <w:spacing w:after="0"/>
              <w:rPr>
                <w:sz w:val="18"/>
                <w:szCs w:val="18"/>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9"/>
                <w:szCs w:val="19"/>
                <w:b w:val="1"/>
                <w:bCs w:val="1"/>
                <w:color w:val="231F20"/>
              </w:rPr>
              <w:t>2026</w:t>
            </w:r>
          </w:p>
        </w:tc>
        <w:tc>
          <w:tcPr>
            <w:tcW w:w="2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9"/>
                <w:szCs w:val="19"/>
                <w:b w:val="1"/>
                <w:bCs w:val="1"/>
                <w:color w:val="231F20"/>
              </w:rPr>
              <w:t>5,217</w:t>
            </w:r>
          </w:p>
        </w:tc>
        <w:tc>
          <w:tcPr>
            <w:tcW w:w="60" w:type="dxa"/>
            <w:vAlign w:val="bottom"/>
          </w:tcPr>
          <w:p>
            <w:pPr>
              <w:spacing w:after="0"/>
              <w:rPr>
                <w:sz w:val="19"/>
                <w:szCs w:val="19"/>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9"/>
                <w:szCs w:val="19"/>
                <w:b w:val="1"/>
                <w:bCs w:val="1"/>
                <w:color w:val="231F20"/>
              </w:rPr>
              <w:t>2027</w:t>
            </w:r>
          </w:p>
        </w:tc>
        <w:tc>
          <w:tcPr>
            <w:tcW w:w="2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9"/>
                <w:szCs w:val="19"/>
                <w:b w:val="1"/>
                <w:bCs w:val="1"/>
                <w:color w:val="231F20"/>
              </w:rPr>
              <w:t>4,948</w:t>
            </w:r>
          </w:p>
        </w:tc>
        <w:tc>
          <w:tcPr>
            <w:tcW w:w="60" w:type="dxa"/>
            <w:vAlign w:val="bottom"/>
          </w:tcPr>
          <w:p>
            <w:pPr>
              <w:spacing w:after="0"/>
              <w:rPr>
                <w:sz w:val="19"/>
                <w:szCs w:val="19"/>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9"/>
                <w:szCs w:val="19"/>
                <w:b w:val="1"/>
                <w:bCs w:val="1"/>
                <w:color w:val="231F20"/>
              </w:rPr>
              <w:t>2028</w:t>
            </w:r>
          </w:p>
        </w:tc>
        <w:tc>
          <w:tcPr>
            <w:tcW w:w="200" w:type="dxa"/>
            <w:vAlign w:val="bottom"/>
          </w:tcPr>
          <w:p>
            <w:pPr>
              <w:spacing w:after="0"/>
              <w:rPr>
                <w:sz w:val="19"/>
                <w:szCs w:val="19"/>
                <w:color w:val="auto"/>
              </w:rPr>
            </w:pPr>
          </w:p>
        </w:tc>
        <w:tc>
          <w:tcPr>
            <w:tcW w:w="1940" w:type="dxa"/>
            <w:vAlign w:val="bottom"/>
          </w:tcPr>
          <w:p>
            <w:pPr>
              <w:jc w:val="right"/>
              <w:spacing w:after="0" w:line="224" w:lineRule="exact"/>
              <w:rPr>
                <w:sz w:val="20"/>
                <w:szCs w:val="20"/>
                <w:color w:val="auto"/>
              </w:rPr>
            </w:pPr>
            <w:r>
              <w:rPr>
                <w:rFonts w:ascii="PMingLiU" w:cs="PMingLiU" w:eastAsia="PMingLiU" w:hAnsi="PMingLiU"/>
                <w:sz w:val="19"/>
                <w:szCs w:val="19"/>
                <w:b w:val="1"/>
                <w:bCs w:val="1"/>
                <w:color w:val="231F20"/>
              </w:rPr>
              <w:t></w:t>
            </w:r>
          </w:p>
        </w:tc>
        <w:tc>
          <w:tcPr>
            <w:tcW w:w="60" w:type="dxa"/>
            <w:vAlign w:val="bottom"/>
          </w:tcPr>
          <w:p>
            <w:pPr>
              <w:spacing w:after="0"/>
              <w:rPr>
                <w:sz w:val="19"/>
                <w:szCs w:val="19"/>
                <w:color w:val="auto"/>
              </w:rPr>
            </w:pPr>
          </w:p>
        </w:tc>
      </w:tr>
      <w:tr>
        <w:trPr>
          <w:trHeight w:val="224"/>
        </w:trPr>
        <w:tc>
          <w:tcPr>
            <w:tcW w:w="4280" w:type="dxa"/>
            <w:vAlign w:val="bottom"/>
          </w:tcPr>
          <w:p>
            <w:pPr>
              <w:spacing w:after="0"/>
              <w:rPr>
                <w:sz w:val="20"/>
                <w:szCs w:val="20"/>
                <w:color w:val="auto"/>
              </w:rPr>
            </w:pPr>
            <w:r>
              <w:rPr>
                <w:rFonts w:ascii="Arial" w:cs="Arial" w:eastAsia="Arial" w:hAnsi="Arial"/>
                <w:sz w:val="19"/>
                <w:szCs w:val="19"/>
                <w:b w:val="1"/>
                <w:bCs w:val="1"/>
                <w:color w:val="231F20"/>
              </w:rPr>
              <w:t>2029</w:t>
            </w:r>
          </w:p>
        </w:tc>
        <w:tc>
          <w:tcPr>
            <w:tcW w:w="200" w:type="dxa"/>
            <w:vAlign w:val="bottom"/>
            <w:tcBorders>
              <w:bottom w:val="single" w:sz="8" w:color="231F20"/>
            </w:tcBorders>
          </w:tcPr>
          <w:p>
            <w:pPr>
              <w:spacing w:after="0"/>
              <w:rPr>
                <w:sz w:val="19"/>
                <w:szCs w:val="19"/>
                <w:color w:val="auto"/>
              </w:rPr>
            </w:pPr>
          </w:p>
        </w:tc>
        <w:tc>
          <w:tcPr>
            <w:tcW w:w="1940" w:type="dxa"/>
            <w:vAlign w:val="bottom"/>
            <w:tcBorders>
              <w:bottom w:val="single" w:sz="8" w:color="231F20"/>
            </w:tcBorders>
          </w:tcPr>
          <w:p>
            <w:pPr>
              <w:jc w:val="right"/>
              <w:spacing w:after="0" w:line="224" w:lineRule="exact"/>
              <w:rPr>
                <w:sz w:val="20"/>
                <w:szCs w:val="20"/>
                <w:color w:val="auto"/>
              </w:rPr>
            </w:pPr>
            <w:r>
              <w:rPr>
                <w:rFonts w:ascii="PMingLiU" w:cs="PMingLiU" w:eastAsia="PMingLiU" w:hAnsi="PMingLiU"/>
                <w:sz w:val="19"/>
                <w:szCs w:val="19"/>
                <w:b w:val="1"/>
                <w:bCs w:val="1"/>
                <w:color w:val="231F20"/>
              </w:rPr>
              <w:t></w:t>
            </w:r>
          </w:p>
        </w:tc>
        <w:tc>
          <w:tcPr>
            <w:tcW w:w="60" w:type="dxa"/>
            <w:vAlign w:val="bottom"/>
          </w:tcPr>
          <w:p>
            <w:pPr>
              <w:spacing w:after="0"/>
              <w:rPr>
                <w:sz w:val="19"/>
                <w:szCs w:val="19"/>
                <w:color w:val="auto"/>
              </w:rPr>
            </w:pPr>
          </w:p>
        </w:tc>
      </w:tr>
      <w:tr>
        <w:trPr>
          <w:trHeight w:val="212"/>
        </w:trPr>
        <w:tc>
          <w:tcPr>
            <w:tcW w:w="4280" w:type="dxa"/>
            <w:vAlign w:val="bottom"/>
          </w:tcPr>
          <w:p>
            <w:pPr>
              <w:spacing w:after="0" w:line="212" w:lineRule="exact"/>
              <w:rPr>
                <w:sz w:val="20"/>
                <w:szCs w:val="20"/>
                <w:color w:val="auto"/>
              </w:rPr>
            </w:pPr>
            <w:r>
              <w:rPr>
                <w:rFonts w:ascii="Arial" w:cs="Arial" w:eastAsia="Arial" w:hAnsi="Arial"/>
                <w:sz w:val="19"/>
                <w:szCs w:val="19"/>
                <w:b w:val="1"/>
                <w:bCs w:val="1"/>
                <w:color w:val="231F20"/>
              </w:rPr>
              <w:t>Total future maturities</w:t>
            </w:r>
          </w:p>
        </w:tc>
        <w:tc>
          <w:tcPr>
            <w:tcW w:w="200" w:type="dxa"/>
            <w:vAlign w:val="bottom"/>
          </w:tcPr>
          <w:p>
            <w:pPr>
              <w:spacing w:after="0"/>
              <w:rPr>
                <w:sz w:val="18"/>
                <w:szCs w:val="18"/>
                <w:color w:val="auto"/>
              </w:rPr>
            </w:pPr>
          </w:p>
        </w:tc>
        <w:tc>
          <w:tcPr>
            <w:tcW w:w="1940" w:type="dxa"/>
            <w:vAlign w:val="bottom"/>
          </w:tcPr>
          <w:p>
            <w:pPr>
              <w:jc w:val="right"/>
              <w:spacing w:after="0" w:line="212" w:lineRule="exact"/>
              <w:rPr>
                <w:sz w:val="20"/>
                <w:szCs w:val="20"/>
                <w:color w:val="auto"/>
              </w:rPr>
            </w:pPr>
            <w:r>
              <w:rPr>
                <w:rFonts w:ascii="Arial" w:cs="Arial" w:eastAsia="Arial" w:hAnsi="Arial"/>
                <w:sz w:val="19"/>
                <w:szCs w:val="19"/>
                <w:b w:val="1"/>
                <w:bCs w:val="1"/>
                <w:color w:val="231F20"/>
              </w:rPr>
              <w:t>10,600</w:t>
            </w:r>
          </w:p>
        </w:tc>
        <w:tc>
          <w:tcPr>
            <w:tcW w:w="60" w:type="dxa"/>
            <w:vAlign w:val="bottom"/>
          </w:tcPr>
          <w:p>
            <w:pPr>
              <w:spacing w:after="0"/>
              <w:rPr>
                <w:sz w:val="18"/>
                <w:szCs w:val="18"/>
                <w:color w:val="auto"/>
              </w:rPr>
            </w:pPr>
          </w:p>
        </w:tc>
      </w:tr>
      <w:tr>
        <w:trPr>
          <w:trHeight w:val="224"/>
        </w:trPr>
        <w:tc>
          <w:tcPr>
            <w:tcW w:w="4280" w:type="dxa"/>
            <w:vAlign w:val="bottom"/>
          </w:tcPr>
          <w:p>
            <w:pPr>
              <w:spacing w:after="0"/>
              <w:rPr>
                <w:sz w:val="20"/>
                <w:szCs w:val="20"/>
                <w:color w:val="auto"/>
              </w:rPr>
            </w:pPr>
            <w:r>
              <w:rPr>
                <w:rFonts w:ascii="Arial" w:cs="Arial" w:eastAsia="Arial" w:hAnsi="Arial"/>
                <w:sz w:val="19"/>
                <w:szCs w:val="19"/>
                <w:b w:val="1"/>
                <w:bCs w:val="1"/>
                <w:color w:val="231F20"/>
              </w:rPr>
              <w:t>Less: current portion of term loan</w:t>
            </w:r>
          </w:p>
        </w:tc>
        <w:tc>
          <w:tcPr>
            <w:tcW w:w="200" w:type="dxa"/>
            <w:vAlign w:val="bottom"/>
          </w:tcPr>
          <w:p>
            <w:pPr>
              <w:spacing w:after="0"/>
              <w:rPr>
                <w:sz w:val="19"/>
                <w:szCs w:val="19"/>
                <w:color w:val="auto"/>
              </w:rPr>
            </w:pPr>
          </w:p>
        </w:tc>
        <w:tc>
          <w:tcPr>
            <w:tcW w:w="2000" w:type="dxa"/>
            <w:vAlign w:val="bottom"/>
            <w:gridSpan w:val="2"/>
          </w:tcPr>
          <w:p>
            <w:pPr>
              <w:jc w:val="right"/>
              <w:spacing w:after="0"/>
              <w:rPr>
                <w:sz w:val="20"/>
                <w:szCs w:val="20"/>
                <w:color w:val="auto"/>
              </w:rPr>
            </w:pPr>
            <w:r>
              <w:rPr>
                <w:rFonts w:ascii="Arial" w:cs="Arial" w:eastAsia="Arial" w:hAnsi="Arial"/>
                <w:sz w:val="19"/>
                <w:szCs w:val="19"/>
                <w:b w:val="1"/>
                <w:bCs w:val="1"/>
                <w:color w:val="231F20"/>
              </w:rPr>
              <w:t>(435)</w:t>
            </w:r>
          </w:p>
        </w:tc>
      </w:tr>
      <w:tr>
        <w:trPr>
          <w:trHeight w:val="212"/>
        </w:trPr>
        <w:tc>
          <w:tcPr>
            <w:tcW w:w="4280" w:type="dxa"/>
            <w:vAlign w:val="bottom"/>
          </w:tcPr>
          <w:p>
            <w:pPr>
              <w:spacing w:after="0" w:line="212" w:lineRule="exact"/>
              <w:rPr>
                <w:sz w:val="20"/>
                <w:szCs w:val="20"/>
                <w:color w:val="auto"/>
              </w:rPr>
            </w:pPr>
            <w:r>
              <w:rPr>
                <w:rFonts w:ascii="Arial" w:cs="Arial" w:eastAsia="Arial" w:hAnsi="Arial"/>
                <w:sz w:val="19"/>
                <w:szCs w:val="19"/>
                <w:b w:val="1"/>
                <w:bCs w:val="1"/>
                <w:color w:val="231F20"/>
              </w:rPr>
              <w:t>Total term loan, net of current portion</w:t>
            </w:r>
          </w:p>
        </w:tc>
        <w:tc>
          <w:tcPr>
            <w:tcW w:w="200" w:type="dxa"/>
            <w:vAlign w:val="bottom"/>
            <w:tcBorders>
              <w:top w:val="single" w:sz="8" w:color="231F20"/>
            </w:tcBorders>
          </w:tcPr>
          <w:p>
            <w:pPr>
              <w:spacing w:after="0"/>
              <w:rPr>
                <w:sz w:val="18"/>
                <w:szCs w:val="18"/>
                <w:color w:val="auto"/>
              </w:rPr>
            </w:pPr>
          </w:p>
        </w:tc>
        <w:tc>
          <w:tcPr>
            <w:tcW w:w="1940" w:type="dxa"/>
            <w:vAlign w:val="bottom"/>
            <w:tcBorders>
              <w:top w:val="single" w:sz="8" w:color="231F20"/>
            </w:tcBorders>
          </w:tcPr>
          <w:p>
            <w:pPr>
              <w:jc w:val="right"/>
              <w:spacing w:after="0" w:line="212" w:lineRule="exact"/>
              <w:rPr>
                <w:sz w:val="20"/>
                <w:szCs w:val="20"/>
                <w:color w:val="auto"/>
              </w:rPr>
            </w:pPr>
            <w:r>
              <w:rPr>
                <w:rFonts w:ascii="Arial" w:cs="Arial" w:eastAsia="Arial" w:hAnsi="Arial"/>
                <w:sz w:val="19"/>
                <w:szCs w:val="19"/>
                <w:b w:val="1"/>
                <w:bCs w:val="1"/>
                <w:color w:val="231F20"/>
              </w:rPr>
              <w:t>10,165</w:t>
            </w:r>
          </w:p>
        </w:tc>
        <w:tc>
          <w:tcPr>
            <w:tcW w:w="60" w:type="dxa"/>
            <w:vAlign w:val="bottom"/>
          </w:tcPr>
          <w:p>
            <w:pPr>
              <w:spacing w:after="0"/>
              <w:rPr>
                <w:sz w:val="18"/>
                <w:szCs w:val="18"/>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9"/>
                <w:szCs w:val="19"/>
                <w:b w:val="1"/>
                <w:bCs w:val="1"/>
                <w:color w:val="231F20"/>
              </w:rPr>
              <w:t>Less: unamortized debt issuance costs</w:t>
            </w:r>
          </w:p>
        </w:tc>
        <w:tc>
          <w:tcPr>
            <w:tcW w:w="200" w:type="dxa"/>
            <w:vAlign w:val="bottom"/>
          </w:tcPr>
          <w:p>
            <w:pPr>
              <w:spacing w:after="0"/>
              <w:rPr>
                <w:sz w:val="19"/>
                <w:szCs w:val="19"/>
                <w:color w:val="auto"/>
              </w:rPr>
            </w:pPr>
          </w:p>
        </w:tc>
        <w:tc>
          <w:tcPr>
            <w:tcW w:w="2000" w:type="dxa"/>
            <w:vAlign w:val="bottom"/>
            <w:gridSpan w:val="2"/>
          </w:tcPr>
          <w:p>
            <w:pPr>
              <w:jc w:val="right"/>
              <w:spacing w:after="0"/>
              <w:rPr>
                <w:sz w:val="20"/>
                <w:szCs w:val="20"/>
                <w:color w:val="auto"/>
              </w:rPr>
            </w:pPr>
            <w:r>
              <w:rPr>
                <w:rFonts w:ascii="Arial" w:cs="Arial" w:eastAsia="Arial" w:hAnsi="Arial"/>
                <w:sz w:val="19"/>
                <w:szCs w:val="19"/>
                <w:b w:val="1"/>
                <w:bCs w:val="1"/>
                <w:color w:val="231F20"/>
              </w:rPr>
              <w:t>(558)</w:t>
            </w:r>
          </w:p>
        </w:tc>
      </w:tr>
      <w:tr>
        <w:trPr>
          <w:trHeight w:val="223"/>
        </w:trPr>
        <w:tc>
          <w:tcPr>
            <w:tcW w:w="4280" w:type="dxa"/>
            <w:vAlign w:val="bottom"/>
          </w:tcPr>
          <w:p>
            <w:pPr>
              <w:spacing w:after="0"/>
              <w:rPr>
                <w:sz w:val="20"/>
                <w:szCs w:val="20"/>
                <w:color w:val="auto"/>
              </w:rPr>
            </w:pPr>
            <w:r>
              <w:rPr>
                <w:rFonts w:ascii="Arial" w:cs="Arial" w:eastAsia="Arial" w:hAnsi="Arial"/>
                <w:sz w:val="19"/>
                <w:szCs w:val="19"/>
                <w:b w:val="1"/>
                <w:bCs w:val="1"/>
                <w:color w:val="231F20"/>
              </w:rPr>
              <w:t>Less: unaccreted final payment costs</w:t>
            </w:r>
          </w:p>
        </w:tc>
        <w:tc>
          <w:tcPr>
            <w:tcW w:w="200" w:type="dxa"/>
            <w:vAlign w:val="bottom"/>
          </w:tcPr>
          <w:p>
            <w:pPr>
              <w:spacing w:after="0"/>
              <w:rPr>
                <w:sz w:val="19"/>
                <w:szCs w:val="19"/>
                <w:color w:val="auto"/>
              </w:rPr>
            </w:pPr>
          </w:p>
        </w:tc>
        <w:tc>
          <w:tcPr>
            <w:tcW w:w="200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(138)</w:t>
            </w:r>
          </w:p>
        </w:tc>
      </w:tr>
      <w:tr>
        <w:trPr>
          <w:trHeight w:val="213"/>
        </w:trPr>
        <w:tc>
          <w:tcPr>
            <w:tcW w:w="4280" w:type="dxa"/>
            <w:vAlign w:val="bottom"/>
          </w:tcPr>
          <w:p>
            <w:pPr>
              <w:spacing w:after="0" w:line="214" w:lineRule="exact"/>
              <w:rPr>
                <w:sz w:val="20"/>
                <w:szCs w:val="20"/>
                <w:color w:val="auto"/>
              </w:rPr>
            </w:pPr>
            <w:r>
              <w:rPr>
                <w:rFonts w:ascii="Arial" w:cs="Arial" w:eastAsia="Arial" w:hAnsi="Arial"/>
                <w:sz w:val="19"/>
                <w:szCs w:val="19"/>
                <w:b w:val="1"/>
                <w:bCs w:val="1"/>
                <w:color w:val="231F20"/>
              </w:rPr>
              <w:t>Term loan, non-current, net</w:t>
            </w:r>
          </w:p>
        </w:tc>
        <w:tc>
          <w:tcPr>
            <w:tcW w:w="200" w:type="dxa"/>
            <w:vAlign w:val="bottom"/>
            <w:tcBorders>
              <w:top w:val="single" w:sz="8" w:color="231F20"/>
            </w:tcBorders>
          </w:tcPr>
          <w:p>
            <w:pPr>
              <w:jc w:val="right"/>
              <w:ind w:right="3"/>
              <w:spacing w:after="0" w:line="214" w:lineRule="exact"/>
              <w:rPr>
                <w:sz w:val="20"/>
                <w:szCs w:val="20"/>
                <w:color w:val="auto"/>
              </w:rPr>
            </w:pPr>
            <w:r>
              <w:rPr>
                <w:rFonts w:ascii="Arial" w:cs="Arial" w:eastAsia="Arial" w:hAnsi="Arial"/>
                <w:sz w:val="19"/>
                <w:szCs w:val="19"/>
                <w:b w:val="1"/>
                <w:bCs w:val="1"/>
                <w:color w:val="231F20"/>
                <w:w w:val="75"/>
              </w:rPr>
              <w:t>$</w:t>
            </w:r>
          </w:p>
        </w:tc>
        <w:tc>
          <w:tcPr>
            <w:tcW w:w="1940" w:type="dxa"/>
            <w:vAlign w:val="bottom"/>
            <w:tcBorders>
              <w:top w:val="single" w:sz="8" w:color="231F20"/>
            </w:tcBorders>
          </w:tcPr>
          <w:p>
            <w:pPr>
              <w:jc w:val="right"/>
              <w:spacing w:after="0" w:line="214" w:lineRule="exact"/>
              <w:rPr>
                <w:sz w:val="20"/>
                <w:szCs w:val="20"/>
                <w:color w:val="auto"/>
              </w:rPr>
            </w:pPr>
            <w:r>
              <w:rPr>
                <w:rFonts w:ascii="Arial" w:cs="Arial" w:eastAsia="Arial" w:hAnsi="Arial"/>
                <w:sz w:val="19"/>
                <w:szCs w:val="19"/>
                <w:b w:val="1"/>
                <w:bCs w:val="1"/>
                <w:color w:val="231F20"/>
              </w:rPr>
              <w:t>9,469</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3973195</wp:posOffset>
            </wp:positionH>
            <wp:positionV relativeFrom="paragraph">
              <wp:posOffset>-11430</wp:posOffset>
            </wp:positionV>
            <wp:extent cx="1389380" cy="5461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389380" cy="54610"/>
                    </a:xfrm>
                    <a:prstGeom prst="rect">
                      <a:avLst/>
                    </a:prstGeom>
                    <a:noFill/>
                  </pic:spPr>
                </pic:pic>
              </a:graphicData>
            </a:graphic>
          </wp:anchor>
        </w:drawing>
      </w:r>
    </w:p>
    <w:p>
      <w:pPr>
        <w:spacing w:after="0" w:line="395" w:lineRule="exact"/>
        <w:rPr>
          <w:sz w:val="20"/>
          <w:szCs w:val="20"/>
          <w:color w:val="auto"/>
        </w:rPr>
      </w:pPr>
    </w:p>
    <w:p>
      <w:pPr>
        <w:spacing w:after="0" w:line="231" w:lineRule="exact"/>
        <w:rPr>
          <w:sz w:val="20"/>
          <w:szCs w:val="20"/>
          <w:color w:val="auto"/>
        </w:rPr>
      </w:pPr>
      <w:r>
        <w:rPr>
          <w:rFonts w:ascii="Arial" w:cs="Arial" w:eastAsia="Arial" w:hAnsi="Arial"/>
          <w:sz w:val="19"/>
          <w:szCs w:val="19"/>
          <w:b w:val="1"/>
          <w:bCs w:val="1"/>
          <w:color w:val="231F20"/>
        </w:rPr>
        <w:t>(7) STOCKHOLDERS</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EQUITY</w:t>
      </w:r>
    </w:p>
    <w:p>
      <w:pPr>
        <w:spacing w:after="0" w:line="125" w:lineRule="exact"/>
        <w:rPr>
          <w:sz w:val="20"/>
          <w:szCs w:val="20"/>
          <w:color w:val="auto"/>
        </w:rPr>
      </w:pPr>
    </w:p>
    <w:p>
      <w:pPr>
        <w:ind w:firstLine="478"/>
        <w:spacing w:after="0" w:line="221" w:lineRule="exact"/>
        <w:rPr>
          <w:sz w:val="20"/>
          <w:szCs w:val="20"/>
          <w:color w:val="auto"/>
        </w:rPr>
      </w:pPr>
      <w:r>
        <w:rPr>
          <w:rFonts w:ascii="Arial" w:cs="Arial" w:eastAsia="Arial" w:hAnsi="Arial"/>
          <w:sz w:val="19"/>
          <w:szCs w:val="19"/>
          <w:b w:val="1"/>
          <w:bCs w:val="1"/>
          <w:color w:val="231F20"/>
        </w:rPr>
        <w:t>On July 21, 2020,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amended and restated certificate of incorporation became effective, authorizing 1,000,000,000 shares of common stock, $0.001 par value per share, and 100,000,000 shares of undesignated preferred stock, $0.001 par value per share. As of December 31, 2024 and 2023, the Company had 53,052,912 and 49,951,989 shares of common stock outstanding, respectively.</w:t>
      </w:r>
    </w:p>
    <w:p>
      <w:pPr>
        <w:spacing w:after="0" w:line="238"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Common Stock</w:t>
      </w:r>
    </w:p>
    <w:p>
      <w:pPr>
        <w:spacing w:after="0" w:line="125" w:lineRule="exact"/>
        <w:rPr>
          <w:sz w:val="20"/>
          <w:szCs w:val="20"/>
          <w:color w:val="auto"/>
        </w:rPr>
      </w:pPr>
    </w:p>
    <w:p>
      <w:pPr>
        <w:ind w:right="220" w:firstLine="478"/>
        <w:spacing w:after="0" w:line="281" w:lineRule="auto"/>
        <w:rPr>
          <w:sz w:val="20"/>
          <w:szCs w:val="20"/>
          <w:color w:val="auto"/>
        </w:rPr>
      </w:pPr>
      <w:r>
        <w:rPr>
          <w:rFonts w:ascii="Arial" w:cs="Arial" w:eastAsia="Arial" w:hAnsi="Arial"/>
          <w:sz w:val="17"/>
          <w:szCs w:val="17"/>
          <w:b w:val="1"/>
          <w:bCs w:val="1"/>
          <w:color w:val="231F20"/>
        </w:rPr>
        <w:t>In July 2020, the Company consummated its initial public offering and issued 9,775,000 shares of common stock for net proceeds of approximately $169.5 million, after deducting underwriting discounts and commissions of $13.0 million and offering-related expenses of $3.2 million. Upon the closing of the initial public offering, all shares of convertible preferred stock outstanding and accrued cumulative dividends were automatically converted into 23,934,533 shares of common stock.</w:t>
      </w:r>
    </w:p>
    <w:p>
      <w:pPr>
        <w:spacing w:after="0" w:line="95" w:lineRule="exact"/>
        <w:rPr>
          <w:sz w:val="20"/>
          <w:szCs w:val="20"/>
          <w:color w:val="auto"/>
        </w:rPr>
      </w:pPr>
    </w:p>
    <w:p>
      <w:pPr>
        <w:jc w:val="both"/>
        <w:ind w:right="60" w:firstLine="478"/>
        <w:spacing w:after="0" w:line="242" w:lineRule="auto"/>
        <w:rPr>
          <w:sz w:val="20"/>
          <w:szCs w:val="20"/>
          <w:color w:val="auto"/>
        </w:rPr>
      </w:pPr>
      <w:r>
        <w:rPr>
          <w:rFonts w:ascii="Arial" w:cs="Arial" w:eastAsia="Arial" w:hAnsi="Arial"/>
          <w:sz w:val="19"/>
          <w:szCs w:val="19"/>
          <w:b w:val="1"/>
          <w:bCs w:val="1"/>
          <w:color w:val="231F20"/>
        </w:rPr>
        <w:t>In December 2020, the Company consummated its follow-on public offering and issued 2,737,000 shares of common stock for net proceeds of approximately $194.9 million, after deducting underwriting discounts and commissions of $12.5 million and offering-related expenses of $0.7 million.</w:t>
      </w:r>
    </w:p>
    <w:p>
      <w:pPr>
        <w:spacing w:after="0" w:line="124" w:lineRule="exact"/>
        <w:rPr>
          <w:sz w:val="20"/>
          <w:szCs w:val="20"/>
          <w:color w:val="auto"/>
        </w:rPr>
      </w:pPr>
    </w:p>
    <w:p>
      <w:pPr>
        <w:ind w:right="380" w:firstLine="478"/>
        <w:spacing w:after="0" w:line="221" w:lineRule="exact"/>
        <w:rPr>
          <w:sz w:val="20"/>
          <w:szCs w:val="20"/>
          <w:color w:val="auto"/>
        </w:rPr>
      </w:pPr>
      <w:r>
        <w:rPr>
          <w:rFonts w:ascii="Arial" w:cs="Arial" w:eastAsia="Arial" w:hAnsi="Arial"/>
          <w:sz w:val="16"/>
          <w:szCs w:val="16"/>
          <w:b w:val="1"/>
          <w:bCs w:val="1"/>
          <w:color w:val="231F20"/>
        </w:rPr>
        <w:t>In October 2023, the Company completed an underwritten follow-on public offering and issued an aggregate of 8,663,793 shares of common stock, including the underwriters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exercise in full of their overallotment option of 1,293,103 shares of common stock, and, in lieu of common stock to certain investors, pre-funded warrants to purchase 1,250,000 shares of common stock at a public offering price of $6.38 per share and $6.379 per pre-funded warrant. Net proceeds were approximately $58.9 million, after deducting underwriting discounts and commissions of $3.8 million and offering-related expenses of $0.6 million.</w:t>
      </w:r>
    </w:p>
    <w:p>
      <w:pPr>
        <w:spacing w:after="0" w:line="122"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Common stock reserved for future issuance as of December 31, 2024 consists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120" w:type="dxa"/>
            <w:vAlign w:val="bottom"/>
          </w:tcPr>
          <w:p>
            <w:pPr>
              <w:spacing w:after="0"/>
              <w:rPr>
                <w:sz w:val="19"/>
                <w:szCs w:val="19"/>
                <w:color w:val="auto"/>
              </w:rPr>
            </w:pPr>
          </w:p>
        </w:tc>
        <w:tc>
          <w:tcPr>
            <w:tcW w:w="2260" w:type="dxa"/>
            <w:vAlign w:val="bottom"/>
            <w:tcBorders>
              <w:bottom w:val="single" w:sz="8" w:color="231F20"/>
            </w:tcBorders>
          </w:tcPr>
          <w:p>
            <w:pPr>
              <w:jc w:val="right"/>
              <w:ind w:right="243"/>
              <w:spacing w:after="0"/>
              <w:rPr>
                <w:sz w:val="20"/>
                <w:szCs w:val="20"/>
                <w:color w:val="auto"/>
              </w:rPr>
            </w:pPr>
            <w:r>
              <w:rPr>
                <w:rFonts w:ascii="Arial" w:cs="Arial" w:eastAsia="Arial" w:hAnsi="Arial"/>
                <w:sz w:val="19"/>
                <w:szCs w:val="19"/>
                <w:b w:val="1"/>
                <w:bCs w:val="1"/>
                <w:color w:val="231F20"/>
              </w:rPr>
              <w:t>December 31, 2024</w:t>
            </w:r>
          </w:p>
        </w:tc>
      </w:tr>
      <w:tr>
        <w:trPr>
          <w:trHeight w:val="212"/>
        </w:trPr>
        <w:tc>
          <w:tcPr>
            <w:tcW w:w="8120" w:type="dxa"/>
            <w:vAlign w:val="bottom"/>
          </w:tcPr>
          <w:p>
            <w:pPr>
              <w:spacing w:after="0" w:line="212" w:lineRule="exact"/>
              <w:rPr>
                <w:sz w:val="20"/>
                <w:szCs w:val="20"/>
                <w:color w:val="auto"/>
              </w:rPr>
            </w:pPr>
            <w:r>
              <w:rPr>
                <w:rFonts w:ascii="Arial" w:cs="Arial" w:eastAsia="Arial" w:hAnsi="Arial"/>
                <w:sz w:val="19"/>
                <w:szCs w:val="19"/>
                <w:b w:val="1"/>
                <w:bCs w:val="1"/>
                <w:color w:val="231F20"/>
              </w:rPr>
              <w:t>Stock options issued and outstanding</w:t>
            </w:r>
          </w:p>
        </w:tc>
        <w:tc>
          <w:tcPr>
            <w:tcW w:w="2260" w:type="dxa"/>
            <w:vAlign w:val="bottom"/>
          </w:tcPr>
          <w:p>
            <w:pPr>
              <w:jc w:val="right"/>
              <w:spacing w:after="0" w:line="212" w:lineRule="exact"/>
              <w:rPr>
                <w:sz w:val="20"/>
                <w:szCs w:val="20"/>
                <w:color w:val="auto"/>
              </w:rPr>
            </w:pPr>
            <w:r>
              <w:rPr>
                <w:rFonts w:ascii="Arial" w:cs="Arial" w:eastAsia="Arial" w:hAnsi="Arial"/>
                <w:sz w:val="19"/>
                <w:szCs w:val="19"/>
                <w:b w:val="1"/>
                <w:bCs w:val="1"/>
                <w:color w:val="231F20"/>
              </w:rPr>
              <w:t>10,528,751</w:t>
            </w:r>
          </w:p>
        </w:tc>
      </w:tr>
      <w:tr>
        <w:trPr>
          <w:trHeight w:val="223"/>
        </w:trPr>
        <w:tc>
          <w:tcPr>
            <w:tcW w:w="8120" w:type="dxa"/>
            <w:vAlign w:val="bottom"/>
          </w:tcPr>
          <w:p>
            <w:pPr>
              <w:spacing w:after="0"/>
              <w:rPr>
                <w:sz w:val="20"/>
                <w:szCs w:val="20"/>
                <w:color w:val="auto"/>
              </w:rPr>
            </w:pPr>
            <w:r>
              <w:rPr>
                <w:rFonts w:ascii="Arial" w:cs="Arial" w:eastAsia="Arial" w:hAnsi="Arial"/>
                <w:sz w:val="19"/>
                <w:szCs w:val="19"/>
                <w:b w:val="1"/>
                <w:bCs w:val="1"/>
                <w:color w:val="231F20"/>
              </w:rPr>
              <w:t>RSUs issued and outstanding</w:t>
            </w:r>
          </w:p>
        </w:tc>
        <w:tc>
          <w:tcPr>
            <w:tcW w:w="2260" w:type="dxa"/>
            <w:vAlign w:val="bottom"/>
          </w:tcPr>
          <w:p>
            <w:pPr>
              <w:jc w:val="right"/>
              <w:spacing w:after="0"/>
              <w:rPr>
                <w:sz w:val="20"/>
                <w:szCs w:val="20"/>
                <w:color w:val="auto"/>
              </w:rPr>
            </w:pPr>
            <w:r>
              <w:rPr>
                <w:rFonts w:ascii="Arial" w:cs="Arial" w:eastAsia="Arial" w:hAnsi="Arial"/>
                <w:sz w:val="19"/>
                <w:szCs w:val="19"/>
                <w:b w:val="1"/>
                <w:bCs w:val="1"/>
                <w:color w:val="231F20"/>
              </w:rPr>
              <w:t>898,755</w:t>
            </w:r>
          </w:p>
        </w:tc>
      </w:tr>
      <w:tr>
        <w:trPr>
          <w:trHeight w:val="223"/>
        </w:trPr>
        <w:tc>
          <w:tcPr>
            <w:tcW w:w="8120" w:type="dxa"/>
            <w:vAlign w:val="bottom"/>
          </w:tcPr>
          <w:p>
            <w:pPr>
              <w:spacing w:after="0"/>
              <w:rPr>
                <w:sz w:val="20"/>
                <w:szCs w:val="20"/>
                <w:color w:val="auto"/>
              </w:rPr>
            </w:pPr>
            <w:r>
              <w:rPr>
                <w:rFonts w:ascii="Arial" w:cs="Arial" w:eastAsia="Arial" w:hAnsi="Arial"/>
                <w:sz w:val="19"/>
                <w:szCs w:val="19"/>
                <w:b w:val="1"/>
                <w:bCs w:val="1"/>
                <w:color w:val="231F20"/>
              </w:rPr>
              <w:t>PSUs issued and outstanding</w:t>
            </w:r>
          </w:p>
        </w:tc>
        <w:tc>
          <w:tcPr>
            <w:tcW w:w="2260" w:type="dxa"/>
            <w:vAlign w:val="bottom"/>
          </w:tcPr>
          <w:p>
            <w:pPr>
              <w:jc w:val="right"/>
              <w:spacing w:after="0"/>
              <w:rPr>
                <w:sz w:val="20"/>
                <w:szCs w:val="20"/>
                <w:color w:val="auto"/>
              </w:rPr>
            </w:pPr>
            <w:r>
              <w:rPr>
                <w:rFonts w:ascii="Arial" w:cs="Arial" w:eastAsia="Arial" w:hAnsi="Arial"/>
                <w:sz w:val="19"/>
                <w:szCs w:val="19"/>
                <w:b w:val="1"/>
                <w:bCs w:val="1"/>
                <w:color w:val="231F20"/>
              </w:rPr>
              <w:t>357,500</w:t>
            </w:r>
          </w:p>
        </w:tc>
      </w:tr>
      <w:tr>
        <w:trPr>
          <w:trHeight w:val="223"/>
        </w:trPr>
        <w:tc>
          <w:tcPr>
            <w:tcW w:w="8120" w:type="dxa"/>
            <w:vAlign w:val="bottom"/>
          </w:tcPr>
          <w:p>
            <w:pPr>
              <w:spacing w:after="0"/>
              <w:rPr>
                <w:sz w:val="20"/>
                <w:szCs w:val="20"/>
                <w:color w:val="auto"/>
              </w:rPr>
            </w:pPr>
            <w:r>
              <w:rPr>
                <w:rFonts w:ascii="Arial" w:cs="Arial" w:eastAsia="Arial" w:hAnsi="Arial"/>
                <w:sz w:val="19"/>
                <w:szCs w:val="19"/>
                <w:b w:val="1"/>
                <w:bCs w:val="1"/>
                <w:color w:val="231F20"/>
              </w:rPr>
              <w:t>Stock options authorized for future issuance</w:t>
            </w:r>
          </w:p>
        </w:tc>
        <w:tc>
          <w:tcPr>
            <w:tcW w:w="2260" w:type="dxa"/>
            <w:vAlign w:val="bottom"/>
          </w:tcPr>
          <w:p>
            <w:pPr>
              <w:jc w:val="right"/>
              <w:spacing w:after="0"/>
              <w:rPr>
                <w:sz w:val="20"/>
                <w:szCs w:val="20"/>
                <w:color w:val="auto"/>
              </w:rPr>
            </w:pPr>
            <w:r>
              <w:rPr>
                <w:rFonts w:ascii="Arial" w:cs="Arial" w:eastAsia="Arial" w:hAnsi="Arial"/>
                <w:sz w:val="19"/>
                <w:szCs w:val="19"/>
                <w:b w:val="1"/>
                <w:bCs w:val="1"/>
                <w:color w:val="231F20"/>
              </w:rPr>
              <w:t>642,557</w:t>
            </w:r>
          </w:p>
        </w:tc>
      </w:tr>
      <w:tr>
        <w:trPr>
          <w:trHeight w:val="223"/>
        </w:trPr>
        <w:tc>
          <w:tcPr>
            <w:tcW w:w="8120" w:type="dxa"/>
            <w:vAlign w:val="bottom"/>
          </w:tcPr>
          <w:p>
            <w:pPr>
              <w:spacing w:after="0"/>
              <w:rPr>
                <w:sz w:val="20"/>
                <w:szCs w:val="20"/>
                <w:color w:val="auto"/>
              </w:rPr>
            </w:pPr>
            <w:r>
              <w:rPr>
                <w:rFonts w:ascii="Arial" w:cs="Arial" w:eastAsia="Arial" w:hAnsi="Arial"/>
                <w:sz w:val="19"/>
                <w:szCs w:val="19"/>
                <w:b w:val="1"/>
                <w:bCs w:val="1"/>
                <w:color w:val="231F20"/>
              </w:rPr>
              <w:t>Employee Stock Purchase Plan shares authorized for future issuance</w:t>
            </w:r>
          </w:p>
        </w:tc>
        <w:tc>
          <w:tcPr>
            <w:tcW w:w="226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974,251</w:t>
            </w:r>
          </w:p>
        </w:tc>
      </w:tr>
      <w:tr>
        <w:trPr>
          <w:trHeight w:val="213"/>
        </w:trPr>
        <w:tc>
          <w:tcPr>
            <w:tcW w:w="8120" w:type="dxa"/>
            <w:vAlign w:val="bottom"/>
          </w:tcPr>
          <w:p>
            <w:pPr>
              <w:ind w:left="200"/>
              <w:spacing w:after="0" w:line="214" w:lineRule="exact"/>
              <w:rPr>
                <w:sz w:val="20"/>
                <w:szCs w:val="20"/>
                <w:color w:val="auto"/>
              </w:rPr>
            </w:pPr>
            <w:r>
              <w:rPr>
                <w:rFonts w:ascii="Arial" w:cs="Arial" w:eastAsia="Arial" w:hAnsi="Arial"/>
                <w:sz w:val="19"/>
                <w:szCs w:val="19"/>
                <w:b w:val="1"/>
                <w:bCs w:val="1"/>
                <w:color w:val="231F20"/>
              </w:rPr>
              <w:t>Total</w:t>
            </w:r>
          </w:p>
        </w:tc>
        <w:tc>
          <w:tcPr>
            <w:tcW w:w="2260" w:type="dxa"/>
            <w:vAlign w:val="bottom"/>
          </w:tcPr>
          <w:p>
            <w:pPr>
              <w:jc w:val="right"/>
              <w:spacing w:after="0" w:line="214" w:lineRule="exact"/>
              <w:rPr>
                <w:sz w:val="20"/>
                <w:szCs w:val="20"/>
                <w:color w:val="auto"/>
              </w:rPr>
            </w:pPr>
            <w:r>
              <w:rPr>
                <w:rFonts w:ascii="Arial" w:cs="Arial" w:eastAsia="Arial" w:hAnsi="Arial"/>
                <w:sz w:val="19"/>
                <w:szCs w:val="19"/>
                <w:b w:val="1"/>
                <w:bCs w:val="1"/>
                <w:color w:val="231F20"/>
              </w:rPr>
              <w:t>13,401,814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5144770</wp:posOffset>
            </wp:positionH>
            <wp:positionV relativeFrom="paragraph">
              <wp:posOffset>-11430</wp:posOffset>
            </wp:positionV>
            <wp:extent cx="1454785" cy="5461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454785" cy="54610"/>
                    </a:xfrm>
                    <a:prstGeom prst="rect">
                      <a:avLst/>
                    </a:prstGeom>
                    <a:noFill/>
                  </pic:spPr>
                </pic:pic>
              </a:graphicData>
            </a:graphic>
          </wp:anchor>
        </w:drawing>
      </w:r>
    </w:p>
    <w:p>
      <w:pPr>
        <w:spacing w:after="0" w:line="261"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At-the-Market Equity Offering</w:t>
      </w:r>
    </w:p>
    <w:p>
      <w:pPr>
        <w:spacing w:after="0" w:line="128" w:lineRule="exact"/>
        <w:rPr>
          <w:sz w:val="20"/>
          <w:szCs w:val="20"/>
          <w:color w:val="auto"/>
        </w:rPr>
      </w:pPr>
    </w:p>
    <w:p>
      <w:pPr>
        <w:ind w:right="80" w:firstLine="475"/>
        <w:spacing w:after="0" w:line="221" w:lineRule="exact"/>
        <w:rPr>
          <w:sz w:val="20"/>
          <w:szCs w:val="20"/>
          <w:color w:val="auto"/>
        </w:rPr>
      </w:pPr>
      <w:r>
        <w:rPr>
          <w:rFonts w:ascii="Arial" w:cs="Arial" w:eastAsia="Arial" w:hAnsi="Arial"/>
          <w:sz w:val="17"/>
          <w:szCs w:val="17"/>
          <w:b w:val="1"/>
          <w:bCs w:val="1"/>
          <w:color w:val="231F20"/>
        </w:rPr>
        <w:t>In December 2021, the Company entered into a sales agreement with Cantor Fitzgerald &amp; Co. and Credit Suisse Securities (USA) LLC (Sales Agreement), under which it may offer and sell shares of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common stock, having aggregate gross proceeds of up to $150.0 million, from time to time through them as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sales agents in its at-the-market equity offering program (ATM Offering). In August 2023, the Company entered into an amendment to the Sales Agreement to include UBS Securities LLC as an additional sales agent and to remove Credit Suisse as a sales agent. As of December 31, 2024, the Company had issued approximately 2,199,542 shares of common stock pursuant to the Sales Agreement for net proceeds of $29.7 million. The Company may terminate this ATM program at any time, pursuant to its terms.</w:t>
      </w:r>
    </w:p>
    <w:p>
      <w:pPr>
        <w:sectPr>
          <w:pgSz w:w="12240" w:h="15840" w:orient="portrait"/>
          <w:cols w:equalWidth="0" w:num="1">
            <w:col w:w="10460"/>
          </w:cols>
          <w:pgMar w:left="880" w:top="1160" w:right="900" w:bottom="4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31F20"/>
        </w:rPr>
        <w:t>111</w:t>
      </w:r>
    </w:p>
    <w:p>
      <w:pPr>
        <w:sectPr>
          <w:pgSz w:w="12240" w:h="15840" w:orient="portrait"/>
          <w:cols w:equalWidth="0" w:num="1">
            <w:col w:w="10460"/>
          </w:cols>
          <w:pgMar w:left="880" w:top="1160" w:right="900" w:bottom="401" w:gutter="0" w:footer="0" w:header="0"/>
          <w:type w:val="continuous"/>
        </w:sectPr>
      </w:pPr>
    </w:p>
    <w:bookmarkStart w:id="119" w:name="page120"/>
    <w:bookmarkEnd w:id="119"/>
    <w:p>
      <w:pPr>
        <w:ind w:left="480"/>
        <w:spacing w:after="0"/>
        <w:rPr>
          <w:sz w:val="20"/>
          <w:szCs w:val="20"/>
          <w:color w:val="auto"/>
        </w:rPr>
      </w:pPr>
      <w:r>
        <w:rPr>
          <w:rFonts w:ascii="Arial" w:cs="Arial" w:eastAsia="Arial" w:hAnsi="Arial"/>
          <w:sz w:val="19"/>
          <w:szCs w:val="19"/>
          <w:b w:val="1"/>
          <w:bCs w:val="1"/>
          <w:color w:val="231F20"/>
        </w:rPr>
        <w:t>Pre-Funded Warrants</w:t>
      </w:r>
    </w:p>
    <w:p>
      <w:pPr>
        <w:spacing w:after="0" w:line="128" w:lineRule="exact"/>
        <w:rPr>
          <w:sz w:val="20"/>
          <w:szCs w:val="20"/>
          <w:color w:val="auto"/>
        </w:rPr>
      </w:pPr>
    </w:p>
    <w:p>
      <w:pPr>
        <w:ind w:right="160" w:firstLine="475"/>
        <w:spacing w:after="0" w:line="310" w:lineRule="auto"/>
        <w:rPr>
          <w:sz w:val="20"/>
          <w:szCs w:val="20"/>
          <w:color w:val="auto"/>
        </w:rPr>
      </w:pPr>
      <w:r>
        <w:rPr>
          <w:rFonts w:ascii="Arial" w:cs="Arial" w:eastAsia="Arial" w:hAnsi="Arial"/>
          <w:sz w:val="16"/>
          <w:szCs w:val="16"/>
          <w:b w:val="1"/>
          <w:bCs w:val="1"/>
          <w:color w:val="231F20"/>
        </w:rPr>
        <w:t>As part of the October 2023 underwritten public offering, the Company issued pre-funded warrants to certain investors to purchase 1,250,000 shares of common stock in an underwritten public offering at a public offering price of $6.379 per pre-funded warrant. Each pre-funded warrant entitles the holder to purchase one share of common stock at an exercise price of $0.001 per share.</w:t>
      </w:r>
    </w:p>
    <w:p>
      <w:pPr>
        <w:spacing w:after="0" w:line="72" w:lineRule="exact"/>
        <w:rPr>
          <w:sz w:val="20"/>
          <w:szCs w:val="20"/>
          <w:color w:val="auto"/>
        </w:rPr>
      </w:pPr>
    </w:p>
    <w:p>
      <w:pPr>
        <w:ind w:right="80" w:firstLine="475"/>
        <w:spacing w:after="0" w:line="221" w:lineRule="exact"/>
        <w:rPr>
          <w:sz w:val="20"/>
          <w:szCs w:val="20"/>
          <w:color w:val="auto"/>
        </w:rPr>
      </w:pPr>
      <w:r>
        <w:rPr>
          <w:rFonts w:ascii="Arial" w:cs="Arial" w:eastAsia="Arial" w:hAnsi="Arial"/>
          <w:sz w:val="17"/>
          <w:szCs w:val="17"/>
          <w:b w:val="1"/>
          <w:bCs w:val="1"/>
          <w:color w:val="231F20"/>
        </w:rPr>
        <w:t>The pre-funded warrants to purchase shares of common stock are exercisable at any time after their original issuance. However, the pre-funded warrants include a separate provision whereby the exercisability of the pre-funded warrants may be limited if, upon exercise, the warrant holder or any of its affiliates would beneficially own more than 9.99% of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common stock. This threshold is subject to the warrant holder</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rights under the pre-funded warrants to increase or decrease such percentage to any other percentage not in excess of 19.99% upon at least 61 days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prior notice from the warrant holder to the Company. The pre-funded warrants will expire on the date the warrants are exercised in full.</w:t>
      </w:r>
    </w:p>
    <w:p>
      <w:pPr>
        <w:spacing w:after="0" w:line="129" w:lineRule="exact"/>
        <w:rPr>
          <w:sz w:val="20"/>
          <w:szCs w:val="20"/>
          <w:color w:val="auto"/>
        </w:rPr>
      </w:pPr>
    </w:p>
    <w:p>
      <w:pPr>
        <w:ind w:right="120" w:firstLine="475"/>
        <w:spacing w:after="0" w:line="223" w:lineRule="exact"/>
        <w:rPr>
          <w:sz w:val="20"/>
          <w:szCs w:val="20"/>
          <w:color w:val="auto"/>
        </w:rPr>
      </w:pPr>
      <w:r>
        <w:rPr>
          <w:rFonts w:ascii="Arial" w:cs="Arial" w:eastAsia="Arial" w:hAnsi="Arial"/>
          <w:sz w:val="17"/>
          <w:szCs w:val="17"/>
          <w:b w:val="1"/>
          <w:bCs w:val="1"/>
          <w:color w:val="231F20"/>
        </w:rPr>
        <w:t>The pre-funded warrants were classified as equity and accounted for as a component of additional paid-in capital. The pre-funded warrants were classified as equity because they (i) are freestanding financial instruments that are legally detachable and separately exercisable from the equity instruments, (ii) are immediately exercisable, (iii) do not embody an obligation for the Company to repurchase its shares, (iv) permit the holders to receive a fixed number of shares of common stock upon exercise, (v) are indexed to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common stock and (vi) meet the equity classification criteria. In addition, such pre-funded warrants do not provide any guarantee of value or return. The Company valued the pre-funded warrants at issuance, concluding that their offering price approximated their fair value, and allocated the aggregate net proceeds from the offering proportionately to the common stock and pre-funded warrants, including approximately $7.4 million allocated to the pre-funded warrants and recorded as a component of additional paid-in capital on the consolidated balance sheets.</w:t>
      </w:r>
    </w:p>
    <w:p>
      <w:pPr>
        <w:spacing w:after="0" w:line="126" w:lineRule="exact"/>
        <w:rPr>
          <w:sz w:val="20"/>
          <w:szCs w:val="20"/>
          <w:color w:val="auto"/>
        </w:rPr>
      </w:pPr>
    </w:p>
    <w:p>
      <w:pPr>
        <w:ind w:firstLine="475"/>
        <w:spacing w:after="0" w:line="220" w:lineRule="exact"/>
        <w:rPr>
          <w:sz w:val="20"/>
          <w:szCs w:val="20"/>
          <w:color w:val="auto"/>
        </w:rPr>
      </w:pPr>
      <w:r>
        <w:rPr>
          <w:rFonts w:ascii="Arial" w:cs="Arial" w:eastAsia="Arial" w:hAnsi="Arial"/>
          <w:sz w:val="17"/>
          <w:szCs w:val="17"/>
          <w:b w:val="1"/>
          <w:bCs w:val="1"/>
          <w:color w:val="231F20"/>
        </w:rPr>
        <w:t xml:space="preserve">As of December 31, 2024, no shares underlying the pre-funded warrants had been exercised. All of the outstanding pre-funded warrants are included in the weighted-average number of shares of common stock used to calculate basic net loss per share attributable to common stockholders (see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Note 11. Net Loss Per Share Attributable to Common Stockholders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w:t>
      </w:r>
    </w:p>
    <w:p>
      <w:pPr>
        <w:spacing w:after="0" w:line="361" w:lineRule="exact"/>
        <w:rPr>
          <w:sz w:val="20"/>
          <w:szCs w:val="20"/>
          <w:color w:val="auto"/>
        </w:rPr>
      </w:pPr>
    </w:p>
    <w:p>
      <w:pPr>
        <w:ind w:left="480" w:right="7160" w:hanging="477"/>
        <w:spacing w:after="0" w:line="365" w:lineRule="auto"/>
        <w:tabs>
          <w:tab w:leader="none" w:pos="279" w:val="left"/>
        </w:tabs>
        <w:numPr>
          <w:ilvl w:val="0"/>
          <w:numId w:val="15"/>
        </w:numPr>
        <w:rPr>
          <w:rFonts w:ascii="Arial" w:cs="Arial" w:eastAsia="Arial" w:hAnsi="Arial"/>
          <w:sz w:val="19"/>
          <w:szCs w:val="19"/>
          <w:b w:val="1"/>
          <w:bCs w:val="1"/>
          <w:color w:val="231F20"/>
        </w:rPr>
      </w:pPr>
      <w:r>
        <w:rPr>
          <w:rFonts w:ascii="Arial" w:cs="Arial" w:eastAsia="Arial" w:hAnsi="Arial"/>
          <w:sz w:val="19"/>
          <w:szCs w:val="19"/>
          <w:b w:val="1"/>
          <w:bCs w:val="1"/>
          <w:color w:val="231F20"/>
        </w:rPr>
        <w:t>STOCK-BASED COMPENSATION Equity Incentive Plans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2020 Equity Incentive Plan</w:t>
      </w:r>
    </w:p>
    <w:p>
      <w:pPr>
        <w:spacing w:after="0" w:line="125" w:lineRule="exact"/>
        <w:rPr>
          <w:sz w:val="20"/>
          <w:szCs w:val="20"/>
          <w:color w:val="auto"/>
        </w:rPr>
      </w:pPr>
    </w:p>
    <w:p>
      <w:pPr>
        <w:ind w:right="80" w:firstLine="475"/>
        <w:spacing w:after="0" w:line="221" w:lineRule="exact"/>
        <w:rPr>
          <w:sz w:val="20"/>
          <w:szCs w:val="20"/>
          <w:color w:val="auto"/>
        </w:rPr>
      </w:pPr>
      <w:r>
        <w:rPr>
          <w:rFonts w:ascii="Arial" w:cs="Arial" w:eastAsia="Arial" w:hAnsi="Arial"/>
          <w:sz w:val="19"/>
          <w:szCs w:val="19"/>
          <w:b w:val="1"/>
          <w:bCs w:val="1"/>
          <w:color w:val="231F20"/>
        </w:rPr>
        <w:t>On April 1, 2020, the board of directors (the Board) approved a new equity incentive plan, or the 2020 Equity Incentive Plan, that replaced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existing equity compensation plan, 2015 Share Award Scheme. The 2020 Equity Incentive Plan permitted the issuance of up to 4,379,139 shares of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common stock pursuant to awards granted under it, and authorized the award of stock options, restricted stock awards, stock appreciation rights and restricted stock units to employees, directors, and consultants.</w:t>
      </w:r>
    </w:p>
    <w:p>
      <w:pPr>
        <w:spacing w:after="0" w:line="203"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Amended and Restated 2020 Equity Incentive Plan</w:t>
      </w:r>
    </w:p>
    <w:p>
      <w:pPr>
        <w:spacing w:after="0" w:line="125" w:lineRule="exact"/>
        <w:rPr>
          <w:sz w:val="20"/>
          <w:szCs w:val="20"/>
          <w:color w:val="auto"/>
        </w:rPr>
      </w:pPr>
    </w:p>
    <w:p>
      <w:pPr>
        <w:ind w:right="160" w:firstLine="475"/>
        <w:spacing w:after="0" w:line="221" w:lineRule="exact"/>
        <w:rPr>
          <w:sz w:val="20"/>
          <w:szCs w:val="20"/>
          <w:color w:val="auto"/>
        </w:rPr>
      </w:pPr>
      <w:r>
        <w:rPr>
          <w:rFonts w:ascii="Arial" w:cs="Arial" w:eastAsia="Arial" w:hAnsi="Arial"/>
          <w:sz w:val="19"/>
          <w:szCs w:val="19"/>
          <w:b w:val="1"/>
          <w:bCs w:val="1"/>
          <w:color w:val="231F20"/>
        </w:rPr>
        <w:t>In July 2020, the Company adopted the Amended and Restated 2020 Equity Incentive Plan, or the 2020 Plan. The 2020 Plan replaced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2020 Equity Incentive Plan and a total of 7,874,862 shares were reserved under the 2020 Plan. Unless the Board provides otherwise, beginning on January 1, 2021, the maximum number of shares which shall be made available for issuance under the 2020 Plan will automatically increase on the first day in January of each calendar year (i.e., the first day of our fiscal year) by an amount equal to the least of:</w:t>
      </w:r>
    </w:p>
    <w:p>
      <w:pPr>
        <w:spacing w:after="0" w:line="124" w:lineRule="exact"/>
        <w:rPr>
          <w:sz w:val="20"/>
          <w:szCs w:val="20"/>
          <w:color w:val="auto"/>
        </w:rPr>
      </w:pPr>
    </w:p>
    <w:p>
      <w:pPr>
        <w:ind w:left="1180" w:hanging="394"/>
        <w:spacing w:after="0"/>
        <w:tabs>
          <w:tab w:leader="none" w:pos="1180" w:val="left"/>
        </w:tabs>
        <w:numPr>
          <w:ilvl w:val="0"/>
          <w:numId w:val="16"/>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4,000,000 shares;</w:t>
      </w:r>
    </w:p>
    <w:p>
      <w:pPr>
        <w:spacing w:after="0" w:line="142" w:lineRule="exact"/>
        <w:rPr>
          <w:rFonts w:ascii="PMingLiU" w:cs="PMingLiU" w:eastAsia="PMingLiU" w:hAnsi="PMingLiU"/>
          <w:sz w:val="19"/>
          <w:szCs w:val="19"/>
          <w:b w:val="1"/>
          <w:bCs w:val="1"/>
          <w:color w:val="231F20"/>
        </w:rPr>
      </w:pPr>
    </w:p>
    <w:p>
      <w:pPr>
        <w:ind w:left="1180" w:hanging="394"/>
        <w:spacing w:after="0"/>
        <w:tabs>
          <w:tab w:leader="none" w:pos="1180" w:val="left"/>
        </w:tabs>
        <w:numPr>
          <w:ilvl w:val="0"/>
          <w:numId w:val="16"/>
        </w:numPr>
        <w:rPr>
          <w:rFonts w:ascii="PMingLiU" w:cs="PMingLiU" w:eastAsia="PMingLiU" w:hAnsi="PMingLiU"/>
          <w:sz w:val="16"/>
          <w:szCs w:val="16"/>
          <w:b w:val="1"/>
          <w:bCs w:val="1"/>
          <w:color w:val="231F20"/>
        </w:rPr>
      </w:pPr>
      <w:r>
        <w:rPr>
          <w:rFonts w:ascii="Arial" w:cs="Arial" w:eastAsia="Arial" w:hAnsi="Arial"/>
          <w:sz w:val="16"/>
          <w:szCs w:val="16"/>
          <w:b w:val="1"/>
          <w:bCs w:val="1"/>
          <w:color w:val="231F20"/>
        </w:rPr>
        <w:t>four percent of the outstanding shares of our common stock on the last day of our immediately preceding fiscal year; or</w:t>
      </w:r>
    </w:p>
    <w:p>
      <w:pPr>
        <w:spacing w:after="0" w:line="158" w:lineRule="exact"/>
        <w:rPr>
          <w:rFonts w:ascii="PMingLiU" w:cs="PMingLiU" w:eastAsia="PMingLiU" w:hAnsi="PMingLiU"/>
          <w:sz w:val="16"/>
          <w:szCs w:val="16"/>
          <w:b w:val="1"/>
          <w:bCs w:val="1"/>
          <w:color w:val="231F20"/>
        </w:rPr>
      </w:pPr>
    </w:p>
    <w:p>
      <w:pPr>
        <w:ind w:left="1180" w:right="120" w:hanging="394"/>
        <w:spacing w:after="0" w:line="233" w:lineRule="auto"/>
        <w:tabs>
          <w:tab w:leader="none" w:pos="1180" w:val="left"/>
        </w:tabs>
        <w:numPr>
          <w:ilvl w:val="0"/>
          <w:numId w:val="16"/>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such number of shares as our board of directors may determine no later than the last day of our immediately preceding fiscal year.</w:t>
      </w:r>
    </w:p>
    <w:p>
      <w:pPr>
        <w:spacing w:after="0" w:line="126" w:lineRule="exact"/>
        <w:rPr>
          <w:sz w:val="20"/>
          <w:szCs w:val="20"/>
          <w:color w:val="auto"/>
        </w:rPr>
      </w:pPr>
    </w:p>
    <w:p>
      <w:pPr>
        <w:ind w:right="40" w:firstLine="475"/>
        <w:spacing w:after="0" w:line="222" w:lineRule="exact"/>
        <w:rPr>
          <w:sz w:val="20"/>
          <w:szCs w:val="20"/>
          <w:color w:val="auto"/>
        </w:rPr>
      </w:pPr>
      <w:r>
        <w:rPr>
          <w:rFonts w:ascii="Arial" w:cs="Arial" w:eastAsia="Arial" w:hAnsi="Arial"/>
          <w:sz w:val="18"/>
          <w:szCs w:val="18"/>
          <w:b w:val="1"/>
          <w:bCs w:val="1"/>
          <w:color w:val="231F20"/>
        </w:rPr>
        <w:t>The terms of the stock option agreements, including vesting requirements, are determined by the Board, subject to the provisions of the 2020 Plan. The term of the options generally expire, upon the earliest of (i) termination of continuous service for cause (ii) three months after the termination of continuous service for reasons other than cause, death or disability (iii) twelve months after the termination of continuous service due to disability (iv) eighteen months after the employee</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death if the employee died during the period of continuous service (v) expiration date in the grant notice or (vi) the day before the tenth anniversary of the date of grant. The per share exercise price of the incentive stock options must equal at least the fair market value of a share underlying such options on the date of grant.</w:t>
      </w:r>
    </w:p>
    <w:p>
      <w:pPr>
        <w:sectPr>
          <w:pgSz w:w="12240" w:h="15840" w:orient="portrait"/>
          <w:cols w:equalWidth="0" w:num="1">
            <w:col w:w="10480"/>
          </w:cols>
          <w:pgMar w:left="880" w:top="1160" w:right="880" w:bottom="4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31F20"/>
        </w:rPr>
        <w:t>112</w:t>
      </w:r>
    </w:p>
    <w:p>
      <w:pPr>
        <w:sectPr>
          <w:pgSz w:w="12240" w:h="15840" w:orient="portrait"/>
          <w:cols w:equalWidth="0" w:num="1">
            <w:col w:w="10480"/>
          </w:cols>
          <w:pgMar w:left="880" w:top="1160" w:right="880" w:bottom="401" w:gutter="0" w:footer="0" w:header="0"/>
          <w:type w:val="continuous"/>
        </w:sectPr>
      </w:pPr>
    </w:p>
    <w:bookmarkStart w:id="120" w:name="page121"/>
    <w:bookmarkEnd w:id="120"/>
    <w:p>
      <w:pPr>
        <w:ind w:right="120" w:firstLine="475"/>
        <w:spacing w:after="0" w:line="223" w:lineRule="exact"/>
        <w:rPr>
          <w:sz w:val="20"/>
          <w:szCs w:val="20"/>
          <w:color w:val="auto"/>
        </w:rPr>
      </w:pPr>
      <w:r>
        <w:rPr>
          <w:rFonts w:ascii="Arial" w:cs="Arial" w:eastAsia="Arial" w:hAnsi="Arial"/>
          <w:sz w:val="17"/>
          <w:szCs w:val="17"/>
          <w:b w:val="1"/>
          <w:bCs w:val="1"/>
          <w:color w:val="231F20"/>
        </w:rPr>
        <w:t>All awards that are canceled, forfeited or expired are returned to the 2020 Plan and are available for grant in conjunction with the issuance of new awards. Stock options granted are exercisable over a maximum term of 10 years from the date of grant and generally vest over an agreed service period, usually four years. Certain stock options granted under the 2020 Plan provide option holders the right to elect to exercise unvested options in exchange for common stock. Such unvested common stock is subject to a repurchase right held by the Company at the original issuance price in the event the optionee</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service to the Company is terminated either voluntarily or involuntarily. The right lapses as the underlying repurchase right expires. These repurchase terms are considered to be a forfeiture provision. The cash received from employees for exercise of unvested options is treated as a refundable deposit and is classified as a liability on the consolidated balance sheets. At December 31, 2024, there was no such unvested early exercised options and related liability.</w:t>
      </w:r>
    </w:p>
    <w:p>
      <w:pPr>
        <w:spacing w:after="0" w:line="238"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Shares Available for Grant</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The following table provides a summary of shares available for grant under the 2020 Plan: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60" w:type="dxa"/>
            <w:vAlign w:val="bottom"/>
          </w:tcPr>
          <w:p>
            <w:pPr>
              <w:spacing w:after="0"/>
              <w:rPr>
                <w:sz w:val="17"/>
                <w:szCs w:val="17"/>
                <w:color w:val="auto"/>
              </w:rPr>
            </w:pPr>
          </w:p>
        </w:tc>
        <w:tc>
          <w:tcPr>
            <w:tcW w:w="27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231F20"/>
                <w:w w:val="87"/>
              </w:rPr>
              <w:t>Amended and Restated 2020 Equity</w:t>
            </w:r>
          </w:p>
        </w:tc>
      </w:tr>
      <w:tr>
        <w:trPr>
          <w:trHeight w:val="202"/>
        </w:trPr>
        <w:tc>
          <w:tcPr>
            <w:tcW w:w="7660" w:type="dxa"/>
            <w:vAlign w:val="bottom"/>
          </w:tcPr>
          <w:p>
            <w:pPr>
              <w:spacing w:after="0"/>
              <w:rPr>
                <w:sz w:val="17"/>
                <w:szCs w:val="17"/>
                <w:color w:val="auto"/>
              </w:rPr>
            </w:pPr>
          </w:p>
        </w:tc>
        <w:tc>
          <w:tcPr>
            <w:tcW w:w="2780" w:type="dxa"/>
            <w:vAlign w:val="bottom"/>
            <w:gridSpan w:val="2"/>
          </w:tcPr>
          <w:p>
            <w:pPr>
              <w:jc w:val="right"/>
              <w:ind w:right="900"/>
              <w:spacing w:after="0" w:line="201" w:lineRule="exact"/>
              <w:rPr>
                <w:sz w:val="20"/>
                <w:szCs w:val="20"/>
                <w:color w:val="auto"/>
              </w:rPr>
            </w:pPr>
            <w:r>
              <w:rPr>
                <w:rFonts w:ascii="Arial" w:cs="Arial" w:eastAsia="Arial" w:hAnsi="Arial"/>
                <w:sz w:val="18"/>
                <w:szCs w:val="18"/>
                <w:b w:val="1"/>
                <w:bCs w:val="1"/>
                <w:color w:val="231F20"/>
              </w:rPr>
              <w:t>Incentive Plan</w:t>
            </w:r>
          </w:p>
        </w:tc>
      </w:tr>
      <w:tr>
        <w:trPr>
          <w:trHeight w:val="226"/>
        </w:trPr>
        <w:tc>
          <w:tcPr>
            <w:tcW w:w="7660" w:type="dxa"/>
            <w:vAlign w:val="bottom"/>
          </w:tcPr>
          <w:p>
            <w:pPr>
              <w:spacing w:after="0"/>
              <w:rPr>
                <w:sz w:val="20"/>
                <w:szCs w:val="20"/>
                <w:color w:val="auto"/>
              </w:rPr>
            </w:pPr>
            <w:r>
              <w:rPr>
                <w:rFonts w:ascii="Arial" w:cs="Arial" w:eastAsia="Arial" w:hAnsi="Arial"/>
                <w:sz w:val="19"/>
                <w:szCs w:val="19"/>
                <w:b w:val="1"/>
                <w:bCs w:val="1"/>
                <w:color w:val="231F20"/>
              </w:rPr>
              <w:t>Shares available for grant at December 31, 2023</w:t>
            </w:r>
          </w:p>
        </w:tc>
        <w:tc>
          <w:tcPr>
            <w:tcW w:w="2720" w:type="dxa"/>
            <w:vAlign w:val="bottom"/>
            <w:tcBorders>
              <w:top w:val="single" w:sz="8" w:color="231F20"/>
            </w:tcBorders>
          </w:tcPr>
          <w:p>
            <w:pPr>
              <w:jc w:val="right"/>
              <w:spacing w:after="0"/>
              <w:rPr>
                <w:sz w:val="20"/>
                <w:szCs w:val="20"/>
                <w:color w:val="auto"/>
              </w:rPr>
            </w:pPr>
            <w:r>
              <w:rPr>
                <w:rFonts w:ascii="Arial" w:cs="Arial" w:eastAsia="Arial" w:hAnsi="Arial"/>
                <w:sz w:val="19"/>
                <w:szCs w:val="19"/>
                <w:b w:val="1"/>
                <w:bCs w:val="1"/>
                <w:color w:val="231F20"/>
              </w:rPr>
              <w:t>1,305,386</w:t>
            </w:r>
          </w:p>
        </w:tc>
        <w:tc>
          <w:tcPr>
            <w:tcW w:w="60" w:type="dxa"/>
            <w:vAlign w:val="bottom"/>
          </w:tcPr>
          <w:p>
            <w:pPr>
              <w:spacing w:after="0"/>
              <w:rPr>
                <w:sz w:val="19"/>
                <w:szCs w:val="19"/>
                <w:color w:val="auto"/>
              </w:rPr>
            </w:pPr>
          </w:p>
        </w:tc>
      </w:tr>
      <w:tr>
        <w:trPr>
          <w:trHeight w:val="238"/>
        </w:trPr>
        <w:tc>
          <w:tcPr>
            <w:tcW w:w="7660" w:type="dxa"/>
            <w:vAlign w:val="bottom"/>
          </w:tcPr>
          <w:p>
            <w:pPr>
              <w:ind w:left="200"/>
              <w:spacing w:after="0"/>
              <w:rPr>
                <w:sz w:val="20"/>
                <w:szCs w:val="20"/>
                <w:color w:val="auto"/>
              </w:rPr>
            </w:pPr>
            <w:r>
              <w:rPr>
                <w:rFonts w:ascii="Arial" w:cs="Arial" w:eastAsia="Arial" w:hAnsi="Arial"/>
                <w:sz w:val="19"/>
                <w:szCs w:val="19"/>
                <w:b w:val="1"/>
                <w:bCs w:val="1"/>
                <w:color w:val="231F20"/>
              </w:rPr>
              <w:t>Authorized</w:t>
            </w:r>
          </w:p>
        </w:tc>
        <w:tc>
          <w:tcPr>
            <w:tcW w:w="2720" w:type="dxa"/>
            <w:vAlign w:val="bottom"/>
          </w:tcPr>
          <w:p>
            <w:pPr>
              <w:jc w:val="right"/>
              <w:spacing w:after="0"/>
              <w:rPr>
                <w:sz w:val="20"/>
                <w:szCs w:val="20"/>
                <w:color w:val="auto"/>
              </w:rPr>
            </w:pPr>
            <w:r>
              <w:rPr>
                <w:rFonts w:ascii="Arial" w:cs="Arial" w:eastAsia="Arial" w:hAnsi="Arial"/>
                <w:sz w:val="19"/>
                <w:szCs w:val="19"/>
                <w:b w:val="1"/>
                <w:bCs w:val="1"/>
                <w:color w:val="231F20"/>
              </w:rPr>
              <w:t>1,998,080</w:t>
            </w:r>
          </w:p>
        </w:tc>
        <w:tc>
          <w:tcPr>
            <w:tcW w:w="60" w:type="dxa"/>
            <w:vAlign w:val="bottom"/>
          </w:tcPr>
          <w:p>
            <w:pPr>
              <w:spacing w:after="0"/>
              <w:rPr>
                <w:sz w:val="20"/>
                <w:szCs w:val="20"/>
                <w:color w:val="auto"/>
              </w:rPr>
            </w:pPr>
          </w:p>
        </w:tc>
      </w:tr>
      <w:tr>
        <w:trPr>
          <w:trHeight w:val="235"/>
        </w:trPr>
        <w:tc>
          <w:tcPr>
            <w:tcW w:w="7660" w:type="dxa"/>
            <w:vAlign w:val="bottom"/>
          </w:tcPr>
          <w:p>
            <w:pPr>
              <w:ind w:left="200"/>
              <w:spacing w:after="0"/>
              <w:rPr>
                <w:sz w:val="20"/>
                <w:szCs w:val="20"/>
                <w:color w:val="auto"/>
              </w:rPr>
            </w:pPr>
            <w:r>
              <w:rPr>
                <w:rFonts w:ascii="Arial" w:cs="Arial" w:eastAsia="Arial" w:hAnsi="Arial"/>
                <w:sz w:val="19"/>
                <w:szCs w:val="19"/>
                <w:b w:val="1"/>
                <w:bCs w:val="1"/>
                <w:color w:val="231F20"/>
              </w:rPr>
              <w:t>Granted</w:t>
            </w:r>
          </w:p>
        </w:tc>
        <w:tc>
          <w:tcPr>
            <w:tcW w:w="2780" w:type="dxa"/>
            <w:vAlign w:val="bottom"/>
            <w:gridSpan w:val="2"/>
          </w:tcPr>
          <w:p>
            <w:pPr>
              <w:jc w:val="right"/>
              <w:spacing w:after="0"/>
              <w:rPr>
                <w:sz w:val="20"/>
                <w:szCs w:val="20"/>
                <w:color w:val="auto"/>
              </w:rPr>
            </w:pPr>
            <w:r>
              <w:rPr>
                <w:rFonts w:ascii="Arial" w:cs="Arial" w:eastAsia="Arial" w:hAnsi="Arial"/>
                <w:sz w:val="19"/>
                <w:szCs w:val="19"/>
                <w:b w:val="1"/>
                <w:bCs w:val="1"/>
                <w:color w:val="231F20"/>
              </w:rPr>
              <w:t>(5,945,545)</w:t>
            </w:r>
          </w:p>
        </w:tc>
      </w:tr>
      <w:tr>
        <w:trPr>
          <w:trHeight w:val="237"/>
        </w:trPr>
        <w:tc>
          <w:tcPr>
            <w:tcW w:w="7660" w:type="dxa"/>
            <w:vAlign w:val="bottom"/>
          </w:tcPr>
          <w:p>
            <w:pPr>
              <w:ind w:left="200"/>
              <w:spacing w:after="0"/>
              <w:rPr>
                <w:sz w:val="20"/>
                <w:szCs w:val="20"/>
                <w:color w:val="auto"/>
              </w:rPr>
            </w:pPr>
            <w:r>
              <w:rPr>
                <w:rFonts w:ascii="Arial" w:cs="Arial" w:eastAsia="Arial" w:hAnsi="Arial"/>
                <w:sz w:val="19"/>
                <w:szCs w:val="19"/>
                <w:b w:val="1"/>
                <w:bCs w:val="1"/>
                <w:color w:val="231F20"/>
              </w:rPr>
              <w:t>Canceled/forfeited</w:t>
            </w:r>
          </w:p>
        </w:tc>
        <w:tc>
          <w:tcPr>
            <w:tcW w:w="272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3,284,636</w:t>
            </w:r>
          </w:p>
        </w:tc>
        <w:tc>
          <w:tcPr>
            <w:tcW w:w="60" w:type="dxa"/>
            <w:vAlign w:val="bottom"/>
          </w:tcPr>
          <w:p>
            <w:pPr>
              <w:spacing w:after="0"/>
              <w:rPr>
                <w:sz w:val="20"/>
                <w:szCs w:val="20"/>
                <w:color w:val="auto"/>
              </w:rPr>
            </w:pPr>
          </w:p>
        </w:tc>
      </w:tr>
      <w:tr>
        <w:trPr>
          <w:trHeight w:val="225"/>
        </w:trPr>
        <w:tc>
          <w:tcPr>
            <w:tcW w:w="7660" w:type="dxa"/>
            <w:vAlign w:val="bottom"/>
          </w:tcPr>
          <w:p>
            <w:pPr>
              <w:spacing w:after="0"/>
              <w:rPr>
                <w:sz w:val="20"/>
                <w:szCs w:val="20"/>
                <w:color w:val="auto"/>
              </w:rPr>
            </w:pPr>
            <w:r>
              <w:rPr>
                <w:rFonts w:ascii="Arial" w:cs="Arial" w:eastAsia="Arial" w:hAnsi="Arial"/>
                <w:sz w:val="19"/>
                <w:szCs w:val="19"/>
                <w:b w:val="1"/>
                <w:bCs w:val="1"/>
                <w:color w:val="231F20"/>
              </w:rPr>
              <w:t>Shares available for grant at December 31, 2024</w:t>
            </w:r>
          </w:p>
        </w:tc>
        <w:tc>
          <w:tcPr>
            <w:tcW w:w="2720" w:type="dxa"/>
            <w:vAlign w:val="bottom"/>
          </w:tcPr>
          <w:p>
            <w:pPr>
              <w:jc w:val="right"/>
              <w:spacing w:after="0"/>
              <w:rPr>
                <w:sz w:val="20"/>
                <w:szCs w:val="20"/>
                <w:color w:val="auto"/>
              </w:rPr>
            </w:pPr>
            <w:r>
              <w:rPr>
                <w:rFonts w:ascii="Arial" w:cs="Arial" w:eastAsia="Arial" w:hAnsi="Arial"/>
                <w:sz w:val="19"/>
                <w:szCs w:val="19"/>
                <w:b w:val="1"/>
                <w:bCs w:val="1"/>
                <w:color w:val="231F20"/>
              </w:rPr>
              <w:t>642,557</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4850765</wp:posOffset>
            </wp:positionH>
            <wp:positionV relativeFrom="paragraph">
              <wp:posOffset>-11430</wp:posOffset>
            </wp:positionV>
            <wp:extent cx="1750695" cy="5588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750695" cy="55880"/>
                    </a:xfrm>
                    <a:prstGeom prst="rect">
                      <a:avLst/>
                    </a:prstGeom>
                    <a:noFill/>
                  </pic:spPr>
                </pic:pic>
              </a:graphicData>
            </a:graphic>
          </wp:anchor>
        </w:drawing>
      </w:r>
    </w:p>
    <w:p>
      <w:pPr>
        <w:spacing w:after="0" w:line="263"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Stock Option Exchange</w:t>
      </w:r>
    </w:p>
    <w:p>
      <w:pPr>
        <w:spacing w:after="0" w:line="125" w:lineRule="exact"/>
        <w:rPr>
          <w:sz w:val="20"/>
          <w:szCs w:val="20"/>
          <w:color w:val="auto"/>
        </w:rPr>
      </w:pPr>
    </w:p>
    <w:p>
      <w:pPr>
        <w:ind w:firstLine="475"/>
        <w:spacing w:after="0" w:line="222" w:lineRule="exact"/>
        <w:rPr>
          <w:sz w:val="20"/>
          <w:szCs w:val="20"/>
          <w:color w:val="auto"/>
        </w:rPr>
      </w:pPr>
      <w:r>
        <w:rPr>
          <w:rFonts w:ascii="Arial" w:cs="Arial" w:eastAsia="Arial" w:hAnsi="Arial"/>
          <w:sz w:val="17"/>
          <w:szCs w:val="17"/>
          <w:b w:val="1"/>
          <w:bCs w:val="1"/>
          <w:color w:val="231F20"/>
        </w:rPr>
        <w:t>On December 2, 2024, the Company commenced an offer to exchange eligible options held by eligible employees of the Company for new options (the Exchange Offer). The Exchange Offer expired on December 30, 2024. Under the Exchange Offer, the Company accepted for exchange eligible options to purchase an aggregate of 2,693,873 shares of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common stock, representing 80.3% of the total shares of common stock underlying the eligible options. On December 30, 2024, immediately following the expiration of the Exchange Offer, the exchanged options were canceled and new options to purchase 2,155,095 shares of common stock were granted at an exercise price of $1.66 per share, which was the closing price of the common stock on the Nasdaq Global Select Market on the grant date of the new options. The number of options canceled and subsequently granted in the Exchange Offer was included in the shares available for grant summary table above under canceled/forfeited and granted respectively. The new options are subject to a new vesting schedule, vesting in equal monthly installments following the new option grant date for the longer of (a) 30 months or (b) the number of months remaining in the vesting schedule on the eligible option grant. Each new option has a maximum term of seven years.</w:t>
      </w:r>
    </w:p>
    <w:p>
      <w:pPr>
        <w:spacing w:after="0" w:line="131" w:lineRule="exact"/>
        <w:rPr>
          <w:sz w:val="20"/>
          <w:szCs w:val="20"/>
          <w:color w:val="auto"/>
        </w:rPr>
      </w:pPr>
    </w:p>
    <w:p>
      <w:pPr>
        <w:jc w:val="both"/>
        <w:ind w:right="120" w:firstLine="475"/>
        <w:spacing w:after="0" w:line="310" w:lineRule="auto"/>
        <w:rPr>
          <w:sz w:val="20"/>
          <w:szCs w:val="20"/>
          <w:color w:val="auto"/>
        </w:rPr>
      </w:pPr>
      <w:r>
        <w:rPr>
          <w:rFonts w:ascii="Arial" w:cs="Arial" w:eastAsia="Arial" w:hAnsi="Arial"/>
          <w:sz w:val="16"/>
          <w:szCs w:val="16"/>
          <w:b w:val="1"/>
          <w:bCs w:val="1"/>
          <w:color w:val="231F20"/>
        </w:rPr>
        <w:t>The exchange of stock options was treated as a modification for accounting purposes. The incremental expense of $0.6 million for the modified options was calculated using the Black-Scholes option pricing model. The incremental expense and the unamortized expense remaining on the exchanged options as of the modification date are being recognized over the new vesting service period.</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Employee Stock Purchase Plan</w:t>
      </w:r>
    </w:p>
    <w:p>
      <w:pPr>
        <w:spacing w:after="0" w:line="125" w:lineRule="exact"/>
        <w:rPr>
          <w:sz w:val="20"/>
          <w:szCs w:val="20"/>
          <w:color w:val="auto"/>
        </w:rPr>
      </w:pPr>
    </w:p>
    <w:p>
      <w:pPr>
        <w:ind w:firstLine="475"/>
        <w:spacing w:after="0" w:line="222" w:lineRule="exact"/>
        <w:rPr>
          <w:sz w:val="20"/>
          <w:szCs w:val="20"/>
          <w:color w:val="auto"/>
        </w:rPr>
      </w:pPr>
      <w:r>
        <w:rPr>
          <w:rFonts w:ascii="Arial" w:cs="Arial" w:eastAsia="Arial" w:hAnsi="Arial"/>
          <w:sz w:val="18"/>
          <w:szCs w:val="18"/>
          <w:b w:val="1"/>
          <w:bCs w:val="1"/>
          <w:color w:val="231F20"/>
        </w:rPr>
        <w:t>In July 2020, the Board and stockholders approved the ALX Oncology Holdings Inc. 2020 Employee Stock Purchase Plan, or the ESPP. The ESPP allows eligible employees to have up to 15 percent of their eligible compensation withheld and used to purchase common stock, subject to a maximum of $25,000 worth of stock purchased in a calendar year or no more than 3,000 shares in an offering period, whichever is less. An offering period consists of a six-month purchase period, with a look back feature to our stock price at the commencement of the offering period. Eligible employees can purchase the Company</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common stock at the end of the offering period at 85% of the lower of the closing price of our common stock on The Nasdaq Global Select Market on the first and last day of the offering period.</w:t>
      </w:r>
    </w:p>
    <w:p>
      <w:pPr>
        <w:spacing w:after="0" w:line="126" w:lineRule="exact"/>
        <w:rPr>
          <w:sz w:val="20"/>
          <w:szCs w:val="20"/>
          <w:color w:val="auto"/>
        </w:rPr>
      </w:pPr>
    </w:p>
    <w:p>
      <w:pPr>
        <w:ind w:right="120" w:firstLine="475"/>
        <w:spacing w:after="0" w:line="243" w:lineRule="auto"/>
        <w:rPr>
          <w:sz w:val="20"/>
          <w:szCs w:val="20"/>
          <w:color w:val="auto"/>
        </w:rPr>
      </w:pPr>
      <w:r>
        <w:rPr>
          <w:rFonts w:ascii="Arial" w:cs="Arial" w:eastAsia="Arial" w:hAnsi="Arial"/>
          <w:sz w:val="19"/>
          <w:szCs w:val="19"/>
          <w:b w:val="1"/>
          <w:bCs w:val="1"/>
          <w:color w:val="231F20"/>
        </w:rPr>
        <w:t>The initial number of shares of common stock available for issuance under the ESPP was 400,000. Unless the Board provides otherwise, beginning on January 1, 2021, the maximum number of shares which shall be made available for sale under the ESPP will automatically increase on the first day in January of each calendar year (i.e., the first day of our fiscal year) during the term of the ESPP by an amount equal to the least of:</w:t>
      </w:r>
    </w:p>
    <w:p>
      <w:pPr>
        <w:spacing w:after="0" w:line="123" w:lineRule="exact"/>
        <w:rPr>
          <w:sz w:val="20"/>
          <w:szCs w:val="20"/>
          <w:color w:val="auto"/>
        </w:rPr>
      </w:pPr>
    </w:p>
    <w:p>
      <w:pPr>
        <w:ind w:left="1180" w:hanging="392"/>
        <w:spacing w:after="0"/>
        <w:tabs>
          <w:tab w:leader="none" w:pos="1180" w:val="left"/>
        </w:tabs>
        <w:numPr>
          <w:ilvl w:val="0"/>
          <w:numId w:val="17"/>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800,000 shares;</w:t>
      </w:r>
    </w:p>
    <w:p>
      <w:pPr>
        <w:spacing w:after="0" w:line="139" w:lineRule="exact"/>
        <w:rPr>
          <w:rFonts w:ascii="PMingLiU" w:cs="PMingLiU" w:eastAsia="PMingLiU" w:hAnsi="PMingLiU"/>
          <w:sz w:val="19"/>
          <w:szCs w:val="19"/>
          <w:b w:val="1"/>
          <w:bCs w:val="1"/>
          <w:color w:val="231F20"/>
        </w:rPr>
      </w:pPr>
    </w:p>
    <w:p>
      <w:pPr>
        <w:ind w:left="1180" w:hanging="392"/>
        <w:spacing w:after="0"/>
        <w:tabs>
          <w:tab w:leader="none" w:pos="1180" w:val="left"/>
        </w:tabs>
        <w:numPr>
          <w:ilvl w:val="0"/>
          <w:numId w:val="17"/>
        </w:numPr>
        <w:rPr>
          <w:rFonts w:ascii="PMingLiU" w:cs="PMingLiU" w:eastAsia="PMingLiU" w:hAnsi="PMingLiU"/>
          <w:sz w:val="16"/>
          <w:szCs w:val="16"/>
          <w:b w:val="1"/>
          <w:bCs w:val="1"/>
          <w:color w:val="231F20"/>
        </w:rPr>
      </w:pPr>
      <w:r>
        <w:rPr>
          <w:rFonts w:ascii="Arial" w:cs="Arial" w:eastAsia="Arial" w:hAnsi="Arial"/>
          <w:sz w:val="16"/>
          <w:szCs w:val="16"/>
          <w:b w:val="1"/>
          <w:bCs w:val="1"/>
          <w:color w:val="231F20"/>
        </w:rPr>
        <w:t>one percent of the outstanding shares of our common stock on the last day of our immediately preceding fiscal year; or</w:t>
      </w:r>
    </w:p>
    <w:p>
      <w:pPr>
        <w:spacing w:after="0" w:line="158" w:lineRule="exact"/>
        <w:rPr>
          <w:rFonts w:ascii="PMingLiU" w:cs="PMingLiU" w:eastAsia="PMingLiU" w:hAnsi="PMingLiU"/>
          <w:sz w:val="16"/>
          <w:szCs w:val="16"/>
          <w:b w:val="1"/>
          <w:bCs w:val="1"/>
          <w:color w:val="231F20"/>
        </w:rPr>
      </w:pPr>
    </w:p>
    <w:p>
      <w:pPr>
        <w:ind w:left="1180" w:right="100" w:hanging="392"/>
        <w:spacing w:after="0" w:line="233" w:lineRule="auto"/>
        <w:tabs>
          <w:tab w:leader="none" w:pos="1180" w:val="left"/>
        </w:tabs>
        <w:numPr>
          <w:ilvl w:val="0"/>
          <w:numId w:val="17"/>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such number of shares as our board of directors may determine no later than the last day of our immediately preceding fiscal year.</w:t>
      </w:r>
    </w:p>
    <w:p>
      <w:pPr>
        <w:sectPr>
          <w:pgSz w:w="12240" w:h="15840" w:orient="portrait"/>
          <w:cols w:equalWidth="0" w:num="1">
            <w:col w:w="10460"/>
          </w:cols>
          <w:pgMar w:left="880" w:top="1165" w:right="900" w:bottom="4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31F20"/>
        </w:rPr>
        <w:t>113</w:t>
      </w:r>
    </w:p>
    <w:p>
      <w:pPr>
        <w:sectPr>
          <w:pgSz w:w="12240" w:h="15840" w:orient="portrait"/>
          <w:cols w:equalWidth="0" w:num="1">
            <w:col w:w="10460"/>
          </w:cols>
          <w:pgMar w:left="880" w:top="1165" w:right="900" w:bottom="401" w:gutter="0" w:footer="0" w:header="0"/>
          <w:type w:val="continuous"/>
        </w:sectPr>
      </w:pPr>
    </w:p>
    <w:bookmarkStart w:id="121" w:name="page122"/>
    <w:bookmarkEnd w:id="121"/>
    <w:p>
      <w:pPr>
        <w:ind w:right="80" w:firstLine="475"/>
        <w:spacing w:after="0" w:line="242" w:lineRule="auto"/>
        <w:rPr>
          <w:sz w:val="20"/>
          <w:szCs w:val="20"/>
          <w:color w:val="auto"/>
        </w:rPr>
      </w:pPr>
      <w:r>
        <w:rPr>
          <w:rFonts w:ascii="Arial" w:cs="Arial" w:eastAsia="Arial" w:hAnsi="Arial"/>
          <w:sz w:val="19"/>
          <w:szCs w:val="19"/>
          <w:b w:val="1"/>
          <w:bCs w:val="1"/>
          <w:color w:val="231F20"/>
        </w:rPr>
        <w:t>On January 1, 2024 and 2023, the number of shares available under the ESPP was increased by zero. As of December 31, 2024, 230,065 shares of common stock have been purchased under the ESPP, and the number of shares of common stock available for issuance under the ESPP was 974,251.</w:t>
      </w:r>
    </w:p>
    <w:p>
      <w:pPr>
        <w:spacing w:after="0" w:line="236"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Stock Option Activity</w:t>
      </w:r>
    </w:p>
    <w:p>
      <w:pPr>
        <w:spacing w:after="0" w:line="122"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The following table provides a summary of stock option activity under the 2020 Plan and related information: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060" w:type="dxa"/>
            <w:vAlign w:val="bottom"/>
          </w:tcPr>
          <w:p>
            <w:pPr>
              <w:spacing w:after="0"/>
              <w:rPr>
                <w:sz w:val="18"/>
                <w:szCs w:val="18"/>
                <w:color w:val="auto"/>
              </w:rPr>
            </w:pPr>
          </w:p>
        </w:tc>
        <w:tc>
          <w:tcPr>
            <w:tcW w:w="1420" w:type="dxa"/>
            <w:vAlign w:val="bottom"/>
            <w:tcBorders>
              <w:bottom w:val="single" w:sz="8" w:color="231F20"/>
            </w:tcBorders>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2800" w:type="dxa"/>
            <w:vAlign w:val="bottom"/>
            <w:tcBorders>
              <w:bottom w:val="single" w:sz="8" w:color="231F20"/>
            </w:tcBorders>
            <w:gridSpan w:val="3"/>
          </w:tcPr>
          <w:p>
            <w:pPr>
              <w:jc w:val="right"/>
              <w:ind w:right="652"/>
              <w:spacing w:after="0"/>
              <w:rPr>
                <w:sz w:val="20"/>
                <w:szCs w:val="20"/>
                <w:color w:val="auto"/>
              </w:rPr>
            </w:pPr>
            <w:r>
              <w:rPr>
                <w:rFonts w:ascii="Arial" w:cs="Arial" w:eastAsia="Arial" w:hAnsi="Arial"/>
                <w:sz w:val="18"/>
                <w:szCs w:val="18"/>
                <w:b w:val="1"/>
                <w:bCs w:val="1"/>
                <w:color w:val="231F20"/>
              </w:rPr>
              <w:t>Outstanding Options</w:t>
            </w:r>
          </w:p>
        </w:tc>
        <w:tc>
          <w:tcPr>
            <w:tcW w:w="260" w:type="dxa"/>
            <w:vAlign w:val="bottom"/>
            <w:tcBorders>
              <w:bottom w:val="single" w:sz="8" w:color="231F20"/>
            </w:tcBorders>
          </w:tcPr>
          <w:p>
            <w:pPr>
              <w:spacing w:after="0"/>
              <w:rPr>
                <w:sz w:val="18"/>
                <w:szCs w:val="18"/>
                <w:color w:val="auto"/>
              </w:rPr>
            </w:pPr>
          </w:p>
        </w:tc>
        <w:tc>
          <w:tcPr>
            <w:tcW w:w="120" w:type="dxa"/>
            <w:vAlign w:val="bottom"/>
            <w:tcBorders>
              <w:bottom w:val="single" w:sz="8" w:color="231F20"/>
            </w:tcBorders>
          </w:tcPr>
          <w:p>
            <w:pPr>
              <w:spacing w:after="0"/>
              <w:rPr>
                <w:sz w:val="18"/>
                <w:szCs w:val="18"/>
                <w:color w:val="auto"/>
              </w:rPr>
            </w:pPr>
          </w:p>
        </w:tc>
        <w:tc>
          <w:tcPr>
            <w:tcW w:w="1260" w:type="dxa"/>
            <w:vAlign w:val="bottom"/>
            <w:tcBorders>
              <w:bottom w:val="single" w:sz="8" w:color="231F20"/>
            </w:tcBorders>
          </w:tcPr>
          <w:p>
            <w:pPr>
              <w:spacing w:after="0"/>
              <w:rPr>
                <w:sz w:val="18"/>
                <w:szCs w:val="18"/>
                <w:color w:val="auto"/>
              </w:rPr>
            </w:pPr>
          </w:p>
        </w:tc>
      </w:tr>
      <w:tr>
        <w:trPr>
          <w:trHeight w:val="203"/>
        </w:trPr>
        <w:tc>
          <w:tcPr>
            <w:tcW w:w="4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Arial" w:cs="Arial" w:eastAsia="Arial" w:hAnsi="Arial"/>
                <w:sz w:val="18"/>
                <w:szCs w:val="18"/>
                <w:b w:val="1"/>
                <w:bCs w:val="1"/>
                <w:color w:val="231F20"/>
                <w:w w:val="87"/>
              </w:rPr>
              <w:t>Weighted Average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2"/>
        </w:trPr>
        <w:tc>
          <w:tcPr>
            <w:tcW w:w="4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ind w:right="106"/>
              <w:spacing w:after="0" w:line="201" w:lineRule="exact"/>
              <w:rPr>
                <w:sz w:val="20"/>
                <w:szCs w:val="20"/>
                <w:color w:val="auto"/>
              </w:rPr>
            </w:pPr>
            <w:r>
              <w:rPr>
                <w:rFonts w:ascii="Arial" w:cs="Arial" w:eastAsia="Arial" w:hAnsi="Arial"/>
                <w:sz w:val="18"/>
                <w:szCs w:val="18"/>
                <w:b w:val="1"/>
                <w:bCs w:val="1"/>
                <w:color w:val="231F20"/>
                <w:w w:val="88"/>
              </w:rPr>
              <w:t>Weighted</w:t>
            </w:r>
          </w:p>
        </w:tc>
        <w:tc>
          <w:tcPr>
            <w:tcW w:w="220" w:type="dxa"/>
            <w:vAlign w:val="bottom"/>
          </w:tcPr>
          <w:p>
            <w:pPr>
              <w:spacing w:after="0"/>
              <w:rPr>
                <w:sz w:val="17"/>
                <w:szCs w:val="17"/>
                <w:color w:val="auto"/>
              </w:rPr>
            </w:pPr>
          </w:p>
        </w:tc>
        <w:tc>
          <w:tcPr>
            <w:tcW w:w="1420" w:type="dxa"/>
            <w:vAlign w:val="bottom"/>
          </w:tcPr>
          <w:p>
            <w:pPr>
              <w:jc w:val="center"/>
              <w:spacing w:after="0" w:line="201" w:lineRule="exact"/>
              <w:rPr>
                <w:sz w:val="20"/>
                <w:szCs w:val="20"/>
                <w:color w:val="auto"/>
              </w:rPr>
            </w:pPr>
            <w:r>
              <w:rPr>
                <w:rFonts w:ascii="Arial" w:cs="Arial" w:eastAsia="Arial" w:hAnsi="Arial"/>
                <w:sz w:val="18"/>
                <w:szCs w:val="18"/>
                <w:b w:val="1"/>
                <w:bCs w:val="1"/>
                <w:color w:val="231F20"/>
                <w:w w:val="89"/>
              </w:rPr>
              <w:t>Remaining</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ind w:right="48"/>
              <w:spacing w:after="0" w:line="201" w:lineRule="exact"/>
              <w:rPr>
                <w:sz w:val="20"/>
                <w:szCs w:val="20"/>
                <w:color w:val="auto"/>
              </w:rPr>
            </w:pPr>
            <w:r>
              <w:rPr>
                <w:rFonts w:ascii="Arial" w:cs="Arial" w:eastAsia="Arial" w:hAnsi="Arial"/>
                <w:sz w:val="18"/>
                <w:szCs w:val="18"/>
                <w:b w:val="1"/>
                <w:bCs w:val="1"/>
                <w:color w:val="231F20"/>
                <w:w w:val="85"/>
              </w:rPr>
              <w:t>Aggregate</w:t>
            </w:r>
          </w:p>
        </w:tc>
      </w:tr>
      <w:tr>
        <w:trPr>
          <w:trHeight w:val="202"/>
        </w:trPr>
        <w:tc>
          <w:tcPr>
            <w:tcW w:w="4060" w:type="dxa"/>
            <w:vAlign w:val="bottom"/>
          </w:tcPr>
          <w:p>
            <w:pPr>
              <w:spacing w:after="0"/>
              <w:rPr>
                <w:sz w:val="17"/>
                <w:szCs w:val="17"/>
                <w:color w:val="auto"/>
              </w:rPr>
            </w:pPr>
          </w:p>
        </w:tc>
        <w:tc>
          <w:tcPr>
            <w:tcW w:w="1680" w:type="dxa"/>
            <w:vAlign w:val="bottom"/>
            <w:gridSpan w:val="2"/>
          </w:tcPr>
          <w:p>
            <w:pPr>
              <w:jc w:val="right"/>
              <w:ind w:right="580"/>
              <w:spacing w:after="0" w:line="201" w:lineRule="exact"/>
              <w:rPr>
                <w:sz w:val="20"/>
                <w:szCs w:val="20"/>
                <w:color w:val="auto"/>
              </w:rPr>
            </w:pPr>
            <w:r>
              <w:rPr>
                <w:rFonts w:ascii="Arial" w:cs="Arial" w:eastAsia="Arial" w:hAnsi="Arial"/>
                <w:sz w:val="18"/>
                <w:szCs w:val="18"/>
                <w:b w:val="1"/>
                <w:bCs w:val="1"/>
                <w:color w:val="231F20"/>
              </w:rPr>
              <w:t>Number of</w:t>
            </w:r>
          </w:p>
        </w:tc>
        <w:tc>
          <w:tcPr>
            <w:tcW w:w="1360" w:type="dxa"/>
            <w:vAlign w:val="bottom"/>
            <w:gridSpan w:val="2"/>
          </w:tcPr>
          <w:p>
            <w:pPr>
              <w:jc w:val="center"/>
              <w:spacing w:after="0" w:line="201" w:lineRule="exact"/>
              <w:rPr>
                <w:sz w:val="20"/>
                <w:szCs w:val="20"/>
                <w:color w:val="auto"/>
              </w:rPr>
            </w:pPr>
            <w:r>
              <w:rPr>
                <w:rFonts w:ascii="Arial" w:cs="Arial" w:eastAsia="Arial" w:hAnsi="Arial"/>
                <w:sz w:val="18"/>
                <w:szCs w:val="18"/>
                <w:b w:val="1"/>
                <w:bCs w:val="1"/>
                <w:color w:val="231F20"/>
                <w:w w:val="86"/>
              </w:rPr>
              <w:t>Average Exercise</w:t>
            </w:r>
          </w:p>
        </w:tc>
        <w:tc>
          <w:tcPr>
            <w:tcW w:w="220" w:type="dxa"/>
            <w:vAlign w:val="bottom"/>
          </w:tcPr>
          <w:p>
            <w:pPr>
              <w:spacing w:after="0"/>
              <w:rPr>
                <w:sz w:val="17"/>
                <w:szCs w:val="17"/>
                <w:color w:val="auto"/>
              </w:rPr>
            </w:pPr>
          </w:p>
        </w:tc>
        <w:tc>
          <w:tcPr>
            <w:tcW w:w="1420" w:type="dxa"/>
            <w:vAlign w:val="bottom"/>
          </w:tcPr>
          <w:p>
            <w:pPr>
              <w:jc w:val="center"/>
              <w:spacing w:after="0" w:line="201" w:lineRule="exact"/>
              <w:rPr>
                <w:sz w:val="20"/>
                <w:szCs w:val="20"/>
                <w:color w:val="auto"/>
              </w:rPr>
            </w:pPr>
            <w:r>
              <w:rPr>
                <w:rFonts w:ascii="Arial" w:cs="Arial" w:eastAsia="Arial" w:hAnsi="Arial"/>
                <w:sz w:val="18"/>
                <w:szCs w:val="18"/>
                <w:b w:val="1"/>
                <w:bCs w:val="1"/>
                <w:color w:val="231F20"/>
                <w:w w:val="90"/>
              </w:rPr>
              <w:t>Contractual Life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ind w:right="48"/>
              <w:spacing w:after="0" w:line="201" w:lineRule="exact"/>
              <w:rPr>
                <w:sz w:val="20"/>
                <w:szCs w:val="20"/>
                <w:color w:val="auto"/>
              </w:rPr>
            </w:pPr>
            <w:r>
              <w:rPr>
                <w:rFonts w:ascii="Arial" w:cs="Arial" w:eastAsia="Arial" w:hAnsi="Arial"/>
                <w:sz w:val="18"/>
                <w:szCs w:val="18"/>
                <w:b w:val="1"/>
                <w:bCs w:val="1"/>
                <w:color w:val="231F20"/>
                <w:w w:val="90"/>
              </w:rPr>
              <w:t>Intrinsic Value</w:t>
            </w:r>
          </w:p>
        </w:tc>
      </w:tr>
      <w:tr>
        <w:trPr>
          <w:trHeight w:val="200"/>
        </w:trPr>
        <w:tc>
          <w:tcPr>
            <w:tcW w:w="4060" w:type="dxa"/>
            <w:vAlign w:val="bottom"/>
          </w:tcPr>
          <w:p>
            <w:pPr>
              <w:spacing w:after="0"/>
              <w:rPr>
                <w:sz w:val="17"/>
                <w:szCs w:val="17"/>
                <w:color w:val="auto"/>
              </w:rPr>
            </w:pPr>
          </w:p>
        </w:tc>
        <w:tc>
          <w:tcPr>
            <w:tcW w:w="1420" w:type="dxa"/>
            <w:vAlign w:val="bottom"/>
            <w:tcBorders>
              <w:bottom w:val="single" w:sz="8" w:color="231F20"/>
            </w:tcBorders>
          </w:tcPr>
          <w:p>
            <w:pPr>
              <w:jc w:val="right"/>
              <w:ind w:right="325"/>
              <w:spacing w:after="0" w:line="199" w:lineRule="exact"/>
              <w:rPr>
                <w:sz w:val="20"/>
                <w:szCs w:val="20"/>
                <w:color w:val="auto"/>
              </w:rPr>
            </w:pPr>
            <w:r>
              <w:rPr>
                <w:rFonts w:ascii="Arial" w:cs="Arial" w:eastAsia="Arial" w:hAnsi="Arial"/>
                <w:sz w:val="18"/>
                <w:szCs w:val="18"/>
                <w:b w:val="1"/>
                <w:bCs w:val="1"/>
                <w:color w:val="231F20"/>
              </w:rPr>
              <w:t>Options</w:t>
            </w:r>
          </w:p>
        </w:tc>
        <w:tc>
          <w:tcPr>
            <w:tcW w:w="26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160" w:type="dxa"/>
            <w:vAlign w:val="bottom"/>
            <w:tcBorders>
              <w:bottom w:val="single" w:sz="8" w:color="231F20"/>
            </w:tcBorders>
          </w:tcPr>
          <w:p>
            <w:pPr>
              <w:jc w:val="center"/>
              <w:ind w:right="126"/>
              <w:spacing w:after="0" w:line="199" w:lineRule="exact"/>
              <w:rPr>
                <w:sz w:val="20"/>
                <w:szCs w:val="20"/>
                <w:color w:val="auto"/>
              </w:rPr>
            </w:pPr>
            <w:r>
              <w:rPr>
                <w:rFonts w:ascii="Arial" w:cs="Arial" w:eastAsia="Arial" w:hAnsi="Arial"/>
                <w:sz w:val="18"/>
                <w:szCs w:val="18"/>
                <w:b w:val="1"/>
                <w:bCs w:val="1"/>
                <w:color w:val="231F20"/>
                <w:w w:val="86"/>
              </w:rPr>
              <w:t>Price</w:t>
            </w:r>
          </w:p>
        </w:tc>
        <w:tc>
          <w:tcPr>
            <w:tcW w:w="220" w:type="dxa"/>
            <w:vAlign w:val="bottom"/>
          </w:tcPr>
          <w:p>
            <w:pPr>
              <w:spacing w:after="0"/>
              <w:rPr>
                <w:sz w:val="17"/>
                <w:szCs w:val="17"/>
                <w:color w:val="auto"/>
              </w:rPr>
            </w:pPr>
          </w:p>
        </w:tc>
        <w:tc>
          <w:tcPr>
            <w:tcW w:w="1420" w:type="dxa"/>
            <w:vAlign w:val="bottom"/>
            <w:tcBorders>
              <w:bottom w:val="single" w:sz="8" w:color="231F20"/>
            </w:tcBorders>
          </w:tcPr>
          <w:p>
            <w:pPr>
              <w:jc w:val="center"/>
              <w:spacing w:after="0" w:line="199" w:lineRule="exact"/>
              <w:rPr>
                <w:sz w:val="20"/>
                <w:szCs w:val="20"/>
                <w:color w:val="auto"/>
              </w:rPr>
            </w:pPr>
            <w:r>
              <w:rPr>
                <w:rFonts w:ascii="Arial" w:cs="Arial" w:eastAsia="Arial" w:hAnsi="Arial"/>
                <w:sz w:val="18"/>
                <w:szCs w:val="18"/>
                <w:b w:val="1"/>
                <w:bCs w:val="1"/>
                <w:color w:val="231F20"/>
                <w:w w:val="91"/>
              </w:rPr>
              <w:t>(Years)</w:t>
            </w:r>
          </w:p>
        </w:tc>
        <w:tc>
          <w:tcPr>
            <w:tcW w:w="26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260" w:type="dxa"/>
            <w:vAlign w:val="bottom"/>
            <w:tcBorders>
              <w:bottom w:val="single" w:sz="8" w:color="231F20"/>
            </w:tcBorders>
          </w:tcPr>
          <w:p>
            <w:pPr>
              <w:jc w:val="center"/>
              <w:ind w:right="28"/>
              <w:spacing w:after="0" w:line="199" w:lineRule="exact"/>
              <w:rPr>
                <w:sz w:val="20"/>
                <w:szCs w:val="20"/>
                <w:color w:val="auto"/>
              </w:rPr>
            </w:pPr>
            <w:r>
              <w:rPr>
                <w:rFonts w:ascii="Arial" w:cs="Arial" w:eastAsia="Arial" w:hAnsi="Arial"/>
                <w:sz w:val="18"/>
                <w:szCs w:val="18"/>
                <w:b w:val="1"/>
                <w:bCs w:val="1"/>
                <w:color w:val="231F20"/>
                <w:w w:val="85"/>
              </w:rPr>
              <w:t>(in thousands)</w:t>
            </w:r>
          </w:p>
        </w:tc>
      </w:tr>
      <w:tr>
        <w:trPr>
          <w:trHeight w:val="226"/>
        </w:trPr>
        <w:tc>
          <w:tcPr>
            <w:tcW w:w="4060" w:type="dxa"/>
            <w:vAlign w:val="bottom"/>
          </w:tcPr>
          <w:p>
            <w:pPr>
              <w:spacing w:after="0"/>
              <w:rPr>
                <w:sz w:val="20"/>
                <w:szCs w:val="20"/>
                <w:color w:val="auto"/>
              </w:rPr>
            </w:pPr>
            <w:r>
              <w:rPr>
                <w:rFonts w:ascii="Arial" w:cs="Arial" w:eastAsia="Arial" w:hAnsi="Arial"/>
                <w:sz w:val="19"/>
                <w:szCs w:val="19"/>
                <w:b w:val="1"/>
                <w:bCs w:val="1"/>
                <w:color w:val="231F20"/>
              </w:rPr>
              <w:t>Outstanding at December 31, 2023</w:t>
            </w:r>
          </w:p>
        </w:tc>
        <w:tc>
          <w:tcPr>
            <w:tcW w:w="1420" w:type="dxa"/>
            <w:vAlign w:val="bottom"/>
          </w:tcPr>
          <w:p>
            <w:pPr>
              <w:jc w:val="right"/>
              <w:spacing w:after="0"/>
              <w:rPr>
                <w:sz w:val="20"/>
                <w:szCs w:val="20"/>
                <w:color w:val="auto"/>
              </w:rPr>
            </w:pPr>
            <w:r>
              <w:rPr>
                <w:rFonts w:ascii="Arial" w:cs="Arial" w:eastAsia="Arial" w:hAnsi="Arial"/>
                <w:sz w:val="19"/>
                <w:szCs w:val="19"/>
                <w:b w:val="1"/>
                <w:bCs w:val="1"/>
                <w:color w:val="231F20"/>
              </w:rPr>
              <w:t>8,984,671</w:t>
            </w:r>
          </w:p>
        </w:tc>
        <w:tc>
          <w:tcPr>
            <w:tcW w:w="260" w:type="dxa"/>
            <w:vAlign w:val="bottom"/>
          </w:tcPr>
          <w:p>
            <w:pPr>
              <w:spacing w:after="0"/>
              <w:rPr>
                <w:sz w:val="19"/>
                <w:szCs w:val="19"/>
                <w:color w:val="auto"/>
              </w:rPr>
            </w:pPr>
          </w:p>
        </w:tc>
        <w:tc>
          <w:tcPr>
            <w:tcW w:w="200" w:type="dxa"/>
            <w:vAlign w:val="bottom"/>
          </w:tcPr>
          <w:p>
            <w:pPr>
              <w:jc w:val="right"/>
              <w:ind w:right="5"/>
              <w:spacing w:after="0"/>
              <w:rPr>
                <w:sz w:val="20"/>
                <w:szCs w:val="20"/>
                <w:color w:val="auto"/>
              </w:rPr>
            </w:pPr>
            <w:r>
              <w:rPr>
                <w:rFonts w:ascii="Arial" w:cs="Arial" w:eastAsia="Arial" w:hAnsi="Arial"/>
                <w:sz w:val="19"/>
                <w:szCs w:val="19"/>
                <w:b w:val="1"/>
                <w:bCs w:val="1"/>
                <w:color w:val="231F20"/>
                <w:w w:val="75"/>
              </w:rPr>
              <w:t>$</w:t>
            </w:r>
          </w:p>
        </w:tc>
        <w:tc>
          <w:tcPr>
            <w:tcW w:w="1160" w:type="dxa"/>
            <w:vAlign w:val="bottom"/>
          </w:tcPr>
          <w:p>
            <w:pPr>
              <w:jc w:val="right"/>
              <w:spacing w:after="0"/>
              <w:rPr>
                <w:sz w:val="20"/>
                <w:szCs w:val="20"/>
                <w:color w:val="auto"/>
              </w:rPr>
            </w:pPr>
            <w:r>
              <w:rPr>
                <w:rFonts w:ascii="Arial" w:cs="Arial" w:eastAsia="Arial" w:hAnsi="Arial"/>
                <w:sz w:val="19"/>
                <w:szCs w:val="19"/>
                <w:b w:val="1"/>
                <w:bCs w:val="1"/>
                <w:color w:val="231F20"/>
              </w:rPr>
              <w:t>15.43</w:t>
            </w:r>
          </w:p>
        </w:tc>
        <w:tc>
          <w:tcPr>
            <w:tcW w:w="1640" w:type="dxa"/>
            <w:vAlign w:val="bottom"/>
            <w:gridSpan w:val="2"/>
          </w:tcPr>
          <w:p>
            <w:pPr>
              <w:jc w:val="right"/>
              <w:spacing w:after="0"/>
              <w:rPr>
                <w:sz w:val="20"/>
                <w:szCs w:val="20"/>
                <w:color w:val="auto"/>
              </w:rPr>
            </w:pPr>
            <w:r>
              <w:rPr>
                <w:rFonts w:ascii="Arial" w:cs="Arial" w:eastAsia="Arial" w:hAnsi="Arial"/>
                <w:sz w:val="19"/>
                <w:szCs w:val="19"/>
                <w:b w:val="1"/>
                <w:bCs w:val="1"/>
                <w:color w:val="231F20"/>
              </w:rPr>
              <w:t>7.53</w:t>
            </w:r>
          </w:p>
        </w:tc>
        <w:tc>
          <w:tcPr>
            <w:tcW w:w="380" w:type="dxa"/>
            <w:vAlign w:val="bottom"/>
            <w:gridSpan w:val="2"/>
          </w:tcPr>
          <w:p>
            <w:pPr>
              <w:jc w:val="right"/>
              <w:ind w:right="20"/>
              <w:spacing w:after="0"/>
              <w:rPr>
                <w:sz w:val="20"/>
                <w:szCs w:val="20"/>
                <w:color w:val="auto"/>
              </w:rPr>
            </w:pPr>
            <w:r>
              <w:rPr>
                <w:rFonts w:ascii="Arial" w:cs="Arial" w:eastAsia="Arial" w:hAnsi="Arial"/>
                <w:sz w:val="19"/>
                <w:szCs w:val="19"/>
                <w:b w:val="1"/>
                <w:bCs w:val="1"/>
                <w:color w:val="231F20"/>
              </w:rPr>
              <w:t>$</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231F20"/>
              </w:rPr>
              <w:t>59,900</w:t>
            </w:r>
          </w:p>
        </w:tc>
      </w:tr>
      <w:tr>
        <w:trPr>
          <w:trHeight w:val="238"/>
        </w:trPr>
        <w:tc>
          <w:tcPr>
            <w:tcW w:w="4060" w:type="dxa"/>
            <w:vAlign w:val="bottom"/>
          </w:tcPr>
          <w:p>
            <w:pPr>
              <w:ind w:left="200"/>
              <w:spacing w:after="0"/>
              <w:rPr>
                <w:sz w:val="20"/>
                <w:szCs w:val="20"/>
                <w:color w:val="auto"/>
              </w:rPr>
            </w:pPr>
            <w:r>
              <w:rPr>
                <w:rFonts w:ascii="Arial" w:cs="Arial" w:eastAsia="Arial" w:hAnsi="Arial"/>
                <w:sz w:val="19"/>
                <w:szCs w:val="19"/>
                <w:b w:val="1"/>
                <w:bCs w:val="1"/>
                <w:color w:val="231F20"/>
              </w:rPr>
              <w:t>Granted</w:t>
            </w:r>
          </w:p>
        </w:tc>
        <w:tc>
          <w:tcPr>
            <w:tcW w:w="1420" w:type="dxa"/>
            <w:vAlign w:val="bottom"/>
          </w:tcPr>
          <w:p>
            <w:pPr>
              <w:jc w:val="right"/>
              <w:spacing w:after="0"/>
              <w:rPr>
                <w:sz w:val="20"/>
                <w:szCs w:val="20"/>
                <w:color w:val="auto"/>
              </w:rPr>
            </w:pPr>
            <w:r>
              <w:rPr>
                <w:rFonts w:ascii="Arial" w:cs="Arial" w:eastAsia="Arial" w:hAnsi="Arial"/>
                <w:sz w:val="19"/>
                <w:szCs w:val="19"/>
                <w:b w:val="1"/>
                <w:bCs w:val="1"/>
                <w:color w:val="231F20"/>
              </w:rPr>
              <w:t>5,154,245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9"/>
                <w:szCs w:val="19"/>
                <w:b w:val="1"/>
                <w:bCs w:val="1"/>
                <w:color w:val="231F20"/>
              </w:rPr>
              <w:t>5.66</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5"/>
        </w:trPr>
        <w:tc>
          <w:tcPr>
            <w:tcW w:w="4060" w:type="dxa"/>
            <w:vAlign w:val="bottom"/>
          </w:tcPr>
          <w:p>
            <w:pPr>
              <w:ind w:left="200"/>
              <w:spacing w:after="0"/>
              <w:rPr>
                <w:sz w:val="20"/>
                <w:szCs w:val="20"/>
                <w:color w:val="auto"/>
              </w:rPr>
            </w:pPr>
            <w:r>
              <w:rPr>
                <w:rFonts w:ascii="Arial" w:cs="Arial" w:eastAsia="Arial" w:hAnsi="Arial"/>
                <w:sz w:val="19"/>
                <w:szCs w:val="19"/>
                <w:b w:val="1"/>
                <w:bCs w:val="1"/>
                <w:color w:val="231F20"/>
              </w:rPr>
              <w:t>Exercised</w:t>
            </w:r>
          </w:p>
        </w:tc>
        <w:tc>
          <w:tcPr>
            <w:tcW w:w="1680" w:type="dxa"/>
            <w:vAlign w:val="bottom"/>
            <w:gridSpan w:val="2"/>
          </w:tcPr>
          <w:p>
            <w:pPr>
              <w:jc w:val="right"/>
              <w:ind w:right="200"/>
              <w:spacing w:after="0"/>
              <w:rPr>
                <w:sz w:val="20"/>
                <w:szCs w:val="20"/>
                <w:color w:val="auto"/>
              </w:rPr>
            </w:pPr>
            <w:r>
              <w:rPr>
                <w:rFonts w:ascii="Arial" w:cs="Arial" w:eastAsia="Arial" w:hAnsi="Arial"/>
                <w:sz w:val="19"/>
                <w:szCs w:val="19"/>
                <w:b w:val="1"/>
                <w:bCs w:val="1"/>
                <w:color w:val="231F20"/>
              </w:rPr>
              <w:t>(447,052)</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9"/>
                <w:szCs w:val="19"/>
                <w:b w:val="1"/>
                <w:bCs w:val="1"/>
                <w:color w:val="231F20"/>
              </w:rPr>
              <w:t>3.69</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9"/>
        </w:trPr>
        <w:tc>
          <w:tcPr>
            <w:tcW w:w="4060" w:type="dxa"/>
            <w:vAlign w:val="bottom"/>
          </w:tcPr>
          <w:p>
            <w:pPr>
              <w:ind w:left="200"/>
              <w:spacing w:after="0"/>
              <w:rPr>
                <w:sz w:val="20"/>
                <w:szCs w:val="20"/>
                <w:color w:val="auto"/>
              </w:rPr>
            </w:pPr>
            <w:r>
              <w:rPr>
                <w:rFonts w:ascii="Arial" w:cs="Arial" w:eastAsia="Arial" w:hAnsi="Arial"/>
                <w:sz w:val="19"/>
                <w:szCs w:val="19"/>
                <w:b w:val="1"/>
                <w:bCs w:val="1"/>
                <w:color w:val="231F20"/>
              </w:rPr>
              <w:t>Canceled/forfeited</w:t>
            </w:r>
          </w:p>
        </w:tc>
        <w:tc>
          <w:tcPr>
            <w:tcW w:w="1680" w:type="dxa"/>
            <w:vAlign w:val="bottom"/>
            <w:gridSpan w:val="2"/>
          </w:tcPr>
          <w:p>
            <w:pPr>
              <w:jc w:val="right"/>
              <w:ind w:right="200"/>
              <w:spacing w:after="0"/>
              <w:rPr>
                <w:sz w:val="20"/>
                <w:szCs w:val="20"/>
                <w:color w:val="auto"/>
              </w:rPr>
            </w:pPr>
            <w:r>
              <w:rPr>
                <w:rFonts w:ascii="Arial" w:cs="Arial" w:eastAsia="Arial" w:hAnsi="Arial"/>
                <w:sz w:val="19"/>
                <w:szCs w:val="19"/>
                <w:b w:val="1"/>
                <w:bCs w:val="1"/>
                <w:color w:val="231F20"/>
              </w:rPr>
              <w:t>(3,163,113)</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9"/>
                <w:szCs w:val="19"/>
                <w:b w:val="1"/>
                <w:bCs w:val="1"/>
                <w:color w:val="231F20"/>
              </w:rPr>
              <w:t>19.12</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26"/>
        </w:trPr>
        <w:tc>
          <w:tcPr>
            <w:tcW w:w="4060" w:type="dxa"/>
            <w:vAlign w:val="bottom"/>
          </w:tcPr>
          <w:p>
            <w:pPr>
              <w:spacing w:after="0"/>
              <w:rPr>
                <w:sz w:val="20"/>
                <w:szCs w:val="20"/>
                <w:color w:val="auto"/>
              </w:rPr>
            </w:pPr>
            <w:r>
              <w:rPr>
                <w:rFonts w:ascii="Arial" w:cs="Arial" w:eastAsia="Arial" w:hAnsi="Arial"/>
                <w:sz w:val="19"/>
                <w:szCs w:val="19"/>
                <w:b w:val="1"/>
                <w:bCs w:val="1"/>
                <w:color w:val="231F20"/>
              </w:rPr>
              <w:t>Outstanding at December 31, 2024</w:t>
            </w:r>
          </w:p>
        </w:tc>
        <w:tc>
          <w:tcPr>
            <w:tcW w:w="1420" w:type="dxa"/>
            <w:vAlign w:val="bottom"/>
            <w:tcBorders>
              <w:top w:val="single" w:sz="8" w:color="231F20"/>
            </w:tcBorders>
          </w:tcPr>
          <w:p>
            <w:pPr>
              <w:jc w:val="right"/>
              <w:spacing w:after="0"/>
              <w:rPr>
                <w:sz w:val="20"/>
                <w:szCs w:val="20"/>
                <w:color w:val="auto"/>
              </w:rPr>
            </w:pPr>
            <w:r>
              <w:rPr>
                <w:rFonts w:ascii="Arial" w:cs="Arial" w:eastAsia="Arial" w:hAnsi="Arial"/>
                <w:sz w:val="19"/>
                <w:szCs w:val="19"/>
                <w:b w:val="1"/>
                <w:bCs w:val="1"/>
                <w:color w:val="231F20"/>
              </w:rPr>
              <w:t>10,528,751</w:t>
            </w:r>
          </w:p>
        </w:tc>
        <w:tc>
          <w:tcPr>
            <w:tcW w:w="260" w:type="dxa"/>
            <w:vAlign w:val="bottom"/>
          </w:tcPr>
          <w:p>
            <w:pPr>
              <w:spacing w:after="0"/>
              <w:rPr>
                <w:sz w:val="19"/>
                <w:szCs w:val="19"/>
                <w:color w:val="auto"/>
              </w:rPr>
            </w:pPr>
          </w:p>
        </w:tc>
        <w:tc>
          <w:tcPr>
            <w:tcW w:w="200" w:type="dxa"/>
            <w:vAlign w:val="bottom"/>
          </w:tcPr>
          <w:p>
            <w:pPr>
              <w:jc w:val="right"/>
              <w:ind w:right="5"/>
              <w:spacing w:after="0"/>
              <w:rPr>
                <w:sz w:val="20"/>
                <w:szCs w:val="20"/>
                <w:color w:val="auto"/>
              </w:rPr>
            </w:pPr>
            <w:r>
              <w:rPr>
                <w:rFonts w:ascii="Arial" w:cs="Arial" w:eastAsia="Arial" w:hAnsi="Arial"/>
                <w:sz w:val="19"/>
                <w:szCs w:val="19"/>
                <w:b w:val="1"/>
                <w:bCs w:val="1"/>
                <w:color w:val="231F20"/>
                <w:w w:val="75"/>
              </w:rPr>
              <w:t>$</w:t>
            </w:r>
          </w:p>
        </w:tc>
        <w:tc>
          <w:tcPr>
            <w:tcW w:w="1160" w:type="dxa"/>
            <w:vAlign w:val="bottom"/>
          </w:tcPr>
          <w:p>
            <w:pPr>
              <w:jc w:val="right"/>
              <w:spacing w:after="0"/>
              <w:rPr>
                <w:sz w:val="20"/>
                <w:szCs w:val="20"/>
                <w:color w:val="auto"/>
              </w:rPr>
            </w:pPr>
            <w:r>
              <w:rPr>
                <w:rFonts w:ascii="Arial" w:cs="Arial" w:eastAsia="Arial" w:hAnsi="Arial"/>
                <w:sz w:val="19"/>
                <w:szCs w:val="19"/>
                <w:b w:val="1"/>
                <w:bCs w:val="1"/>
                <w:color w:val="231F20"/>
              </w:rPr>
              <w:t>10.04</w:t>
            </w:r>
          </w:p>
        </w:tc>
        <w:tc>
          <w:tcPr>
            <w:tcW w:w="1640" w:type="dxa"/>
            <w:vAlign w:val="bottom"/>
            <w:gridSpan w:val="2"/>
          </w:tcPr>
          <w:p>
            <w:pPr>
              <w:jc w:val="right"/>
              <w:spacing w:after="0"/>
              <w:rPr>
                <w:sz w:val="20"/>
                <w:szCs w:val="20"/>
                <w:color w:val="auto"/>
              </w:rPr>
            </w:pPr>
            <w:r>
              <w:rPr>
                <w:rFonts w:ascii="Arial" w:cs="Arial" w:eastAsia="Arial" w:hAnsi="Arial"/>
                <w:sz w:val="19"/>
                <w:szCs w:val="19"/>
                <w:b w:val="1"/>
                <w:bCs w:val="1"/>
                <w:color w:val="231F20"/>
              </w:rPr>
              <w:t>6.23</w:t>
            </w:r>
          </w:p>
        </w:tc>
        <w:tc>
          <w:tcPr>
            <w:tcW w:w="380" w:type="dxa"/>
            <w:vAlign w:val="bottom"/>
            <w:gridSpan w:val="2"/>
          </w:tcPr>
          <w:p>
            <w:pPr>
              <w:jc w:val="right"/>
              <w:ind w:right="20"/>
              <w:spacing w:after="0"/>
              <w:rPr>
                <w:sz w:val="20"/>
                <w:szCs w:val="20"/>
                <w:color w:val="auto"/>
              </w:rPr>
            </w:pPr>
            <w:r>
              <w:rPr>
                <w:rFonts w:ascii="Arial" w:cs="Arial" w:eastAsia="Arial" w:hAnsi="Arial"/>
                <w:sz w:val="19"/>
                <w:szCs w:val="19"/>
                <w:b w:val="1"/>
                <w:bCs w:val="1"/>
                <w:color w:val="231F20"/>
              </w:rPr>
              <w:t>$</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231F20"/>
              </w:rPr>
              <w:t>409</w:t>
            </w:r>
          </w:p>
        </w:tc>
      </w:tr>
      <w:tr>
        <w:trPr>
          <w:trHeight w:val="281"/>
        </w:trPr>
        <w:tc>
          <w:tcPr>
            <w:tcW w:w="4060" w:type="dxa"/>
            <w:vAlign w:val="bottom"/>
          </w:tcPr>
          <w:p>
            <w:pPr>
              <w:spacing w:after="0"/>
              <w:rPr>
                <w:sz w:val="20"/>
                <w:szCs w:val="20"/>
                <w:color w:val="auto"/>
              </w:rPr>
            </w:pPr>
            <w:r>
              <w:rPr>
                <w:rFonts w:ascii="Arial" w:cs="Arial" w:eastAsia="Arial" w:hAnsi="Arial"/>
                <w:sz w:val="19"/>
                <w:szCs w:val="19"/>
                <w:b w:val="1"/>
                <w:bCs w:val="1"/>
                <w:color w:val="231F20"/>
              </w:rPr>
              <w:t>Exercisable at December 31, 2024</w:t>
            </w:r>
          </w:p>
        </w:tc>
        <w:tc>
          <w:tcPr>
            <w:tcW w:w="1420" w:type="dxa"/>
            <w:vAlign w:val="bottom"/>
          </w:tcPr>
          <w:p>
            <w:pPr>
              <w:jc w:val="right"/>
              <w:spacing w:after="0"/>
              <w:rPr>
                <w:sz w:val="20"/>
                <w:szCs w:val="20"/>
                <w:color w:val="auto"/>
              </w:rPr>
            </w:pPr>
            <w:r>
              <w:rPr>
                <w:rFonts w:ascii="Arial" w:cs="Arial" w:eastAsia="Arial" w:hAnsi="Arial"/>
                <w:sz w:val="19"/>
                <w:szCs w:val="19"/>
                <w:b w:val="1"/>
                <w:bCs w:val="1"/>
                <w:color w:val="231F20"/>
              </w:rPr>
              <w:t>4,921,007</w:t>
            </w:r>
          </w:p>
        </w:tc>
        <w:tc>
          <w:tcPr>
            <w:tcW w:w="260" w:type="dxa"/>
            <w:vAlign w:val="bottom"/>
          </w:tcPr>
          <w:p>
            <w:pPr>
              <w:spacing w:after="0"/>
              <w:rPr>
                <w:sz w:val="24"/>
                <w:szCs w:val="24"/>
                <w:color w:val="auto"/>
              </w:rPr>
            </w:pPr>
          </w:p>
        </w:tc>
        <w:tc>
          <w:tcPr>
            <w:tcW w:w="200" w:type="dxa"/>
            <w:vAlign w:val="bottom"/>
          </w:tcPr>
          <w:p>
            <w:pPr>
              <w:jc w:val="right"/>
              <w:ind w:right="5"/>
              <w:spacing w:after="0"/>
              <w:rPr>
                <w:sz w:val="20"/>
                <w:szCs w:val="20"/>
                <w:color w:val="auto"/>
              </w:rPr>
            </w:pPr>
            <w:r>
              <w:rPr>
                <w:rFonts w:ascii="Arial" w:cs="Arial" w:eastAsia="Arial" w:hAnsi="Arial"/>
                <w:sz w:val="19"/>
                <w:szCs w:val="19"/>
                <w:b w:val="1"/>
                <w:bCs w:val="1"/>
                <w:color w:val="231F20"/>
                <w:w w:val="75"/>
              </w:rPr>
              <w:t>$</w:t>
            </w:r>
          </w:p>
        </w:tc>
        <w:tc>
          <w:tcPr>
            <w:tcW w:w="1160" w:type="dxa"/>
            <w:vAlign w:val="bottom"/>
          </w:tcPr>
          <w:p>
            <w:pPr>
              <w:jc w:val="right"/>
              <w:spacing w:after="0"/>
              <w:rPr>
                <w:sz w:val="20"/>
                <w:szCs w:val="20"/>
                <w:color w:val="auto"/>
              </w:rPr>
            </w:pPr>
            <w:r>
              <w:rPr>
                <w:rFonts w:ascii="Arial" w:cs="Arial" w:eastAsia="Arial" w:hAnsi="Arial"/>
                <w:sz w:val="19"/>
                <w:szCs w:val="19"/>
                <w:b w:val="1"/>
                <w:bCs w:val="1"/>
                <w:color w:val="231F20"/>
              </w:rPr>
              <w:t>16.04</w:t>
            </w:r>
          </w:p>
        </w:tc>
        <w:tc>
          <w:tcPr>
            <w:tcW w:w="1640" w:type="dxa"/>
            <w:vAlign w:val="bottom"/>
            <w:gridSpan w:val="2"/>
          </w:tcPr>
          <w:p>
            <w:pPr>
              <w:jc w:val="right"/>
              <w:spacing w:after="0"/>
              <w:rPr>
                <w:sz w:val="20"/>
                <w:szCs w:val="20"/>
                <w:color w:val="auto"/>
              </w:rPr>
            </w:pPr>
            <w:r>
              <w:rPr>
                <w:rFonts w:ascii="Arial" w:cs="Arial" w:eastAsia="Arial" w:hAnsi="Arial"/>
                <w:sz w:val="19"/>
                <w:szCs w:val="19"/>
                <w:b w:val="1"/>
                <w:bCs w:val="1"/>
                <w:color w:val="231F20"/>
              </w:rPr>
              <w:t>4.58</w:t>
            </w:r>
          </w:p>
        </w:tc>
        <w:tc>
          <w:tcPr>
            <w:tcW w:w="380" w:type="dxa"/>
            <w:vAlign w:val="bottom"/>
            <w:gridSpan w:val="2"/>
          </w:tcPr>
          <w:p>
            <w:pPr>
              <w:jc w:val="right"/>
              <w:ind w:right="20"/>
              <w:spacing w:after="0"/>
              <w:rPr>
                <w:sz w:val="20"/>
                <w:szCs w:val="20"/>
                <w:color w:val="auto"/>
              </w:rPr>
            </w:pPr>
            <w:r>
              <w:rPr>
                <w:rFonts w:ascii="Arial" w:cs="Arial" w:eastAsia="Arial" w:hAnsi="Arial"/>
                <w:sz w:val="19"/>
                <w:szCs w:val="19"/>
                <w:b w:val="1"/>
                <w:bCs w:val="1"/>
                <w:color w:val="231F20"/>
              </w:rPr>
              <w:t>$</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231F20"/>
              </w:rPr>
              <w:t>112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2560320</wp:posOffset>
            </wp:positionH>
            <wp:positionV relativeFrom="paragraph">
              <wp:posOffset>-189865</wp:posOffset>
            </wp:positionV>
            <wp:extent cx="927735" cy="23241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927735" cy="232410"/>
                    </a:xfrm>
                    <a:prstGeom prst="rect">
                      <a:avLst/>
                    </a:prstGeom>
                    <a:noFill/>
                  </pic:spPr>
                </pic:pic>
              </a:graphicData>
            </a:graphic>
          </wp:anchor>
        </w:drawing>
      </w:r>
    </w:p>
    <w:p>
      <w:pPr>
        <w:spacing w:after="0" w:line="266" w:lineRule="exact"/>
        <w:rPr>
          <w:sz w:val="20"/>
          <w:szCs w:val="20"/>
          <w:color w:val="auto"/>
        </w:rPr>
      </w:pPr>
    </w:p>
    <w:p>
      <w:pPr>
        <w:ind w:right="100" w:firstLine="475"/>
        <w:spacing w:after="0" w:line="239" w:lineRule="auto"/>
        <w:rPr>
          <w:sz w:val="20"/>
          <w:szCs w:val="20"/>
          <w:color w:val="auto"/>
        </w:rPr>
      </w:pPr>
      <w:r>
        <w:rPr>
          <w:rFonts w:ascii="Arial" w:cs="Arial" w:eastAsia="Arial" w:hAnsi="Arial"/>
          <w:sz w:val="19"/>
          <w:szCs w:val="19"/>
          <w:b w:val="1"/>
          <w:bCs w:val="1"/>
          <w:color w:val="231F20"/>
        </w:rPr>
        <w:t>The number of options canceled and subsequently granted in the Exchange Offer was included in the stock option activity table above under canceled/forfeited and granted respectively.</w:t>
      </w:r>
    </w:p>
    <w:p>
      <w:pPr>
        <w:spacing w:after="0" w:line="126" w:lineRule="exact"/>
        <w:rPr>
          <w:sz w:val="20"/>
          <w:szCs w:val="20"/>
          <w:color w:val="auto"/>
        </w:rPr>
      </w:pPr>
    </w:p>
    <w:p>
      <w:pPr>
        <w:jc w:val="both"/>
        <w:ind w:right="40" w:firstLine="475"/>
        <w:spacing w:after="0" w:line="221" w:lineRule="exact"/>
        <w:rPr>
          <w:sz w:val="20"/>
          <w:szCs w:val="20"/>
          <w:color w:val="auto"/>
        </w:rPr>
      </w:pPr>
      <w:r>
        <w:rPr>
          <w:rFonts w:ascii="Arial" w:cs="Arial" w:eastAsia="Arial" w:hAnsi="Arial"/>
          <w:sz w:val="19"/>
          <w:szCs w:val="19"/>
          <w:b w:val="1"/>
          <w:bCs w:val="1"/>
          <w:color w:val="231F20"/>
        </w:rPr>
        <w:t>The aggregate intrinsic values represent the total pre-tax intrinsic value of options outstanding and exercisable calculated as the difference between the exercise price of the options and the fair value of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common stock as of December 31, 2024 and 2023. The total intrinsic value of options exercised during the years ended December 31, 2024, 2023 and 2022 were $2.6 million, $0.2 million and $1.7 million, respectively.</w:t>
      </w:r>
    </w:p>
    <w:p>
      <w:pPr>
        <w:spacing w:after="0" w:line="238"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Stock Option Valuation Assumptions</w:t>
      </w:r>
    </w:p>
    <w:p>
      <w:pPr>
        <w:spacing w:after="0" w:line="125" w:lineRule="exact"/>
        <w:rPr>
          <w:sz w:val="20"/>
          <w:szCs w:val="20"/>
          <w:color w:val="auto"/>
        </w:rPr>
      </w:pPr>
    </w:p>
    <w:p>
      <w:pPr>
        <w:jc w:val="both"/>
        <w:ind w:right="100" w:firstLine="475"/>
        <w:spacing w:after="0" w:line="284" w:lineRule="auto"/>
        <w:rPr>
          <w:sz w:val="20"/>
          <w:szCs w:val="20"/>
          <w:color w:val="auto"/>
        </w:rPr>
      </w:pPr>
      <w:r>
        <w:rPr>
          <w:rFonts w:ascii="Arial" w:cs="Arial" w:eastAsia="Arial" w:hAnsi="Arial"/>
          <w:sz w:val="17"/>
          <w:szCs w:val="17"/>
          <w:b w:val="1"/>
          <w:bCs w:val="1"/>
          <w:color w:val="231F20"/>
        </w:rPr>
        <w:t>The Company uses the Black-Scholes option pricing model to determine the estimated fair value of stock options at the date of the grant, and stock-based compensation is adjusted for actual forfeitures as they occur. The fair value of each option grant during the years ended December 31, 2024, 2023 and 2022 was estimated with the following assumptions: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620" w:type="dxa"/>
            <w:vAlign w:val="bottom"/>
          </w:tcPr>
          <w:p>
            <w:pPr>
              <w:spacing w:after="0"/>
              <w:rPr>
                <w:sz w:val="18"/>
                <w:szCs w:val="18"/>
                <w:color w:val="auto"/>
              </w:rPr>
            </w:pPr>
          </w:p>
        </w:tc>
        <w:tc>
          <w:tcPr>
            <w:tcW w:w="860" w:type="dxa"/>
            <w:vAlign w:val="bottom"/>
            <w:tcBorders>
              <w:bottom w:val="single" w:sz="8" w:color="231F20"/>
            </w:tcBorders>
          </w:tcPr>
          <w:p>
            <w:pPr>
              <w:spacing w:after="0"/>
              <w:rPr>
                <w:sz w:val="18"/>
                <w:szCs w:val="18"/>
                <w:color w:val="auto"/>
              </w:rPr>
            </w:pPr>
          </w:p>
        </w:tc>
        <w:tc>
          <w:tcPr>
            <w:tcW w:w="960" w:type="dxa"/>
            <w:vAlign w:val="bottom"/>
            <w:tcBorders>
              <w:bottom w:val="single" w:sz="8" w:color="231F20"/>
            </w:tcBorders>
          </w:tcPr>
          <w:p>
            <w:pPr>
              <w:spacing w:after="0"/>
              <w:rPr>
                <w:sz w:val="18"/>
                <w:szCs w:val="18"/>
                <w:color w:val="auto"/>
              </w:rPr>
            </w:pPr>
          </w:p>
        </w:tc>
        <w:tc>
          <w:tcPr>
            <w:tcW w:w="2220" w:type="dxa"/>
            <w:vAlign w:val="bottom"/>
            <w:tcBorders>
              <w:bottom w:val="single" w:sz="8" w:color="231F20"/>
            </w:tcBorders>
            <w:gridSpan w:val="4"/>
          </w:tcPr>
          <w:p>
            <w:pPr>
              <w:ind w:left="120"/>
              <w:spacing w:after="0"/>
              <w:rPr>
                <w:sz w:val="20"/>
                <w:szCs w:val="20"/>
                <w:color w:val="auto"/>
              </w:rPr>
            </w:pPr>
            <w:r>
              <w:rPr>
                <w:rFonts w:ascii="Arial" w:cs="Arial" w:eastAsia="Arial" w:hAnsi="Arial"/>
                <w:sz w:val="18"/>
                <w:szCs w:val="18"/>
                <w:b w:val="1"/>
                <w:bCs w:val="1"/>
                <w:color w:val="231F20"/>
                <w:w w:val="94"/>
              </w:rPr>
              <w:t>Year Ended December 31,</w:t>
            </w:r>
          </w:p>
        </w:tc>
        <w:tc>
          <w:tcPr>
            <w:tcW w:w="860" w:type="dxa"/>
            <w:vAlign w:val="bottom"/>
            <w:tcBorders>
              <w:bottom w:val="single" w:sz="8" w:color="231F20"/>
            </w:tcBorders>
          </w:tcPr>
          <w:p>
            <w:pPr>
              <w:spacing w:after="0"/>
              <w:rPr>
                <w:sz w:val="18"/>
                <w:szCs w:val="18"/>
                <w:color w:val="auto"/>
              </w:rPr>
            </w:pPr>
          </w:p>
        </w:tc>
        <w:tc>
          <w:tcPr>
            <w:tcW w:w="960" w:type="dxa"/>
            <w:vAlign w:val="bottom"/>
            <w:tcBorders>
              <w:bottom w:val="single" w:sz="8" w:color="231F20"/>
            </w:tcBorders>
          </w:tcPr>
          <w:p>
            <w:pPr>
              <w:spacing w:after="0"/>
              <w:rPr>
                <w:sz w:val="18"/>
                <w:szCs w:val="18"/>
                <w:color w:val="auto"/>
              </w:rPr>
            </w:pPr>
          </w:p>
        </w:tc>
      </w:tr>
      <w:tr>
        <w:trPr>
          <w:trHeight w:val="219"/>
        </w:trPr>
        <w:tc>
          <w:tcPr>
            <w:tcW w:w="4620" w:type="dxa"/>
            <w:vAlign w:val="bottom"/>
          </w:tcPr>
          <w:p>
            <w:pPr>
              <w:spacing w:after="0"/>
              <w:rPr>
                <w:sz w:val="19"/>
                <w:szCs w:val="19"/>
                <w:color w:val="auto"/>
              </w:rPr>
            </w:pPr>
          </w:p>
        </w:tc>
        <w:tc>
          <w:tcPr>
            <w:tcW w:w="1820" w:type="dxa"/>
            <w:vAlign w:val="bottom"/>
            <w:tcBorders>
              <w:bottom w:val="single" w:sz="8" w:color="231F20"/>
            </w:tcBorders>
            <w:gridSpan w:val="2"/>
          </w:tcPr>
          <w:p>
            <w:pPr>
              <w:jc w:val="right"/>
              <w:ind w:right="643"/>
              <w:spacing w:after="0"/>
              <w:rPr>
                <w:sz w:val="20"/>
                <w:szCs w:val="20"/>
                <w:color w:val="auto"/>
              </w:rPr>
            </w:pPr>
            <w:r>
              <w:rPr>
                <w:rFonts w:ascii="Arial" w:cs="Arial" w:eastAsia="Arial" w:hAnsi="Arial"/>
                <w:sz w:val="18"/>
                <w:szCs w:val="18"/>
                <w:b w:val="1"/>
                <w:bCs w:val="1"/>
                <w:color w:val="231F20"/>
              </w:rPr>
              <w:t>2024</w:t>
            </w:r>
          </w:p>
        </w:tc>
        <w:tc>
          <w:tcPr>
            <w:tcW w:w="200" w:type="dxa"/>
            <w:vAlign w:val="bottom"/>
          </w:tcPr>
          <w:p>
            <w:pPr>
              <w:spacing w:after="0"/>
              <w:rPr>
                <w:sz w:val="19"/>
                <w:szCs w:val="19"/>
                <w:color w:val="auto"/>
              </w:rPr>
            </w:pPr>
          </w:p>
        </w:tc>
        <w:tc>
          <w:tcPr>
            <w:tcW w:w="1820" w:type="dxa"/>
            <w:vAlign w:val="bottom"/>
            <w:tcBorders>
              <w:bottom w:val="single" w:sz="8" w:color="231F20"/>
            </w:tcBorders>
            <w:gridSpan w:val="2"/>
          </w:tcPr>
          <w:p>
            <w:pPr>
              <w:jc w:val="right"/>
              <w:ind w:right="643"/>
              <w:spacing w:after="0"/>
              <w:rPr>
                <w:sz w:val="20"/>
                <w:szCs w:val="20"/>
                <w:color w:val="auto"/>
              </w:rPr>
            </w:pPr>
            <w:r>
              <w:rPr>
                <w:rFonts w:ascii="Arial" w:cs="Arial" w:eastAsia="Arial" w:hAnsi="Arial"/>
                <w:sz w:val="18"/>
                <w:szCs w:val="18"/>
                <w:b w:val="1"/>
                <w:bCs w:val="1"/>
                <w:color w:val="231F20"/>
              </w:rPr>
              <w:t>2023</w:t>
            </w:r>
          </w:p>
        </w:tc>
        <w:tc>
          <w:tcPr>
            <w:tcW w:w="200" w:type="dxa"/>
            <w:vAlign w:val="bottom"/>
          </w:tcPr>
          <w:p>
            <w:pPr>
              <w:spacing w:after="0"/>
              <w:rPr>
                <w:sz w:val="19"/>
                <w:szCs w:val="19"/>
                <w:color w:val="auto"/>
              </w:rPr>
            </w:pPr>
          </w:p>
        </w:tc>
        <w:tc>
          <w:tcPr>
            <w:tcW w:w="1820" w:type="dxa"/>
            <w:vAlign w:val="bottom"/>
            <w:tcBorders>
              <w:bottom w:val="single" w:sz="8" w:color="231F20"/>
            </w:tcBorders>
            <w:gridSpan w:val="2"/>
          </w:tcPr>
          <w:p>
            <w:pPr>
              <w:jc w:val="right"/>
              <w:ind w:right="643"/>
              <w:spacing w:after="0"/>
              <w:rPr>
                <w:sz w:val="20"/>
                <w:szCs w:val="20"/>
                <w:color w:val="auto"/>
              </w:rPr>
            </w:pPr>
            <w:r>
              <w:rPr>
                <w:rFonts w:ascii="Arial" w:cs="Arial" w:eastAsia="Arial" w:hAnsi="Arial"/>
                <w:sz w:val="18"/>
                <w:szCs w:val="18"/>
                <w:b w:val="1"/>
                <w:bCs w:val="1"/>
                <w:color w:val="231F20"/>
              </w:rPr>
              <w:t>2022</w:t>
            </w:r>
          </w:p>
        </w:tc>
      </w:tr>
      <w:tr>
        <w:trPr>
          <w:trHeight w:val="211"/>
        </w:trPr>
        <w:tc>
          <w:tcPr>
            <w:tcW w:w="4620" w:type="dxa"/>
            <w:vAlign w:val="bottom"/>
          </w:tcPr>
          <w:p>
            <w:pPr>
              <w:spacing w:after="0" w:line="212" w:lineRule="exact"/>
              <w:rPr>
                <w:sz w:val="20"/>
                <w:szCs w:val="20"/>
                <w:color w:val="auto"/>
              </w:rPr>
            </w:pPr>
            <w:r>
              <w:rPr>
                <w:rFonts w:ascii="Arial" w:cs="Arial" w:eastAsia="Arial" w:hAnsi="Arial"/>
                <w:sz w:val="19"/>
                <w:szCs w:val="19"/>
                <w:b w:val="1"/>
                <w:bCs w:val="1"/>
                <w:color w:val="231F20"/>
              </w:rPr>
              <w:t>Expected term (in years)</w:t>
            </w:r>
          </w:p>
        </w:tc>
        <w:tc>
          <w:tcPr>
            <w:tcW w:w="860" w:type="dxa"/>
            <w:vAlign w:val="bottom"/>
          </w:tcPr>
          <w:p>
            <w:pPr>
              <w:jc w:val="right"/>
              <w:spacing w:after="0" w:line="212" w:lineRule="exact"/>
              <w:rPr>
                <w:sz w:val="20"/>
                <w:szCs w:val="20"/>
                <w:color w:val="auto"/>
              </w:rPr>
            </w:pPr>
            <w:r>
              <w:rPr>
                <w:rFonts w:ascii="Arial" w:cs="Arial" w:eastAsia="Arial" w:hAnsi="Arial"/>
                <w:sz w:val="19"/>
                <w:szCs w:val="19"/>
                <w:b w:val="1"/>
                <w:bCs w:val="1"/>
                <w:color w:val="231F20"/>
              </w:rPr>
              <w:t>4.1</w:t>
            </w:r>
          </w:p>
        </w:tc>
        <w:tc>
          <w:tcPr>
            <w:tcW w:w="960" w:type="dxa"/>
            <w:vAlign w:val="bottom"/>
          </w:tcPr>
          <w:p>
            <w:pPr>
              <w:ind w:left="20"/>
              <w:spacing w:after="0" w:line="212" w:lineRule="exact"/>
              <w:rPr>
                <w:sz w:val="20"/>
                <w:szCs w:val="20"/>
                <w:color w:val="auto"/>
              </w:rPr>
            </w:pPr>
            <w:r>
              <w:rPr>
                <w:rFonts w:ascii="Arial" w:cs="Arial" w:eastAsia="Arial" w:hAnsi="Arial"/>
                <w:sz w:val="19"/>
                <w:szCs w:val="19"/>
                <w:b w:val="1"/>
                <w:bCs w:val="1"/>
                <w:color w:val="231F20"/>
              </w:rPr>
              <w:t>- 6.1</w:t>
            </w:r>
          </w:p>
        </w:tc>
        <w:tc>
          <w:tcPr>
            <w:tcW w:w="1060" w:type="dxa"/>
            <w:vAlign w:val="bottom"/>
            <w:gridSpan w:val="2"/>
          </w:tcPr>
          <w:p>
            <w:pPr>
              <w:jc w:val="right"/>
              <w:spacing w:after="0" w:line="212" w:lineRule="exact"/>
              <w:rPr>
                <w:sz w:val="20"/>
                <w:szCs w:val="20"/>
                <w:color w:val="auto"/>
              </w:rPr>
            </w:pPr>
            <w:r>
              <w:rPr>
                <w:rFonts w:ascii="Arial" w:cs="Arial" w:eastAsia="Arial" w:hAnsi="Arial"/>
                <w:sz w:val="19"/>
                <w:szCs w:val="19"/>
                <w:b w:val="1"/>
                <w:bCs w:val="1"/>
                <w:color w:val="231F20"/>
              </w:rPr>
              <w:t>5.3</w:t>
            </w:r>
          </w:p>
        </w:tc>
        <w:tc>
          <w:tcPr>
            <w:tcW w:w="960" w:type="dxa"/>
            <w:vAlign w:val="bottom"/>
          </w:tcPr>
          <w:p>
            <w:pPr>
              <w:ind w:left="20"/>
              <w:spacing w:after="0" w:line="212" w:lineRule="exact"/>
              <w:rPr>
                <w:sz w:val="20"/>
                <w:szCs w:val="20"/>
                <w:color w:val="auto"/>
              </w:rPr>
            </w:pPr>
            <w:r>
              <w:rPr>
                <w:rFonts w:ascii="Arial" w:cs="Arial" w:eastAsia="Arial" w:hAnsi="Arial"/>
                <w:sz w:val="19"/>
                <w:szCs w:val="19"/>
                <w:b w:val="1"/>
                <w:bCs w:val="1"/>
                <w:color w:val="231F20"/>
              </w:rPr>
              <w:t>- 6.1</w:t>
            </w:r>
          </w:p>
        </w:tc>
        <w:tc>
          <w:tcPr>
            <w:tcW w:w="200" w:type="dxa"/>
            <w:vAlign w:val="bottom"/>
          </w:tcPr>
          <w:p>
            <w:pPr>
              <w:spacing w:after="0"/>
              <w:rPr>
                <w:sz w:val="18"/>
                <w:szCs w:val="18"/>
                <w:color w:val="auto"/>
              </w:rPr>
            </w:pPr>
          </w:p>
        </w:tc>
        <w:tc>
          <w:tcPr>
            <w:tcW w:w="860" w:type="dxa"/>
            <w:vAlign w:val="bottom"/>
          </w:tcPr>
          <w:p>
            <w:pPr>
              <w:jc w:val="right"/>
              <w:spacing w:after="0" w:line="212" w:lineRule="exact"/>
              <w:rPr>
                <w:sz w:val="20"/>
                <w:szCs w:val="20"/>
                <w:color w:val="auto"/>
              </w:rPr>
            </w:pPr>
            <w:r>
              <w:rPr>
                <w:rFonts w:ascii="Arial" w:cs="Arial" w:eastAsia="Arial" w:hAnsi="Arial"/>
                <w:sz w:val="19"/>
                <w:szCs w:val="19"/>
                <w:b w:val="1"/>
                <w:bCs w:val="1"/>
                <w:color w:val="231F20"/>
              </w:rPr>
              <w:t>5.3</w:t>
            </w:r>
          </w:p>
        </w:tc>
        <w:tc>
          <w:tcPr>
            <w:tcW w:w="960" w:type="dxa"/>
            <w:vAlign w:val="bottom"/>
          </w:tcPr>
          <w:p>
            <w:pPr>
              <w:ind w:left="20"/>
              <w:spacing w:after="0" w:line="212" w:lineRule="exact"/>
              <w:rPr>
                <w:sz w:val="20"/>
                <w:szCs w:val="20"/>
                <w:color w:val="auto"/>
              </w:rPr>
            </w:pPr>
            <w:r>
              <w:rPr>
                <w:rFonts w:ascii="Arial" w:cs="Arial" w:eastAsia="Arial" w:hAnsi="Arial"/>
                <w:sz w:val="19"/>
                <w:szCs w:val="19"/>
                <w:b w:val="1"/>
                <w:bCs w:val="1"/>
                <w:color w:val="231F20"/>
              </w:rPr>
              <w:t>- 6.1</w:t>
            </w:r>
          </w:p>
        </w:tc>
      </w:tr>
      <w:tr>
        <w:trPr>
          <w:trHeight w:val="223"/>
        </w:trPr>
        <w:tc>
          <w:tcPr>
            <w:tcW w:w="4620" w:type="dxa"/>
            <w:vAlign w:val="bottom"/>
          </w:tcPr>
          <w:p>
            <w:pPr>
              <w:spacing w:after="0"/>
              <w:rPr>
                <w:sz w:val="20"/>
                <w:szCs w:val="20"/>
                <w:color w:val="auto"/>
              </w:rPr>
            </w:pPr>
            <w:r>
              <w:rPr>
                <w:rFonts w:ascii="Arial" w:cs="Arial" w:eastAsia="Arial" w:hAnsi="Arial"/>
                <w:sz w:val="19"/>
                <w:szCs w:val="19"/>
                <w:b w:val="1"/>
                <w:bCs w:val="1"/>
                <w:color w:val="231F20"/>
              </w:rPr>
              <w:t>Risk-free interest rate</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231F20"/>
              </w:rPr>
              <w:t>3.5%</w:t>
            </w:r>
          </w:p>
        </w:tc>
        <w:tc>
          <w:tcPr>
            <w:tcW w:w="960" w:type="dxa"/>
            <w:vAlign w:val="bottom"/>
          </w:tcPr>
          <w:p>
            <w:pPr>
              <w:ind w:left="20"/>
              <w:spacing w:after="0"/>
              <w:rPr>
                <w:sz w:val="20"/>
                <w:szCs w:val="20"/>
                <w:color w:val="auto"/>
              </w:rPr>
            </w:pPr>
            <w:r>
              <w:rPr>
                <w:rFonts w:ascii="Arial" w:cs="Arial" w:eastAsia="Arial" w:hAnsi="Arial"/>
                <w:sz w:val="19"/>
                <w:szCs w:val="19"/>
                <w:b w:val="1"/>
                <w:bCs w:val="1"/>
                <w:color w:val="231F20"/>
              </w:rPr>
              <w:t>- 4.7%</w:t>
            </w:r>
          </w:p>
        </w:tc>
        <w:tc>
          <w:tcPr>
            <w:tcW w:w="1060" w:type="dxa"/>
            <w:vAlign w:val="bottom"/>
            <w:gridSpan w:val="2"/>
          </w:tcPr>
          <w:p>
            <w:pPr>
              <w:jc w:val="right"/>
              <w:spacing w:after="0"/>
              <w:rPr>
                <w:sz w:val="20"/>
                <w:szCs w:val="20"/>
                <w:color w:val="auto"/>
              </w:rPr>
            </w:pPr>
            <w:r>
              <w:rPr>
                <w:rFonts w:ascii="Arial" w:cs="Arial" w:eastAsia="Arial" w:hAnsi="Arial"/>
                <w:sz w:val="19"/>
                <w:szCs w:val="19"/>
                <w:b w:val="1"/>
                <w:bCs w:val="1"/>
                <w:color w:val="231F20"/>
              </w:rPr>
              <w:t>3.5%</w:t>
            </w:r>
          </w:p>
        </w:tc>
        <w:tc>
          <w:tcPr>
            <w:tcW w:w="960" w:type="dxa"/>
            <w:vAlign w:val="bottom"/>
          </w:tcPr>
          <w:p>
            <w:pPr>
              <w:ind w:left="20"/>
              <w:spacing w:after="0"/>
              <w:rPr>
                <w:sz w:val="20"/>
                <w:szCs w:val="20"/>
                <w:color w:val="auto"/>
              </w:rPr>
            </w:pPr>
            <w:r>
              <w:rPr>
                <w:rFonts w:ascii="Arial" w:cs="Arial" w:eastAsia="Arial" w:hAnsi="Arial"/>
                <w:sz w:val="19"/>
                <w:szCs w:val="19"/>
                <w:b w:val="1"/>
                <w:bCs w:val="1"/>
                <w:color w:val="231F20"/>
              </w:rPr>
              <w:t>- 4.7%</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231F20"/>
              </w:rPr>
              <w:t>1.6%</w:t>
            </w:r>
          </w:p>
        </w:tc>
        <w:tc>
          <w:tcPr>
            <w:tcW w:w="960" w:type="dxa"/>
            <w:vAlign w:val="bottom"/>
          </w:tcPr>
          <w:p>
            <w:pPr>
              <w:ind w:left="20"/>
              <w:spacing w:after="0"/>
              <w:rPr>
                <w:sz w:val="20"/>
                <w:szCs w:val="20"/>
                <w:color w:val="auto"/>
              </w:rPr>
            </w:pPr>
            <w:r>
              <w:rPr>
                <w:rFonts w:ascii="Arial" w:cs="Arial" w:eastAsia="Arial" w:hAnsi="Arial"/>
                <w:sz w:val="19"/>
                <w:szCs w:val="19"/>
                <w:b w:val="1"/>
                <w:bCs w:val="1"/>
                <w:color w:val="231F20"/>
              </w:rPr>
              <w:t>- 4.4%</w:t>
            </w:r>
          </w:p>
        </w:tc>
      </w:tr>
      <w:tr>
        <w:trPr>
          <w:trHeight w:val="223"/>
        </w:trPr>
        <w:tc>
          <w:tcPr>
            <w:tcW w:w="4620" w:type="dxa"/>
            <w:vAlign w:val="bottom"/>
          </w:tcPr>
          <w:p>
            <w:pPr>
              <w:spacing w:after="0"/>
              <w:rPr>
                <w:sz w:val="20"/>
                <w:szCs w:val="20"/>
                <w:color w:val="auto"/>
              </w:rPr>
            </w:pPr>
            <w:r>
              <w:rPr>
                <w:rFonts w:ascii="Arial" w:cs="Arial" w:eastAsia="Arial" w:hAnsi="Arial"/>
                <w:sz w:val="19"/>
                <w:szCs w:val="19"/>
                <w:b w:val="1"/>
                <w:bCs w:val="1"/>
                <w:color w:val="231F20"/>
              </w:rPr>
              <w:t>Expected dividend rate</w:t>
            </w:r>
          </w:p>
        </w:tc>
        <w:tc>
          <w:tcPr>
            <w:tcW w:w="1820" w:type="dxa"/>
            <w:vAlign w:val="bottom"/>
            <w:gridSpan w:val="2"/>
          </w:tcPr>
          <w:p>
            <w:pPr>
              <w:jc w:val="right"/>
              <w:ind w:right="683"/>
              <w:spacing w:after="0"/>
              <w:rPr>
                <w:sz w:val="20"/>
                <w:szCs w:val="20"/>
                <w:color w:val="auto"/>
              </w:rPr>
            </w:pPr>
            <w:r>
              <w:rPr>
                <w:rFonts w:ascii="Arial" w:cs="Arial" w:eastAsia="Arial" w:hAnsi="Arial"/>
                <w:sz w:val="19"/>
                <w:szCs w:val="19"/>
                <w:b w:val="1"/>
                <w:bCs w:val="1"/>
                <w:color w:val="231F20"/>
              </w:rPr>
              <w:t>0%</w:t>
            </w:r>
          </w:p>
        </w:tc>
        <w:tc>
          <w:tcPr>
            <w:tcW w:w="2020" w:type="dxa"/>
            <w:vAlign w:val="bottom"/>
            <w:gridSpan w:val="3"/>
          </w:tcPr>
          <w:p>
            <w:pPr>
              <w:jc w:val="right"/>
              <w:ind w:right="683"/>
              <w:spacing w:after="0"/>
              <w:rPr>
                <w:sz w:val="20"/>
                <w:szCs w:val="20"/>
                <w:color w:val="auto"/>
              </w:rPr>
            </w:pPr>
            <w:r>
              <w:rPr>
                <w:rFonts w:ascii="Arial" w:cs="Arial" w:eastAsia="Arial" w:hAnsi="Arial"/>
                <w:sz w:val="19"/>
                <w:szCs w:val="19"/>
                <w:b w:val="1"/>
                <w:bCs w:val="1"/>
                <w:color w:val="231F20"/>
              </w:rPr>
              <w:t>0%</w:t>
            </w:r>
          </w:p>
        </w:tc>
        <w:tc>
          <w:tcPr>
            <w:tcW w:w="200" w:type="dxa"/>
            <w:vAlign w:val="bottom"/>
          </w:tcPr>
          <w:p>
            <w:pPr>
              <w:spacing w:after="0"/>
              <w:rPr>
                <w:sz w:val="19"/>
                <w:szCs w:val="19"/>
                <w:color w:val="auto"/>
              </w:rPr>
            </w:pPr>
          </w:p>
        </w:tc>
        <w:tc>
          <w:tcPr>
            <w:tcW w:w="1820" w:type="dxa"/>
            <w:vAlign w:val="bottom"/>
            <w:gridSpan w:val="2"/>
          </w:tcPr>
          <w:p>
            <w:pPr>
              <w:jc w:val="right"/>
              <w:ind w:right="683"/>
              <w:spacing w:after="0"/>
              <w:rPr>
                <w:sz w:val="20"/>
                <w:szCs w:val="20"/>
                <w:color w:val="auto"/>
              </w:rPr>
            </w:pPr>
            <w:r>
              <w:rPr>
                <w:rFonts w:ascii="Arial" w:cs="Arial" w:eastAsia="Arial" w:hAnsi="Arial"/>
                <w:sz w:val="19"/>
                <w:szCs w:val="19"/>
                <w:b w:val="1"/>
                <w:bCs w:val="1"/>
                <w:color w:val="231F20"/>
              </w:rPr>
              <w:t>0%</w:t>
            </w:r>
          </w:p>
        </w:tc>
      </w:tr>
      <w:tr>
        <w:trPr>
          <w:trHeight w:val="223"/>
        </w:trPr>
        <w:tc>
          <w:tcPr>
            <w:tcW w:w="4620" w:type="dxa"/>
            <w:vAlign w:val="bottom"/>
          </w:tcPr>
          <w:p>
            <w:pPr>
              <w:spacing w:after="0"/>
              <w:rPr>
                <w:sz w:val="20"/>
                <w:szCs w:val="20"/>
                <w:color w:val="auto"/>
              </w:rPr>
            </w:pPr>
            <w:r>
              <w:rPr>
                <w:rFonts w:ascii="Arial" w:cs="Arial" w:eastAsia="Arial" w:hAnsi="Arial"/>
                <w:sz w:val="19"/>
                <w:szCs w:val="19"/>
                <w:b w:val="1"/>
                <w:bCs w:val="1"/>
                <w:color w:val="231F20"/>
              </w:rPr>
              <w:t>Expected stock price volatility</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231F20"/>
              </w:rPr>
              <w:t>86.5%</w:t>
            </w:r>
          </w:p>
        </w:tc>
        <w:tc>
          <w:tcPr>
            <w:tcW w:w="960" w:type="dxa"/>
            <w:vAlign w:val="bottom"/>
          </w:tcPr>
          <w:p>
            <w:pPr>
              <w:ind w:left="20"/>
              <w:spacing w:after="0"/>
              <w:rPr>
                <w:sz w:val="20"/>
                <w:szCs w:val="20"/>
                <w:color w:val="auto"/>
              </w:rPr>
            </w:pPr>
            <w:r>
              <w:rPr>
                <w:rFonts w:ascii="Arial" w:cs="Arial" w:eastAsia="Arial" w:hAnsi="Arial"/>
                <w:sz w:val="19"/>
                <w:szCs w:val="19"/>
                <w:b w:val="1"/>
                <w:bCs w:val="1"/>
                <w:color w:val="231F20"/>
              </w:rPr>
              <w:t>- 95.1%</w:t>
            </w:r>
          </w:p>
        </w:tc>
        <w:tc>
          <w:tcPr>
            <w:tcW w:w="1060" w:type="dxa"/>
            <w:vAlign w:val="bottom"/>
            <w:gridSpan w:val="2"/>
          </w:tcPr>
          <w:p>
            <w:pPr>
              <w:jc w:val="right"/>
              <w:spacing w:after="0"/>
              <w:rPr>
                <w:sz w:val="20"/>
                <w:szCs w:val="20"/>
                <w:color w:val="auto"/>
              </w:rPr>
            </w:pPr>
            <w:r>
              <w:rPr>
                <w:rFonts w:ascii="Arial" w:cs="Arial" w:eastAsia="Arial" w:hAnsi="Arial"/>
                <w:sz w:val="19"/>
                <w:szCs w:val="19"/>
                <w:b w:val="1"/>
                <w:bCs w:val="1"/>
                <w:color w:val="231F20"/>
              </w:rPr>
              <w:t>83.6%</w:t>
            </w:r>
          </w:p>
        </w:tc>
        <w:tc>
          <w:tcPr>
            <w:tcW w:w="960" w:type="dxa"/>
            <w:vAlign w:val="bottom"/>
          </w:tcPr>
          <w:p>
            <w:pPr>
              <w:ind w:left="20"/>
              <w:spacing w:after="0"/>
              <w:rPr>
                <w:sz w:val="20"/>
                <w:szCs w:val="20"/>
                <w:color w:val="auto"/>
              </w:rPr>
            </w:pPr>
            <w:r>
              <w:rPr>
                <w:rFonts w:ascii="Arial" w:cs="Arial" w:eastAsia="Arial" w:hAnsi="Arial"/>
                <w:sz w:val="19"/>
                <w:szCs w:val="19"/>
                <w:b w:val="1"/>
                <w:bCs w:val="1"/>
                <w:color w:val="231F20"/>
              </w:rPr>
              <w:t>- 88.6%</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231F20"/>
              </w:rPr>
              <w:t>81.9%</w:t>
            </w:r>
          </w:p>
        </w:tc>
        <w:tc>
          <w:tcPr>
            <w:tcW w:w="960" w:type="dxa"/>
            <w:vAlign w:val="bottom"/>
          </w:tcPr>
          <w:p>
            <w:pPr>
              <w:ind w:left="20"/>
              <w:spacing w:after="0"/>
              <w:rPr>
                <w:sz w:val="20"/>
                <w:szCs w:val="20"/>
                <w:color w:val="auto"/>
              </w:rPr>
            </w:pPr>
            <w:r>
              <w:rPr>
                <w:rFonts w:ascii="Arial" w:cs="Arial" w:eastAsia="Arial" w:hAnsi="Arial"/>
                <w:sz w:val="19"/>
                <w:szCs w:val="19"/>
                <w:b w:val="1"/>
                <w:bCs w:val="1"/>
                <w:color w:val="231F20"/>
              </w:rPr>
              <w:t>- 84.7%</w:t>
            </w:r>
          </w:p>
        </w:tc>
      </w:tr>
    </w:tbl>
    <w:p>
      <w:pPr>
        <w:spacing w:after="0" w:line="204" w:lineRule="exact"/>
        <w:rPr>
          <w:sz w:val="20"/>
          <w:szCs w:val="20"/>
          <w:color w:val="auto"/>
        </w:rPr>
      </w:pPr>
    </w:p>
    <w:p>
      <w:pPr>
        <w:ind w:right="100" w:firstLine="478"/>
        <w:spacing w:after="0" w:line="277" w:lineRule="auto"/>
        <w:rPr>
          <w:sz w:val="20"/>
          <w:szCs w:val="20"/>
          <w:color w:val="auto"/>
        </w:rPr>
      </w:pPr>
      <w:r>
        <w:rPr>
          <w:rFonts w:ascii="Arial" w:cs="Arial" w:eastAsia="Arial" w:hAnsi="Arial"/>
          <w:sz w:val="17"/>
          <w:szCs w:val="17"/>
          <w:b w:val="1"/>
          <w:bCs w:val="1"/>
          <w:color w:val="231F20"/>
        </w:rPr>
        <w:t>Expected Term. The expected term of the options represents the average period the stock options are expected to remain outstanding. As the Company does not have sufficient historical information to develop reasonable expectations about future exercise patterns and post-vesting employment termination behavior, the expected term of options granted is derived from the average midpoint between the weighted average vesting and the contractual term, also known as the simplified method. For options granted from the Exchange Offer, the Company used a Monte Carlo simulation to estimate the time it takes for options to return to the money and derived the expected term of options granted from the midpoint between (i) the later of the time it takes to return to the money or the remaining vest term, and (ii) the remaining contractual term.</w:t>
      </w:r>
    </w:p>
    <w:p>
      <w:pPr>
        <w:spacing w:after="0" w:line="175" w:lineRule="exact"/>
        <w:rPr>
          <w:sz w:val="20"/>
          <w:szCs w:val="20"/>
          <w:color w:val="auto"/>
        </w:rPr>
      </w:pPr>
    </w:p>
    <w:p>
      <w:pPr>
        <w:ind w:right="300" w:firstLine="478"/>
        <w:spacing w:after="0" w:line="239" w:lineRule="auto"/>
        <w:rPr>
          <w:sz w:val="20"/>
          <w:szCs w:val="20"/>
          <w:color w:val="auto"/>
        </w:rPr>
      </w:pPr>
      <w:r>
        <w:rPr>
          <w:rFonts w:ascii="Arial" w:cs="Arial" w:eastAsia="Arial" w:hAnsi="Arial"/>
          <w:sz w:val="19"/>
          <w:szCs w:val="19"/>
          <w:b w:val="1"/>
          <w:bCs w:val="1"/>
          <w:color w:val="231F20"/>
        </w:rPr>
        <w:t>Risk-Free Interest Rate. The risk-free interest rate is based on the yield of U.S. Treasury notes as of the grant date with terms commensurate with the expected term of the option.</w:t>
      </w:r>
    </w:p>
    <w:p>
      <w:pPr>
        <w:spacing w:after="0" w:line="206" w:lineRule="exact"/>
        <w:rPr>
          <w:sz w:val="20"/>
          <w:szCs w:val="20"/>
          <w:color w:val="auto"/>
        </w:rPr>
      </w:pPr>
    </w:p>
    <w:p>
      <w:pPr>
        <w:ind w:right="520" w:firstLine="478"/>
        <w:spacing w:after="0" w:line="218" w:lineRule="exact"/>
        <w:rPr>
          <w:sz w:val="20"/>
          <w:szCs w:val="20"/>
          <w:color w:val="auto"/>
        </w:rPr>
      </w:pPr>
      <w:r>
        <w:rPr>
          <w:rFonts w:ascii="Arial" w:cs="Arial" w:eastAsia="Arial" w:hAnsi="Arial"/>
          <w:sz w:val="19"/>
          <w:szCs w:val="19"/>
          <w:b w:val="1"/>
          <w:bCs w:val="1"/>
          <w:color w:val="231F20"/>
        </w:rPr>
        <w:t>Dividend Yield. The expected dividends assumption is based on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expectation of not paying dividends in the foreseeable future.</w:t>
      </w:r>
    </w:p>
    <w:p>
      <w:pPr>
        <w:sectPr>
          <w:pgSz w:w="12240" w:h="15840" w:orient="portrait"/>
          <w:cols w:equalWidth="0" w:num="1">
            <w:col w:w="10480"/>
          </w:cols>
          <w:pgMar w:left="880" w:top="1165" w:right="880" w:bottom="4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31F20"/>
        </w:rPr>
        <w:t>114</w:t>
      </w:r>
    </w:p>
    <w:p>
      <w:pPr>
        <w:sectPr>
          <w:pgSz w:w="12240" w:h="15840" w:orient="portrait"/>
          <w:cols w:equalWidth="0" w:num="1">
            <w:col w:w="10480"/>
          </w:cols>
          <w:pgMar w:left="880" w:top="1165" w:right="880" w:bottom="401" w:gutter="0" w:footer="0" w:header="0"/>
          <w:type w:val="continuous"/>
        </w:sectPr>
      </w:pPr>
    </w:p>
    <w:bookmarkStart w:id="122" w:name="page123"/>
    <w:bookmarkEnd w:id="122"/>
    <w:p>
      <w:pPr>
        <w:ind w:right="20" w:firstLine="475"/>
        <w:spacing w:after="0" w:line="222" w:lineRule="exact"/>
        <w:rPr>
          <w:sz w:val="20"/>
          <w:szCs w:val="20"/>
          <w:color w:val="auto"/>
        </w:rPr>
      </w:pPr>
      <w:r>
        <w:rPr>
          <w:rFonts w:ascii="Arial" w:cs="Arial" w:eastAsia="Arial" w:hAnsi="Arial"/>
          <w:sz w:val="18"/>
          <w:szCs w:val="18"/>
          <w:b w:val="1"/>
          <w:bCs w:val="1"/>
          <w:color w:val="231F20"/>
        </w:rPr>
        <w:t>Volatility. Since the Company does not have sufficient trading history for its common stock, the expected volatility is based on a combination of the historical volatilities of the common shares of comparable publicly traded companies as well as the historical volatilities of the Company</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common shares. The Company selected companies with comparable characteristics, including enterprise value, risk profiles, position within the industry, and with historical share price information sufficient to meet the expected life of the Company</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share-based awards. For options granted from the Exchange Offer, the Company used the historical volatilities of the Company</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common shares.</w:t>
      </w:r>
    </w:p>
    <w:p>
      <w:pPr>
        <w:spacing w:after="0" w:line="205" w:lineRule="exact"/>
        <w:rPr>
          <w:sz w:val="20"/>
          <w:szCs w:val="20"/>
          <w:color w:val="auto"/>
        </w:rPr>
      </w:pPr>
    </w:p>
    <w:p>
      <w:pPr>
        <w:ind w:firstLine="475"/>
        <w:spacing w:after="0" w:line="222" w:lineRule="exact"/>
        <w:rPr>
          <w:sz w:val="20"/>
          <w:szCs w:val="20"/>
          <w:color w:val="auto"/>
        </w:rPr>
      </w:pPr>
      <w:r>
        <w:rPr>
          <w:rFonts w:ascii="Arial" w:cs="Arial" w:eastAsia="Arial" w:hAnsi="Arial"/>
          <w:sz w:val="16"/>
          <w:szCs w:val="16"/>
          <w:b w:val="1"/>
          <w:bCs w:val="1"/>
          <w:color w:val="231F20"/>
        </w:rPr>
        <w:t>Fair Value. Historically, for all periods prior to our initial public offering, the fair value of the shares of common stock underlying our stock option was determined by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Board. Because there was no public market for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common stock, the Board determined fair value of the common stock at the time of grant of the options by considering a number of objective and subjective factors including important developments in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operations, valuations performed by an independent third party, sales of convertible preferred stock, actual operating results and financial performance, the conditions in the biotechnology industry and the economy in general, the stock price performance and volatility of comparable public companies, and the lack of liquidity of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common stock, among other factors the Board deemed relevant to such determination. Since the completion of our initial public offering, the fair value of each share of common stock underlying stock option grants is based on the closing price of our common stock on the Nasdaq Global Select Market as reported on the date of grant.</w:t>
      </w:r>
    </w:p>
    <w:p>
      <w:pPr>
        <w:spacing w:after="0" w:line="242"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Restricted Stock Unit Activity</w:t>
      </w:r>
    </w:p>
    <w:p>
      <w:pPr>
        <w:spacing w:after="0" w:line="125"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231F20"/>
        </w:rPr>
        <w:t>The following table provides a summary of restricted stock unit activity under the 2020 Plan and related information:</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20" w:type="dxa"/>
            <w:vAlign w:val="bottom"/>
          </w:tcPr>
          <w:p>
            <w:pPr>
              <w:spacing w:after="0"/>
              <w:rPr>
                <w:sz w:val="18"/>
                <w:szCs w:val="18"/>
                <w:color w:val="auto"/>
              </w:rPr>
            </w:pPr>
          </w:p>
        </w:tc>
        <w:tc>
          <w:tcPr>
            <w:tcW w:w="2960" w:type="dxa"/>
            <w:vAlign w:val="bottom"/>
            <w:tcBorders>
              <w:bottom w:val="single" w:sz="8" w:color="231F20"/>
            </w:tcBorders>
            <w:gridSpan w:val="4"/>
          </w:tcPr>
          <w:p>
            <w:pPr>
              <w:jc w:val="right"/>
              <w:ind w:right="40"/>
              <w:spacing w:after="0"/>
              <w:rPr>
                <w:sz w:val="20"/>
                <w:szCs w:val="20"/>
                <w:color w:val="auto"/>
              </w:rPr>
            </w:pPr>
            <w:r>
              <w:rPr>
                <w:rFonts w:ascii="Arial" w:cs="Arial" w:eastAsia="Arial" w:hAnsi="Arial"/>
                <w:sz w:val="18"/>
                <w:szCs w:val="18"/>
                <w:b w:val="1"/>
                <w:bCs w:val="1"/>
                <w:color w:val="231F20"/>
              </w:rPr>
              <w:t>Outstanding RSUs</w:t>
            </w:r>
          </w:p>
        </w:tc>
        <w:tc>
          <w:tcPr>
            <w:tcW w:w="1500" w:type="dxa"/>
            <w:vAlign w:val="bottom"/>
            <w:tcBorders>
              <w:bottom w:val="single" w:sz="8" w:color="231F20"/>
            </w:tcBorders>
          </w:tcPr>
          <w:p>
            <w:pPr>
              <w:spacing w:after="0"/>
              <w:rPr>
                <w:sz w:val="18"/>
                <w:szCs w:val="18"/>
                <w:color w:val="auto"/>
              </w:rPr>
            </w:pPr>
          </w:p>
        </w:tc>
      </w:tr>
      <w:tr>
        <w:trPr>
          <w:trHeight w:val="190"/>
        </w:trPr>
        <w:tc>
          <w:tcPr>
            <w:tcW w:w="59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00" w:type="dxa"/>
            <w:vAlign w:val="bottom"/>
          </w:tcPr>
          <w:p>
            <w:pPr>
              <w:jc w:val="center"/>
              <w:ind w:right="467"/>
              <w:spacing w:after="0" w:line="190" w:lineRule="exact"/>
              <w:rPr>
                <w:sz w:val="20"/>
                <w:szCs w:val="20"/>
                <w:color w:val="auto"/>
              </w:rPr>
            </w:pPr>
            <w:r>
              <w:rPr>
                <w:rFonts w:ascii="Arial" w:cs="Arial" w:eastAsia="Arial" w:hAnsi="Arial"/>
                <w:sz w:val="18"/>
                <w:szCs w:val="18"/>
                <w:b w:val="1"/>
                <w:bCs w:val="1"/>
                <w:color w:val="231F20"/>
                <w:w w:val="89"/>
              </w:rPr>
              <w:t>Weighted-</w:t>
            </w:r>
          </w:p>
        </w:tc>
      </w:tr>
      <w:tr>
        <w:trPr>
          <w:trHeight w:val="202"/>
        </w:trPr>
        <w:tc>
          <w:tcPr>
            <w:tcW w:w="59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00" w:type="dxa"/>
            <w:vAlign w:val="bottom"/>
          </w:tcPr>
          <w:p>
            <w:pPr>
              <w:jc w:val="center"/>
              <w:ind w:right="467"/>
              <w:spacing w:after="0" w:line="201" w:lineRule="exact"/>
              <w:rPr>
                <w:sz w:val="20"/>
                <w:szCs w:val="20"/>
                <w:color w:val="auto"/>
              </w:rPr>
            </w:pPr>
            <w:r>
              <w:rPr>
                <w:rFonts w:ascii="Arial" w:cs="Arial" w:eastAsia="Arial" w:hAnsi="Arial"/>
                <w:sz w:val="18"/>
                <w:szCs w:val="18"/>
                <w:b w:val="1"/>
                <w:bCs w:val="1"/>
                <w:color w:val="231F20"/>
                <w:w w:val="87"/>
              </w:rPr>
              <w:t>Average</w:t>
            </w:r>
          </w:p>
        </w:tc>
      </w:tr>
      <w:tr>
        <w:trPr>
          <w:trHeight w:val="202"/>
        </w:trPr>
        <w:tc>
          <w:tcPr>
            <w:tcW w:w="59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00" w:type="dxa"/>
            <w:vAlign w:val="bottom"/>
          </w:tcPr>
          <w:p>
            <w:pPr>
              <w:jc w:val="center"/>
              <w:ind w:right="447"/>
              <w:spacing w:after="0" w:line="201" w:lineRule="exact"/>
              <w:rPr>
                <w:sz w:val="20"/>
                <w:szCs w:val="20"/>
                <w:color w:val="auto"/>
              </w:rPr>
            </w:pPr>
            <w:r>
              <w:rPr>
                <w:rFonts w:ascii="Arial" w:cs="Arial" w:eastAsia="Arial" w:hAnsi="Arial"/>
                <w:sz w:val="18"/>
                <w:szCs w:val="18"/>
                <w:b w:val="1"/>
                <w:bCs w:val="1"/>
                <w:color w:val="231F20"/>
                <w:w w:val="91"/>
              </w:rPr>
              <w:t>Grant Date</w:t>
            </w:r>
          </w:p>
        </w:tc>
      </w:tr>
      <w:tr>
        <w:trPr>
          <w:trHeight w:val="200"/>
        </w:trPr>
        <w:tc>
          <w:tcPr>
            <w:tcW w:w="5920" w:type="dxa"/>
            <w:vAlign w:val="bottom"/>
          </w:tcPr>
          <w:p>
            <w:pPr>
              <w:spacing w:after="0"/>
              <w:rPr>
                <w:sz w:val="17"/>
                <w:szCs w:val="17"/>
                <w:color w:val="auto"/>
              </w:rPr>
            </w:pPr>
          </w:p>
        </w:tc>
        <w:tc>
          <w:tcPr>
            <w:tcW w:w="2080" w:type="dxa"/>
            <w:vAlign w:val="bottom"/>
            <w:tcBorders>
              <w:bottom w:val="single" w:sz="8" w:color="231F20"/>
            </w:tcBorders>
          </w:tcPr>
          <w:p>
            <w:pPr>
              <w:jc w:val="right"/>
              <w:ind w:right="306"/>
              <w:spacing w:after="0" w:line="199" w:lineRule="exact"/>
              <w:rPr>
                <w:sz w:val="20"/>
                <w:szCs w:val="20"/>
                <w:color w:val="auto"/>
              </w:rPr>
            </w:pPr>
            <w:r>
              <w:rPr>
                <w:rFonts w:ascii="Arial" w:cs="Arial" w:eastAsia="Arial" w:hAnsi="Arial"/>
                <w:sz w:val="18"/>
                <w:szCs w:val="18"/>
                <w:b w:val="1"/>
                <w:bCs w:val="1"/>
                <w:color w:val="231F20"/>
              </w:rPr>
              <w:t>Number of RSUs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Borders>
              <w:bottom w:val="single" w:sz="8" w:color="231F20"/>
            </w:tcBorders>
          </w:tcPr>
          <w:p>
            <w:pPr>
              <w:spacing w:after="0"/>
              <w:rPr>
                <w:sz w:val="17"/>
                <w:szCs w:val="17"/>
                <w:color w:val="auto"/>
              </w:rPr>
            </w:pPr>
          </w:p>
        </w:tc>
        <w:tc>
          <w:tcPr>
            <w:tcW w:w="1500" w:type="dxa"/>
            <w:vAlign w:val="bottom"/>
            <w:tcBorders>
              <w:bottom w:val="single" w:sz="8" w:color="231F20"/>
            </w:tcBorders>
          </w:tcPr>
          <w:p>
            <w:pPr>
              <w:jc w:val="center"/>
              <w:ind w:right="447"/>
              <w:spacing w:after="0" w:line="199" w:lineRule="exact"/>
              <w:rPr>
                <w:sz w:val="20"/>
                <w:szCs w:val="20"/>
                <w:color w:val="auto"/>
              </w:rPr>
            </w:pPr>
            <w:r>
              <w:rPr>
                <w:rFonts w:ascii="Arial" w:cs="Arial" w:eastAsia="Arial" w:hAnsi="Arial"/>
                <w:sz w:val="18"/>
                <w:szCs w:val="18"/>
                <w:b w:val="1"/>
                <w:bCs w:val="1"/>
                <w:color w:val="231F20"/>
                <w:w w:val="92"/>
              </w:rPr>
              <w:t>Fair Value</w:t>
            </w:r>
          </w:p>
        </w:tc>
      </w:tr>
      <w:tr>
        <w:trPr>
          <w:trHeight w:val="214"/>
        </w:trPr>
        <w:tc>
          <w:tcPr>
            <w:tcW w:w="5920" w:type="dxa"/>
            <w:vAlign w:val="bottom"/>
          </w:tcPr>
          <w:p>
            <w:pPr>
              <w:spacing w:after="0" w:line="214" w:lineRule="exact"/>
              <w:rPr>
                <w:sz w:val="20"/>
                <w:szCs w:val="20"/>
                <w:color w:val="auto"/>
              </w:rPr>
            </w:pPr>
            <w:r>
              <w:rPr>
                <w:rFonts w:ascii="Arial" w:cs="Arial" w:eastAsia="Arial" w:hAnsi="Arial"/>
                <w:sz w:val="19"/>
                <w:szCs w:val="19"/>
                <w:b w:val="1"/>
                <w:bCs w:val="1"/>
                <w:color w:val="231F20"/>
              </w:rPr>
              <w:t>Unvested as of December 31, 2023</w:t>
            </w:r>
          </w:p>
        </w:tc>
        <w:tc>
          <w:tcPr>
            <w:tcW w:w="2080" w:type="dxa"/>
            <w:vAlign w:val="bottom"/>
          </w:tcPr>
          <w:p>
            <w:pPr>
              <w:jc w:val="right"/>
              <w:spacing w:after="0" w:line="214" w:lineRule="exact"/>
              <w:rPr>
                <w:sz w:val="20"/>
                <w:szCs w:val="20"/>
                <w:color w:val="auto"/>
              </w:rPr>
            </w:pPr>
            <w:r>
              <w:rPr>
                <w:rFonts w:ascii="Arial" w:cs="Arial" w:eastAsia="Arial" w:hAnsi="Arial"/>
                <w:sz w:val="19"/>
                <w:szCs w:val="19"/>
                <w:b w:val="1"/>
                <w:bCs w:val="1"/>
                <w:color w:val="231F20"/>
              </w:rPr>
              <w:t>949,669</w:t>
            </w:r>
          </w:p>
        </w:tc>
        <w:tc>
          <w:tcPr>
            <w:tcW w:w="200" w:type="dxa"/>
            <w:vAlign w:val="bottom"/>
          </w:tcPr>
          <w:p>
            <w:pPr>
              <w:spacing w:after="0"/>
              <w:rPr>
                <w:sz w:val="18"/>
                <w:szCs w:val="18"/>
                <w:color w:val="auto"/>
              </w:rPr>
            </w:pPr>
          </w:p>
        </w:tc>
        <w:tc>
          <w:tcPr>
            <w:tcW w:w="680" w:type="dxa"/>
            <w:vAlign w:val="bottom"/>
            <w:gridSpan w:val="2"/>
          </w:tcPr>
          <w:p>
            <w:pPr>
              <w:jc w:val="right"/>
              <w:ind w:right="440"/>
              <w:spacing w:after="0" w:line="214" w:lineRule="exact"/>
              <w:rPr>
                <w:sz w:val="20"/>
                <w:szCs w:val="20"/>
                <w:color w:val="auto"/>
              </w:rPr>
            </w:pPr>
            <w:r>
              <w:rPr>
                <w:rFonts w:ascii="Arial" w:cs="Arial" w:eastAsia="Arial" w:hAnsi="Arial"/>
                <w:sz w:val="19"/>
                <w:szCs w:val="19"/>
                <w:b w:val="1"/>
                <w:bCs w:val="1"/>
                <w:color w:val="231F20"/>
              </w:rPr>
              <w:t>$</w:t>
            </w:r>
          </w:p>
        </w:tc>
        <w:tc>
          <w:tcPr>
            <w:tcW w:w="1500" w:type="dxa"/>
            <w:vAlign w:val="bottom"/>
          </w:tcPr>
          <w:p>
            <w:pPr>
              <w:jc w:val="right"/>
              <w:spacing w:after="0" w:line="214" w:lineRule="exact"/>
              <w:rPr>
                <w:sz w:val="20"/>
                <w:szCs w:val="20"/>
                <w:color w:val="auto"/>
              </w:rPr>
            </w:pPr>
            <w:r>
              <w:rPr>
                <w:rFonts w:ascii="Arial" w:cs="Arial" w:eastAsia="Arial" w:hAnsi="Arial"/>
                <w:sz w:val="19"/>
                <w:szCs w:val="19"/>
                <w:b w:val="1"/>
                <w:bCs w:val="1"/>
                <w:color w:val="231F20"/>
              </w:rPr>
              <w:t>9.72</w:t>
            </w:r>
          </w:p>
        </w:tc>
      </w:tr>
      <w:tr>
        <w:trPr>
          <w:trHeight w:val="221"/>
        </w:trPr>
        <w:tc>
          <w:tcPr>
            <w:tcW w:w="5920" w:type="dxa"/>
            <w:vAlign w:val="bottom"/>
          </w:tcPr>
          <w:p>
            <w:pPr>
              <w:ind w:left="200"/>
              <w:spacing w:after="0"/>
              <w:rPr>
                <w:sz w:val="20"/>
                <w:szCs w:val="20"/>
                <w:color w:val="auto"/>
              </w:rPr>
            </w:pPr>
            <w:r>
              <w:rPr>
                <w:rFonts w:ascii="Arial" w:cs="Arial" w:eastAsia="Arial" w:hAnsi="Arial"/>
                <w:sz w:val="19"/>
                <w:szCs w:val="19"/>
                <w:b w:val="1"/>
                <w:bCs w:val="1"/>
                <w:color w:val="231F20"/>
              </w:rPr>
              <w:t>Granted</w:t>
            </w:r>
          </w:p>
        </w:tc>
        <w:tc>
          <w:tcPr>
            <w:tcW w:w="2080" w:type="dxa"/>
            <w:vAlign w:val="bottom"/>
          </w:tcPr>
          <w:p>
            <w:pPr>
              <w:jc w:val="right"/>
              <w:spacing w:after="0"/>
              <w:rPr>
                <w:sz w:val="20"/>
                <w:szCs w:val="20"/>
                <w:color w:val="auto"/>
              </w:rPr>
            </w:pPr>
            <w:r>
              <w:rPr>
                <w:rFonts w:ascii="Arial" w:cs="Arial" w:eastAsia="Arial" w:hAnsi="Arial"/>
                <w:sz w:val="19"/>
                <w:szCs w:val="19"/>
                <w:b w:val="1"/>
                <w:bCs w:val="1"/>
                <w:color w:val="231F20"/>
              </w:rPr>
              <w:t>791,300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9"/>
                <w:szCs w:val="19"/>
                <w:b w:val="1"/>
                <w:bCs w:val="1"/>
                <w:color w:val="231F20"/>
              </w:rPr>
              <w:t>15.59</w:t>
            </w:r>
          </w:p>
        </w:tc>
      </w:tr>
      <w:tr>
        <w:trPr>
          <w:trHeight w:val="223"/>
        </w:trPr>
        <w:tc>
          <w:tcPr>
            <w:tcW w:w="5920" w:type="dxa"/>
            <w:vAlign w:val="bottom"/>
          </w:tcPr>
          <w:p>
            <w:pPr>
              <w:ind w:left="200"/>
              <w:spacing w:after="0"/>
              <w:rPr>
                <w:sz w:val="20"/>
                <w:szCs w:val="20"/>
                <w:color w:val="auto"/>
              </w:rPr>
            </w:pPr>
            <w:r>
              <w:rPr>
                <w:rFonts w:ascii="Arial" w:cs="Arial" w:eastAsia="Arial" w:hAnsi="Arial"/>
                <w:sz w:val="19"/>
                <w:szCs w:val="19"/>
                <w:b w:val="1"/>
                <w:bCs w:val="1"/>
                <w:color w:val="231F20"/>
              </w:rPr>
              <w:t>Vested</w:t>
            </w:r>
          </w:p>
        </w:tc>
        <w:tc>
          <w:tcPr>
            <w:tcW w:w="228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231F20"/>
              </w:rPr>
              <w:t>(367,932)</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9"/>
                <w:szCs w:val="19"/>
                <w:b w:val="1"/>
                <w:bCs w:val="1"/>
                <w:color w:val="231F20"/>
              </w:rPr>
              <w:t>10.30</w:t>
            </w:r>
          </w:p>
        </w:tc>
      </w:tr>
      <w:tr>
        <w:trPr>
          <w:trHeight w:val="224"/>
        </w:trPr>
        <w:tc>
          <w:tcPr>
            <w:tcW w:w="5920" w:type="dxa"/>
            <w:vAlign w:val="bottom"/>
          </w:tcPr>
          <w:p>
            <w:pPr>
              <w:ind w:left="200"/>
              <w:spacing w:after="0"/>
              <w:rPr>
                <w:sz w:val="20"/>
                <w:szCs w:val="20"/>
                <w:color w:val="auto"/>
              </w:rPr>
            </w:pPr>
            <w:r>
              <w:rPr>
                <w:rFonts w:ascii="Arial" w:cs="Arial" w:eastAsia="Arial" w:hAnsi="Arial"/>
                <w:sz w:val="19"/>
                <w:szCs w:val="19"/>
                <w:b w:val="1"/>
                <w:bCs w:val="1"/>
                <w:color w:val="231F20"/>
              </w:rPr>
              <w:t>Canceled/forfeited</w:t>
            </w:r>
          </w:p>
        </w:tc>
        <w:tc>
          <w:tcPr>
            <w:tcW w:w="228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231F20"/>
              </w:rPr>
              <w:t>(116,782)</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9"/>
                <w:szCs w:val="19"/>
                <w:b w:val="1"/>
                <w:bCs w:val="1"/>
                <w:color w:val="231F20"/>
              </w:rPr>
              <w:t>11.52</w:t>
            </w:r>
          </w:p>
        </w:tc>
      </w:tr>
      <w:tr>
        <w:trPr>
          <w:trHeight w:val="212"/>
        </w:trPr>
        <w:tc>
          <w:tcPr>
            <w:tcW w:w="5920" w:type="dxa"/>
            <w:vAlign w:val="bottom"/>
          </w:tcPr>
          <w:p>
            <w:pPr>
              <w:spacing w:after="0" w:line="212" w:lineRule="exact"/>
              <w:rPr>
                <w:sz w:val="20"/>
                <w:szCs w:val="20"/>
                <w:color w:val="auto"/>
              </w:rPr>
            </w:pPr>
            <w:r>
              <w:rPr>
                <w:rFonts w:ascii="Arial" w:cs="Arial" w:eastAsia="Arial" w:hAnsi="Arial"/>
                <w:sz w:val="19"/>
                <w:szCs w:val="19"/>
                <w:b w:val="1"/>
                <w:bCs w:val="1"/>
                <w:color w:val="231F20"/>
              </w:rPr>
              <w:t>Unvested as of December 31, 2024</w:t>
            </w:r>
          </w:p>
        </w:tc>
        <w:tc>
          <w:tcPr>
            <w:tcW w:w="2080" w:type="dxa"/>
            <w:vAlign w:val="bottom"/>
            <w:tcBorders>
              <w:top w:val="single" w:sz="8" w:color="231F20"/>
            </w:tcBorders>
          </w:tcPr>
          <w:p>
            <w:pPr>
              <w:jc w:val="right"/>
              <w:spacing w:after="0" w:line="212" w:lineRule="exact"/>
              <w:rPr>
                <w:sz w:val="20"/>
                <w:szCs w:val="20"/>
                <w:color w:val="auto"/>
              </w:rPr>
            </w:pPr>
            <w:r>
              <w:rPr>
                <w:rFonts w:ascii="Arial" w:cs="Arial" w:eastAsia="Arial" w:hAnsi="Arial"/>
                <w:sz w:val="19"/>
                <w:szCs w:val="19"/>
                <w:b w:val="1"/>
                <w:bCs w:val="1"/>
                <w:color w:val="231F20"/>
              </w:rPr>
              <w:t>1,256,255</w:t>
            </w:r>
          </w:p>
        </w:tc>
        <w:tc>
          <w:tcPr>
            <w:tcW w:w="200" w:type="dxa"/>
            <w:vAlign w:val="bottom"/>
          </w:tcPr>
          <w:p>
            <w:pPr>
              <w:spacing w:after="0"/>
              <w:rPr>
                <w:sz w:val="18"/>
                <w:szCs w:val="18"/>
                <w:color w:val="auto"/>
              </w:rPr>
            </w:pPr>
          </w:p>
        </w:tc>
        <w:tc>
          <w:tcPr>
            <w:tcW w:w="680" w:type="dxa"/>
            <w:vAlign w:val="bottom"/>
            <w:gridSpan w:val="2"/>
          </w:tcPr>
          <w:p>
            <w:pPr>
              <w:jc w:val="right"/>
              <w:ind w:right="440"/>
              <w:spacing w:after="0" w:line="212" w:lineRule="exact"/>
              <w:rPr>
                <w:sz w:val="20"/>
                <w:szCs w:val="20"/>
                <w:color w:val="auto"/>
              </w:rPr>
            </w:pPr>
            <w:r>
              <w:rPr>
                <w:rFonts w:ascii="Arial" w:cs="Arial" w:eastAsia="Arial" w:hAnsi="Arial"/>
                <w:sz w:val="19"/>
                <w:szCs w:val="19"/>
                <w:b w:val="1"/>
                <w:bCs w:val="1"/>
                <w:color w:val="231F20"/>
              </w:rPr>
              <w:t>$</w:t>
            </w:r>
          </w:p>
        </w:tc>
        <w:tc>
          <w:tcPr>
            <w:tcW w:w="1500" w:type="dxa"/>
            <w:vAlign w:val="bottom"/>
          </w:tcPr>
          <w:p>
            <w:pPr>
              <w:jc w:val="right"/>
              <w:spacing w:after="0" w:line="212" w:lineRule="exact"/>
              <w:rPr>
                <w:sz w:val="20"/>
                <w:szCs w:val="20"/>
                <w:color w:val="auto"/>
              </w:rPr>
            </w:pPr>
            <w:r>
              <w:rPr>
                <w:rFonts w:ascii="Arial" w:cs="Arial" w:eastAsia="Arial" w:hAnsi="Arial"/>
                <w:sz w:val="19"/>
                <w:szCs w:val="19"/>
                <w:b w:val="1"/>
                <w:bCs w:val="1"/>
                <w:color w:val="231F20"/>
              </w:rPr>
              <w:t>12.89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3740150</wp:posOffset>
            </wp:positionH>
            <wp:positionV relativeFrom="paragraph">
              <wp:posOffset>-11430</wp:posOffset>
            </wp:positionV>
            <wp:extent cx="1352550" cy="5588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352550" cy="55880"/>
                    </a:xfrm>
                    <a:prstGeom prst="rect">
                      <a:avLst/>
                    </a:prstGeom>
                    <a:noFill/>
                  </pic:spPr>
                </pic:pic>
              </a:graphicData>
            </a:graphic>
          </wp:anchor>
        </w:drawing>
      </w:r>
    </w:p>
    <w:p>
      <w:pPr>
        <w:spacing w:after="0" w:line="266" w:lineRule="exact"/>
        <w:rPr>
          <w:sz w:val="20"/>
          <w:szCs w:val="20"/>
          <w:color w:val="auto"/>
        </w:rPr>
      </w:pPr>
    </w:p>
    <w:p>
      <w:pPr>
        <w:ind w:right="80" w:firstLine="475"/>
        <w:spacing w:after="0" w:line="239" w:lineRule="auto"/>
        <w:rPr>
          <w:sz w:val="20"/>
          <w:szCs w:val="20"/>
          <w:color w:val="auto"/>
        </w:rPr>
      </w:pPr>
      <w:r>
        <w:rPr>
          <w:rFonts w:ascii="Arial" w:cs="Arial" w:eastAsia="Arial" w:hAnsi="Arial"/>
          <w:sz w:val="19"/>
          <w:szCs w:val="19"/>
          <w:b w:val="1"/>
          <w:bCs w:val="1"/>
          <w:color w:val="231F20"/>
        </w:rPr>
        <w:t>The total fair value of restricted stock units vested during the years ended December 31, 2024, 2023 and 2022 was $2.3 million, $2.8 million and $0.6 million, respectively.</w:t>
      </w:r>
    </w:p>
    <w:p>
      <w:pPr>
        <w:spacing w:after="0" w:line="200"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Performance-Based Restricted Stock Units</w:t>
      </w:r>
    </w:p>
    <w:p>
      <w:pPr>
        <w:spacing w:after="0" w:line="128" w:lineRule="exact"/>
        <w:rPr>
          <w:sz w:val="20"/>
          <w:szCs w:val="20"/>
          <w:color w:val="auto"/>
        </w:rPr>
      </w:pPr>
    </w:p>
    <w:p>
      <w:pPr>
        <w:ind w:right="60" w:firstLine="475"/>
        <w:spacing w:after="0" w:line="222" w:lineRule="exact"/>
        <w:rPr>
          <w:sz w:val="20"/>
          <w:szCs w:val="20"/>
          <w:color w:val="auto"/>
        </w:rPr>
      </w:pPr>
      <w:r>
        <w:rPr>
          <w:rFonts w:ascii="Arial" w:cs="Arial" w:eastAsia="Arial" w:hAnsi="Arial"/>
          <w:sz w:val="16"/>
          <w:szCs w:val="16"/>
          <w:b w:val="1"/>
          <w:bCs w:val="1"/>
          <w:color w:val="231F20"/>
        </w:rPr>
        <w:t>In February 2024, the Company granted 365,000 performance-based restricted stock units, or PSUs, to certain employees under the 2020 Plan. The PSUs are subject to both performance-based and service-based vesting conditions with a fair value based on the closing price of the underlying common stock on the date of grant. Each PSU is split into two tranches with each tranche having performance goals based on the achievement of pre-determined clinical milestones that result in the shares attributable to such tranche being eligible for vesting, subject to the service-based vesting condition. The service-based vesting condition is satisfied on the one-year anniversary of the performance achievement date for each tranche and is subject to the employee</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continuous service through such vesting date. Upon vesting, each PSU will automatically convert into one share of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common stock. If the performance condition for a tranche is not met by March 31, 2025, the shares attributable to such tranche will be forfeited.</w:t>
      </w:r>
    </w:p>
    <w:p>
      <w:pPr>
        <w:spacing w:after="0" w:line="129" w:lineRule="exact"/>
        <w:rPr>
          <w:sz w:val="20"/>
          <w:szCs w:val="20"/>
          <w:color w:val="auto"/>
        </w:rPr>
      </w:pPr>
    </w:p>
    <w:p>
      <w:pPr>
        <w:ind w:right="400" w:firstLine="475"/>
        <w:spacing w:after="0" w:line="242" w:lineRule="auto"/>
        <w:rPr>
          <w:sz w:val="20"/>
          <w:szCs w:val="20"/>
          <w:color w:val="auto"/>
        </w:rPr>
      </w:pPr>
      <w:r>
        <w:rPr>
          <w:rFonts w:ascii="Arial" w:cs="Arial" w:eastAsia="Arial" w:hAnsi="Arial"/>
          <w:sz w:val="19"/>
          <w:szCs w:val="19"/>
          <w:b w:val="1"/>
          <w:bCs w:val="1"/>
          <w:color w:val="231F20"/>
        </w:rPr>
        <w:t>As of December 31, 2024, the Company determined that the achievement of the performance conditions for each tranche of PSUs was not probable. As a result, no compensation expense has been recognized for these awards as of and for the year ended December 31, 2024.</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As of December 31, 2024, there were 357,500 PSUs outstanding and unvested.</w:t>
      </w:r>
    </w:p>
    <w:p>
      <w:pPr>
        <w:spacing w:after="0" w:line="237"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Stock-based Compensation Expenses</w:t>
      </w:r>
    </w:p>
    <w:p>
      <w:pPr>
        <w:spacing w:after="0" w:line="128" w:lineRule="exact"/>
        <w:rPr>
          <w:sz w:val="20"/>
          <w:szCs w:val="20"/>
          <w:color w:val="auto"/>
        </w:rPr>
      </w:pPr>
    </w:p>
    <w:p>
      <w:pPr>
        <w:ind w:right="160" w:firstLine="475"/>
        <w:spacing w:after="0" w:line="222" w:lineRule="exact"/>
        <w:rPr>
          <w:sz w:val="20"/>
          <w:szCs w:val="20"/>
          <w:color w:val="auto"/>
        </w:rPr>
      </w:pPr>
      <w:r>
        <w:rPr>
          <w:rFonts w:ascii="Arial" w:cs="Arial" w:eastAsia="Arial" w:hAnsi="Arial"/>
          <w:sz w:val="17"/>
          <w:szCs w:val="17"/>
          <w:b w:val="1"/>
          <w:bCs w:val="1"/>
          <w:color w:val="231F20"/>
        </w:rPr>
        <w:t>Stock options granted are measured based on the grant-date fair value estimated using the Black-Scholes option pricing model. The grant-date fair value of restricted stock units is the fair value of the underlying stock on the award</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grant date. Compensation expense is recognized over the vesting period of the applicable awards on a straight-line basis. The weighted-average grant date fair value per share for stock options granted during the years ended December 31, 2024, 2023 and 2022 was $4.10, $4.44 and $7.88, respectively. The weighted-average grant date fair value per share for restricted stock units granted during the years ended December 31, 2024, 2023 and 2022 was $15.59, $5.86 and $58.56, respectively.</w:t>
      </w:r>
    </w:p>
    <w:p>
      <w:pPr>
        <w:sectPr>
          <w:pgSz w:w="12240" w:h="15840" w:orient="portrait"/>
          <w:cols w:equalWidth="0" w:num="1">
            <w:col w:w="10480"/>
          </w:cols>
          <w:pgMar w:left="880" w:top="1165" w:right="880" w:bottom="4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31F20"/>
        </w:rPr>
        <w:t>115</w:t>
      </w:r>
    </w:p>
    <w:p>
      <w:pPr>
        <w:sectPr>
          <w:pgSz w:w="12240" w:h="15840" w:orient="portrait"/>
          <w:cols w:equalWidth="0" w:num="1">
            <w:col w:w="10480"/>
          </w:cols>
          <w:pgMar w:left="880" w:top="1165" w:right="880" w:bottom="401" w:gutter="0" w:footer="0" w:header="0"/>
          <w:type w:val="continuous"/>
        </w:sectPr>
      </w:pPr>
    </w:p>
    <w:bookmarkStart w:id="123" w:name="page124"/>
    <w:bookmarkEnd w:id="123"/>
    <w:p>
      <w:pPr>
        <w:ind w:right="280" w:firstLine="475"/>
        <w:spacing w:after="0" w:line="218" w:lineRule="exact"/>
        <w:rPr>
          <w:sz w:val="20"/>
          <w:szCs w:val="20"/>
          <w:color w:val="auto"/>
        </w:rPr>
      </w:pPr>
      <w:r>
        <w:rPr>
          <w:rFonts w:ascii="Arial" w:cs="Arial" w:eastAsia="Arial" w:hAnsi="Arial"/>
          <w:sz w:val="19"/>
          <w:szCs w:val="19"/>
          <w:b w:val="1"/>
          <w:bCs w:val="1"/>
          <w:color w:val="231F20"/>
        </w:rPr>
        <w:t>Stock-based compensation expense includes stock options and restricted stock units and has been reported in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consolidated statements of operations as follows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center"/>
              <w:ind w:right="128"/>
              <w:spacing w:after="0"/>
              <w:rPr>
                <w:sz w:val="20"/>
                <w:szCs w:val="20"/>
                <w:color w:val="auto"/>
              </w:rPr>
            </w:pPr>
            <w:r>
              <w:rPr>
                <w:rFonts w:ascii="Arial" w:cs="Arial" w:eastAsia="Arial" w:hAnsi="Arial"/>
                <w:sz w:val="18"/>
                <w:szCs w:val="18"/>
                <w:b w:val="1"/>
                <w:bCs w:val="1"/>
                <w:color w:val="231F20"/>
                <w:w w:val="90"/>
              </w:rPr>
              <w:t>Year Ended</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6"/>
        </w:trPr>
        <w:tc>
          <w:tcPr>
            <w:tcW w:w="4860" w:type="dxa"/>
            <w:vAlign w:val="bottom"/>
          </w:tcPr>
          <w:p>
            <w:pPr>
              <w:spacing w:after="0"/>
              <w:rPr>
                <w:sz w:val="20"/>
                <w:szCs w:val="20"/>
                <w:color w:val="auto"/>
              </w:rPr>
            </w:pPr>
          </w:p>
        </w:tc>
        <w:tc>
          <w:tcPr>
            <w:tcW w:w="1040" w:type="dxa"/>
            <w:vAlign w:val="bottom"/>
            <w:tcBorders>
              <w:bottom w:val="single" w:sz="8" w:color="231F20"/>
            </w:tcBorders>
          </w:tcPr>
          <w:p>
            <w:pPr>
              <w:spacing w:after="0"/>
              <w:rPr>
                <w:sz w:val="20"/>
                <w:szCs w:val="20"/>
                <w:color w:val="auto"/>
              </w:rPr>
            </w:pPr>
          </w:p>
        </w:tc>
        <w:tc>
          <w:tcPr>
            <w:tcW w:w="600" w:type="dxa"/>
            <w:vAlign w:val="bottom"/>
            <w:tcBorders>
              <w:bottom w:val="single" w:sz="8" w:color="231F20"/>
            </w:tcBorders>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1440" w:type="dxa"/>
            <w:vAlign w:val="bottom"/>
            <w:tcBorders>
              <w:bottom w:val="single" w:sz="8" w:color="231F20"/>
            </w:tcBorders>
          </w:tcPr>
          <w:p>
            <w:pPr>
              <w:jc w:val="center"/>
              <w:ind w:right="128"/>
              <w:spacing w:after="0"/>
              <w:rPr>
                <w:sz w:val="20"/>
                <w:szCs w:val="20"/>
                <w:color w:val="auto"/>
              </w:rPr>
            </w:pPr>
            <w:r>
              <w:rPr>
                <w:rFonts w:ascii="Arial" w:cs="Arial" w:eastAsia="Arial" w:hAnsi="Arial"/>
                <w:sz w:val="18"/>
                <w:szCs w:val="18"/>
                <w:b w:val="1"/>
                <w:bCs w:val="1"/>
                <w:color w:val="231F20"/>
                <w:w w:val="87"/>
              </w:rPr>
              <w:t>December 31,</w:t>
            </w:r>
          </w:p>
        </w:tc>
        <w:tc>
          <w:tcPr>
            <w:tcW w:w="300" w:type="dxa"/>
            <w:vAlign w:val="bottom"/>
            <w:tcBorders>
              <w:bottom w:val="single" w:sz="8" w:color="231F20"/>
            </w:tcBorders>
          </w:tcPr>
          <w:p>
            <w:pPr>
              <w:spacing w:after="0"/>
              <w:rPr>
                <w:sz w:val="20"/>
                <w:szCs w:val="20"/>
                <w:color w:val="auto"/>
              </w:rPr>
            </w:pPr>
          </w:p>
        </w:tc>
        <w:tc>
          <w:tcPr>
            <w:tcW w:w="360" w:type="dxa"/>
            <w:vAlign w:val="bottom"/>
            <w:tcBorders>
              <w:bottom w:val="single" w:sz="8" w:color="231F20"/>
            </w:tcBorders>
          </w:tcPr>
          <w:p>
            <w:pPr>
              <w:spacing w:after="0"/>
              <w:rPr>
                <w:sz w:val="20"/>
                <w:szCs w:val="20"/>
                <w:color w:val="auto"/>
              </w:rPr>
            </w:pPr>
          </w:p>
        </w:tc>
        <w:tc>
          <w:tcPr>
            <w:tcW w:w="1280" w:type="dxa"/>
            <w:vAlign w:val="bottom"/>
            <w:tcBorders>
              <w:bottom w:val="single" w:sz="8" w:color="231F20"/>
            </w:tcBorders>
          </w:tcPr>
          <w:p>
            <w:pPr>
              <w:spacing w:after="0"/>
              <w:rPr>
                <w:sz w:val="20"/>
                <w:szCs w:val="20"/>
                <w:color w:val="auto"/>
              </w:rPr>
            </w:pPr>
          </w:p>
        </w:tc>
      </w:tr>
      <w:tr>
        <w:trPr>
          <w:trHeight w:val="227"/>
        </w:trPr>
        <w:tc>
          <w:tcPr>
            <w:tcW w:w="4860" w:type="dxa"/>
            <w:vAlign w:val="bottom"/>
          </w:tcPr>
          <w:p>
            <w:pPr>
              <w:spacing w:after="0"/>
              <w:rPr>
                <w:sz w:val="19"/>
                <w:szCs w:val="19"/>
                <w:color w:val="auto"/>
              </w:rPr>
            </w:pPr>
          </w:p>
        </w:tc>
        <w:tc>
          <w:tcPr>
            <w:tcW w:w="1040" w:type="dxa"/>
            <w:vAlign w:val="bottom"/>
            <w:tcBorders>
              <w:bottom w:val="single" w:sz="8" w:color="231F20"/>
            </w:tcBorders>
          </w:tcPr>
          <w:p>
            <w:pPr>
              <w:jc w:val="right"/>
              <w:spacing w:after="0"/>
              <w:rPr>
                <w:sz w:val="20"/>
                <w:szCs w:val="20"/>
                <w:color w:val="auto"/>
              </w:rPr>
            </w:pPr>
            <w:r>
              <w:rPr>
                <w:rFonts w:ascii="Arial" w:cs="Arial" w:eastAsia="Arial" w:hAnsi="Arial"/>
                <w:sz w:val="18"/>
                <w:szCs w:val="18"/>
                <w:b w:val="1"/>
                <w:bCs w:val="1"/>
                <w:color w:val="231F20"/>
              </w:rPr>
              <w:t>2024</w:t>
            </w:r>
          </w:p>
        </w:tc>
        <w:tc>
          <w:tcPr>
            <w:tcW w:w="600" w:type="dxa"/>
            <w:vAlign w:val="bottom"/>
            <w:tcBorders>
              <w:bottom w:val="single" w:sz="8" w:color="231F20"/>
            </w:tcBorders>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1440" w:type="dxa"/>
            <w:vAlign w:val="bottom"/>
            <w:tcBorders>
              <w:bottom w:val="single" w:sz="8" w:color="231F20"/>
            </w:tcBorders>
          </w:tcPr>
          <w:p>
            <w:pPr>
              <w:jc w:val="center"/>
              <w:ind w:right="128"/>
              <w:spacing w:after="0"/>
              <w:rPr>
                <w:sz w:val="20"/>
                <w:szCs w:val="20"/>
                <w:color w:val="auto"/>
              </w:rPr>
            </w:pPr>
            <w:r>
              <w:rPr>
                <w:rFonts w:ascii="Arial" w:cs="Arial" w:eastAsia="Arial" w:hAnsi="Arial"/>
                <w:sz w:val="18"/>
                <w:szCs w:val="18"/>
                <w:b w:val="1"/>
                <w:bCs w:val="1"/>
                <w:color w:val="231F20"/>
                <w:w w:val="84"/>
              </w:rPr>
              <w:t>2023</w:t>
            </w:r>
          </w:p>
        </w:tc>
        <w:tc>
          <w:tcPr>
            <w:tcW w:w="300" w:type="dxa"/>
            <w:vAlign w:val="bottom"/>
          </w:tcPr>
          <w:p>
            <w:pPr>
              <w:spacing w:after="0"/>
              <w:rPr>
                <w:sz w:val="19"/>
                <w:szCs w:val="19"/>
                <w:color w:val="auto"/>
              </w:rPr>
            </w:pPr>
          </w:p>
        </w:tc>
        <w:tc>
          <w:tcPr>
            <w:tcW w:w="360" w:type="dxa"/>
            <w:vAlign w:val="bottom"/>
            <w:tcBorders>
              <w:bottom w:val="single" w:sz="8" w:color="231F20"/>
            </w:tcBorders>
          </w:tcPr>
          <w:p>
            <w:pPr>
              <w:spacing w:after="0"/>
              <w:rPr>
                <w:sz w:val="19"/>
                <w:szCs w:val="19"/>
                <w:color w:val="auto"/>
              </w:rPr>
            </w:pPr>
          </w:p>
        </w:tc>
        <w:tc>
          <w:tcPr>
            <w:tcW w:w="1280" w:type="dxa"/>
            <w:vAlign w:val="bottom"/>
            <w:tcBorders>
              <w:bottom w:val="single" w:sz="8" w:color="231F20"/>
            </w:tcBorders>
          </w:tcPr>
          <w:p>
            <w:pPr>
              <w:jc w:val="right"/>
              <w:ind w:right="565"/>
              <w:spacing w:after="0"/>
              <w:rPr>
                <w:sz w:val="20"/>
                <w:szCs w:val="20"/>
                <w:color w:val="auto"/>
              </w:rPr>
            </w:pPr>
            <w:r>
              <w:rPr>
                <w:rFonts w:ascii="Arial" w:cs="Arial" w:eastAsia="Arial" w:hAnsi="Arial"/>
                <w:sz w:val="18"/>
                <w:szCs w:val="18"/>
                <w:b w:val="1"/>
                <w:bCs w:val="1"/>
                <w:color w:val="231F20"/>
              </w:rPr>
              <w:t>2022</w:t>
            </w:r>
          </w:p>
        </w:tc>
      </w:tr>
      <w:tr>
        <w:trPr>
          <w:trHeight w:val="226"/>
        </w:trPr>
        <w:tc>
          <w:tcPr>
            <w:tcW w:w="4860" w:type="dxa"/>
            <w:vAlign w:val="bottom"/>
          </w:tcPr>
          <w:p>
            <w:pPr>
              <w:spacing w:after="0"/>
              <w:rPr>
                <w:sz w:val="20"/>
                <w:szCs w:val="20"/>
                <w:color w:val="auto"/>
              </w:rPr>
            </w:pPr>
            <w:r>
              <w:rPr>
                <w:rFonts w:ascii="Arial" w:cs="Arial" w:eastAsia="Arial" w:hAnsi="Arial"/>
                <w:sz w:val="19"/>
                <w:szCs w:val="19"/>
                <w:b w:val="1"/>
                <w:bCs w:val="1"/>
                <w:color w:val="231F20"/>
              </w:rPr>
              <w:t>Research and development</w:t>
            </w:r>
          </w:p>
        </w:tc>
        <w:tc>
          <w:tcPr>
            <w:tcW w:w="1040" w:type="dxa"/>
            <w:vAlign w:val="bottom"/>
          </w:tcPr>
          <w:p>
            <w:pPr>
              <w:jc w:val="right"/>
              <w:ind w:right="846"/>
              <w:spacing w:after="0"/>
              <w:rPr>
                <w:sz w:val="20"/>
                <w:szCs w:val="20"/>
                <w:color w:val="auto"/>
              </w:rPr>
            </w:pPr>
            <w:r>
              <w:rPr>
                <w:rFonts w:ascii="Arial" w:cs="Arial" w:eastAsia="Arial" w:hAnsi="Arial"/>
                <w:sz w:val="19"/>
                <w:szCs w:val="19"/>
                <w:b w:val="1"/>
                <w:bCs w:val="1"/>
                <w:color w:val="231F20"/>
                <w:w w:val="75"/>
              </w:rPr>
              <w:t>$</w:t>
            </w:r>
          </w:p>
        </w:tc>
        <w:tc>
          <w:tcPr>
            <w:tcW w:w="600" w:type="dxa"/>
            <w:vAlign w:val="bottom"/>
          </w:tcPr>
          <w:p>
            <w:pPr>
              <w:jc w:val="right"/>
              <w:spacing w:after="0"/>
              <w:rPr>
                <w:sz w:val="20"/>
                <w:szCs w:val="20"/>
                <w:color w:val="auto"/>
              </w:rPr>
            </w:pPr>
            <w:r>
              <w:rPr>
                <w:rFonts w:ascii="Arial" w:cs="Arial" w:eastAsia="Arial" w:hAnsi="Arial"/>
                <w:sz w:val="19"/>
                <w:szCs w:val="19"/>
                <w:b w:val="1"/>
                <w:bCs w:val="1"/>
                <w:color w:val="231F20"/>
                <w:w w:val="96"/>
              </w:rPr>
              <w:t>18,490</w:t>
            </w:r>
          </w:p>
        </w:tc>
        <w:tc>
          <w:tcPr>
            <w:tcW w:w="50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231F20"/>
              </w:rPr>
              <w:t>$</w:t>
            </w:r>
          </w:p>
        </w:tc>
        <w:tc>
          <w:tcPr>
            <w:tcW w:w="1440" w:type="dxa"/>
            <w:vAlign w:val="bottom"/>
          </w:tcPr>
          <w:p>
            <w:pPr>
              <w:jc w:val="right"/>
              <w:spacing w:after="0"/>
              <w:rPr>
                <w:sz w:val="20"/>
                <w:szCs w:val="20"/>
                <w:color w:val="auto"/>
              </w:rPr>
            </w:pPr>
            <w:r>
              <w:rPr>
                <w:rFonts w:ascii="Arial" w:cs="Arial" w:eastAsia="Arial" w:hAnsi="Arial"/>
                <w:sz w:val="19"/>
                <w:szCs w:val="19"/>
                <w:b w:val="1"/>
                <w:bCs w:val="1"/>
                <w:color w:val="231F20"/>
              </w:rPr>
              <w:t>14,665</w:t>
            </w:r>
          </w:p>
        </w:tc>
        <w:tc>
          <w:tcPr>
            <w:tcW w:w="660" w:type="dxa"/>
            <w:vAlign w:val="bottom"/>
            <w:gridSpan w:val="2"/>
          </w:tcPr>
          <w:p>
            <w:pPr>
              <w:jc w:val="right"/>
              <w:ind w:right="280"/>
              <w:spacing w:after="0"/>
              <w:rPr>
                <w:sz w:val="20"/>
                <w:szCs w:val="20"/>
                <w:color w:val="auto"/>
              </w:rPr>
            </w:pPr>
            <w:r>
              <w:rPr>
                <w:rFonts w:ascii="Arial" w:cs="Arial" w:eastAsia="Arial" w:hAnsi="Arial"/>
                <w:sz w:val="19"/>
                <w:szCs w:val="19"/>
                <w:b w:val="1"/>
                <w:bCs w:val="1"/>
                <w:color w:val="231F20"/>
              </w:rPr>
              <w:t>$</w:t>
            </w:r>
          </w:p>
        </w:tc>
        <w:tc>
          <w:tcPr>
            <w:tcW w:w="1280" w:type="dxa"/>
            <w:vAlign w:val="bottom"/>
          </w:tcPr>
          <w:p>
            <w:pPr>
              <w:jc w:val="right"/>
              <w:spacing w:after="0"/>
              <w:rPr>
                <w:sz w:val="20"/>
                <w:szCs w:val="20"/>
                <w:color w:val="auto"/>
              </w:rPr>
            </w:pPr>
            <w:r>
              <w:rPr>
                <w:rFonts w:ascii="Arial" w:cs="Arial" w:eastAsia="Arial" w:hAnsi="Arial"/>
                <w:sz w:val="19"/>
                <w:szCs w:val="19"/>
                <w:b w:val="1"/>
                <w:bCs w:val="1"/>
                <w:color w:val="231F20"/>
              </w:rPr>
              <w:t>10,741</w:t>
            </w:r>
          </w:p>
        </w:tc>
      </w:tr>
      <w:tr>
        <w:trPr>
          <w:trHeight w:val="236"/>
        </w:trPr>
        <w:tc>
          <w:tcPr>
            <w:tcW w:w="4860" w:type="dxa"/>
            <w:vAlign w:val="bottom"/>
          </w:tcPr>
          <w:p>
            <w:pPr>
              <w:spacing w:after="0"/>
              <w:rPr>
                <w:sz w:val="20"/>
                <w:szCs w:val="20"/>
                <w:color w:val="auto"/>
              </w:rPr>
            </w:pPr>
            <w:r>
              <w:rPr>
                <w:rFonts w:ascii="Arial" w:cs="Arial" w:eastAsia="Arial" w:hAnsi="Arial"/>
                <w:sz w:val="19"/>
                <w:szCs w:val="19"/>
                <w:b w:val="1"/>
                <w:bCs w:val="1"/>
                <w:color w:val="231F20"/>
              </w:rPr>
              <w:t>General and administrative</w:t>
            </w:r>
          </w:p>
        </w:tc>
        <w:tc>
          <w:tcPr>
            <w:tcW w:w="1040" w:type="dxa"/>
            <w:vAlign w:val="bottom"/>
            <w:tcBorders>
              <w:bottom w:val="single" w:sz="8" w:color="231F20"/>
            </w:tcBorders>
          </w:tcPr>
          <w:p>
            <w:pPr>
              <w:spacing w:after="0"/>
              <w:rPr>
                <w:sz w:val="20"/>
                <w:szCs w:val="20"/>
                <w:color w:val="auto"/>
              </w:rPr>
            </w:pPr>
          </w:p>
        </w:tc>
        <w:tc>
          <w:tcPr>
            <w:tcW w:w="60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8,603</w:t>
            </w:r>
          </w:p>
        </w:tc>
        <w:tc>
          <w:tcPr>
            <w:tcW w:w="30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144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11,608</w:t>
            </w:r>
          </w:p>
        </w:tc>
        <w:tc>
          <w:tcPr>
            <w:tcW w:w="300" w:type="dxa"/>
            <w:vAlign w:val="bottom"/>
          </w:tcPr>
          <w:p>
            <w:pPr>
              <w:spacing w:after="0"/>
              <w:rPr>
                <w:sz w:val="20"/>
                <w:szCs w:val="20"/>
                <w:color w:val="auto"/>
              </w:rPr>
            </w:pPr>
          </w:p>
        </w:tc>
        <w:tc>
          <w:tcPr>
            <w:tcW w:w="360" w:type="dxa"/>
            <w:vAlign w:val="bottom"/>
            <w:tcBorders>
              <w:bottom w:val="single" w:sz="8" w:color="231F20"/>
            </w:tcBorders>
          </w:tcPr>
          <w:p>
            <w:pPr>
              <w:spacing w:after="0"/>
              <w:rPr>
                <w:sz w:val="20"/>
                <w:szCs w:val="20"/>
                <w:color w:val="auto"/>
              </w:rPr>
            </w:pPr>
          </w:p>
        </w:tc>
        <w:tc>
          <w:tcPr>
            <w:tcW w:w="128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13,098</w:t>
            </w:r>
          </w:p>
        </w:tc>
      </w:tr>
      <w:tr>
        <w:trPr>
          <w:trHeight w:val="226"/>
        </w:trPr>
        <w:tc>
          <w:tcPr>
            <w:tcW w:w="4860" w:type="dxa"/>
            <w:vAlign w:val="bottom"/>
          </w:tcPr>
          <w:p>
            <w:pPr>
              <w:ind w:left="200"/>
              <w:spacing w:after="0"/>
              <w:rPr>
                <w:sz w:val="20"/>
                <w:szCs w:val="20"/>
                <w:color w:val="auto"/>
              </w:rPr>
            </w:pPr>
            <w:r>
              <w:rPr>
                <w:rFonts w:ascii="Arial" w:cs="Arial" w:eastAsia="Arial" w:hAnsi="Arial"/>
                <w:sz w:val="19"/>
                <w:szCs w:val="19"/>
                <w:b w:val="1"/>
                <w:bCs w:val="1"/>
                <w:color w:val="231F20"/>
              </w:rPr>
              <w:t>Total</w:t>
            </w:r>
          </w:p>
        </w:tc>
        <w:tc>
          <w:tcPr>
            <w:tcW w:w="1040" w:type="dxa"/>
            <w:vAlign w:val="bottom"/>
          </w:tcPr>
          <w:p>
            <w:pPr>
              <w:jc w:val="right"/>
              <w:ind w:right="846"/>
              <w:spacing w:after="0"/>
              <w:rPr>
                <w:sz w:val="20"/>
                <w:szCs w:val="20"/>
                <w:color w:val="auto"/>
              </w:rPr>
            </w:pPr>
            <w:r>
              <w:rPr>
                <w:rFonts w:ascii="Arial" w:cs="Arial" w:eastAsia="Arial" w:hAnsi="Arial"/>
                <w:sz w:val="19"/>
                <w:szCs w:val="19"/>
                <w:b w:val="1"/>
                <w:bCs w:val="1"/>
                <w:color w:val="231F20"/>
                <w:w w:val="75"/>
              </w:rPr>
              <w:t>$</w:t>
            </w:r>
          </w:p>
        </w:tc>
        <w:tc>
          <w:tcPr>
            <w:tcW w:w="600" w:type="dxa"/>
            <w:vAlign w:val="bottom"/>
          </w:tcPr>
          <w:p>
            <w:pPr>
              <w:jc w:val="right"/>
              <w:spacing w:after="0"/>
              <w:rPr>
                <w:sz w:val="20"/>
                <w:szCs w:val="20"/>
                <w:color w:val="auto"/>
              </w:rPr>
            </w:pPr>
            <w:r>
              <w:rPr>
                <w:rFonts w:ascii="Arial" w:cs="Arial" w:eastAsia="Arial" w:hAnsi="Arial"/>
                <w:sz w:val="19"/>
                <w:szCs w:val="19"/>
                <w:b w:val="1"/>
                <w:bCs w:val="1"/>
                <w:color w:val="231F20"/>
                <w:w w:val="96"/>
              </w:rPr>
              <w:t>27,093</w:t>
            </w:r>
          </w:p>
        </w:tc>
        <w:tc>
          <w:tcPr>
            <w:tcW w:w="50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231F20"/>
              </w:rPr>
              <w:t>$</w:t>
            </w:r>
          </w:p>
        </w:tc>
        <w:tc>
          <w:tcPr>
            <w:tcW w:w="1440" w:type="dxa"/>
            <w:vAlign w:val="bottom"/>
          </w:tcPr>
          <w:p>
            <w:pPr>
              <w:jc w:val="right"/>
              <w:spacing w:after="0"/>
              <w:rPr>
                <w:sz w:val="20"/>
                <w:szCs w:val="20"/>
                <w:color w:val="auto"/>
              </w:rPr>
            </w:pPr>
            <w:r>
              <w:rPr>
                <w:rFonts w:ascii="Arial" w:cs="Arial" w:eastAsia="Arial" w:hAnsi="Arial"/>
                <w:sz w:val="19"/>
                <w:szCs w:val="19"/>
                <w:b w:val="1"/>
                <w:bCs w:val="1"/>
                <w:color w:val="231F20"/>
              </w:rPr>
              <w:t>26,273</w:t>
            </w:r>
          </w:p>
        </w:tc>
        <w:tc>
          <w:tcPr>
            <w:tcW w:w="660" w:type="dxa"/>
            <w:vAlign w:val="bottom"/>
            <w:gridSpan w:val="2"/>
          </w:tcPr>
          <w:p>
            <w:pPr>
              <w:jc w:val="right"/>
              <w:ind w:right="280"/>
              <w:spacing w:after="0"/>
              <w:rPr>
                <w:sz w:val="20"/>
                <w:szCs w:val="20"/>
                <w:color w:val="auto"/>
              </w:rPr>
            </w:pPr>
            <w:r>
              <w:rPr>
                <w:rFonts w:ascii="Arial" w:cs="Arial" w:eastAsia="Arial" w:hAnsi="Arial"/>
                <w:sz w:val="19"/>
                <w:szCs w:val="19"/>
                <w:b w:val="1"/>
                <w:bCs w:val="1"/>
                <w:color w:val="231F20"/>
              </w:rPr>
              <w:t>$</w:t>
            </w:r>
          </w:p>
        </w:tc>
        <w:tc>
          <w:tcPr>
            <w:tcW w:w="1280" w:type="dxa"/>
            <w:vAlign w:val="bottom"/>
          </w:tcPr>
          <w:p>
            <w:pPr>
              <w:jc w:val="right"/>
              <w:spacing w:after="0"/>
              <w:rPr>
                <w:sz w:val="20"/>
                <w:szCs w:val="20"/>
                <w:color w:val="auto"/>
              </w:rPr>
            </w:pPr>
            <w:r>
              <w:rPr>
                <w:rFonts w:ascii="Arial" w:cs="Arial" w:eastAsia="Arial" w:hAnsi="Arial"/>
                <w:sz w:val="19"/>
                <w:szCs w:val="19"/>
                <w:b w:val="1"/>
                <w:bCs w:val="1"/>
                <w:color w:val="231F20"/>
              </w:rPr>
              <w:t>23,839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3072130</wp:posOffset>
            </wp:positionH>
            <wp:positionV relativeFrom="paragraph">
              <wp:posOffset>-11430</wp:posOffset>
            </wp:positionV>
            <wp:extent cx="3527425" cy="5461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527425" cy="54610"/>
                    </a:xfrm>
                    <a:prstGeom prst="rect">
                      <a:avLst/>
                    </a:prstGeom>
                    <a:noFill/>
                  </pic:spPr>
                </pic:pic>
              </a:graphicData>
            </a:graphic>
          </wp:anchor>
        </w:drawing>
      </w:r>
    </w:p>
    <w:p>
      <w:pPr>
        <w:spacing w:after="0" w:line="266" w:lineRule="exact"/>
        <w:rPr>
          <w:sz w:val="20"/>
          <w:szCs w:val="20"/>
          <w:color w:val="auto"/>
        </w:rPr>
      </w:pPr>
    </w:p>
    <w:p>
      <w:pPr>
        <w:ind w:right="40" w:firstLine="475"/>
        <w:spacing w:after="0" w:line="243" w:lineRule="auto"/>
        <w:rPr>
          <w:sz w:val="20"/>
          <w:szCs w:val="20"/>
          <w:color w:val="auto"/>
        </w:rPr>
      </w:pPr>
      <w:r>
        <w:rPr>
          <w:rFonts w:ascii="Arial" w:cs="Arial" w:eastAsia="Arial" w:hAnsi="Arial"/>
          <w:sz w:val="19"/>
          <w:szCs w:val="19"/>
          <w:b w:val="1"/>
          <w:bCs w:val="1"/>
          <w:color w:val="231F20"/>
        </w:rPr>
        <w:t>As of December 31, 2024, there was unrecognized share-based compensation expense of $28.7 million, related to unvested stock options which the Company expects to recognize over a weighted-average period of 2.8 years. There was unrecognized share-based compensation expense of $12.4 million, related to unvested restricted stock units which the Company expects to recognize over a weighted-average period of 1.8 years.</w:t>
      </w:r>
    </w:p>
    <w:p>
      <w:pPr>
        <w:spacing w:after="0" w:line="35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(9) INCOME TAXES</w:t>
      </w:r>
    </w:p>
    <w:p>
      <w:pPr>
        <w:spacing w:after="0" w:line="125" w:lineRule="exact"/>
        <w:rPr>
          <w:sz w:val="20"/>
          <w:szCs w:val="20"/>
          <w:color w:val="auto"/>
        </w:rPr>
      </w:pPr>
    </w:p>
    <w:p>
      <w:pPr>
        <w:ind w:right="100" w:firstLine="475"/>
        <w:spacing w:after="0" w:line="239" w:lineRule="auto"/>
        <w:rPr>
          <w:sz w:val="20"/>
          <w:szCs w:val="20"/>
          <w:color w:val="auto"/>
        </w:rPr>
      </w:pPr>
      <w:r>
        <w:rPr>
          <w:rFonts w:ascii="Arial" w:cs="Arial" w:eastAsia="Arial" w:hAnsi="Arial"/>
          <w:sz w:val="19"/>
          <w:szCs w:val="19"/>
          <w:b w:val="1"/>
          <w:bCs w:val="1"/>
          <w:color w:val="231F20"/>
        </w:rPr>
        <w:t>The U.S. domestic and international components of pre-tax loss for the years ending December 31, 2024, 2023 and 2022 are as follows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160" w:type="dxa"/>
            <w:vAlign w:val="bottom"/>
          </w:tcPr>
          <w:p>
            <w:pPr>
              <w:spacing w:after="0"/>
              <w:rPr>
                <w:sz w:val="19"/>
                <w:szCs w:val="19"/>
                <w:color w:val="auto"/>
              </w:rPr>
            </w:pPr>
          </w:p>
        </w:tc>
        <w:tc>
          <w:tcPr>
            <w:tcW w:w="320" w:type="dxa"/>
            <w:vAlign w:val="bottom"/>
            <w:tcBorders>
              <w:bottom w:val="single" w:sz="8" w:color="231F20"/>
            </w:tcBorders>
          </w:tcPr>
          <w:p>
            <w:pPr>
              <w:spacing w:after="0"/>
              <w:rPr>
                <w:sz w:val="19"/>
                <w:szCs w:val="19"/>
                <w:color w:val="auto"/>
              </w:rPr>
            </w:pPr>
          </w:p>
        </w:tc>
        <w:tc>
          <w:tcPr>
            <w:tcW w:w="3680" w:type="dxa"/>
            <w:vAlign w:val="bottom"/>
            <w:tcBorders>
              <w:bottom w:val="single" w:sz="8" w:color="231F20"/>
            </w:tcBorders>
            <w:gridSpan w:val="6"/>
          </w:tcPr>
          <w:p>
            <w:pPr>
              <w:jc w:val="center"/>
              <w:ind w:left="763"/>
              <w:spacing w:after="0"/>
              <w:rPr>
                <w:sz w:val="20"/>
                <w:szCs w:val="20"/>
                <w:color w:val="auto"/>
              </w:rPr>
            </w:pPr>
            <w:r>
              <w:rPr>
                <w:rFonts w:ascii="Arial" w:cs="Arial" w:eastAsia="Arial" w:hAnsi="Arial"/>
                <w:sz w:val="19"/>
                <w:szCs w:val="19"/>
                <w:b w:val="1"/>
                <w:bCs w:val="1"/>
                <w:color w:val="231F20"/>
                <w:w w:val="93"/>
              </w:rPr>
              <w:t>Year Ended December 31,</w:t>
            </w:r>
          </w:p>
        </w:tc>
        <w:tc>
          <w:tcPr>
            <w:tcW w:w="1220" w:type="dxa"/>
            <w:vAlign w:val="bottom"/>
            <w:tcBorders>
              <w:bottom w:val="single" w:sz="8" w:color="231F20"/>
            </w:tcBorders>
          </w:tcPr>
          <w:p>
            <w:pPr>
              <w:spacing w:after="0"/>
              <w:rPr>
                <w:sz w:val="19"/>
                <w:szCs w:val="19"/>
                <w:color w:val="auto"/>
              </w:rPr>
            </w:pPr>
          </w:p>
        </w:tc>
        <w:tc>
          <w:tcPr>
            <w:tcW w:w="60" w:type="dxa"/>
            <w:vAlign w:val="bottom"/>
          </w:tcPr>
          <w:p>
            <w:pPr>
              <w:spacing w:after="0"/>
              <w:rPr>
                <w:sz w:val="19"/>
                <w:szCs w:val="19"/>
                <w:color w:val="auto"/>
              </w:rPr>
            </w:pPr>
          </w:p>
        </w:tc>
      </w:tr>
      <w:tr>
        <w:trPr>
          <w:trHeight w:val="227"/>
        </w:trPr>
        <w:tc>
          <w:tcPr>
            <w:tcW w:w="5160" w:type="dxa"/>
            <w:vAlign w:val="bottom"/>
          </w:tcPr>
          <w:p>
            <w:pPr>
              <w:spacing w:after="0"/>
              <w:rPr>
                <w:sz w:val="19"/>
                <w:szCs w:val="19"/>
                <w:color w:val="auto"/>
              </w:rPr>
            </w:pPr>
          </w:p>
        </w:tc>
        <w:tc>
          <w:tcPr>
            <w:tcW w:w="320" w:type="dxa"/>
            <w:vAlign w:val="bottom"/>
            <w:tcBorders>
              <w:bottom w:val="single" w:sz="8" w:color="231F20"/>
            </w:tcBorders>
          </w:tcPr>
          <w:p>
            <w:pPr>
              <w:spacing w:after="0"/>
              <w:rPr>
                <w:sz w:val="19"/>
                <w:szCs w:val="19"/>
                <w:color w:val="auto"/>
              </w:rPr>
            </w:pPr>
          </w:p>
        </w:tc>
        <w:tc>
          <w:tcPr>
            <w:tcW w:w="1200" w:type="dxa"/>
            <w:vAlign w:val="bottom"/>
            <w:tcBorders>
              <w:bottom w:val="single" w:sz="8" w:color="231F20"/>
            </w:tcBorders>
          </w:tcPr>
          <w:p>
            <w:pPr>
              <w:jc w:val="right"/>
              <w:ind w:right="463"/>
              <w:spacing w:after="0"/>
              <w:rPr>
                <w:sz w:val="20"/>
                <w:szCs w:val="20"/>
                <w:color w:val="auto"/>
              </w:rPr>
            </w:pPr>
            <w:r>
              <w:rPr>
                <w:rFonts w:ascii="Arial" w:cs="Arial" w:eastAsia="Arial" w:hAnsi="Arial"/>
                <w:sz w:val="19"/>
                <w:szCs w:val="19"/>
                <w:b w:val="1"/>
                <w:bCs w:val="1"/>
                <w:color w:val="231F20"/>
              </w:rPr>
              <w:t>2024</w:t>
            </w:r>
          </w:p>
        </w:tc>
        <w:tc>
          <w:tcPr>
            <w:tcW w:w="300" w:type="dxa"/>
            <w:vAlign w:val="bottom"/>
          </w:tcPr>
          <w:p>
            <w:pPr>
              <w:spacing w:after="0"/>
              <w:rPr>
                <w:sz w:val="19"/>
                <w:szCs w:val="19"/>
                <w:color w:val="auto"/>
              </w:rPr>
            </w:pPr>
          </w:p>
        </w:tc>
        <w:tc>
          <w:tcPr>
            <w:tcW w:w="340" w:type="dxa"/>
            <w:vAlign w:val="bottom"/>
            <w:tcBorders>
              <w:bottom w:val="single" w:sz="8" w:color="231F20"/>
            </w:tcBorders>
          </w:tcPr>
          <w:p>
            <w:pPr>
              <w:spacing w:after="0"/>
              <w:rPr>
                <w:sz w:val="19"/>
                <w:szCs w:val="19"/>
                <w:color w:val="auto"/>
              </w:rPr>
            </w:pPr>
          </w:p>
        </w:tc>
        <w:tc>
          <w:tcPr>
            <w:tcW w:w="1200" w:type="dxa"/>
            <w:vAlign w:val="bottom"/>
            <w:tcBorders>
              <w:bottom w:val="single" w:sz="8" w:color="231F20"/>
            </w:tcBorders>
          </w:tcPr>
          <w:p>
            <w:pPr>
              <w:jc w:val="center"/>
              <w:ind w:right="223"/>
              <w:spacing w:after="0"/>
              <w:rPr>
                <w:sz w:val="20"/>
                <w:szCs w:val="20"/>
                <w:color w:val="auto"/>
              </w:rPr>
            </w:pPr>
            <w:r>
              <w:rPr>
                <w:rFonts w:ascii="Arial" w:cs="Arial" w:eastAsia="Arial" w:hAnsi="Arial"/>
                <w:sz w:val="19"/>
                <w:szCs w:val="19"/>
                <w:b w:val="1"/>
                <w:bCs w:val="1"/>
                <w:color w:val="231F20"/>
                <w:w w:val="94"/>
              </w:rPr>
              <w:t>2023</w:t>
            </w:r>
          </w:p>
        </w:tc>
        <w:tc>
          <w:tcPr>
            <w:tcW w:w="300" w:type="dxa"/>
            <w:vAlign w:val="bottom"/>
          </w:tcPr>
          <w:p>
            <w:pPr>
              <w:spacing w:after="0"/>
              <w:rPr>
                <w:sz w:val="19"/>
                <w:szCs w:val="19"/>
                <w:color w:val="auto"/>
              </w:rPr>
            </w:pPr>
          </w:p>
        </w:tc>
        <w:tc>
          <w:tcPr>
            <w:tcW w:w="340" w:type="dxa"/>
            <w:vAlign w:val="bottom"/>
            <w:tcBorders>
              <w:bottom w:val="single" w:sz="8" w:color="231F20"/>
            </w:tcBorders>
          </w:tcPr>
          <w:p>
            <w:pPr>
              <w:spacing w:after="0"/>
              <w:rPr>
                <w:sz w:val="19"/>
                <w:szCs w:val="19"/>
                <w:color w:val="auto"/>
              </w:rPr>
            </w:pPr>
          </w:p>
        </w:tc>
        <w:tc>
          <w:tcPr>
            <w:tcW w:w="1220" w:type="dxa"/>
            <w:vAlign w:val="bottom"/>
            <w:tcBorders>
              <w:bottom w:val="single" w:sz="8" w:color="231F20"/>
            </w:tcBorders>
          </w:tcPr>
          <w:p>
            <w:pPr>
              <w:jc w:val="right"/>
              <w:ind w:right="503"/>
              <w:spacing w:after="0"/>
              <w:rPr>
                <w:sz w:val="20"/>
                <w:szCs w:val="20"/>
                <w:color w:val="auto"/>
              </w:rPr>
            </w:pPr>
            <w:r>
              <w:rPr>
                <w:rFonts w:ascii="Arial" w:cs="Arial" w:eastAsia="Arial" w:hAnsi="Arial"/>
                <w:sz w:val="19"/>
                <w:szCs w:val="19"/>
                <w:b w:val="1"/>
                <w:bCs w:val="1"/>
                <w:color w:val="231F20"/>
              </w:rPr>
              <w:t>2022</w:t>
            </w:r>
          </w:p>
        </w:tc>
        <w:tc>
          <w:tcPr>
            <w:tcW w:w="60" w:type="dxa"/>
            <w:vAlign w:val="bottom"/>
          </w:tcPr>
          <w:p>
            <w:pPr>
              <w:spacing w:after="0"/>
              <w:rPr>
                <w:sz w:val="19"/>
                <w:szCs w:val="19"/>
                <w:color w:val="auto"/>
              </w:rPr>
            </w:pPr>
          </w:p>
        </w:tc>
      </w:tr>
      <w:tr>
        <w:trPr>
          <w:trHeight w:val="226"/>
        </w:trPr>
        <w:tc>
          <w:tcPr>
            <w:tcW w:w="5160" w:type="dxa"/>
            <w:vAlign w:val="bottom"/>
          </w:tcPr>
          <w:p>
            <w:pPr>
              <w:spacing w:after="0"/>
              <w:rPr>
                <w:sz w:val="20"/>
                <w:szCs w:val="20"/>
                <w:color w:val="auto"/>
              </w:rPr>
            </w:pPr>
            <w:r>
              <w:rPr>
                <w:rFonts w:ascii="Arial" w:cs="Arial" w:eastAsia="Arial" w:hAnsi="Arial"/>
                <w:sz w:val="19"/>
                <w:szCs w:val="19"/>
                <w:b w:val="1"/>
                <w:bCs w:val="1"/>
                <w:color w:val="231F20"/>
              </w:rPr>
              <w:t>United States</w:t>
            </w:r>
          </w:p>
        </w:tc>
        <w:tc>
          <w:tcPr>
            <w:tcW w:w="320" w:type="dxa"/>
            <w:vAlign w:val="bottom"/>
          </w:tcPr>
          <w:p>
            <w:pPr>
              <w:jc w:val="right"/>
              <w:ind w:right="147"/>
              <w:spacing w:after="0"/>
              <w:rPr>
                <w:sz w:val="20"/>
                <w:szCs w:val="20"/>
                <w:color w:val="auto"/>
              </w:rPr>
            </w:pPr>
            <w:r>
              <w:rPr>
                <w:rFonts w:ascii="Arial" w:cs="Arial" w:eastAsia="Arial" w:hAnsi="Arial"/>
                <w:sz w:val="19"/>
                <w:szCs w:val="19"/>
                <w:b w:val="1"/>
                <w:bCs w:val="1"/>
                <w:color w:val="231F20"/>
                <w:w w:val="75"/>
              </w:rPr>
              <w:t>$</w:t>
            </w:r>
          </w:p>
        </w:tc>
        <w:tc>
          <w:tcPr>
            <w:tcW w:w="1500" w:type="dxa"/>
            <w:vAlign w:val="bottom"/>
            <w:gridSpan w:val="2"/>
          </w:tcPr>
          <w:p>
            <w:pPr>
              <w:jc w:val="right"/>
              <w:ind w:right="220"/>
              <w:spacing w:after="0"/>
              <w:rPr>
                <w:sz w:val="20"/>
                <w:szCs w:val="20"/>
                <w:color w:val="auto"/>
              </w:rPr>
            </w:pPr>
            <w:r>
              <w:rPr>
                <w:rFonts w:ascii="Arial" w:cs="Arial" w:eastAsia="Arial" w:hAnsi="Arial"/>
                <w:sz w:val="19"/>
                <w:szCs w:val="19"/>
                <w:b w:val="1"/>
                <w:bCs w:val="1"/>
                <w:color w:val="231F20"/>
              </w:rPr>
              <w:t>(134,120)</w:t>
            </w:r>
          </w:p>
        </w:tc>
        <w:tc>
          <w:tcPr>
            <w:tcW w:w="340" w:type="dxa"/>
            <w:vAlign w:val="bottom"/>
          </w:tcPr>
          <w:p>
            <w:pPr>
              <w:jc w:val="right"/>
              <w:ind w:right="154"/>
              <w:spacing w:after="0"/>
              <w:rPr>
                <w:sz w:val="20"/>
                <w:szCs w:val="20"/>
                <w:color w:val="auto"/>
              </w:rPr>
            </w:pPr>
            <w:r>
              <w:rPr>
                <w:rFonts w:ascii="Arial" w:cs="Arial" w:eastAsia="Arial" w:hAnsi="Arial"/>
                <w:sz w:val="19"/>
                <w:szCs w:val="19"/>
                <w:b w:val="1"/>
                <w:bCs w:val="1"/>
                <w:color w:val="231F20"/>
                <w:w w:val="75"/>
              </w:rPr>
              <w:t>$</w:t>
            </w:r>
          </w:p>
        </w:tc>
        <w:tc>
          <w:tcPr>
            <w:tcW w:w="1500" w:type="dxa"/>
            <w:vAlign w:val="bottom"/>
            <w:gridSpan w:val="2"/>
          </w:tcPr>
          <w:p>
            <w:pPr>
              <w:jc w:val="right"/>
              <w:ind w:right="220"/>
              <w:spacing w:after="0"/>
              <w:rPr>
                <w:sz w:val="20"/>
                <w:szCs w:val="20"/>
                <w:color w:val="auto"/>
              </w:rPr>
            </w:pPr>
            <w:r>
              <w:rPr>
                <w:rFonts w:ascii="Arial" w:cs="Arial" w:eastAsia="Arial" w:hAnsi="Arial"/>
                <w:sz w:val="19"/>
                <w:szCs w:val="19"/>
                <w:b w:val="1"/>
                <w:bCs w:val="1"/>
                <w:color w:val="231F20"/>
              </w:rPr>
              <w:t>(159,766)</w:t>
            </w:r>
          </w:p>
        </w:tc>
        <w:tc>
          <w:tcPr>
            <w:tcW w:w="340" w:type="dxa"/>
            <w:vAlign w:val="bottom"/>
          </w:tcPr>
          <w:p>
            <w:pPr>
              <w:spacing w:after="0"/>
              <w:rPr>
                <w:sz w:val="20"/>
                <w:szCs w:val="20"/>
                <w:color w:val="auto"/>
              </w:rPr>
            </w:pPr>
            <w:r>
              <w:rPr>
                <w:rFonts w:ascii="Arial" w:cs="Arial" w:eastAsia="Arial" w:hAnsi="Arial"/>
                <w:sz w:val="19"/>
                <w:szCs w:val="19"/>
                <w:b w:val="1"/>
                <w:bCs w:val="1"/>
                <w:color w:val="231F20"/>
              </w:rPr>
              <w:t>$</w:t>
            </w:r>
          </w:p>
        </w:tc>
        <w:tc>
          <w:tcPr>
            <w:tcW w:w="128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(111,360)</w:t>
            </w:r>
          </w:p>
        </w:tc>
      </w:tr>
      <w:tr>
        <w:trPr>
          <w:trHeight w:val="236"/>
        </w:trPr>
        <w:tc>
          <w:tcPr>
            <w:tcW w:w="5160" w:type="dxa"/>
            <w:vAlign w:val="bottom"/>
          </w:tcPr>
          <w:p>
            <w:pPr>
              <w:spacing w:after="0"/>
              <w:rPr>
                <w:sz w:val="20"/>
                <w:szCs w:val="20"/>
                <w:color w:val="auto"/>
              </w:rPr>
            </w:pPr>
            <w:r>
              <w:rPr>
                <w:rFonts w:ascii="Arial" w:cs="Arial" w:eastAsia="Arial" w:hAnsi="Arial"/>
                <w:sz w:val="19"/>
                <w:szCs w:val="19"/>
                <w:b w:val="1"/>
                <w:bCs w:val="1"/>
                <w:color w:val="231F20"/>
              </w:rPr>
              <w:t>International</w:t>
            </w:r>
          </w:p>
        </w:tc>
        <w:tc>
          <w:tcPr>
            <w:tcW w:w="32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9"/>
                <w:szCs w:val="19"/>
                <w:b w:val="1"/>
                <w:bCs w:val="1"/>
                <w:color w:val="231F20"/>
              </w:rPr>
              <w:t>(730)</w:t>
            </w:r>
          </w:p>
        </w:tc>
        <w:tc>
          <w:tcPr>
            <w:tcW w:w="34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9"/>
                <w:szCs w:val="19"/>
                <w:b w:val="1"/>
                <w:bCs w:val="1"/>
                <w:color w:val="231F20"/>
              </w:rPr>
              <w:t>(1,039)</w:t>
            </w:r>
          </w:p>
        </w:tc>
        <w:tc>
          <w:tcPr>
            <w:tcW w:w="34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(12,058)</w:t>
            </w:r>
          </w:p>
        </w:tc>
      </w:tr>
      <w:tr>
        <w:trPr>
          <w:trHeight w:val="20"/>
        </w:trPr>
        <w:tc>
          <w:tcPr>
            <w:tcW w:w="5160" w:type="dxa"/>
            <w:vAlign w:val="bottom"/>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1200" w:type="dxa"/>
            <w:vAlign w:val="bottom"/>
            <w:shd w:val="clear" w:color="auto" w:fill="231F20"/>
          </w:tcPr>
          <w:p>
            <w:pPr>
              <w:spacing w:after="0" w:line="20" w:lineRule="exact"/>
              <w:rPr>
                <w:sz w:val="1"/>
                <w:szCs w:val="1"/>
                <w:color w:val="auto"/>
              </w:rPr>
            </w:pPr>
          </w:p>
        </w:tc>
        <w:tc>
          <w:tcPr>
            <w:tcW w:w="300" w:type="dxa"/>
            <w:vAlign w:val="bottom"/>
            <w:tcBorders>
              <w:left w:val="single" w:sz="8" w:color="231F20"/>
            </w:tcBorders>
          </w:tcPr>
          <w:p>
            <w:pPr>
              <w:spacing w:after="0" w:line="20" w:lineRule="exact"/>
              <w:rPr>
                <w:sz w:val="1"/>
                <w:szCs w:val="1"/>
                <w:color w:val="auto"/>
              </w:rPr>
            </w:pPr>
          </w:p>
        </w:tc>
        <w:tc>
          <w:tcPr>
            <w:tcW w:w="340" w:type="dxa"/>
            <w:vAlign w:val="bottom"/>
            <w:shd w:val="clear" w:color="auto" w:fill="231F20"/>
          </w:tcPr>
          <w:p>
            <w:pPr>
              <w:spacing w:after="0" w:line="20" w:lineRule="exact"/>
              <w:rPr>
                <w:sz w:val="1"/>
                <w:szCs w:val="1"/>
                <w:color w:val="auto"/>
              </w:rPr>
            </w:pPr>
          </w:p>
        </w:tc>
        <w:tc>
          <w:tcPr>
            <w:tcW w:w="1200" w:type="dxa"/>
            <w:vAlign w:val="bottom"/>
            <w:shd w:val="clear" w:color="auto" w:fill="231F20"/>
          </w:tcPr>
          <w:p>
            <w:pPr>
              <w:spacing w:after="0" w:line="20" w:lineRule="exact"/>
              <w:rPr>
                <w:sz w:val="1"/>
                <w:szCs w:val="1"/>
                <w:color w:val="auto"/>
              </w:rPr>
            </w:pPr>
          </w:p>
        </w:tc>
        <w:tc>
          <w:tcPr>
            <w:tcW w:w="300" w:type="dxa"/>
            <w:vAlign w:val="bottom"/>
            <w:tcBorders>
              <w:left w:val="single" w:sz="8" w:color="231F20"/>
            </w:tcBorders>
          </w:tcPr>
          <w:p>
            <w:pPr>
              <w:spacing w:after="0" w:line="20" w:lineRule="exact"/>
              <w:rPr>
                <w:sz w:val="1"/>
                <w:szCs w:val="1"/>
                <w:color w:val="auto"/>
              </w:rPr>
            </w:pPr>
          </w:p>
        </w:tc>
        <w:tc>
          <w:tcPr>
            <w:tcW w:w="340" w:type="dxa"/>
            <w:vAlign w:val="bottom"/>
            <w:shd w:val="clear" w:color="auto" w:fill="231F20"/>
          </w:tcPr>
          <w:p>
            <w:pPr>
              <w:spacing w:after="0" w:line="20" w:lineRule="exact"/>
              <w:rPr>
                <w:sz w:val="1"/>
                <w:szCs w:val="1"/>
                <w:color w:val="auto"/>
              </w:rPr>
            </w:pPr>
          </w:p>
        </w:tc>
        <w:tc>
          <w:tcPr>
            <w:tcW w:w="1220" w:type="dxa"/>
            <w:vAlign w:val="bottom"/>
            <w:shd w:val="clear" w:color="auto" w:fill="231F2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6"/>
        </w:trPr>
        <w:tc>
          <w:tcPr>
            <w:tcW w:w="5160" w:type="dxa"/>
            <w:vAlign w:val="bottom"/>
          </w:tcPr>
          <w:p>
            <w:pPr>
              <w:spacing w:after="0"/>
              <w:rPr>
                <w:sz w:val="20"/>
                <w:szCs w:val="20"/>
                <w:color w:val="auto"/>
              </w:rPr>
            </w:pPr>
            <w:r>
              <w:rPr>
                <w:rFonts w:ascii="Arial" w:cs="Arial" w:eastAsia="Arial" w:hAnsi="Arial"/>
                <w:sz w:val="19"/>
                <w:szCs w:val="19"/>
                <w:b w:val="1"/>
                <w:bCs w:val="1"/>
                <w:color w:val="231F20"/>
              </w:rPr>
              <w:t>Loss before income taxes</w:t>
            </w:r>
          </w:p>
        </w:tc>
        <w:tc>
          <w:tcPr>
            <w:tcW w:w="320" w:type="dxa"/>
            <w:vAlign w:val="bottom"/>
          </w:tcPr>
          <w:p>
            <w:pPr>
              <w:jc w:val="right"/>
              <w:ind w:right="147"/>
              <w:spacing w:after="0"/>
              <w:rPr>
                <w:sz w:val="20"/>
                <w:szCs w:val="20"/>
                <w:color w:val="auto"/>
              </w:rPr>
            </w:pPr>
            <w:r>
              <w:rPr>
                <w:rFonts w:ascii="Arial" w:cs="Arial" w:eastAsia="Arial" w:hAnsi="Arial"/>
                <w:sz w:val="19"/>
                <w:szCs w:val="19"/>
                <w:b w:val="1"/>
                <w:bCs w:val="1"/>
                <w:color w:val="231F20"/>
                <w:w w:val="75"/>
              </w:rPr>
              <w:t>$</w:t>
            </w:r>
          </w:p>
        </w:tc>
        <w:tc>
          <w:tcPr>
            <w:tcW w:w="1500" w:type="dxa"/>
            <w:vAlign w:val="bottom"/>
            <w:gridSpan w:val="2"/>
          </w:tcPr>
          <w:p>
            <w:pPr>
              <w:jc w:val="right"/>
              <w:ind w:right="220"/>
              <w:spacing w:after="0"/>
              <w:rPr>
                <w:sz w:val="20"/>
                <w:szCs w:val="20"/>
                <w:color w:val="auto"/>
              </w:rPr>
            </w:pPr>
            <w:r>
              <w:rPr>
                <w:rFonts w:ascii="Arial" w:cs="Arial" w:eastAsia="Arial" w:hAnsi="Arial"/>
                <w:sz w:val="19"/>
                <w:szCs w:val="19"/>
                <w:b w:val="1"/>
                <w:bCs w:val="1"/>
                <w:color w:val="231F20"/>
              </w:rPr>
              <w:t>(134,850)</w:t>
            </w:r>
          </w:p>
        </w:tc>
        <w:tc>
          <w:tcPr>
            <w:tcW w:w="340" w:type="dxa"/>
            <w:vAlign w:val="bottom"/>
          </w:tcPr>
          <w:p>
            <w:pPr>
              <w:jc w:val="right"/>
              <w:ind w:right="154"/>
              <w:spacing w:after="0"/>
              <w:rPr>
                <w:sz w:val="20"/>
                <w:szCs w:val="20"/>
                <w:color w:val="auto"/>
              </w:rPr>
            </w:pPr>
            <w:r>
              <w:rPr>
                <w:rFonts w:ascii="Arial" w:cs="Arial" w:eastAsia="Arial" w:hAnsi="Arial"/>
                <w:sz w:val="19"/>
                <w:szCs w:val="19"/>
                <w:b w:val="1"/>
                <w:bCs w:val="1"/>
                <w:color w:val="231F20"/>
                <w:w w:val="75"/>
              </w:rPr>
              <w:t>$</w:t>
            </w:r>
          </w:p>
        </w:tc>
        <w:tc>
          <w:tcPr>
            <w:tcW w:w="1500" w:type="dxa"/>
            <w:vAlign w:val="bottom"/>
            <w:gridSpan w:val="2"/>
          </w:tcPr>
          <w:p>
            <w:pPr>
              <w:jc w:val="right"/>
              <w:ind w:right="220"/>
              <w:spacing w:after="0"/>
              <w:rPr>
                <w:sz w:val="20"/>
                <w:szCs w:val="20"/>
                <w:color w:val="auto"/>
              </w:rPr>
            </w:pPr>
            <w:r>
              <w:rPr>
                <w:rFonts w:ascii="Arial" w:cs="Arial" w:eastAsia="Arial" w:hAnsi="Arial"/>
                <w:sz w:val="19"/>
                <w:szCs w:val="19"/>
                <w:b w:val="1"/>
                <w:bCs w:val="1"/>
                <w:color w:val="231F20"/>
              </w:rPr>
              <w:t>(160,805)</w:t>
            </w:r>
          </w:p>
        </w:tc>
        <w:tc>
          <w:tcPr>
            <w:tcW w:w="340" w:type="dxa"/>
            <w:vAlign w:val="bottom"/>
          </w:tcPr>
          <w:p>
            <w:pPr>
              <w:spacing w:after="0"/>
              <w:rPr>
                <w:sz w:val="20"/>
                <w:szCs w:val="20"/>
                <w:color w:val="auto"/>
              </w:rPr>
            </w:pPr>
            <w:r>
              <w:rPr>
                <w:rFonts w:ascii="Arial" w:cs="Arial" w:eastAsia="Arial" w:hAnsi="Arial"/>
                <w:sz w:val="19"/>
                <w:szCs w:val="19"/>
                <w:b w:val="1"/>
                <w:bCs w:val="1"/>
                <w:color w:val="231F20"/>
              </w:rPr>
              <w:t>$</w:t>
            </w:r>
          </w:p>
        </w:tc>
        <w:tc>
          <w:tcPr>
            <w:tcW w:w="128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(123,418)</w:t>
            </w:r>
          </w:p>
        </w:tc>
      </w:tr>
      <w:tr>
        <w:trPr>
          <w:trHeight w:val="499"/>
        </w:trPr>
        <w:tc>
          <w:tcPr>
            <w:tcW w:w="8820" w:type="dxa"/>
            <w:vAlign w:val="bottom"/>
            <w:gridSpan w:val="7"/>
          </w:tcPr>
          <w:p>
            <w:pPr>
              <w:ind w:left="480"/>
              <w:spacing w:after="0"/>
              <w:rPr>
                <w:sz w:val="20"/>
                <w:szCs w:val="20"/>
                <w:color w:val="auto"/>
              </w:rPr>
            </w:pPr>
            <w:r>
              <w:rPr>
                <w:rFonts w:ascii="Arial" w:cs="Arial" w:eastAsia="Arial" w:hAnsi="Arial"/>
                <w:sz w:val="19"/>
                <w:szCs w:val="19"/>
                <w:b w:val="1"/>
                <w:bCs w:val="1"/>
                <w:color w:val="231F20"/>
                <w:w w:val="94"/>
              </w:rPr>
              <w:t>The federal and state provision (benefit) for income taxes consist of the following (in thousands):</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7"/>
        </w:trPr>
        <w:tc>
          <w:tcPr>
            <w:tcW w:w="5160" w:type="dxa"/>
            <w:vAlign w:val="bottom"/>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3680" w:type="dxa"/>
            <w:vAlign w:val="bottom"/>
            <w:tcBorders>
              <w:bottom w:val="single" w:sz="8" w:color="231F20"/>
            </w:tcBorders>
            <w:gridSpan w:val="6"/>
          </w:tcPr>
          <w:p>
            <w:pPr>
              <w:jc w:val="center"/>
              <w:ind w:left="763"/>
              <w:spacing w:after="0"/>
              <w:rPr>
                <w:sz w:val="20"/>
                <w:szCs w:val="20"/>
                <w:color w:val="auto"/>
              </w:rPr>
            </w:pPr>
            <w:r>
              <w:rPr>
                <w:rFonts w:ascii="Arial" w:cs="Arial" w:eastAsia="Arial" w:hAnsi="Arial"/>
                <w:sz w:val="19"/>
                <w:szCs w:val="19"/>
                <w:b w:val="1"/>
                <w:bCs w:val="1"/>
                <w:color w:val="231F20"/>
                <w:w w:val="93"/>
              </w:rPr>
              <w:t>Year Ended December 31,</w:t>
            </w:r>
          </w:p>
        </w:tc>
        <w:tc>
          <w:tcPr>
            <w:tcW w:w="1220" w:type="dxa"/>
            <w:vAlign w:val="bottom"/>
            <w:tcBorders>
              <w:bottom w:val="single" w:sz="8" w:color="231F20"/>
            </w:tcBorders>
          </w:tcPr>
          <w:p>
            <w:pPr>
              <w:spacing w:after="0"/>
              <w:rPr>
                <w:sz w:val="24"/>
                <w:szCs w:val="24"/>
                <w:color w:val="auto"/>
              </w:rPr>
            </w:pPr>
          </w:p>
        </w:tc>
        <w:tc>
          <w:tcPr>
            <w:tcW w:w="60" w:type="dxa"/>
            <w:vAlign w:val="bottom"/>
          </w:tcPr>
          <w:p>
            <w:pPr>
              <w:spacing w:after="0"/>
              <w:rPr>
                <w:sz w:val="24"/>
                <w:szCs w:val="24"/>
                <w:color w:val="auto"/>
              </w:rPr>
            </w:pPr>
          </w:p>
        </w:tc>
      </w:tr>
      <w:tr>
        <w:trPr>
          <w:trHeight w:val="212"/>
        </w:trPr>
        <w:tc>
          <w:tcPr>
            <w:tcW w:w="5160" w:type="dxa"/>
            <w:vAlign w:val="bottom"/>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1200" w:type="dxa"/>
            <w:vAlign w:val="bottom"/>
            <w:tcBorders>
              <w:bottom w:val="single" w:sz="8" w:color="231F20"/>
            </w:tcBorders>
          </w:tcPr>
          <w:p>
            <w:pPr>
              <w:jc w:val="right"/>
              <w:ind w:right="503"/>
              <w:spacing w:after="0" w:line="212" w:lineRule="exact"/>
              <w:rPr>
                <w:sz w:val="20"/>
                <w:szCs w:val="20"/>
                <w:color w:val="auto"/>
              </w:rPr>
            </w:pPr>
            <w:r>
              <w:rPr>
                <w:rFonts w:ascii="Arial" w:cs="Arial" w:eastAsia="Arial" w:hAnsi="Arial"/>
                <w:sz w:val="19"/>
                <w:szCs w:val="19"/>
                <w:b w:val="1"/>
                <w:bCs w:val="1"/>
                <w:color w:val="231F20"/>
              </w:rPr>
              <w:t>2024</w:t>
            </w:r>
          </w:p>
        </w:tc>
        <w:tc>
          <w:tcPr>
            <w:tcW w:w="300" w:type="dxa"/>
            <w:vAlign w:val="bottom"/>
          </w:tcPr>
          <w:p>
            <w:pPr>
              <w:spacing w:after="0"/>
              <w:rPr>
                <w:sz w:val="18"/>
                <w:szCs w:val="18"/>
                <w:color w:val="auto"/>
              </w:rPr>
            </w:pPr>
          </w:p>
        </w:tc>
        <w:tc>
          <w:tcPr>
            <w:tcW w:w="340" w:type="dxa"/>
            <w:vAlign w:val="bottom"/>
            <w:tcBorders>
              <w:bottom w:val="single" w:sz="8" w:color="231F20"/>
            </w:tcBorders>
          </w:tcPr>
          <w:p>
            <w:pPr>
              <w:spacing w:after="0"/>
              <w:rPr>
                <w:sz w:val="18"/>
                <w:szCs w:val="18"/>
                <w:color w:val="auto"/>
              </w:rPr>
            </w:pPr>
          </w:p>
        </w:tc>
        <w:tc>
          <w:tcPr>
            <w:tcW w:w="1200" w:type="dxa"/>
            <w:vAlign w:val="bottom"/>
            <w:tcBorders>
              <w:bottom w:val="single" w:sz="8" w:color="231F20"/>
            </w:tcBorders>
          </w:tcPr>
          <w:p>
            <w:pPr>
              <w:jc w:val="center"/>
              <w:ind w:right="243"/>
              <w:spacing w:after="0" w:line="212" w:lineRule="exact"/>
              <w:rPr>
                <w:sz w:val="20"/>
                <w:szCs w:val="20"/>
                <w:color w:val="auto"/>
              </w:rPr>
            </w:pPr>
            <w:r>
              <w:rPr>
                <w:rFonts w:ascii="Arial" w:cs="Arial" w:eastAsia="Arial" w:hAnsi="Arial"/>
                <w:sz w:val="19"/>
                <w:szCs w:val="19"/>
                <w:b w:val="1"/>
                <w:bCs w:val="1"/>
                <w:color w:val="231F20"/>
                <w:w w:val="89"/>
              </w:rPr>
              <w:t>2023</w:t>
            </w:r>
          </w:p>
        </w:tc>
        <w:tc>
          <w:tcPr>
            <w:tcW w:w="300" w:type="dxa"/>
            <w:vAlign w:val="bottom"/>
          </w:tcPr>
          <w:p>
            <w:pPr>
              <w:spacing w:after="0"/>
              <w:rPr>
                <w:sz w:val="18"/>
                <w:szCs w:val="18"/>
                <w:color w:val="auto"/>
              </w:rPr>
            </w:pPr>
          </w:p>
        </w:tc>
        <w:tc>
          <w:tcPr>
            <w:tcW w:w="340" w:type="dxa"/>
            <w:vAlign w:val="bottom"/>
            <w:tcBorders>
              <w:bottom w:val="single" w:sz="8" w:color="231F20"/>
            </w:tcBorders>
          </w:tcPr>
          <w:p>
            <w:pPr>
              <w:spacing w:after="0"/>
              <w:rPr>
                <w:sz w:val="18"/>
                <w:szCs w:val="18"/>
                <w:color w:val="auto"/>
              </w:rPr>
            </w:pPr>
          </w:p>
        </w:tc>
        <w:tc>
          <w:tcPr>
            <w:tcW w:w="1220" w:type="dxa"/>
            <w:vAlign w:val="bottom"/>
            <w:tcBorders>
              <w:bottom w:val="single" w:sz="8" w:color="231F20"/>
            </w:tcBorders>
          </w:tcPr>
          <w:p>
            <w:pPr>
              <w:jc w:val="right"/>
              <w:ind w:right="503"/>
              <w:spacing w:after="0" w:line="212" w:lineRule="exact"/>
              <w:rPr>
                <w:sz w:val="20"/>
                <w:szCs w:val="20"/>
                <w:color w:val="auto"/>
              </w:rPr>
            </w:pPr>
            <w:r>
              <w:rPr>
                <w:rFonts w:ascii="Arial" w:cs="Arial" w:eastAsia="Arial" w:hAnsi="Arial"/>
                <w:sz w:val="19"/>
                <w:szCs w:val="19"/>
                <w:b w:val="1"/>
                <w:bCs w:val="1"/>
                <w:color w:val="231F20"/>
              </w:rPr>
              <w:t>2022</w:t>
            </w:r>
          </w:p>
        </w:tc>
        <w:tc>
          <w:tcPr>
            <w:tcW w:w="60" w:type="dxa"/>
            <w:vAlign w:val="bottom"/>
          </w:tcPr>
          <w:p>
            <w:pPr>
              <w:spacing w:after="0"/>
              <w:rPr>
                <w:sz w:val="18"/>
                <w:szCs w:val="18"/>
                <w:color w:val="auto"/>
              </w:rPr>
            </w:pPr>
          </w:p>
        </w:tc>
      </w:tr>
      <w:tr>
        <w:trPr>
          <w:trHeight w:val="213"/>
        </w:trPr>
        <w:tc>
          <w:tcPr>
            <w:tcW w:w="5160" w:type="dxa"/>
            <w:vAlign w:val="bottom"/>
          </w:tcPr>
          <w:p>
            <w:pPr>
              <w:spacing w:after="0" w:line="213" w:lineRule="exact"/>
              <w:rPr>
                <w:sz w:val="20"/>
                <w:szCs w:val="20"/>
                <w:color w:val="auto"/>
              </w:rPr>
            </w:pPr>
            <w:r>
              <w:rPr>
                <w:rFonts w:ascii="Arial" w:cs="Arial" w:eastAsia="Arial" w:hAnsi="Arial"/>
                <w:sz w:val="19"/>
                <w:szCs w:val="19"/>
                <w:b w:val="1"/>
                <w:bCs w:val="1"/>
                <w:color w:val="231F20"/>
              </w:rPr>
              <w:t>Current provision for income taxes:</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9"/>
                <w:szCs w:val="19"/>
                <w:b w:val="1"/>
                <w:bCs w:val="1"/>
                <w:color w:val="231F20"/>
              </w:rPr>
              <w:t>Federal</w:t>
            </w:r>
          </w:p>
        </w:tc>
        <w:tc>
          <w:tcPr>
            <w:tcW w:w="320" w:type="dxa"/>
            <w:vAlign w:val="bottom"/>
          </w:tcPr>
          <w:p>
            <w:pPr>
              <w:jc w:val="right"/>
              <w:ind w:right="187"/>
              <w:spacing w:after="0"/>
              <w:rPr>
                <w:sz w:val="20"/>
                <w:szCs w:val="20"/>
                <w:color w:val="auto"/>
              </w:rPr>
            </w:pPr>
            <w:r>
              <w:rPr>
                <w:rFonts w:ascii="Arial" w:cs="Arial" w:eastAsia="Arial" w:hAnsi="Arial"/>
                <w:sz w:val="10"/>
                <w:szCs w:val="10"/>
                <w:b w:val="1"/>
                <w:bCs w:val="1"/>
                <w:color w:val="231F20"/>
                <w:w w:val="71"/>
              </w:rPr>
              <w:t>$</w:t>
            </w:r>
          </w:p>
        </w:tc>
        <w:tc>
          <w:tcPr>
            <w:tcW w:w="1200" w:type="dxa"/>
            <w:vAlign w:val="bottom"/>
          </w:tcPr>
          <w:p>
            <w:pPr>
              <w:jc w:val="right"/>
              <w:spacing w:after="0" w:line="224" w:lineRule="exact"/>
              <w:rPr>
                <w:sz w:val="20"/>
                <w:szCs w:val="20"/>
                <w:color w:val="auto"/>
              </w:rPr>
            </w:pPr>
            <w:r>
              <w:rPr>
                <w:rFonts w:ascii="PMingLiU" w:cs="PMingLiU" w:eastAsia="PMingLiU" w:hAnsi="PMingLiU"/>
                <w:sz w:val="19"/>
                <w:szCs w:val="19"/>
                <w:b w:val="1"/>
                <w:bCs w:val="1"/>
                <w:color w:val="231F20"/>
              </w:rPr>
              <w:t></w:t>
            </w:r>
          </w:p>
        </w:tc>
        <w:tc>
          <w:tcPr>
            <w:tcW w:w="300" w:type="dxa"/>
            <w:vAlign w:val="bottom"/>
          </w:tcPr>
          <w:p>
            <w:pPr>
              <w:spacing w:after="0"/>
              <w:rPr>
                <w:sz w:val="19"/>
                <w:szCs w:val="19"/>
                <w:color w:val="auto"/>
              </w:rPr>
            </w:pPr>
          </w:p>
        </w:tc>
        <w:tc>
          <w:tcPr>
            <w:tcW w:w="340" w:type="dxa"/>
            <w:vAlign w:val="bottom"/>
          </w:tcPr>
          <w:p>
            <w:pPr>
              <w:jc w:val="right"/>
              <w:ind w:right="174"/>
              <w:spacing w:after="0"/>
              <w:rPr>
                <w:sz w:val="20"/>
                <w:szCs w:val="20"/>
                <w:color w:val="auto"/>
              </w:rPr>
            </w:pPr>
            <w:r>
              <w:rPr>
                <w:rFonts w:ascii="Arial" w:cs="Arial" w:eastAsia="Arial" w:hAnsi="Arial"/>
                <w:sz w:val="15"/>
                <w:szCs w:val="15"/>
                <w:b w:val="1"/>
                <w:bCs w:val="1"/>
                <w:color w:val="231F20"/>
                <w:w w:val="71"/>
              </w:rPr>
              <w:t>$</w:t>
            </w:r>
          </w:p>
        </w:tc>
        <w:tc>
          <w:tcPr>
            <w:tcW w:w="1200" w:type="dxa"/>
            <w:vAlign w:val="bottom"/>
          </w:tcPr>
          <w:p>
            <w:pPr>
              <w:jc w:val="right"/>
              <w:spacing w:after="0" w:line="224" w:lineRule="exact"/>
              <w:rPr>
                <w:sz w:val="20"/>
                <w:szCs w:val="20"/>
                <w:color w:val="auto"/>
              </w:rPr>
            </w:pPr>
            <w:r>
              <w:rPr>
                <w:rFonts w:ascii="PMingLiU" w:cs="PMingLiU" w:eastAsia="PMingLiU" w:hAnsi="PMingLiU"/>
                <w:sz w:val="19"/>
                <w:szCs w:val="19"/>
                <w:b w:val="1"/>
                <w:bCs w:val="1"/>
                <w:color w:val="231F20"/>
              </w:rPr>
              <w:t></w:t>
            </w:r>
          </w:p>
        </w:tc>
        <w:tc>
          <w:tcPr>
            <w:tcW w:w="30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9"/>
                <w:szCs w:val="19"/>
                <w:b w:val="1"/>
                <w:bCs w:val="1"/>
                <w:color w:val="231F20"/>
              </w:rPr>
              <w:t>$</w:t>
            </w:r>
          </w:p>
        </w:tc>
        <w:tc>
          <w:tcPr>
            <w:tcW w:w="1280" w:type="dxa"/>
            <w:vAlign w:val="bottom"/>
            <w:gridSpan w:val="2"/>
          </w:tcPr>
          <w:p>
            <w:pPr>
              <w:jc w:val="right"/>
              <w:ind w:right="60"/>
              <w:spacing w:after="0"/>
              <w:rPr>
                <w:sz w:val="20"/>
                <w:szCs w:val="20"/>
                <w:color w:val="auto"/>
              </w:rPr>
            </w:pPr>
            <w:r>
              <w:rPr>
                <w:rFonts w:ascii="Arial" w:cs="Arial" w:eastAsia="Arial" w:hAnsi="Arial"/>
                <w:sz w:val="19"/>
                <w:szCs w:val="19"/>
                <w:b w:val="1"/>
                <w:bCs w:val="1"/>
                <w:color w:val="231F20"/>
              </w:rPr>
              <w:t>64</w:t>
            </w:r>
          </w:p>
        </w:tc>
      </w:tr>
      <w:tr>
        <w:trPr>
          <w:trHeight w:val="223"/>
        </w:trPr>
        <w:tc>
          <w:tcPr>
            <w:tcW w:w="5160" w:type="dxa"/>
            <w:vAlign w:val="bottom"/>
          </w:tcPr>
          <w:p>
            <w:pPr>
              <w:spacing w:after="0"/>
              <w:rPr>
                <w:sz w:val="20"/>
                <w:szCs w:val="20"/>
                <w:color w:val="auto"/>
              </w:rPr>
            </w:pPr>
            <w:r>
              <w:rPr>
                <w:rFonts w:ascii="Arial" w:cs="Arial" w:eastAsia="Arial" w:hAnsi="Arial"/>
                <w:sz w:val="19"/>
                <w:szCs w:val="19"/>
                <w:b w:val="1"/>
                <w:bCs w:val="1"/>
                <w:color w:val="231F20"/>
              </w:rPr>
              <w:t>State</w:t>
            </w:r>
          </w:p>
        </w:tc>
        <w:tc>
          <w:tcPr>
            <w:tcW w:w="320" w:type="dxa"/>
            <w:vAlign w:val="bottom"/>
          </w:tcPr>
          <w:p>
            <w:pPr>
              <w:spacing w:after="0"/>
              <w:rPr>
                <w:sz w:val="19"/>
                <w:szCs w:val="19"/>
                <w:color w:val="auto"/>
              </w:rPr>
            </w:pPr>
          </w:p>
        </w:tc>
        <w:tc>
          <w:tcPr>
            <w:tcW w:w="1200" w:type="dxa"/>
            <w:vAlign w:val="bottom"/>
          </w:tcPr>
          <w:p>
            <w:pPr>
              <w:jc w:val="right"/>
              <w:spacing w:after="0" w:line="224" w:lineRule="exact"/>
              <w:rPr>
                <w:sz w:val="20"/>
                <w:szCs w:val="20"/>
                <w:color w:val="auto"/>
              </w:rPr>
            </w:pPr>
            <w:r>
              <w:rPr>
                <w:rFonts w:ascii="PMingLiU" w:cs="PMingLiU" w:eastAsia="PMingLiU" w:hAnsi="PMingLiU"/>
                <w:sz w:val="19"/>
                <w:szCs w:val="19"/>
                <w:b w:val="1"/>
                <w:bCs w:val="1"/>
                <w:color w:val="231F20"/>
              </w:rPr>
              <w:t></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line="224" w:lineRule="exact"/>
              <w:rPr>
                <w:sz w:val="20"/>
                <w:szCs w:val="20"/>
                <w:color w:val="auto"/>
              </w:rPr>
            </w:pPr>
            <w:r>
              <w:rPr>
                <w:rFonts w:ascii="PMingLiU" w:cs="PMingLiU" w:eastAsia="PMingLiU" w:hAnsi="PMingLiU"/>
                <w:sz w:val="19"/>
                <w:szCs w:val="19"/>
                <w:b w:val="1"/>
                <w:bCs w:val="1"/>
                <w:color w:val="231F20"/>
              </w:rPr>
              <w:t></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60"/>
              <w:spacing w:after="0" w:line="224" w:lineRule="exact"/>
              <w:rPr>
                <w:sz w:val="20"/>
                <w:szCs w:val="20"/>
                <w:color w:val="auto"/>
              </w:rPr>
            </w:pPr>
            <w:r>
              <w:rPr>
                <w:rFonts w:ascii="PMingLiU" w:cs="PMingLiU" w:eastAsia="PMingLiU" w:hAnsi="PMingLiU"/>
                <w:sz w:val="19"/>
                <w:szCs w:val="19"/>
                <w:b w:val="1"/>
                <w:bCs w:val="1"/>
                <w:color w:val="231F20"/>
              </w:rPr>
              <w:t></w:t>
            </w:r>
          </w:p>
        </w:tc>
      </w:tr>
      <w:tr>
        <w:trPr>
          <w:trHeight w:val="223"/>
        </w:trPr>
        <w:tc>
          <w:tcPr>
            <w:tcW w:w="5160" w:type="dxa"/>
            <w:vAlign w:val="bottom"/>
          </w:tcPr>
          <w:p>
            <w:pPr>
              <w:spacing w:after="0"/>
              <w:rPr>
                <w:sz w:val="20"/>
                <w:szCs w:val="20"/>
                <w:color w:val="auto"/>
              </w:rPr>
            </w:pPr>
            <w:r>
              <w:rPr>
                <w:rFonts w:ascii="Arial" w:cs="Arial" w:eastAsia="Arial" w:hAnsi="Arial"/>
                <w:sz w:val="19"/>
                <w:szCs w:val="19"/>
                <w:b w:val="1"/>
                <w:bCs w:val="1"/>
                <w:color w:val="231F20"/>
              </w:rPr>
              <w:t>International</w:t>
            </w:r>
          </w:p>
        </w:tc>
        <w:tc>
          <w:tcPr>
            <w:tcW w:w="320" w:type="dxa"/>
            <w:vAlign w:val="bottom"/>
          </w:tcPr>
          <w:p>
            <w:pPr>
              <w:spacing w:after="0"/>
              <w:rPr>
                <w:sz w:val="19"/>
                <w:szCs w:val="19"/>
                <w:color w:val="auto"/>
              </w:rPr>
            </w:pPr>
          </w:p>
        </w:tc>
        <w:tc>
          <w:tcPr>
            <w:tcW w:w="1200" w:type="dxa"/>
            <w:vAlign w:val="bottom"/>
          </w:tcPr>
          <w:p>
            <w:pPr>
              <w:jc w:val="right"/>
              <w:spacing w:after="0" w:line="223" w:lineRule="exact"/>
              <w:rPr>
                <w:sz w:val="20"/>
                <w:szCs w:val="20"/>
                <w:color w:val="auto"/>
              </w:rPr>
            </w:pPr>
            <w:r>
              <w:rPr>
                <w:rFonts w:ascii="PMingLiU" w:cs="PMingLiU" w:eastAsia="PMingLiU" w:hAnsi="PMingLiU"/>
                <w:sz w:val="19"/>
                <w:szCs w:val="19"/>
                <w:b w:val="1"/>
                <w:bCs w:val="1"/>
                <w:color w:val="231F20"/>
              </w:rPr>
              <w:t></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line="223" w:lineRule="exact"/>
              <w:rPr>
                <w:sz w:val="20"/>
                <w:szCs w:val="20"/>
                <w:color w:val="auto"/>
              </w:rPr>
            </w:pPr>
            <w:r>
              <w:rPr>
                <w:rFonts w:ascii="PMingLiU" w:cs="PMingLiU" w:eastAsia="PMingLiU" w:hAnsi="PMingLiU"/>
                <w:sz w:val="19"/>
                <w:szCs w:val="19"/>
                <w:b w:val="1"/>
                <w:bCs w:val="1"/>
                <w:color w:val="231F20"/>
              </w:rPr>
              <w:t></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60"/>
              <w:spacing w:after="0" w:line="223" w:lineRule="exact"/>
              <w:rPr>
                <w:sz w:val="20"/>
                <w:szCs w:val="20"/>
                <w:color w:val="auto"/>
              </w:rPr>
            </w:pPr>
            <w:r>
              <w:rPr>
                <w:rFonts w:ascii="PMingLiU" w:cs="PMingLiU" w:eastAsia="PMingLiU" w:hAnsi="PMingLiU"/>
                <w:sz w:val="19"/>
                <w:szCs w:val="19"/>
                <w:b w:val="1"/>
                <w:bCs w:val="1"/>
                <w:color w:val="231F20"/>
              </w:rPr>
              <w:t></w:t>
            </w:r>
          </w:p>
        </w:tc>
      </w:tr>
      <w:tr>
        <w:trPr>
          <w:trHeight w:val="20"/>
        </w:trPr>
        <w:tc>
          <w:tcPr>
            <w:tcW w:w="5160" w:type="dxa"/>
            <w:vAlign w:val="bottom"/>
            <w:tcBorders>
              <w:right w:val="single" w:sz="8" w:color="231F20"/>
            </w:tcBorders>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1200" w:type="dxa"/>
            <w:vAlign w:val="bottom"/>
            <w:shd w:val="clear" w:color="auto" w:fill="231F20"/>
          </w:tcPr>
          <w:p>
            <w:pPr>
              <w:spacing w:after="0" w:line="20" w:lineRule="exact"/>
              <w:rPr>
                <w:sz w:val="1"/>
                <w:szCs w:val="1"/>
                <w:color w:val="auto"/>
              </w:rPr>
            </w:pPr>
          </w:p>
        </w:tc>
        <w:tc>
          <w:tcPr>
            <w:tcW w:w="300" w:type="dxa"/>
            <w:vAlign w:val="bottom"/>
            <w:tcBorders>
              <w:right w:val="single" w:sz="8" w:color="231F20"/>
            </w:tcBorders>
          </w:tcPr>
          <w:p>
            <w:pPr>
              <w:spacing w:after="0" w:line="20" w:lineRule="exact"/>
              <w:rPr>
                <w:sz w:val="1"/>
                <w:szCs w:val="1"/>
                <w:color w:val="auto"/>
              </w:rPr>
            </w:pPr>
          </w:p>
        </w:tc>
        <w:tc>
          <w:tcPr>
            <w:tcW w:w="340" w:type="dxa"/>
            <w:vAlign w:val="bottom"/>
            <w:shd w:val="clear" w:color="auto" w:fill="231F20"/>
          </w:tcPr>
          <w:p>
            <w:pPr>
              <w:spacing w:after="0" w:line="20" w:lineRule="exact"/>
              <w:rPr>
                <w:sz w:val="1"/>
                <w:szCs w:val="1"/>
                <w:color w:val="auto"/>
              </w:rPr>
            </w:pPr>
          </w:p>
        </w:tc>
        <w:tc>
          <w:tcPr>
            <w:tcW w:w="1200" w:type="dxa"/>
            <w:vAlign w:val="bottom"/>
            <w:shd w:val="clear" w:color="auto" w:fill="231F2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231F20"/>
          </w:tcPr>
          <w:p>
            <w:pPr>
              <w:spacing w:after="0" w:line="20" w:lineRule="exact"/>
              <w:rPr>
                <w:sz w:val="1"/>
                <w:szCs w:val="1"/>
                <w:color w:val="auto"/>
              </w:rPr>
            </w:pPr>
          </w:p>
        </w:tc>
        <w:tc>
          <w:tcPr>
            <w:tcW w:w="1220" w:type="dxa"/>
            <w:vAlign w:val="bottom"/>
            <w:shd w:val="clear" w:color="auto" w:fill="231F2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3"/>
        </w:trPr>
        <w:tc>
          <w:tcPr>
            <w:tcW w:w="5160" w:type="dxa"/>
            <w:vAlign w:val="bottom"/>
          </w:tcPr>
          <w:p>
            <w:pPr>
              <w:spacing w:after="0" w:line="213" w:lineRule="exact"/>
              <w:rPr>
                <w:sz w:val="20"/>
                <w:szCs w:val="20"/>
                <w:color w:val="auto"/>
              </w:rPr>
            </w:pPr>
            <w:r>
              <w:rPr>
                <w:rFonts w:ascii="Arial" w:cs="Arial" w:eastAsia="Arial" w:hAnsi="Arial"/>
                <w:sz w:val="19"/>
                <w:szCs w:val="19"/>
                <w:b w:val="1"/>
                <w:bCs w:val="1"/>
                <w:color w:val="231F20"/>
              </w:rPr>
              <w:t>Total current</w:t>
            </w:r>
          </w:p>
        </w:tc>
        <w:tc>
          <w:tcPr>
            <w:tcW w:w="320" w:type="dxa"/>
            <w:vAlign w:val="bottom"/>
          </w:tcPr>
          <w:p>
            <w:pPr>
              <w:spacing w:after="0"/>
              <w:rPr>
                <w:sz w:val="18"/>
                <w:szCs w:val="18"/>
                <w:color w:val="auto"/>
              </w:rPr>
            </w:pPr>
          </w:p>
        </w:tc>
        <w:tc>
          <w:tcPr>
            <w:tcW w:w="1200" w:type="dxa"/>
            <w:vAlign w:val="bottom"/>
          </w:tcPr>
          <w:p>
            <w:pPr>
              <w:jc w:val="right"/>
              <w:spacing w:after="0" w:line="213" w:lineRule="exact"/>
              <w:rPr>
                <w:sz w:val="20"/>
                <w:szCs w:val="20"/>
                <w:color w:val="auto"/>
              </w:rPr>
            </w:pPr>
            <w:r>
              <w:rPr>
                <w:rFonts w:ascii="PMingLiU" w:cs="PMingLiU" w:eastAsia="PMingLiU" w:hAnsi="PMingLiU"/>
                <w:sz w:val="19"/>
                <w:szCs w:val="19"/>
                <w:b w:val="1"/>
                <w:bCs w:val="1"/>
                <w:color w:val="231F20"/>
              </w:rPr>
              <w: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line="213" w:lineRule="exact"/>
              <w:rPr>
                <w:sz w:val="20"/>
                <w:szCs w:val="20"/>
                <w:color w:val="auto"/>
              </w:rPr>
            </w:pPr>
            <w:r>
              <w:rPr>
                <w:rFonts w:ascii="PMingLiU" w:cs="PMingLiU" w:eastAsia="PMingLiU" w:hAnsi="PMingLiU"/>
                <w:sz w:val="19"/>
                <w:szCs w:val="19"/>
                <w:b w:val="1"/>
                <w:bCs w:val="1"/>
                <w:color w:val="231F20"/>
              </w:rPr>
              <w: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line="213" w:lineRule="exact"/>
              <w:rPr>
                <w:sz w:val="20"/>
                <w:szCs w:val="20"/>
                <w:color w:val="auto"/>
              </w:rPr>
            </w:pPr>
            <w:r>
              <w:rPr>
                <w:rFonts w:ascii="Arial" w:cs="Arial" w:eastAsia="Arial" w:hAnsi="Arial"/>
                <w:sz w:val="19"/>
                <w:szCs w:val="19"/>
                <w:b w:val="1"/>
                <w:bCs w:val="1"/>
                <w:color w:val="231F20"/>
              </w:rPr>
              <w:t>64</w:t>
            </w:r>
          </w:p>
        </w:tc>
        <w:tc>
          <w:tcPr>
            <w:tcW w:w="60" w:type="dxa"/>
            <w:vAlign w:val="bottom"/>
          </w:tcPr>
          <w:p>
            <w:pPr>
              <w:spacing w:after="0"/>
              <w:rPr>
                <w:sz w:val="18"/>
                <w:szCs w:val="18"/>
                <w:color w:val="auto"/>
              </w:rPr>
            </w:pPr>
          </w:p>
        </w:tc>
      </w:tr>
      <w:tr>
        <w:trPr>
          <w:trHeight w:val="213"/>
        </w:trPr>
        <w:tc>
          <w:tcPr>
            <w:tcW w:w="5160" w:type="dxa"/>
            <w:vAlign w:val="bottom"/>
          </w:tcPr>
          <w:p>
            <w:pPr>
              <w:spacing w:after="0" w:line="214" w:lineRule="exact"/>
              <w:rPr>
                <w:sz w:val="20"/>
                <w:szCs w:val="20"/>
                <w:color w:val="auto"/>
              </w:rPr>
            </w:pPr>
            <w:r>
              <w:rPr>
                <w:rFonts w:ascii="Arial" w:cs="Arial" w:eastAsia="Arial" w:hAnsi="Arial"/>
                <w:sz w:val="19"/>
                <w:szCs w:val="19"/>
                <w:b w:val="1"/>
                <w:bCs w:val="1"/>
                <w:color w:val="231F20"/>
              </w:rPr>
              <w:t>Deferred tax provision:</w:t>
            </w:r>
          </w:p>
        </w:tc>
        <w:tc>
          <w:tcPr>
            <w:tcW w:w="320" w:type="dxa"/>
            <w:vAlign w:val="bottom"/>
            <w:tcBorders>
              <w:top w:val="single" w:sz="8" w:color="231F20"/>
            </w:tcBorders>
          </w:tcPr>
          <w:p>
            <w:pPr>
              <w:spacing w:after="0"/>
              <w:rPr>
                <w:sz w:val="18"/>
                <w:szCs w:val="18"/>
                <w:color w:val="auto"/>
              </w:rPr>
            </w:pPr>
          </w:p>
        </w:tc>
        <w:tc>
          <w:tcPr>
            <w:tcW w:w="1200" w:type="dxa"/>
            <w:vAlign w:val="bottom"/>
            <w:tcBorders>
              <w:top w:val="single" w:sz="8" w:color="231F20"/>
            </w:tcBorders>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top w:val="single" w:sz="8" w:color="231F20"/>
            </w:tcBorders>
          </w:tcPr>
          <w:p>
            <w:pPr>
              <w:spacing w:after="0"/>
              <w:rPr>
                <w:sz w:val="18"/>
                <w:szCs w:val="18"/>
                <w:color w:val="auto"/>
              </w:rPr>
            </w:pPr>
          </w:p>
        </w:tc>
        <w:tc>
          <w:tcPr>
            <w:tcW w:w="1200" w:type="dxa"/>
            <w:vAlign w:val="bottom"/>
            <w:tcBorders>
              <w:top w:val="single" w:sz="8" w:color="231F20"/>
            </w:tcBorders>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top w:val="single" w:sz="8" w:color="231F20"/>
            </w:tcBorders>
          </w:tcPr>
          <w:p>
            <w:pPr>
              <w:spacing w:after="0"/>
              <w:rPr>
                <w:sz w:val="18"/>
                <w:szCs w:val="18"/>
                <w:color w:val="auto"/>
              </w:rPr>
            </w:pPr>
          </w:p>
        </w:tc>
        <w:tc>
          <w:tcPr>
            <w:tcW w:w="1220" w:type="dxa"/>
            <w:vAlign w:val="bottom"/>
            <w:tcBorders>
              <w:top w:val="single" w:sz="8" w:color="231F20"/>
            </w:tcBorders>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9"/>
                <w:szCs w:val="19"/>
                <w:b w:val="1"/>
                <w:bCs w:val="1"/>
                <w:color w:val="231F20"/>
              </w:rPr>
              <w:t>Federal</w:t>
            </w:r>
          </w:p>
        </w:tc>
        <w:tc>
          <w:tcPr>
            <w:tcW w:w="320" w:type="dxa"/>
            <w:vAlign w:val="bottom"/>
          </w:tcPr>
          <w:p>
            <w:pPr>
              <w:spacing w:after="0"/>
              <w:rPr>
                <w:sz w:val="19"/>
                <w:szCs w:val="19"/>
                <w:color w:val="auto"/>
              </w:rPr>
            </w:pPr>
          </w:p>
        </w:tc>
        <w:tc>
          <w:tcPr>
            <w:tcW w:w="1200" w:type="dxa"/>
            <w:vAlign w:val="bottom"/>
          </w:tcPr>
          <w:p>
            <w:pPr>
              <w:jc w:val="right"/>
              <w:spacing w:after="0" w:line="224" w:lineRule="exact"/>
              <w:rPr>
                <w:sz w:val="20"/>
                <w:szCs w:val="20"/>
                <w:color w:val="auto"/>
              </w:rPr>
            </w:pPr>
            <w:r>
              <w:rPr>
                <w:rFonts w:ascii="PMingLiU" w:cs="PMingLiU" w:eastAsia="PMingLiU" w:hAnsi="PMingLiU"/>
                <w:sz w:val="19"/>
                <w:szCs w:val="19"/>
                <w:b w:val="1"/>
                <w:bCs w:val="1"/>
                <w:color w:val="231F20"/>
              </w:rPr>
              <w:t></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line="224" w:lineRule="exact"/>
              <w:rPr>
                <w:sz w:val="20"/>
                <w:szCs w:val="20"/>
                <w:color w:val="auto"/>
              </w:rPr>
            </w:pPr>
            <w:r>
              <w:rPr>
                <w:rFonts w:ascii="PMingLiU" w:cs="PMingLiU" w:eastAsia="PMingLiU" w:hAnsi="PMingLiU"/>
                <w:sz w:val="19"/>
                <w:szCs w:val="19"/>
                <w:b w:val="1"/>
                <w:bCs w:val="1"/>
                <w:color w:val="231F20"/>
              </w:rPr>
              <w:t></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60"/>
              <w:spacing w:after="0" w:line="224" w:lineRule="exact"/>
              <w:rPr>
                <w:sz w:val="20"/>
                <w:szCs w:val="20"/>
                <w:color w:val="auto"/>
              </w:rPr>
            </w:pPr>
            <w:r>
              <w:rPr>
                <w:rFonts w:ascii="PMingLiU" w:cs="PMingLiU" w:eastAsia="PMingLiU" w:hAnsi="PMingLiU"/>
                <w:sz w:val="19"/>
                <w:szCs w:val="19"/>
                <w:b w:val="1"/>
                <w:bCs w:val="1"/>
                <w:color w:val="231F20"/>
              </w:rPr>
              <w:t></w:t>
            </w:r>
          </w:p>
        </w:tc>
      </w:tr>
      <w:tr>
        <w:trPr>
          <w:trHeight w:val="223"/>
        </w:trPr>
        <w:tc>
          <w:tcPr>
            <w:tcW w:w="5160" w:type="dxa"/>
            <w:vAlign w:val="bottom"/>
          </w:tcPr>
          <w:p>
            <w:pPr>
              <w:spacing w:after="0"/>
              <w:rPr>
                <w:sz w:val="20"/>
                <w:szCs w:val="20"/>
                <w:color w:val="auto"/>
              </w:rPr>
            </w:pPr>
            <w:r>
              <w:rPr>
                <w:rFonts w:ascii="Arial" w:cs="Arial" w:eastAsia="Arial" w:hAnsi="Arial"/>
                <w:sz w:val="19"/>
                <w:szCs w:val="19"/>
                <w:b w:val="1"/>
                <w:bCs w:val="1"/>
                <w:color w:val="231F20"/>
              </w:rPr>
              <w:t>State</w:t>
            </w:r>
          </w:p>
        </w:tc>
        <w:tc>
          <w:tcPr>
            <w:tcW w:w="320" w:type="dxa"/>
            <w:vAlign w:val="bottom"/>
          </w:tcPr>
          <w:p>
            <w:pPr>
              <w:spacing w:after="0"/>
              <w:rPr>
                <w:sz w:val="19"/>
                <w:szCs w:val="19"/>
                <w:color w:val="auto"/>
              </w:rPr>
            </w:pPr>
          </w:p>
        </w:tc>
        <w:tc>
          <w:tcPr>
            <w:tcW w:w="1200" w:type="dxa"/>
            <w:vAlign w:val="bottom"/>
          </w:tcPr>
          <w:p>
            <w:pPr>
              <w:jc w:val="right"/>
              <w:spacing w:after="0" w:line="224" w:lineRule="exact"/>
              <w:rPr>
                <w:sz w:val="20"/>
                <w:szCs w:val="20"/>
                <w:color w:val="auto"/>
              </w:rPr>
            </w:pPr>
            <w:r>
              <w:rPr>
                <w:rFonts w:ascii="PMingLiU" w:cs="PMingLiU" w:eastAsia="PMingLiU" w:hAnsi="PMingLiU"/>
                <w:sz w:val="19"/>
                <w:szCs w:val="19"/>
                <w:b w:val="1"/>
                <w:bCs w:val="1"/>
                <w:color w:val="231F20"/>
              </w:rPr>
              <w:t></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line="224" w:lineRule="exact"/>
              <w:rPr>
                <w:sz w:val="20"/>
                <w:szCs w:val="20"/>
                <w:color w:val="auto"/>
              </w:rPr>
            </w:pPr>
            <w:r>
              <w:rPr>
                <w:rFonts w:ascii="PMingLiU" w:cs="PMingLiU" w:eastAsia="PMingLiU" w:hAnsi="PMingLiU"/>
                <w:sz w:val="19"/>
                <w:szCs w:val="19"/>
                <w:b w:val="1"/>
                <w:bCs w:val="1"/>
                <w:color w:val="231F20"/>
              </w:rPr>
              <w:t></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60"/>
              <w:spacing w:after="0" w:line="224" w:lineRule="exact"/>
              <w:rPr>
                <w:sz w:val="20"/>
                <w:szCs w:val="20"/>
                <w:color w:val="auto"/>
              </w:rPr>
            </w:pPr>
            <w:r>
              <w:rPr>
                <w:rFonts w:ascii="PMingLiU" w:cs="PMingLiU" w:eastAsia="PMingLiU" w:hAnsi="PMingLiU"/>
                <w:sz w:val="19"/>
                <w:szCs w:val="19"/>
                <w:b w:val="1"/>
                <w:bCs w:val="1"/>
                <w:color w:val="231F20"/>
              </w:rPr>
              <w:t></w:t>
            </w:r>
          </w:p>
        </w:tc>
      </w:tr>
      <w:tr>
        <w:trPr>
          <w:trHeight w:val="223"/>
        </w:trPr>
        <w:tc>
          <w:tcPr>
            <w:tcW w:w="5160" w:type="dxa"/>
            <w:vAlign w:val="bottom"/>
          </w:tcPr>
          <w:p>
            <w:pPr>
              <w:spacing w:after="0"/>
              <w:rPr>
                <w:sz w:val="20"/>
                <w:szCs w:val="20"/>
                <w:color w:val="auto"/>
              </w:rPr>
            </w:pPr>
            <w:r>
              <w:rPr>
                <w:rFonts w:ascii="Arial" w:cs="Arial" w:eastAsia="Arial" w:hAnsi="Arial"/>
                <w:sz w:val="19"/>
                <w:szCs w:val="19"/>
                <w:b w:val="1"/>
                <w:bCs w:val="1"/>
                <w:color w:val="231F20"/>
              </w:rPr>
              <w:t>International</w:t>
            </w:r>
          </w:p>
        </w:tc>
        <w:tc>
          <w:tcPr>
            <w:tcW w:w="320" w:type="dxa"/>
            <w:vAlign w:val="bottom"/>
          </w:tcPr>
          <w:p>
            <w:pPr>
              <w:spacing w:after="0"/>
              <w:rPr>
                <w:sz w:val="19"/>
                <w:szCs w:val="19"/>
                <w:color w:val="auto"/>
              </w:rPr>
            </w:pPr>
          </w:p>
        </w:tc>
        <w:tc>
          <w:tcPr>
            <w:tcW w:w="1200" w:type="dxa"/>
            <w:vAlign w:val="bottom"/>
          </w:tcPr>
          <w:p>
            <w:pPr>
              <w:jc w:val="right"/>
              <w:spacing w:after="0" w:line="223" w:lineRule="exact"/>
              <w:rPr>
                <w:sz w:val="20"/>
                <w:szCs w:val="20"/>
                <w:color w:val="auto"/>
              </w:rPr>
            </w:pPr>
            <w:r>
              <w:rPr>
                <w:rFonts w:ascii="PMingLiU" w:cs="PMingLiU" w:eastAsia="PMingLiU" w:hAnsi="PMingLiU"/>
                <w:sz w:val="19"/>
                <w:szCs w:val="19"/>
                <w:b w:val="1"/>
                <w:bCs w:val="1"/>
                <w:color w:val="231F20"/>
              </w:rPr>
              <w:t></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line="223" w:lineRule="exact"/>
              <w:rPr>
                <w:sz w:val="20"/>
                <w:szCs w:val="20"/>
                <w:color w:val="auto"/>
              </w:rPr>
            </w:pPr>
            <w:r>
              <w:rPr>
                <w:rFonts w:ascii="PMingLiU" w:cs="PMingLiU" w:eastAsia="PMingLiU" w:hAnsi="PMingLiU"/>
                <w:sz w:val="19"/>
                <w:szCs w:val="19"/>
                <w:b w:val="1"/>
                <w:bCs w:val="1"/>
                <w:color w:val="231F20"/>
              </w:rPr>
              <w:t></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60"/>
              <w:spacing w:after="0" w:line="223" w:lineRule="exact"/>
              <w:rPr>
                <w:sz w:val="20"/>
                <w:szCs w:val="20"/>
                <w:color w:val="auto"/>
              </w:rPr>
            </w:pPr>
            <w:r>
              <w:rPr>
                <w:rFonts w:ascii="PMingLiU" w:cs="PMingLiU" w:eastAsia="PMingLiU" w:hAnsi="PMingLiU"/>
                <w:sz w:val="19"/>
                <w:szCs w:val="19"/>
                <w:b w:val="1"/>
                <w:bCs w:val="1"/>
                <w:color w:val="231F20"/>
              </w:rPr>
              <w:t></w:t>
            </w:r>
          </w:p>
        </w:tc>
      </w:tr>
      <w:tr>
        <w:trPr>
          <w:trHeight w:val="20"/>
        </w:trPr>
        <w:tc>
          <w:tcPr>
            <w:tcW w:w="5160" w:type="dxa"/>
            <w:vAlign w:val="bottom"/>
            <w:tcBorders>
              <w:right w:val="single" w:sz="8" w:color="231F20"/>
            </w:tcBorders>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1200" w:type="dxa"/>
            <w:vAlign w:val="bottom"/>
            <w:shd w:val="clear" w:color="auto" w:fill="231F20"/>
          </w:tcPr>
          <w:p>
            <w:pPr>
              <w:spacing w:after="0" w:line="20" w:lineRule="exact"/>
              <w:rPr>
                <w:sz w:val="1"/>
                <w:szCs w:val="1"/>
                <w:color w:val="auto"/>
              </w:rPr>
            </w:pPr>
          </w:p>
        </w:tc>
        <w:tc>
          <w:tcPr>
            <w:tcW w:w="300" w:type="dxa"/>
            <w:vAlign w:val="bottom"/>
            <w:tcBorders>
              <w:right w:val="single" w:sz="8" w:color="231F20"/>
            </w:tcBorders>
          </w:tcPr>
          <w:p>
            <w:pPr>
              <w:spacing w:after="0" w:line="20" w:lineRule="exact"/>
              <w:rPr>
                <w:sz w:val="1"/>
                <w:szCs w:val="1"/>
                <w:color w:val="auto"/>
              </w:rPr>
            </w:pPr>
          </w:p>
        </w:tc>
        <w:tc>
          <w:tcPr>
            <w:tcW w:w="340" w:type="dxa"/>
            <w:vAlign w:val="bottom"/>
            <w:shd w:val="clear" w:color="auto" w:fill="231F20"/>
          </w:tcPr>
          <w:p>
            <w:pPr>
              <w:spacing w:after="0" w:line="20" w:lineRule="exact"/>
              <w:rPr>
                <w:sz w:val="1"/>
                <w:szCs w:val="1"/>
                <w:color w:val="auto"/>
              </w:rPr>
            </w:pPr>
          </w:p>
        </w:tc>
        <w:tc>
          <w:tcPr>
            <w:tcW w:w="1200" w:type="dxa"/>
            <w:vAlign w:val="bottom"/>
            <w:shd w:val="clear" w:color="auto" w:fill="231F2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231F20"/>
          </w:tcPr>
          <w:p>
            <w:pPr>
              <w:spacing w:after="0" w:line="20" w:lineRule="exact"/>
              <w:rPr>
                <w:sz w:val="1"/>
                <w:szCs w:val="1"/>
                <w:color w:val="auto"/>
              </w:rPr>
            </w:pPr>
          </w:p>
        </w:tc>
        <w:tc>
          <w:tcPr>
            <w:tcW w:w="1220" w:type="dxa"/>
            <w:vAlign w:val="bottom"/>
            <w:shd w:val="clear" w:color="auto" w:fill="231F2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3"/>
        </w:trPr>
        <w:tc>
          <w:tcPr>
            <w:tcW w:w="5160" w:type="dxa"/>
            <w:vAlign w:val="bottom"/>
          </w:tcPr>
          <w:p>
            <w:pPr>
              <w:spacing w:after="0" w:line="213" w:lineRule="exact"/>
              <w:rPr>
                <w:sz w:val="20"/>
                <w:szCs w:val="20"/>
                <w:color w:val="auto"/>
              </w:rPr>
            </w:pPr>
            <w:r>
              <w:rPr>
                <w:rFonts w:ascii="Arial" w:cs="Arial" w:eastAsia="Arial" w:hAnsi="Arial"/>
                <w:sz w:val="19"/>
                <w:szCs w:val="19"/>
                <w:b w:val="1"/>
                <w:bCs w:val="1"/>
                <w:color w:val="231F20"/>
              </w:rPr>
              <w:t>Total deferred</w:t>
            </w:r>
          </w:p>
        </w:tc>
        <w:tc>
          <w:tcPr>
            <w:tcW w:w="320" w:type="dxa"/>
            <w:vAlign w:val="bottom"/>
          </w:tcPr>
          <w:p>
            <w:pPr>
              <w:spacing w:after="0"/>
              <w:rPr>
                <w:sz w:val="18"/>
                <w:szCs w:val="18"/>
                <w:color w:val="auto"/>
              </w:rPr>
            </w:pPr>
          </w:p>
        </w:tc>
        <w:tc>
          <w:tcPr>
            <w:tcW w:w="1200" w:type="dxa"/>
            <w:vAlign w:val="bottom"/>
          </w:tcPr>
          <w:p>
            <w:pPr>
              <w:jc w:val="right"/>
              <w:spacing w:after="0" w:line="213" w:lineRule="exact"/>
              <w:rPr>
                <w:sz w:val="20"/>
                <w:szCs w:val="20"/>
                <w:color w:val="auto"/>
              </w:rPr>
            </w:pPr>
            <w:r>
              <w:rPr>
                <w:rFonts w:ascii="PMingLiU" w:cs="PMingLiU" w:eastAsia="PMingLiU" w:hAnsi="PMingLiU"/>
                <w:sz w:val="19"/>
                <w:szCs w:val="19"/>
                <w:b w:val="1"/>
                <w:bCs w:val="1"/>
                <w:color w:val="231F20"/>
              </w:rPr>
              <w: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line="213" w:lineRule="exact"/>
              <w:rPr>
                <w:sz w:val="20"/>
                <w:szCs w:val="20"/>
                <w:color w:val="auto"/>
              </w:rPr>
            </w:pPr>
            <w:r>
              <w:rPr>
                <w:rFonts w:ascii="PMingLiU" w:cs="PMingLiU" w:eastAsia="PMingLiU" w:hAnsi="PMingLiU"/>
                <w:sz w:val="19"/>
                <w:szCs w:val="19"/>
                <w:b w:val="1"/>
                <w:bCs w:val="1"/>
                <w:color w:val="231F20"/>
              </w:rPr>
              <w: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60"/>
              <w:spacing w:after="0" w:line="213" w:lineRule="exact"/>
              <w:rPr>
                <w:sz w:val="20"/>
                <w:szCs w:val="20"/>
                <w:color w:val="auto"/>
              </w:rPr>
            </w:pPr>
            <w:r>
              <w:rPr>
                <w:rFonts w:ascii="PMingLiU" w:cs="PMingLiU" w:eastAsia="PMingLiU" w:hAnsi="PMingLiU"/>
                <w:sz w:val="19"/>
                <w:szCs w:val="19"/>
                <w:b w:val="1"/>
                <w:bCs w:val="1"/>
                <w:color w:val="231F20"/>
              </w:rPr>
              <w:t></w:t>
            </w:r>
          </w:p>
        </w:tc>
      </w:tr>
      <w:tr>
        <w:trPr>
          <w:trHeight w:val="20"/>
        </w:trPr>
        <w:tc>
          <w:tcPr>
            <w:tcW w:w="5160" w:type="dxa"/>
            <w:vAlign w:val="bottom"/>
            <w:tcBorders>
              <w:right w:val="single" w:sz="8" w:color="231F20"/>
            </w:tcBorders>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1200" w:type="dxa"/>
            <w:vAlign w:val="bottom"/>
            <w:shd w:val="clear" w:color="auto" w:fill="231F20"/>
          </w:tcPr>
          <w:p>
            <w:pPr>
              <w:spacing w:after="0" w:line="20" w:lineRule="exact"/>
              <w:rPr>
                <w:sz w:val="1"/>
                <w:szCs w:val="1"/>
                <w:color w:val="auto"/>
              </w:rPr>
            </w:pPr>
          </w:p>
        </w:tc>
        <w:tc>
          <w:tcPr>
            <w:tcW w:w="300" w:type="dxa"/>
            <w:vAlign w:val="bottom"/>
            <w:tcBorders>
              <w:right w:val="single" w:sz="8" w:color="231F20"/>
            </w:tcBorders>
          </w:tcPr>
          <w:p>
            <w:pPr>
              <w:spacing w:after="0" w:line="20" w:lineRule="exact"/>
              <w:rPr>
                <w:sz w:val="1"/>
                <w:szCs w:val="1"/>
                <w:color w:val="auto"/>
              </w:rPr>
            </w:pPr>
          </w:p>
        </w:tc>
        <w:tc>
          <w:tcPr>
            <w:tcW w:w="340" w:type="dxa"/>
            <w:vAlign w:val="bottom"/>
            <w:shd w:val="clear" w:color="auto" w:fill="231F20"/>
          </w:tcPr>
          <w:p>
            <w:pPr>
              <w:spacing w:after="0" w:line="20" w:lineRule="exact"/>
              <w:rPr>
                <w:sz w:val="1"/>
                <w:szCs w:val="1"/>
                <w:color w:val="auto"/>
              </w:rPr>
            </w:pPr>
          </w:p>
        </w:tc>
        <w:tc>
          <w:tcPr>
            <w:tcW w:w="1200" w:type="dxa"/>
            <w:vAlign w:val="bottom"/>
            <w:shd w:val="clear" w:color="auto" w:fill="231F2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231F20"/>
          </w:tcPr>
          <w:p>
            <w:pPr>
              <w:spacing w:after="0" w:line="20" w:lineRule="exact"/>
              <w:rPr>
                <w:sz w:val="1"/>
                <w:szCs w:val="1"/>
                <w:color w:val="auto"/>
              </w:rPr>
            </w:pPr>
          </w:p>
        </w:tc>
        <w:tc>
          <w:tcPr>
            <w:tcW w:w="1220" w:type="dxa"/>
            <w:vAlign w:val="bottom"/>
            <w:shd w:val="clear" w:color="auto" w:fill="231F2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3"/>
        </w:trPr>
        <w:tc>
          <w:tcPr>
            <w:tcW w:w="5160" w:type="dxa"/>
            <w:vAlign w:val="bottom"/>
          </w:tcPr>
          <w:p>
            <w:pPr>
              <w:spacing w:after="0" w:line="214" w:lineRule="exact"/>
              <w:rPr>
                <w:sz w:val="20"/>
                <w:szCs w:val="20"/>
                <w:color w:val="auto"/>
              </w:rPr>
            </w:pPr>
            <w:r>
              <w:rPr>
                <w:rFonts w:ascii="Arial" w:cs="Arial" w:eastAsia="Arial" w:hAnsi="Arial"/>
                <w:sz w:val="19"/>
                <w:szCs w:val="19"/>
                <w:b w:val="1"/>
                <w:bCs w:val="1"/>
                <w:color w:val="231F20"/>
              </w:rPr>
              <w:t>Provision (benefit) for income taxes</w:t>
            </w:r>
          </w:p>
        </w:tc>
        <w:tc>
          <w:tcPr>
            <w:tcW w:w="320" w:type="dxa"/>
            <w:vAlign w:val="bottom"/>
          </w:tcPr>
          <w:p>
            <w:pPr>
              <w:jc w:val="right"/>
              <w:ind w:right="187"/>
              <w:spacing w:after="0"/>
              <w:rPr>
                <w:sz w:val="20"/>
                <w:szCs w:val="20"/>
                <w:color w:val="auto"/>
              </w:rPr>
            </w:pPr>
            <w:r>
              <w:rPr>
                <w:rFonts w:ascii="Arial" w:cs="Arial" w:eastAsia="Arial" w:hAnsi="Arial"/>
                <w:sz w:val="10"/>
                <w:szCs w:val="10"/>
                <w:b w:val="1"/>
                <w:bCs w:val="1"/>
                <w:color w:val="231F20"/>
                <w:w w:val="71"/>
              </w:rPr>
              <w:t>$</w:t>
            </w:r>
          </w:p>
        </w:tc>
        <w:tc>
          <w:tcPr>
            <w:tcW w:w="1200" w:type="dxa"/>
            <w:vAlign w:val="bottom"/>
          </w:tcPr>
          <w:p>
            <w:pPr>
              <w:jc w:val="right"/>
              <w:spacing w:after="0" w:line="213" w:lineRule="exact"/>
              <w:rPr>
                <w:sz w:val="20"/>
                <w:szCs w:val="20"/>
                <w:color w:val="auto"/>
              </w:rPr>
            </w:pPr>
            <w:r>
              <w:rPr>
                <w:rFonts w:ascii="PMingLiU" w:cs="PMingLiU" w:eastAsia="PMingLiU" w:hAnsi="PMingLiU"/>
                <w:sz w:val="19"/>
                <w:szCs w:val="19"/>
                <w:b w:val="1"/>
                <w:bCs w:val="1"/>
                <w:color w:val="231F20"/>
              </w:rPr>
              <w:t></w:t>
            </w:r>
          </w:p>
        </w:tc>
        <w:tc>
          <w:tcPr>
            <w:tcW w:w="300" w:type="dxa"/>
            <w:vAlign w:val="bottom"/>
          </w:tcPr>
          <w:p>
            <w:pPr>
              <w:spacing w:after="0"/>
              <w:rPr>
                <w:sz w:val="18"/>
                <w:szCs w:val="18"/>
                <w:color w:val="auto"/>
              </w:rPr>
            </w:pPr>
          </w:p>
        </w:tc>
        <w:tc>
          <w:tcPr>
            <w:tcW w:w="340" w:type="dxa"/>
            <w:vAlign w:val="bottom"/>
          </w:tcPr>
          <w:p>
            <w:pPr>
              <w:jc w:val="right"/>
              <w:ind w:right="174"/>
              <w:spacing w:after="0"/>
              <w:rPr>
                <w:sz w:val="20"/>
                <w:szCs w:val="20"/>
                <w:color w:val="auto"/>
              </w:rPr>
            </w:pPr>
            <w:r>
              <w:rPr>
                <w:rFonts w:ascii="Arial" w:cs="Arial" w:eastAsia="Arial" w:hAnsi="Arial"/>
                <w:sz w:val="15"/>
                <w:szCs w:val="15"/>
                <w:b w:val="1"/>
                <w:bCs w:val="1"/>
                <w:color w:val="231F20"/>
                <w:w w:val="71"/>
              </w:rPr>
              <w:t>$</w:t>
            </w:r>
          </w:p>
        </w:tc>
        <w:tc>
          <w:tcPr>
            <w:tcW w:w="1200" w:type="dxa"/>
            <w:vAlign w:val="bottom"/>
          </w:tcPr>
          <w:p>
            <w:pPr>
              <w:jc w:val="right"/>
              <w:spacing w:after="0" w:line="213" w:lineRule="exact"/>
              <w:rPr>
                <w:sz w:val="20"/>
                <w:szCs w:val="20"/>
                <w:color w:val="auto"/>
              </w:rPr>
            </w:pPr>
            <w:r>
              <w:rPr>
                <w:rFonts w:ascii="PMingLiU" w:cs="PMingLiU" w:eastAsia="PMingLiU" w:hAnsi="PMingLiU"/>
                <w:sz w:val="19"/>
                <w:szCs w:val="19"/>
                <w:b w:val="1"/>
                <w:bCs w:val="1"/>
                <w:color w:val="231F20"/>
              </w:rPr>
              <w:t></w:t>
            </w:r>
          </w:p>
        </w:tc>
        <w:tc>
          <w:tcPr>
            <w:tcW w:w="300" w:type="dxa"/>
            <w:vAlign w:val="bottom"/>
          </w:tcPr>
          <w:p>
            <w:pPr>
              <w:spacing w:after="0"/>
              <w:rPr>
                <w:sz w:val="18"/>
                <w:szCs w:val="18"/>
                <w:color w:val="auto"/>
              </w:rPr>
            </w:pPr>
          </w:p>
        </w:tc>
        <w:tc>
          <w:tcPr>
            <w:tcW w:w="340" w:type="dxa"/>
            <w:vAlign w:val="bottom"/>
          </w:tcPr>
          <w:p>
            <w:pPr>
              <w:spacing w:after="0" w:line="214" w:lineRule="exact"/>
              <w:rPr>
                <w:sz w:val="20"/>
                <w:szCs w:val="20"/>
                <w:color w:val="auto"/>
              </w:rPr>
            </w:pPr>
            <w:r>
              <w:rPr>
                <w:rFonts w:ascii="Arial" w:cs="Arial" w:eastAsia="Arial" w:hAnsi="Arial"/>
                <w:sz w:val="19"/>
                <w:szCs w:val="19"/>
                <w:b w:val="1"/>
                <w:bCs w:val="1"/>
                <w:color w:val="231F20"/>
              </w:rPr>
              <w:t>$</w:t>
            </w:r>
          </w:p>
        </w:tc>
        <w:tc>
          <w:tcPr>
            <w:tcW w:w="1280" w:type="dxa"/>
            <w:vAlign w:val="bottom"/>
            <w:gridSpan w:val="2"/>
          </w:tcPr>
          <w:p>
            <w:pPr>
              <w:jc w:val="right"/>
              <w:ind w:right="60"/>
              <w:spacing w:after="0" w:line="214" w:lineRule="exact"/>
              <w:rPr>
                <w:sz w:val="20"/>
                <w:szCs w:val="20"/>
                <w:color w:val="auto"/>
              </w:rPr>
            </w:pPr>
            <w:r>
              <w:rPr>
                <w:rFonts w:ascii="Arial" w:cs="Arial" w:eastAsia="Arial" w:hAnsi="Arial"/>
                <w:sz w:val="19"/>
                <w:szCs w:val="19"/>
                <w:b w:val="1"/>
                <w:bCs w:val="1"/>
                <w:color w:val="231F20"/>
              </w:rPr>
              <w:t>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-2349500</wp:posOffset>
            </wp:positionV>
            <wp:extent cx="3341370" cy="5461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341370" cy="54610"/>
                    </a:xfrm>
                    <a:prstGeom prst="rect">
                      <a:avLst/>
                    </a:prstGeom>
                    <a:noFill/>
                  </pic:spPr>
                </pic:pic>
              </a:graphicData>
            </a:graphic>
          </wp:anchor>
        </w:drawing>
        <w:drawing>
          <wp:anchor simplePos="0" relativeHeight="251657728" behindDoc="1" locked="0" layoutInCell="0" allowOverlap="1">
            <wp:simplePos x="0" y="0"/>
            <wp:positionH relativeFrom="column">
              <wp:posOffset>3234055</wp:posOffset>
            </wp:positionH>
            <wp:positionV relativeFrom="paragraph">
              <wp:posOffset>-11430</wp:posOffset>
            </wp:positionV>
            <wp:extent cx="3367405" cy="5461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367405" cy="54610"/>
                    </a:xfrm>
                    <a:prstGeom prst="rect">
                      <a:avLst/>
                    </a:prstGeom>
                    <a:noFill/>
                  </pic:spPr>
                </pic:pic>
              </a:graphicData>
            </a:graphic>
          </wp:anchor>
        </w:drawing>
      </w:r>
    </w:p>
    <w:p>
      <w:pPr>
        <w:spacing w:after="0" w:line="266" w:lineRule="exact"/>
        <w:rPr>
          <w:sz w:val="20"/>
          <w:szCs w:val="20"/>
          <w:color w:val="auto"/>
        </w:rPr>
      </w:pPr>
    </w:p>
    <w:p>
      <w:pPr>
        <w:jc w:val="both"/>
        <w:ind w:right="520" w:firstLine="475"/>
        <w:spacing w:after="0" w:line="242" w:lineRule="auto"/>
        <w:rPr>
          <w:sz w:val="20"/>
          <w:szCs w:val="20"/>
          <w:color w:val="auto"/>
        </w:rPr>
      </w:pPr>
      <w:r>
        <w:rPr>
          <w:rFonts w:ascii="Arial" w:cs="Arial" w:eastAsia="Arial" w:hAnsi="Arial"/>
          <w:sz w:val="19"/>
          <w:szCs w:val="19"/>
          <w:b w:val="1"/>
          <w:bCs w:val="1"/>
          <w:color w:val="231F20"/>
        </w:rPr>
        <w:t>Deferred income taxes reflect the net tax effects of (a) temporary differences between the carrying amounts of assets and liabilities for financial reporting purposes and the amounts used for income tax purposes, and (b) operating losses and tax credit carryforwards.</w:t>
      </w:r>
    </w:p>
    <w:p>
      <w:pPr>
        <w:sectPr>
          <w:pgSz w:w="12240" w:h="15840" w:orient="portrait"/>
          <w:cols w:equalWidth="0" w:num="1">
            <w:col w:w="10440"/>
          </w:cols>
          <w:pgMar w:left="880" w:top="1165" w:right="920" w:bottom="4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231F20"/>
        </w:rPr>
        <w:t>116</w:t>
      </w:r>
    </w:p>
    <w:p>
      <w:pPr>
        <w:sectPr>
          <w:pgSz w:w="12240" w:h="15840" w:orient="portrait"/>
          <w:cols w:equalWidth="0" w:num="1">
            <w:col w:w="10440"/>
          </w:cols>
          <w:pgMar w:left="880" w:top="1165" w:right="920" w:bottom="401" w:gutter="0" w:footer="0" w:header="0"/>
          <w:type w:val="continuous"/>
        </w:sectPr>
      </w:pPr>
    </w:p>
    <w:bookmarkStart w:id="124" w:name="page125"/>
    <w:bookmarkEnd w:id="124"/>
    <w:p>
      <w:pPr>
        <w:ind w:right="220" w:firstLine="475"/>
        <w:spacing w:after="0" w:line="239" w:lineRule="auto"/>
        <w:rPr>
          <w:sz w:val="20"/>
          <w:szCs w:val="20"/>
          <w:color w:val="auto"/>
        </w:rPr>
      </w:pPr>
      <w:r>
        <w:rPr>
          <w:rFonts w:ascii="Arial" w:cs="Arial" w:eastAsia="Arial" w:hAnsi="Arial"/>
          <w:sz w:val="19"/>
          <w:szCs w:val="19"/>
          <w:b w:val="1"/>
          <w:bCs w:val="1"/>
          <w:color w:val="231F20"/>
        </w:rPr>
        <w:t>A reconciliation of the U.S. federal statutory income tax rate to the effective tax for the years ended December 31, 2024, 2023 and 2022 are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160" w:type="dxa"/>
            <w:vAlign w:val="bottom"/>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3680" w:type="dxa"/>
            <w:vAlign w:val="bottom"/>
            <w:tcBorders>
              <w:bottom w:val="single" w:sz="8" w:color="231F20"/>
            </w:tcBorders>
            <w:gridSpan w:val="6"/>
          </w:tcPr>
          <w:p>
            <w:pPr>
              <w:jc w:val="right"/>
              <w:ind w:right="223"/>
              <w:spacing w:after="0"/>
              <w:rPr>
                <w:sz w:val="20"/>
                <w:szCs w:val="20"/>
                <w:color w:val="auto"/>
              </w:rPr>
            </w:pPr>
            <w:r>
              <w:rPr>
                <w:rFonts w:ascii="Arial" w:cs="Arial" w:eastAsia="Arial" w:hAnsi="Arial"/>
                <w:sz w:val="19"/>
                <w:szCs w:val="19"/>
                <w:b w:val="1"/>
                <w:bCs w:val="1"/>
                <w:color w:val="231F20"/>
              </w:rPr>
              <w:t>Year Ended December 31,</w:t>
            </w:r>
          </w:p>
        </w:tc>
        <w:tc>
          <w:tcPr>
            <w:tcW w:w="1220" w:type="dxa"/>
            <w:vAlign w:val="bottom"/>
            <w:tcBorders>
              <w:bottom w:val="single" w:sz="8" w:color="231F20"/>
            </w:tcBorders>
          </w:tcPr>
          <w:p>
            <w:pPr>
              <w:spacing w:after="0"/>
              <w:rPr>
                <w:sz w:val="18"/>
                <w:szCs w:val="18"/>
                <w:color w:val="auto"/>
              </w:rPr>
            </w:pPr>
          </w:p>
        </w:tc>
        <w:tc>
          <w:tcPr>
            <w:tcW w:w="60" w:type="dxa"/>
            <w:vAlign w:val="bottom"/>
          </w:tcPr>
          <w:p>
            <w:pPr>
              <w:spacing w:after="0"/>
              <w:rPr>
                <w:sz w:val="18"/>
                <w:szCs w:val="18"/>
                <w:color w:val="auto"/>
              </w:rPr>
            </w:pPr>
          </w:p>
        </w:tc>
      </w:tr>
      <w:tr>
        <w:trPr>
          <w:trHeight w:val="227"/>
        </w:trPr>
        <w:tc>
          <w:tcPr>
            <w:tcW w:w="5160" w:type="dxa"/>
            <w:vAlign w:val="bottom"/>
          </w:tcPr>
          <w:p>
            <w:pPr>
              <w:spacing w:after="0"/>
              <w:rPr>
                <w:sz w:val="19"/>
                <w:szCs w:val="19"/>
                <w:color w:val="auto"/>
              </w:rPr>
            </w:pPr>
          </w:p>
        </w:tc>
        <w:tc>
          <w:tcPr>
            <w:tcW w:w="320" w:type="dxa"/>
            <w:vAlign w:val="bottom"/>
            <w:tcBorders>
              <w:bottom w:val="single" w:sz="8" w:color="231F20"/>
            </w:tcBorders>
          </w:tcPr>
          <w:p>
            <w:pPr>
              <w:spacing w:after="0"/>
              <w:rPr>
                <w:sz w:val="19"/>
                <w:szCs w:val="19"/>
                <w:color w:val="auto"/>
              </w:rPr>
            </w:pPr>
          </w:p>
        </w:tc>
        <w:tc>
          <w:tcPr>
            <w:tcW w:w="1220" w:type="dxa"/>
            <w:vAlign w:val="bottom"/>
            <w:tcBorders>
              <w:bottom w:val="single" w:sz="8" w:color="231F20"/>
            </w:tcBorders>
          </w:tcPr>
          <w:p>
            <w:pPr>
              <w:jc w:val="right"/>
              <w:ind w:right="483"/>
              <w:spacing w:after="0"/>
              <w:rPr>
                <w:sz w:val="20"/>
                <w:szCs w:val="20"/>
                <w:color w:val="auto"/>
              </w:rPr>
            </w:pPr>
            <w:r>
              <w:rPr>
                <w:rFonts w:ascii="Arial" w:cs="Arial" w:eastAsia="Arial" w:hAnsi="Arial"/>
                <w:sz w:val="19"/>
                <w:szCs w:val="19"/>
                <w:b w:val="1"/>
                <w:bCs w:val="1"/>
                <w:color w:val="231F20"/>
              </w:rPr>
              <w:t>2024</w:t>
            </w:r>
          </w:p>
        </w:tc>
        <w:tc>
          <w:tcPr>
            <w:tcW w:w="280" w:type="dxa"/>
            <w:vAlign w:val="bottom"/>
          </w:tcPr>
          <w:p>
            <w:pPr>
              <w:spacing w:after="0"/>
              <w:rPr>
                <w:sz w:val="19"/>
                <w:szCs w:val="19"/>
                <w:color w:val="auto"/>
              </w:rPr>
            </w:pPr>
          </w:p>
        </w:tc>
        <w:tc>
          <w:tcPr>
            <w:tcW w:w="340" w:type="dxa"/>
            <w:vAlign w:val="bottom"/>
            <w:tcBorders>
              <w:bottom w:val="single" w:sz="8" w:color="231F20"/>
            </w:tcBorders>
          </w:tcPr>
          <w:p>
            <w:pPr>
              <w:spacing w:after="0"/>
              <w:rPr>
                <w:sz w:val="19"/>
                <w:szCs w:val="19"/>
                <w:color w:val="auto"/>
              </w:rPr>
            </w:pPr>
          </w:p>
        </w:tc>
        <w:tc>
          <w:tcPr>
            <w:tcW w:w="1220" w:type="dxa"/>
            <w:vAlign w:val="bottom"/>
            <w:tcBorders>
              <w:bottom w:val="single" w:sz="8" w:color="231F20"/>
            </w:tcBorders>
          </w:tcPr>
          <w:p>
            <w:pPr>
              <w:jc w:val="right"/>
              <w:ind w:right="483"/>
              <w:spacing w:after="0"/>
              <w:rPr>
                <w:sz w:val="20"/>
                <w:szCs w:val="20"/>
                <w:color w:val="auto"/>
              </w:rPr>
            </w:pPr>
            <w:r>
              <w:rPr>
                <w:rFonts w:ascii="Arial" w:cs="Arial" w:eastAsia="Arial" w:hAnsi="Arial"/>
                <w:sz w:val="19"/>
                <w:szCs w:val="19"/>
                <w:b w:val="1"/>
                <w:bCs w:val="1"/>
                <w:color w:val="231F20"/>
              </w:rPr>
              <w:t>2023</w:t>
            </w:r>
          </w:p>
        </w:tc>
        <w:tc>
          <w:tcPr>
            <w:tcW w:w="280" w:type="dxa"/>
            <w:vAlign w:val="bottom"/>
          </w:tcPr>
          <w:p>
            <w:pPr>
              <w:spacing w:after="0"/>
              <w:rPr>
                <w:sz w:val="19"/>
                <w:szCs w:val="19"/>
                <w:color w:val="auto"/>
              </w:rPr>
            </w:pPr>
          </w:p>
        </w:tc>
        <w:tc>
          <w:tcPr>
            <w:tcW w:w="340" w:type="dxa"/>
            <w:vAlign w:val="bottom"/>
            <w:tcBorders>
              <w:bottom w:val="single" w:sz="8" w:color="231F20"/>
            </w:tcBorders>
          </w:tcPr>
          <w:p>
            <w:pPr>
              <w:spacing w:after="0"/>
              <w:rPr>
                <w:sz w:val="19"/>
                <w:szCs w:val="19"/>
                <w:color w:val="auto"/>
              </w:rPr>
            </w:pPr>
          </w:p>
        </w:tc>
        <w:tc>
          <w:tcPr>
            <w:tcW w:w="1220" w:type="dxa"/>
            <w:vAlign w:val="bottom"/>
            <w:tcBorders>
              <w:bottom w:val="single" w:sz="8" w:color="231F20"/>
            </w:tcBorders>
          </w:tcPr>
          <w:p>
            <w:pPr>
              <w:jc w:val="right"/>
              <w:ind w:right="503"/>
              <w:spacing w:after="0"/>
              <w:rPr>
                <w:sz w:val="20"/>
                <w:szCs w:val="20"/>
                <w:color w:val="auto"/>
              </w:rPr>
            </w:pPr>
            <w:r>
              <w:rPr>
                <w:rFonts w:ascii="Arial" w:cs="Arial" w:eastAsia="Arial" w:hAnsi="Arial"/>
                <w:sz w:val="19"/>
                <w:szCs w:val="19"/>
                <w:b w:val="1"/>
                <w:bCs w:val="1"/>
                <w:color w:val="231F20"/>
              </w:rPr>
              <w:t>2022</w:t>
            </w:r>
          </w:p>
        </w:tc>
        <w:tc>
          <w:tcPr>
            <w:tcW w:w="60" w:type="dxa"/>
            <w:vAlign w:val="bottom"/>
          </w:tcPr>
          <w:p>
            <w:pPr>
              <w:spacing w:after="0"/>
              <w:rPr>
                <w:sz w:val="19"/>
                <w:szCs w:val="19"/>
                <w:color w:val="auto"/>
              </w:rPr>
            </w:pPr>
          </w:p>
        </w:tc>
      </w:tr>
      <w:tr>
        <w:trPr>
          <w:trHeight w:val="225"/>
        </w:trPr>
        <w:tc>
          <w:tcPr>
            <w:tcW w:w="5160" w:type="dxa"/>
            <w:vAlign w:val="bottom"/>
          </w:tcPr>
          <w:p>
            <w:pPr>
              <w:spacing w:after="0"/>
              <w:rPr>
                <w:sz w:val="20"/>
                <w:szCs w:val="20"/>
                <w:color w:val="auto"/>
              </w:rPr>
            </w:pPr>
            <w:r>
              <w:rPr>
                <w:rFonts w:ascii="Arial" w:cs="Arial" w:eastAsia="Arial" w:hAnsi="Arial"/>
                <w:sz w:val="19"/>
                <w:szCs w:val="19"/>
                <w:b w:val="1"/>
                <w:bCs w:val="1"/>
                <w:color w:val="231F20"/>
              </w:rPr>
              <w:t>At federal statutory income tax rate</w:t>
            </w:r>
          </w:p>
        </w:tc>
        <w:tc>
          <w:tcPr>
            <w:tcW w:w="320" w:type="dxa"/>
            <w:vAlign w:val="bottom"/>
          </w:tcPr>
          <w:p>
            <w:pPr>
              <w:jc w:val="right"/>
              <w:ind w:right="123"/>
              <w:spacing w:after="0"/>
              <w:rPr>
                <w:sz w:val="20"/>
                <w:szCs w:val="20"/>
                <w:color w:val="auto"/>
              </w:rPr>
            </w:pPr>
            <w:r>
              <w:rPr>
                <w:rFonts w:ascii="Arial" w:cs="Arial" w:eastAsia="Arial" w:hAnsi="Arial"/>
                <w:sz w:val="19"/>
                <w:szCs w:val="19"/>
                <w:b w:val="1"/>
                <w:bCs w:val="1"/>
                <w:color w:val="231F20"/>
                <w:w w:val="75"/>
              </w:rPr>
              <w:t>$</w:t>
            </w:r>
          </w:p>
        </w:tc>
        <w:tc>
          <w:tcPr>
            <w:tcW w:w="1500" w:type="dxa"/>
            <w:vAlign w:val="bottom"/>
            <w:gridSpan w:val="2"/>
          </w:tcPr>
          <w:p>
            <w:pPr>
              <w:jc w:val="right"/>
              <w:ind w:right="220"/>
              <w:spacing w:after="0"/>
              <w:rPr>
                <w:sz w:val="20"/>
                <w:szCs w:val="20"/>
                <w:color w:val="auto"/>
              </w:rPr>
            </w:pPr>
            <w:r>
              <w:rPr>
                <w:rFonts w:ascii="Arial" w:cs="Arial" w:eastAsia="Arial" w:hAnsi="Arial"/>
                <w:sz w:val="19"/>
                <w:szCs w:val="19"/>
                <w:b w:val="1"/>
                <w:bCs w:val="1"/>
                <w:color w:val="231F20"/>
              </w:rPr>
              <w:t>(28,318)</w:t>
            </w:r>
          </w:p>
        </w:tc>
        <w:tc>
          <w:tcPr>
            <w:tcW w:w="340" w:type="dxa"/>
            <w:vAlign w:val="bottom"/>
          </w:tcPr>
          <w:p>
            <w:pPr>
              <w:jc w:val="right"/>
              <w:ind w:right="143"/>
              <w:spacing w:after="0"/>
              <w:rPr>
                <w:sz w:val="20"/>
                <w:szCs w:val="20"/>
                <w:color w:val="auto"/>
              </w:rPr>
            </w:pPr>
            <w:r>
              <w:rPr>
                <w:rFonts w:ascii="Arial" w:cs="Arial" w:eastAsia="Arial" w:hAnsi="Arial"/>
                <w:sz w:val="19"/>
                <w:szCs w:val="19"/>
                <w:b w:val="1"/>
                <w:bCs w:val="1"/>
                <w:color w:val="231F20"/>
                <w:w w:val="75"/>
              </w:rPr>
              <w:t>$</w:t>
            </w:r>
          </w:p>
        </w:tc>
        <w:tc>
          <w:tcPr>
            <w:tcW w:w="1500" w:type="dxa"/>
            <w:vAlign w:val="bottom"/>
            <w:gridSpan w:val="2"/>
          </w:tcPr>
          <w:p>
            <w:pPr>
              <w:jc w:val="right"/>
              <w:ind w:right="220"/>
              <w:spacing w:after="0"/>
              <w:rPr>
                <w:sz w:val="20"/>
                <w:szCs w:val="20"/>
                <w:color w:val="auto"/>
              </w:rPr>
            </w:pPr>
            <w:r>
              <w:rPr>
                <w:rFonts w:ascii="Arial" w:cs="Arial" w:eastAsia="Arial" w:hAnsi="Arial"/>
                <w:sz w:val="19"/>
                <w:szCs w:val="19"/>
                <w:b w:val="1"/>
                <w:bCs w:val="1"/>
                <w:color w:val="231F20"/>
              </w:rPr>
              <w:t>(33,769)</w:t>
            </w:r>
          </w:p>
        </w:tc>
        <w:tc>
          <w:tcPr>
            <w:tcW w:w="340" w:type="dxa"/>
            <w:vAlign w:val="bottom"/>
          </w:tcPr>
          <w:p>
            <w:pPr>
              <w:jc w:val="right"/>
              <w:ind w:right="143"/>
              <w:spacing w:after="0"/>
              <w:rPr>
                <w:sz w:val="20"/>
                <w:szCs w:val="20"/>
                <w:color w:val="auto"/>
              </w:rPr>
            </w:pPr>
            <w:r>
              <w:rPr>
                <w:rFonts w:ascii="Arial" w:cs="Arial" w:eastAsia="Arial" w:hAnsi="Arial"/>
                <w:sz w:val="19"/>
                <w:szCs w:val="19"/>
                <w:b w:val="1"/>
                <w:bCs w:val="1"/>
                <w:color w:val="231F20"/>
                <w:w w:val="75"/>
              </w:rPr>
              <w:t>$</w:t>
            </w:r>
          </w:p>
        </w:tc>
        <w:tc>
          <w:tcPr>
            <w:tcW w:w="1280" w:type="dxa"/>
            <w:vAlign w:val="bottom"/>
            <w:gridSpan w:val="2"/>
          </w:tcPr>
          <w:p>
            <w:pPr>
              <w:jc w:val="right"/>
              <w:spacing w:after="0"/>
              <w:rPr>
                <w:sz w:val="20"/>
                <w:szCs w:val="20"/>
                <w:color w:val="auto"/>
              </w:rPr>
            </w:pPr>
            <w:r>
              <w:rPr>
                <w:rFonts w:ascii="Arial" w:cs="Arial" w:eastAsia="Arial" w:hAnsi="Arial"/>
                <w:sz w:val="19"/>
                <w:szCs w:val="19"/>
                <w:b w:val="1"/>
                <w:bCs w:val="1"/>
                <w:color w:val="231F20"/>
              </w:rPr>
              <w:t>(25,918)</w:t>
            </w:r>
          </w:p>
        </w:tc>
      </w:tr>
      <w:tr>
        <w:trPr>
          <w:trHeight w:val="238"/>
        </w:trPr>
        <w:tc>
          <w:tcPr>
            <w:tcW w:w="5160" w:type="dxa"/>
            <w:vAlign w:val="bottom"/>
          </w:tcPr>
          <w:p>
            <w:pPr>
              <w:spacing w:after="0"/>
              <w:rPr>
                <w:sz w:val="20"/>
                <w:szCs w:val="20"/>
                <w:color w:val="auto"/>
              </w:rPr>
            </w:pPr>
            <w:r>
              <w:rPr>
                <w:rFonts w:ascii="Arial" w:cs="Arial" w:eastAsia="Arial" w:hAnsi="Arial"/>
                <w:sz w:val="19"/>
                <w:szCs w:val="19"/>
                <w:b w:val="1"/>
                <w:bCs w:val="1"/>
                <w:color w:val="231F20"/>
              </w:rPr>
              <w:t>State income taxes</w:t>
            </w:r>
          </w:p>
        </w:tc>
        <w:tc>
          <w:tcPr>
            <w:tcW w:w="32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9"/>
                <w:szCs w:val="19"/>
                <w:b w:val="1"/>
                <w:bCs w:val="1"/>
                <w:color w:val="231F20"/>
              </w:rPr>
              <w:t>(1,550)</w:t>
            </w:r>
          </w:p>
        </w:tc>
        <w:tc>
          <w:tcPr>
            <w:tcW w:w="34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9"/>
                <w:szCs w:val="19"/>
                <w:b w:val="1"/>
                <w:bCs w:val="1"/>
                <w:color w:val="231F20"/>
              </w:rPr>
              <w:t>(1,481)</w:t>
            </w:r>
          </w:p>
        </w:tc>
        <w:tc>
          <w:tcPr>
            <w:tcW w:w="34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9"/>
                <w:szCs w:val="19"/>
                <w:b w:val="1"/>
                <w:bCs w:val="1"/>
                <w:color w:val="231F20"/>
              </w:rPr>
              <w:t>(2,659)</w:t>
            </w:r>
          </w:p>
        </w:tc>
      </w:tr>
      <w:tr>
        <w:trPr>
          <w:trHeight w:val="235"/>
        </w:trPr>
        <w:tc>
          <w:tcPr>
            <w:tcW w:w="5160" w:type="dxa"/>
            <w:vAlign w:val="bottom"/>
          </w:tcPr>
          <w:p>
            <w:pPr>
              <w:spacing w:after="0"/>
              <w:rPr>
                <w:sz w:val="20"/>
                <w:szCs w:val="20"/>
                <w:color w:val="auto"/>
              </w:rPr>
            </w:pPr>
            <w:r>
              <w:rPr>
                <w:rFonts w:ascii="Arial" w:cs="Arial" w:eastAsia="Arial" w:hAnsi="Arial"/>
                <w:sz w:val="19"/>
                <w:szCs w:val="19"/>
                <w:b w:val="1"/>
                <w:bCs w:val="1"/>
                <w:color w:val="231F20"/>
              </w:rPr>
              <w:t>Stock-based compensation</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9"/>
                <w:szCs w:val="19"/>
                <w:b w:val="1"/>
                <w:bCs w:val="1"/>
                <w:color w:val="231F20"/>
              </w:rPr>
              <w:t>1,451</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9"/>
                <w:szCs w:val="19"/>
                <w:b w:val="1"/>
                <w:bCs w:val="1"/>
                <w:color w:val="231F20"/>
              </w:rPr>
              <w:t>3,645</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9"/>
                <w:szCs w:val="19"/>
                <w:b w:val="1"/>
                <w:bCs w:val="1"/>
                <w:color w:val="231F20"/>
              </w:rPr>
              <w:t>2,368</w:t>
            </w:r>
          </w:p>
        </w:tc>
        <w:tc>
          <w:tcPr>
            <w:tcW w:w="60" w:type="dxa"/>
            <w:vAlign w:val="bottom"/>
          </w:tcPr>
          <w:p>
            <w:pPr>
              <w:spacing w:after="0"/>
              <w:rPr>
                <w:sz w:val="20"/>
                <w:szCs w:val="20"/>
                <w:color w:val="auto"/>
              </w:rPr>
            </w:pPr>
          </w:p>
        </w:tc>
      </w:tr>
      <w:tr>
        <w:trPr>
          <w:trHeight w:val="238"/>
        </w:trPr>
        <w:tc>
          <w:tcPr>
            <w:tcW w:w="5160" w:type="dxa"/>
            <w:vAlign w:val="bottom"/>
          </w:tcPr>
          <w:p>
            <w:pPr>
              <w:spacing w:after="0"/>
              <w:rPr>
                <w:sz w:val="20"/>
                <w:szCs w:val="20"/>
                <w:color w:val="auto"/>
              </w:rPr>
            </w:pPr>
            <w:r>
              <w:rPr>
                <w:rFonts w:ascii="Arial" w:cs="Arial" w:eastAsia="Arial" w:hAnsi="Arial"/>
                <w:sz w:val="19"/>
                <w:szCs w:val="19"/>
                <w:b w:val="1"/>
                <w:bCs w:val="1"/>
                <w:color w:val="231F20"/>
              </w:rPr>
              <w:t>Research &amp; development credits</w:t>
            </w:r>
          </w:p>
        </w:tc>
        <w:tc>
          <w:tcPr>
            <w:tcW w:w="32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9"/>
                <w:szCs w:val="19"/>
                <w:b w:val="1"/>
                <w:bCs w:val="1"/>
                <w:color w:val="231F20"/>
              </w:rPr>
              <w:t>(4,668)</w:t>
            </w:r>
          </w:p>
        </w:tc>
        <w:tc>
          <w:tcPr>
            <w:tcW w:w="34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9"/>
                <w:szCs w:val="19"/>
                <w:b w:val="1"/>
                <w:bCs w:val="1"/>
                <w:color w:val="231F20"/>
              </w:rPr>
              <w:t>(7,185)</w:t>
            </w:r>
          </w:p>
        </w:tc>
        <w:tc>
          <w:tcPr>
            <w:tcW w:w="34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(1,779)</w:t>
            </w:r>
          </w:p>
        </w:tc>
      </w:tr>
      <w:tr>
        <w:trPr>
          <w:trHeight w:val="238"/>
        </w:trPr>
        <w:tc>
          <w:tcPr>
            <w:tcW w:w="5160" w:type="dxa"/>
            <w:vAlign w:val="bottom"/>
          </w:tcPr>
          <w:p>
            <w:pPr>
              <w:spacing w:after="0"/>
              <w:rPr>
                <w:sz w:val="20"/>
                <w:szCs w:val="20"/>
                <w:color w:val="auto"/>
              </w:rPr>
            </w:pPr>
            <w:r>
              <w:rPr>
                <w:rFonts w:ascii="Arial" w:cs="Arial" w:eastAsia="Arial" w:hAnsi="Arial"/>
                <w:sz w:val="19"/>
                <w:szCs w:val="19"/>
                <w:b w:val="1"/>
                <w:bCs w:val="1"/>
                <w:color w:val="231F20"/>
              </w:rPr>
              <w:t>Change in valuation allowance</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9"/>
                <w:szCs w:val="19"/>
                <w:b w:val="1"/>
                <w:bCs w:val="1"/>
                <w:color w:val="231F20"/>
              </w:rPr>
              <w:t>33,123</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9"/>
                <w:szCs w:val="19"/>
                <w:b w:val="1"/>
                <w:bCs w:val="1"/>
                <w:color w:val="231F20"/>
              </w:rPr>
              <w:t>64,486</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9"/>
                <w:szCs w:val="19"/>
                <w:b w:val="1"/>
                <w:bCs w:val="1"/>
                <w:color w:val="231F20"/>
              </w:rPr>
              <w:t>9,067</w:t>
            </w:r>
          </w:p>
        </w:tc>
        <w:tc>
          <w:tcPr>
            <w:tcW w:w="60" w:type="dxa"/>
            <w:vAlign w:val="bottom"/>
          </w:tcPr>
          <w:p>
            <w:pPr>
              <w:spacing w:after="0"/>
              <w:rPr>
                <w:sz w:val="20"/>
                <w:szCs w:val="20"/>
                <w:color w:val="auto"/>
              </w:rPr>
            </w:pPr>
          </w:p>
        </w:tc>
      </w:tr>
      <w:tr>
        <w:trPr>
          <w:trHeight w:val="235"/>
        </w:trPr>
        <w:tc>
          <w:tcPr>
            <w:tcW w:w="5160" w:type="dxa"/>
            <w:vAlign w:val="bottom"/>
          </w:tcPr>
          <w:p>
            <w:pPr>
              <w:spacing w:after="0"/>
              <w:rPr>
                <w:sz w:val="20"/>
                <w:szCs w:val="20"/>
                <w:color w:val="auto"/>
              </w:rPr>
            </w:pPr>
            <w:r>
              <w:rPr>
                <w:rFonts w:ascii="Arial" w:cs="Arial" w:eastAsia="Arial" w:hAnsi="Arial"/>
                <w:sz w:val="19"/>
                <w:szCs w:val="19"/>
                <w:b w:val="1"/>
                <w:bCs w:val="1"/>
                <w:color w:val="231F20"/>
              </w:rPr>
              <w:t>Other</w:t>
            </w:r>
          </w:p>
        </w:tc>
        <w:tc>
          <w:tcPr>
            <w:tcW w:w="32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9"/>
                <w:szCs w:val="19"/>
                <w:b w:val="1"/>
                <w:bCs w:val="1"/>
                <w:color w:val="231F20"/>
              </w:rPr>
              <w:t>(100)</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9"/>
                <w:szCs w:val="19"/>
                <w:b w:val="1"/>
                <w:bCs w:val="1"/>
                <w:color w:val="231F20"/>
              </w:rPr>
              <w:t>189</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9"/>
                <w:szCs w:val="19"/>
                <w:b w:val="1"/>
                <w:bCs w:val="1"/>
                <w:color w:val="231F20"/>
              </w:rPr>
              <w:t>36</w:t>
            </w:r>
          </w:p>
        </w:tc>
        <w:tc>
          <w:tcPr>
            <w:tcW w:w="60" w:type="dxa"/>
            <w:vAlign w:val="bottom"/>
          </w:tcPr>
          <w:p>
            <w:pPr>
              <w:spacing w:after="0"/>
              <w:rPr>
                <w:sz w:val="20"/>
                <w:szCs w:val="20"/>
                <w:color w:val="auto"/>
              </w:rPr>
            </w:pPr>
          </w:p>
        </w:tc>
      </w:tr>
      <w:tr>
        <w:trPr>
          <w:trHeight w:val="238"/>
        </w:trPr>
        <w:tc>
          <w:tcPr>
            <w:tcW w:w="5160" w:type="dxa"/>
            <w:vAlign w:val="bottom"/>
          </w:tcPr>
          <w:p>
            <w:pPr>
              <w:spacing w:after="0"/>
              <w:rPr>
                <w:sz w:val="20"/>
                <w:szCs w:val="20"/>
                <w:color w:val="auto"/>
              </w:rPr>
            </w:pPr>
            <w:r>
              <w:rPr>
                <w:rFonts w:ascii="Arial" w:cs="Arial" w:eastAsia="Arial" w:hAnsi="Arial"/>
                <w:sz w:val="19"/>
                <w:szCs w:val="19"/>
                <w:b w:val="1"/>
                <w:bCs w:val="1"/>
                <w:color w:val="231F20"/>
              </w:rPr>
              <w:t>Foreign rate differential</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9"/>
                <w:szCs w:val="19"/>
                <w:b w:val="1"/>
                <w:bCs w:val="1"/>
                <w:color w:val="231F20"/>
              </w:rPr>
              <w:t>62</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9"/>
                <w:szCs w:val="19"/>
                <w:b w:val="1"/>
                <w:bCs w:val="1"/>
                <w:color w:val="231F20"/>
              </w:rPr>
              <w:t>(23)</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9"/>
                <w:szCs w:val="19"/>
                <w:b w:val="1"/>
                <w:bCs w:val="1"/>
                <w:color w:val="231F20"/>
              </w:rPr>
              <w:t>18,949</w:t>
            </w:r>
          </w:p>
        </w:tc>
        <w:tc>
          <w:tcPr>
            <w:tcW w:w="60" w:type="dxa"/>
            <w:vAlign w:val="bottom"/>
          </w:tcPr>
          <w:p>
            <w:pPr>
              <w:spacing w:after="0"/>
              <w:rPr>
                <w:sz w:val="20"/>
                <w:szCs w:val="20"/>
                <w:color w:val="auto"/>
              </w:rPr>
            </w:pPr>
          </w:p>
        </w:tc>
      </w:tr>
      <w:tr>
        <w:trPr>
          <w:trHeight w:val="236"/>
        </w:trPr>
        <w:tc>
          <w:tcPr>
            <w:tcW w:w="5160" w:type="dxa"/>
            <w:vAlign w:val="bottom"/>
          </w:tcPr>
          <w:p>
            <w:pPr>
              <w:spacing w:after="0"/>
              <w:rPr>
                <w:sz w:val="20"/>
                <w:szCs w:val="20"/>
                <w:color w:val="auto"/>
              </w:rPr>
            </w:pPr>
            <w:r>
              <w:rPr>
                <w:rFonts w:ascii="Arial" w:cs="Arial" w:eastAsia="Arial" w:hAnsi="Arial"/>
                <w:sz w:val="19"/>
                <w:szCs w:val="19"/>
                <w:b w:val="1"/>
                <w:bCs w:val="1"/>
                <w:color w:val="231F20"/>
              </w:rPr>
              <w:t>Rate benefit of reorganization</w:t>
            </w:r>
          </w:p>
        </w:tc>
        <w:tc>
          <w:tcPr>
            <w:tcW w:w="320" w:type="dxa"/>
            <w:vAlign w:val="bottom"/>
          </w:tcPr>
          <w:p>
            <w:pPr>
              <w:spacing w:after="0"/>
              <w:rPr>
                <w:sz w:val="20"/>
                <w:szCs w:val="20"/>
                <w:color w:val="auto"/>
              </w:rPr>
            </w:pPr>
          </w:p>
        </w:tc>
        <w:tc>
          <w:tcPr>
            <w:tcW w:w="122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231F20"/>
              </w:rPr>
              <w:t></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9"/>
                <w:szCs w:val="19"/>
                <w:b w:val="1"/>
                <w:bCs w:val="1"/>
                <w:color w:val="231F20"/>
              </w:rPr>
              <w:t>(25,862)</w:t>
            </w:r>
          </w:p>
        </w:tc>
        <w:tc>
          <w:tcPr>
            <w:tcW w:w="340" w:type="dxa"/>
            <w:vAlign w:val="bottom"/>
          </w:tcPr>
          <w:p>
            <w:pPr>
              <w:spacing w:after="0"/>
              <w:rPr>
                <w:sz w:val="20"/>
                <w:szCs w:val="20"/>
                <w:color w:val="auto"/>
              </w:rPr>
            </w:pPr>
          </w:p>
        </w:tc>
        <w:tc>
          <w:tcPr>
            <w:tcW w:w="122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231F20"/>
              </w:rPr>
              <w:t></w:t>
            </w:r>
          </w:p>
        </w:tc>
        <w:tc>
          <w:tcPr>
            <w:tcW w:w="60" w:type="dxa"/>
            <w:vAlign w:val="bottom"/>
          </w:tcPr>
          <w:p>
            <w:pPr>
              <w:spacing w:after="0"/>
              <w:rPr>
                <w:sz w:val="20"/>
                <w:szCs w:val="20"/>
                <w:color w:val="auto"/>
              </w:rPr>
            </w:pPr>
          </w:p>
        </w:tc>
      </w:tr>
      <w:tr>
        <w:trPr>
          <w:trHeight w:val="226"/>
        </w:trPr>
        <w:tc>
          <w:tcPr>
            <w:tcW w:w="5160" w:type="dxa"/>
            <w:vAlign w:val="bottom"/>
          </w:tcPr>
          <w:p>
            <w:pPr>
              <w:spacing w:after="0"/>
              <w:rPr>
                <w:sz w:val="20"/>
                <w:szCs w:val="20"/>
                <w:color w:val="auto"/>
              </w:rPr>
            </w:pPr>
            <w:r>
              <w:rPr>
                <w:rFonts w:ascii="Arial" w:cs="Arial" w:eastAsia="Arial" w:hAnsi="Arial"/>
                <w:sz w:val="19"/>
                <w:szCs w:val="19"/>
                <w:b w:val="1"/>
                <w:bCs w:val="1"/>
                <w:color w:val="231F20"/>
              </w:rPr>
              <w:t>Provision (benefit) for income taxes</w:t>
            </w:r>
          </w:p>
        </w:tc>
        <w:tc>
          <w:tcPr>
            <w:tcW w:w="320" w:type="dxa"/>
            <w:vAlign w:val="bottom"/>
            <w:tcBorders>
              <w:top w:val="single" w:sz="8" w:color="231F20"/>
            </w:tcBorders>
          </w:tcPr>
          <w:p>
            <w:pPr>
              <w:jc w:val="right"/>
              <w:ind w:right="123"/>
              <w:spacing w:after="0"/>
              <w:rPr>
                <w:sz w:val="20"/>
                <w:szCs w:val="20"/>
                <w:color w:val="auto"/>
              </w:rPr>
            </w:pPr>
            <w:r>
              <w:rPr>
                <w:rFonts w:ascii="Arial" w:cs="Arial" w:eastAsia="Arial" w:hAnsi="Arial"/>
                <w:sz w:val="19"/>
                <w:szCs w:val="19"/>
                <w:b w:val="1"/>
                <w:bCs w:val="1"/>
                <w:color w:val="231F20"/>
                <w:w w:val="75"/>
              </w:rPr>
              <w:t>$</w:t>
            </w:r>
          </w:p>
        </w:tc>
        <w:tc>
          <w:tcPr>
            <w:tcW w:w="1220" w:type="dxa"/>
            <w:vAlign w:val="bottom"/>
            <w:tcBorders>
              <w:top w:val="single" w:sz="8" w:color="231F20"/>
            </w:tcBorders>
          </w:tcPr>
          <w:p>
            <w:pPr>
              <w:jc w:val="right"/>
              <w:spacing w:after="0" w:line="226" w:lineRule="exact"/>
              <w:rPr>
                <w:sz w:val="20"/>
                <w:szCs w:val="20"/>
                <w:color w:val="auto"/>
              </w:rPr>
            </w:pPr>
            <w:r>
              <w:rPr>
                <w:rFonts w:ascii="PMingLiU" w:cs="PMingLiU" w:eastAsia="PMingLiU" w:hAnsi="PMingLiU"/>
                <w:sz w:val="19"/>
                <w:szCs w:val="19"/>
                <w:b w:val="1"/>
                <w:bCs w:val="1"/>
                <w:color w:val="231F20"/>
              </w:rPr>
              <w:t></w:t>
            </w:r>
          </w:p>
        </w:tc>
        <w:tc>
          <w:tcPr>
            <w:tcW w:w="280" w:type="dxa"/>
            <w:vAlign w:val="bottom"/>
          </w:tcPr>
          <w:p>
            <w:pPr>
              <w:spacing w:after="0"/>
              <w:rPr>
                <w:sz w:val="19"/>
                <w:szCs w:val="19"/>
                <w:color w:val="auto"/>
              </w:rPr>
            </w:pPr>
          </w:p>
        </w:tc>
        <w:tc>
          <w:tcPr>
            <w:tcW w:w="340" w:type="dxa"/>
            <w:vAlign w:val="bottom"/>
            <w:tcBorders>
              <w:top w:val="single" w:sz="8" w:color="231F20"/>
            </w:tcBorders>
          </w:tcPr>
          <w:p>
            <w:pPr>
              <w:jc w:val="right"/>
              <w:ind w:right="143"/>
              <w:spacing w:after="0"/>
              <w:rPr>
                <w:sz w:val="20"/>
                <w:szCs w:val="20"/>
                <w:color w:val="auto"/>
              </w:rPr>
            </w:pPr>
            <w:r>
              <w:rPr>
                <w:rFonts w:ascii="Arial" w:cs="Arial" w:eastAsia="Arial" w:hAnsi="Arial"/>
                <w:sz w:val="19"/>
                <w:szCs w:val="19"/>
                <w:b w:val="1"/>
                <w:bCs w:val="1"/>
                <w:color w:val="231F20"/>
                <w:w w:val="75"/>
              </w:rPr>
              <w:t>$</w:t>
            </w:r>
          </w:p>
        </w:tc>
        <w:tc>
          <w:tcPr>
            <w:tcW w:w="1220" w:type="dxa"/>
            <w:vAlign w:val="bottom"/>
            <w:tcBorders>
              <w:top w:val="single" w:sz="8" w:color="231F20"/>
            </w:tcBorders>
          </w:tcPr>
          <w:p>
            <w:pPr>
              <w:jc w:val="right"/>
              <w:spacing w:after="0" w:line="226" w:lineRule="exact"/>
              <w:rPr>
                <w:sz w:val="20"/>
                <w:szCs w:val="20"/>
                <w:color w:val="auto"/>
              </w:rPr>
            </w:pPr>
            <w:r>
              <w:rPr>
                <w:rFonts w:ascii="PMingLiU" w:cs="PMingLiU" w:eastAsia="PMingLiU" w:hAnsi="PMingLiU"/>
                <w:sz w:val="19"/>
                <w:szCs w:val="19"/>
                <w:b w:val="1"/>
                <w:bCs w:val="1"/>
                <w:color w:val="231F20"/>
              </w:rPr>
              <w:t></w:t>
            </w:r>
          </w:p>
        </w:tc>
        <w:tc>
          <w:tcPr>
            <w:tcW w:w="280" w:type="dxa"/>
            <w:vAlign w:val="bottom"/>
          </w:tcPr>
          <w:p>
            <w:pPr>
              <w:spacing w:after="0"/>
              <w:rPr>
                <w:sz w:val="19"/>
                <w:szCs w:val="19"/>
                <w:color w:val="auto"/>
              </w:rPr>
            </w:pPr>
          </w:p>
        </w:tc>
        <w:tc>
          <w:tcPr>
            <w:tcW w:w="340" w:type="dxa"/>
            <w:vAlign w:val="bottom"/>
            <w:tcBorders>
              <w:top w:val="single" w:sz="8" w:color="231F20"/>
            </w:tcBorders>
          </w:tcPr>
          <w:p>
            <w:pPr>
              <w:jc w:val="right"/>
              <w:ind w:right="143"/>
              <w:spacing w:after="0"/>
              <w:rPr>
                <w:sz w:val="20"/>
                <w:szCs w:val="20"/>
                <w:color w:val="auto"/>
              </w:rPr>
            </w:pPr>
            <w:r>
              <w:rPr>
                <w:rFonts w:ascii="Arial" w:cs="Arial" w:eastAsia="Arial" w:hAnsi="Arial"/>
                <w:sz w:val="19"/>
                <w:szCs w:val="19"/>
                <w:b w:val="1"/>
                <w:bCs w:val="1"/>
                <w:color w:val="231F20"/>
                <w:w w:val="75"/>
              </w:rPr>
              <w:t>$</w:t>
            </w:r>
          </w:p>
        </w:tc>
        <w:tc>
          <w:tcPr>
            <w:tcW w:w="1220" w:type="dxa"/>
            <w:vAlign w:val="bottom"/>
            <w:tcBorders>
              <w:top w:val="single" w:sz="8" w:color="231F20"/>
            </w:tcBorders>
          </w:tcPr>
          <w:p>
            <w:pPr>
              <w:jc w:val="right"/>
              <w:spacing w:after="0"/>
              <w:rPr>
                <w:sz w:val="20"/>
                <w:szCs w:val="20"/>
                <w:color w:val="auto"/>
              </w:rPr>
            </w:pPr>
            <w:r>
              <w:rPr>
                <w:rFonts w:ascii="Arial" w:cs="Arial" w:eastAsia="Arial" w:hAnsi="Arial"/>
                <w:sz w:val="19"/>
                <w:szCs w:val="19"/>
                <w:b w:val="1"/>
                <w:bCs w:val="1"/>
                <w:color w:val="231F20"/>
              </w:rPr>
              <w:t>64</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-11430</wp:posOffset>
            </wp:positionV>
            <wp:extent cx="3341370" cy="5461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341370" cy="54610"/>
                    </a:xfrm>
                    <a:prstGeom prst="rect">
                      <a:avLst/>
                    </a:prstGeom>
                    <a:noFill/>
                  </pic:spPr>
                </pic:pic>
              </a:graphicData>
            </a:graphic>
          </wp:anchor>
        </w:drawing>
      </w:r>
    </w:p>
    <w:p>
      <w:pPr>
        <w:spacing w:after="0" w:line="266" w:lineRule="exact"/>
        <w:rPr>
          <w:sz w:val="20"/>
          <w:szCs w:val="20"/>
          <w:color w:val="auto"/>
        </w:rPr>
      </w:pPr>
    </w:p>
    <w:p>
      <w:pPr>
        <w:ind w:right="400" w:firstLine="475"/>
        <w:spacing w:after="0" w:line="295" w:lineRule="auto"/>
        <w:rPr>
          <w:sz w:val="20"/>
          <w:szCs w:val="20"/>
          <w:color w:val="auto"/>
        </w:rPr>
      </w:pPr>
      <w:r>
        <w:rPr>
          <w:rFonts w:ascii="Arial" w:cs="Arial" w:eastAsia="Arial" w:hAnsi="Arial"/>
          <w:sz w:val="17"/>
          <w:szCs w:val="17"/>
          <w:b w:val="1"/>
          <w:bCs w:val="1"/>
          <w:color w:val="231F20"/>
        </w:rPr>
        <w:t>The Company filed a change in tax status for ALX Oncology Limited in 2023. The reorganization resulted in an increase to capitalized R&amp;D and other deferred tax assets, as well as a corresponding increase in valuation allowance.</w:t>
      </w:r>
    </w:p>
    <w:p>
      <w:pPr>
        <w:spacing w:after="0" w:line="199" w:lineRule="exact"/>
        <w:rPr>
          <w:sz w:val="20"/>
          <w:szCs w:val="20"/>
          <w:color w:val="auto"/>
        </w:rPr>
      </w:pPr>
    </w:p>
    <w:p>
      <w:pPr>
        <w:ind w:left="480"/>
        <w:spacing w:after="0" w:line="194" w:lineRule="exact"/>
        <w:rPr>
          <w:sz w:val="20"/>
          <w:szCs w:val="20"/>
          <w:color w:val="auto"/>
        </w:rPr>
      </w:pPr>
      <w:r>
        <w:rPr>
          <w:rFonts w:ascii="Arial" w:cs="Arial" w:eastAsia="Arial" w:hAnsi="Arial"/>
          <w:sz w:val="16"/>
          <w:szCs w:val="16"/>
          <w:b w:val="1"/>
          <w:bCs w:val="1"/>
          <w:color w:val="231F20"/>
        </w:rPr>
        <w:t>Significant components of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deferred tax assets as of December 31, 2024 and 2023 are as follows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240" w:type="dxa"/>
            <w:vAlign w:val="bottom"/>
          </w:tcPr>
          <w:p>
            <w:pPr>
              <w:spacing w:after="0"/>
              <w:rPr>
                <w:sz w:val="19"/>
                <w:szCs w:val="19"/>
                <w:color w:val="auto"/>
              </w:rPr>
            </w:pPr>
          </w:p>
        </w:tc>
        <w:tc>
          <w:tcPr>
            <w:tcW w:w="1180" w:type="dxa"/>
            <w:vAlign w:val="bottom"/>
            <w:tcBorders>
              <w:bottom w:val="single" w:sz="8" w:color="231F20"/>
            </w:tcBorders>
          </w:tcPr>
          <w:p>
            <w:pPr>
              <w:spacing w:after="0"/>
              <w:rPr>
                <w:sz w:val="19"/>
                <w:szCs w:val="19"/>
                <w:color w:val="auto"/>
              </w:rPr>
            </w:pPr>
          </w:p>
        </w:tc>
        <w:tc>
          <w:tcPr>
            <w:tcW w:w="1620" w:type="dxa"/>
            <w:vAlign w:val="bottom"/>
            <w:tcBorders>
              <w:bottom w:val="single" w:sz="8" w:color="231F20"/>
            </w:tcBorders>
            <w:gridSpan w:val="4"/>
          </w:tcPr>
          <w:p>
            <w:pPr>
              <w:jc w:val="right"/>
              <w:ind w:right="180"/>
              <w:spacing w:after="0"/>
              <w:rPr>
                <w:sz w:val="20"/>
                <w:szCs w:val="20"/>
                <w:color w:val="auto"/>
              </w:rPr>
            </w:pPr>
            <w:r>
              <w:rPr>
                <w:rFonts w:ascii="Arial" w:cs="Arial" w:eastAsia="Arial" w:hAnsi="Arial"/>
                <w:sz w:val="19"/>
                <w:szCs w:val="19"/>
                <w:b w:val="1"/>
                <w:bCs w:val="1"/>
                <w:color w:val="231F20"/>
              </w:rPr>
              <w:t>December 31,</w:t>
            </w:r>
          </w:p>
        </w:tc>
        <w:tc>
          <w:tcPr>
            <w:tcW w:w="1340" w:type="dxa"/>
            <w:vAlign w:val="bottom"/>
            <w:tcBorders>
              <w:bottom w:val="single" w:sz="8" w:color="231F20"/>
            </w:tcBorders>
          </w:tcPr>
          <w:p>
            <w:pPr>
              <w:spacing w:after="0"/>
              <w:rPr>
                <w:sz w:val="19"/>
                <w:szCs w:val="19"/>
                <w:color w:val="auto"/>
              </w:rPr>
            </w:pPr>
          </w:p>
        </w:tc>
        <w:tc>
          <w:tcPr>
            <w:tcW w:w="60" w:type="dxa"/>
            <w:vAlign w:val="bottom"/>
          </w:tcPr>
          <w:p>
            <w:pPr>
              <w:spacing w:after="0"/>
              <w:rPr>
                <w:sz w:val="19"/>
                <w:szCs w:val="19"/>
                <w:color w:val="auto"/>
              </w:rPr>
            </w:pPr>
          </w:p>
        </w:tc>
      </w:tr>
      <w:tr>
        <w:trPr>
          <w:trHeight w:val="225"/>
        </w:trPr>
        <w:tc>
          <w:tcPr>
            <w:tcW w:w="6240" w:type="dxa"/>
            <w:vAlign w:val="bottom"/>
          </w:tcPr>
          <w:p>
            <w:pPr>
              <w:spacing w:after="0"/>
              <w:rPr>
                <w:sz w:val="19"/>
                <w:szCs w:val="19"/>
                <w:color w:val="auto"/>
              </w:rPr>
            </w:pPr>
          </w:p>
        </w:tc>
        <w:tc>
          <w:tcPr>
            <w:tcW w:w="118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2024</w:t>
            </w:r>
          </w:p>
        </w:tc>
        <w:tc>
          <w:tcPr>
            <w:tcW w:w="720" w:type="dxa"/>
            <w:vAlign w:val="bottom"/>
            <w:tcBorders>
              <w:bottom w:val="single" w:sz="8" w:color="231F20"/>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bottom w:val="single" w:sz="8" w:color="231F20"/>
            </w:tcBorders>
          </w:tcPr>
          <w:p>
            <w:pPr>
              <w:spacing w:after="0"/>
              <w:rPr>
                <w:sz w:val="19"/>
                <w:szCs w:val="19"/>
                <w:color w:val="auto"/>
              </w:rPr>
            </w:pPr>
          </w:p>
        </w:tc>
        <w:tc>
          <w:tcPr>
            <w:tcW w:w="1340" w:type="dxa"/>
            <w:vAlign w:val="bottom"/>
            <w:tcBorders>
              <w:bottom w:val="single" w:sz="8" w:color="231F20"/>
            </w:tcBorders>
          </w:tcPr>
          <w:p>
            <w:pPr>
              <w:jc w:val="right"/>
              <w:ind w:right="663"/>
              <w:spacing w:after="0"/>
              <w:rPr>
                <w:sz w:val="20"/>
                <w:szCs w:val="20"/>
                <w:color w:val="auto"/>
              </w:rPr>
            </w:pPr>
            <w:r>
              <w:rPr>
                <w:rFonts w:ascii="Arial" w:cs="Arial" w:eastAsia="Arial" w:hAnsi="Arial"/>
                <w:sz w:val="19"/>
                <w:szCs w:val="19"/>
                <w:b w:val="1"/>
                <w:bCs w:val="1"/>
                <w:color w:val="231F20"/>
              </w:rPr>
              <w:t>2023</w:t>
            </w:r>
          </w:p>
        </w:tc>
        <w:tc>
          <w:tcPr>
            <w:tcW w:w="60" w:type="dxa"/>
            <w:vAlign w:val="bottom"/>
          </w:tcPr>
          <w:p>
            <w:pPr>
              <w:spacing w:after="0"/>
              <w:rPr>
                <w:sz w:val="19"/>
                <w:szCs w:val="19"/>
                <w:color w:val="auto"/>
              </w:rPr>
            </w:pPr>
          </w:p>
        </w:tc>
      </w:tr>
      <w:tr>
        <w:trPr>
          <w:trHeight w:val="227"/>
        </w:trPr>
        <w:tc>
          <w:tcPr>
            <w:tcW w:w="6240" w:type="dxa"/>
            <w:vAlign w:val="bottom"/>
          </w:tcPr>
          <w:p>
            <w:pPr>
              <w:spacing w:after="0"/>
              <w:rPr>
                <w:sz w:val="20"/>
                <w:szCs w:val="20"/>
                <w:color w:val="auto"/>
              </w:rPr>
            </w:pPr>
            <w:r>
              <w:rPr>
                <w:rFonts w:ascii="Arial" w:cs="Arial" w:eastAsia="Arial" w:hAnsi="Arial"/>
                <w:sz w:val="19"/>
                <w:szCs w:val="19"/>
                <w:b w:val="1"/>
                <w:bCs w:val="1"/>
                <w:color w:val="231F20"/>
              </w:rPr>
              <w:t>Deferred tax assets:</w:t>
            </w:r>
          </w:p>
        </w:tc>
        <w:tc>
          <w:tcPr>
            <w:tcW w:w="1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6240" w:type="dxa"/>
            <w:vAlign w:val="bottom"/>
          </w:tcPr>
          <w:p>
            <w:pPr>
              <w:ind w:left="100"/>
              <w:spacing w:after="0"/>
              <w:rPr>
                <w:sz w:val="20"/>
                <w:szCs w:val="20"/>
                <w:color w:val="auto"/>
              </w:rPr>
            </w:pPr>
            <w:r>
              <w:rPr>
                <w:rFonts w:ascii="Arial" w:cs="Arial" w:eastAsia="Arial" w:hAnsi="Arial"/>
                <w:sz w:val="19"/>
                <w:szCs w:val="19"/>
                <w:b w:val="1"/>
                <w:bCs w:val="1"/>
                <w:color w:val="231F20"/>
              </w:rPr>
              <w:t>Loss carryforwards</w:t>
            </w:r>
          </w:p>
        </w:tc>
        <w:tc>
          <w:tcPr>
            <w:tcW w:w="1180" w:type="dxa"/>
            <w:vAlign w:val="bottom"/>
          </w:tcPr>
          <w:p>
            <w:pPr>
              <w:jc w:val="right"/>
              <w:ind w:right="983"/>
              <w:spacing w:after="0"/>
              <w:rPr>
                <w:sz w:val="20"/>
                <w:szCs w:val="20"/>
                <w:color w:val="auto"/>
              </w:rPr>
            </w:pPr>
            <w:r>
              <w:rPr>
                <w:rFonts w:ascii="Arial" w:cs="Arial" w:eastAsia="Arial" w:hAnsi="Arial"/>
                <w:sz w:val="19"/>
                <w:szCs w:val="19"/>
                <w:b w:val="1"/>
                <w:bCs w:val="1"/>
                <w:color w:val="231F20"/>
                <w:w w:val="75"/>
              </w:rPr>
              <w:t>$</w:t>
            </w:r>
          </w:p>
        </w:tc>
        <w:tc>
          <w:tcPr>
            <w:tcW w:w="720" w:type="dxa"/>
            <w:vAlign w:val="bottom"/>
          </w:tcPr>
          <w:p>
            <w:pPr>
              <w:jc w:val="right"/>
              <w:spacing w:after="0"/>
              <w:rPr>
                <w:sz w:val="20"/>
                <w:szCs w:val="20"/>
                <w:color w:val="auto"/>
              </w:rPr>
            </w:pPr>
            <w:r>
              <w:rPr>
                <w:rFonts w:ascii="Arial" w:cs="Arial" w:eastAsia="Arial" w:hAnsi="Arial"/>
                <w:sz w:val="19"/>
                <w:szCs w:val="19"/>
                <w:b w:val="1"/>
                <w:bCs w:val="1"/>
                <w:color w:val="231F20"/>
              </w:rPr>
              <w:t>41,106</w:t>
            </w:r>
          </w:p>
        </w:tc>
        <w:tc>
          <w:tcPr>
            <w:tcW w:w="200" w:type="dxa"/>
            <w:vAlign w:val="bottom"/>
          </w:tcPr>
          <w:p>
            <w:pPr>
              <w:spacing w:after="0"/>
              <w:rPr>
                <w:sz w:val="20"/>
                <w:szCs w:val="20"/>
                <w:color w:val="auto"/>
              </w:rPr>
            </w:pPr>
          </w:p>
        </w:tc>
        <w:tc>
          <w:tcPr>
            <w:tcW w:w="700" w:type="dxa"/>
            <w:vAlign w:val="bottom"/>
            <w:gridSpan w:val="2"/>
          </w:tcPr>
          <w:p>
            <w:pPr>
              <w:jc w:val="right"/>
              <w:ind w:right="480"/>
              <w:spacing w:after="0"/>
              <w:rPr>
                <w:sz w:val="20"/>
                <w:szCs w:val="20"/>
                <w:color w:val="auto"/>
              </w:rPr>
            </w:pPr>
            <w:r>
              <w:rPr>
                <w:rFonts w:ascii="Arial" w:cs="Arial" w:eastAsia="Arial" w:hAnsi="Arial"/>
                <w:sz w:val="19"/>
                <w:szCs w:val="19"/>
                <w:b w:val="1"/>
                <w:bCs w:val="1"/>
                <w:color w:val="231F20"/>
              </w:rPr>
              <w:t>$</w:t>
            </w:r>
          </w:p>
        </w:tc>
        <w:tc>
          <w:tcPr>
            <w:tcW w:w="1340" w:type="dxa"/>
            <w:vAlign w:val="bottom"/>
          </w:tcPr>
          <w:p>
            <w:pPr>
              <w:jc w:val="right"/>
              <w:spacing w:after="0"/>
              <w:rPr>
                <w:sz w:val="20"/>
                <w:szCs w:val="20"/>
                <w:color w:val="auto"/>
              </w:rPr>
            </w:pPr>
            <w:r>
              <w:rPr>
                <w:rFonts w:ascii="Arial" w:cs="Arial" w:eastAsia="Arial" w:hAnsi="Arial"/>
                <w:sz w:val="19"/>
                <w:szCs w:val="19"/>
                <w:b w:val="1"/>
                <w:bCs w:val="1"/>
                <w:color w:val="231F20"/>
              </w:rPr>
              <w:t>26,517</w:t>
            </w:r>
          </w:p>
        </w:tc>
        <w:tc>
          <w:tcPr>
            <w:tcW w:w="60" w:type="dxa"/>
            <w:vAlign w:val="bottom"/>
          </w:tcPr>
          <w:p>
            <w:pPr>
              <w:spacing w:after="0"/>
              <w:rPr>
                <w:sz w:val="20"/>
                <w:szCs w:val="20"/>
                <w:color w:val="auto"/>
              </w:rPr>
            </w:pPr>
          </w:p>
        </w:tc>
      </w:tr>
      <w:tr>
        <w:trPr>
          <w:trHeight w:val="235"/>
        </w:trPr>
        <w:tc>
          <w:tcPr>
            <w:tcW w:w="6240" w:type="dxa"/>
            <w:vAlign w:val="bottom"/>
          </w:tcPr>
          <w:p>
            <w:pPr>
              <w:ind w:left="100"/>
              <w:spacing w:after="0"/>
              <w:rPr>
                <w:sz w:val="20"/>
                <w:szCs w:val="20"/>
                <w:color w:val="auto"/>
              </w:rPr>
            </w:pPr>
            <w:r>
              <w:rPr>
                <w:rFonts w:ascii="Arial" w:cs="Arial" w:eastAsia="Arial" w:hAnsi="Arial"/>
                <w:sz w:val="19"/>
                <w:szCs w:val="19"/>
                <w:b w:val="1"/>
                <w:bCs w:val="1"/>
                <w:color w:val="231F20"/>
              </w:rPr>
              <w:t>Research &amp; other credits</w:t>
            </w:r>
          </w:p>
        </w:tc>
        <w:tc>
          <w:tcPr>
            <w:tcW w:w="1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9"/>
                <w:szCs w:val="19"/>
                <w:b w:val="1"/>
                <w:bCs w:val="1"/>
                <w:color w:val="231F20"/>
              </w:rPr>
              <w:t>23,455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9"/>
                <w:szCs w:val="19"/>
                <w:b w:val="1"/>
                <w:bCs w:val="1"/>
                <w:color w:val="231F20"/>
              </w:rPr>
              <w:t>17,131</w:t>
            </w:r>
          </w:p>
        </w:tc>
        <w:tc>
          <w:tcPr>
            <w:tcW w:w="60" w:type="dxa"/>
            <w:vAlign w:val="bottom"/>
          </w:tcPr>
          <w:p>
            <w:pPr>
              <w:spacing w:after="0"/>
              <w:rPr>
                <w:sz w:val="20"/>
                <w:szCs w:val="20"/>
                <w:color w:val="auto"/>
              </w:rPr>
            </w:pPr>
          </w:p>
        </w:tc>
      </w:tr>
      <w:tr>
        <w:trPr>
          <w:trHeight w:val="238"/>
        </w:trPr>
        <w:tc>
          <w:tcPr>
            <w:tcW w:w="6240" w:type="dxa"/>
            <w:vAlign w:val="bottom"/>
          </w:tcPr>
          <w:p>
            <w:pPr>
              <w:ind w:left="100"/>
              <w:spacing w:after="0"/>
              <w:rPr>
                <w:sz w:val="20"/>
                <w:szCs w:val="20"/>
                <w:color w:val="auto"/>
              </w:rPr>
            </w:pPr>
            <w:r>
              <w:rPr>
                <w:rFonts w:ascii="Arial" w:cs="Arial" w:eastAsia="Arial" w:hAnsi="Arial"/>
                <w:sz w:val="19"/>
                <w:szCs w:val="19"/>
                <w:b w:val="1"/>
                <w:bCs w:val="1"/>
                <w:color w:val="231F20"/>
              </w:rPr>
              <w:t>Other</w:t>
            </w:r>
          </w:p>
        </w:tc>
        <w:tc>
          <w:tcPr>
            <w:tcW w:w="1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9"/>
                <w:szCs w:val="19"/>
                <w:b w:val="1"/>
                <w:bCs w:val="1"/>
                <w:color w:val="231F20"/>
              </w:rPr>
              <w:t>6,999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9"/>
                <w:szCs w:val="19"/>
                <w:b w:val="1"/>
                <w:bCs w:val="1"/>
                <w:color w:val="231F20"/>
              </w:rPr>
              <w:t>8,076</w:t>
            </w:r>
          </w:p>
        </w:tc>
        <w:tc>
          <w:tcPr>
            <w:tcW w:w="60" w:type="dxa"/>
            <w:vAlign w:val="bottom"/>
          </w:tcPr>
          <w:p>
            <w:pPr>
              <w:spacing w:after="0"/>
              <w:rPr>
                <w:sz w:val="20"/>
                <w:szCs w:val="20"/>
                <w:color w:val="auto"/>
              </w:rPr>
            </w:pPr>
          </w:p>
        </w:tc>
      </w:tr>
      <w:tr>
        <w:trPr>
          <w:trHeight w:val="235"/>
        </w:trPr>
        <w:tc>
          <w:tcPr>
            <w:tcW w:w="6240" w:type="dxa"/>
            <w:vAlign w:val="bottom"/>
          </w:tcPr>
          <w:p>
            <w:pPr>
              <w:ind w:left="100"/>
              <w:spacing w:after="0"/>
              <w:rPr>
                <w:sz w:val="20"/>
                <w:szCs w:val="20"/>
                <w:color w:val="auto"/>
              </w:rPr>
            </w:pPr>
            <w:r>
              <w:rPr>
                <w:rFonts w:ascii="Arial" w:cs="Arial" w:eastAsia="Arial" w:hAnsi="Arial"/>
                <w:sz w:val="19"/>
                <w:szCs w:val="19"/>
                <w:b w:val="1"/>
                <w:bCs w:val="1"/>
                <w:color w:val="231F20"/>
              </w:rPr>
              <w:t>Accrued expenses</w:t>
            </w:r>
          </w:p>
        </w:tc>
        <w:tc>
          <w:tcPr>
            <w:tcW w:w="1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9"/>
                <w:szCs w:val="19"/>
                <w:b w:val="1"/>
                <w:bCs w:val="1"/>
                <w:color w:val="231F20"/>
              </w:rPr>
              <w:t>1,013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9"/>
                <w:szCs w:val="19"/>
                <w:b w:val="1"/>
                <w:bCs w:val="1"/>
                <w:color w:val="231F20"/>
              </w:rPr>
              <w:t>1,014</w:t>
            </w:r>
          </w:p>
        </w:tc>
        <w:tc>
          <w:tcPr>
            <w:tcW w:w="60" w:type="dxa"/>
            <w:vAlign w:val="bottom"/>
          </w:tcPr>
          <w:p>
            <w:pPr>
              <w:spacing w:after="0"/>
              <w:rPr>
                <w:sz w:val="20"/>
                <w:szCs w:val="20"/>
                <w:color w:val="auto"/>
              </w:rPr>
            </w:pPr>
          </w:p>
        </w:tc>
      </w:tr>
      <w:tr>
        <w:trPr>
          <w:trHeight w:val="238"/>
        </w:trPr>
        <w:tc>
          <w:tcPr>
            <w:tcW w:w="6240" w:type="dxa"/>
            <w:vAlign w:val="bottom"/>
          </w:tcPr>
          <w:p>
            <w:pPr>
              <w:ind w:left="100"/>
              <w:spacing w:after="0"/>
              <w:rPr>
                <w:sz w:val="20"/>
                <w:szCs w:val="20"/>
                <w:color w:val="auto"/>
              </w:rPr>
            </w:pPr>
            <w:r>
              <w:rPr>
                <w:rFonts w:ascii="Arial" w:cs="Arial" w:eastAsia="Arial" w:hAnsi="Arial"/>
                <w:sz w:val="19"/>
                <w:szCs w:val="19"/>
                <w:b w:val="1"/>
                <w:bCs w:val="1"/>
                <w:color w:val="231F20"/>
              </w:rPr>
              <w:t>Stock options</w:t>
            </w:r>
          </w:p>
        </w:tc>
        <w:tc>
          <w:tcPr>
            <w:tcW w:w="1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9"/>
                <w:szCs w:val="19"/>
                <w:b w:val="1"/>
                <w:bCs w:val="1"/>
                <w:color w:val="231F20"/>
              </w:rPr>
              <w:t>8,380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9"/>
                <w:szCs w:val="19"/>
                <w:b w:val="1"/>
                <w:bCs w:val="1"/>
                <w:color w:val="231F20"/>
              </w:rPr>
              <w:t>5,157</w:t>
            </w:r>
          </w:p>
        </w:tc>
        <w:tc>
          <w:tcPr>
            <w:tcW w:w="60" w:type="dxa"/>
            <w:vAlign w:val="bottom"/>
          </w:tcPr>
          <w:p>
            <w:pPr>
              <w:spacing w:after="0"/>
              <w:rPr>
                <w:sz w:val="20"/>
                <w:szCs w:val="20"/>
                <w:color w:val="auto"/>
              </w:rPr>
            </w:pPr>
          </w:p>
        </w:tc>
      </w:tr>
      <w:tr>
        <w:trPr>
          <w:trHeight w:val="238"/>
        </w:trPr>
        <w:tc>
          <w:tcPr>
            <w:tcW w:w="6240" w:type="dxa"/>
            <w:vAlign w:val="bottom"/>
          </w:tcPr>
          <w:p>
            <w:pPr>
              <w:ind w:left="100"/>
              <w:spacing w:after="0"/>
              <w:rPr>
                <w:sz w:val="20"/>
                <w:szCs w:val="20"/>
                <w:color w:val="auto"/>
              </w:rPr>
            </w:pPr>
            <w:r>
              <w:rPr>
                <w:rFonts w:ascii="Arial" w:cs="Arial" w:eastAsia="Arial" w:hAnsi="Arial"/>
                <w:sz w:val="19"/>
                <w:szCs w:val="19"/>
                <w:b w:val="1"/>
                <w:bCs w:val="1"/>
                <w:color w:val="231F20"/>
              </w:rPr>
              <w:t>Lease liabilities</w:t>
            </w:r>
          </w:p>
        </w:tc>
        <w:tc>
          <w:tcPr>
            <w:tcW w:w="1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9"/>
                <w:szCs w:val="19"/>
                <w:b w:val="1"/>
                <w:bCs w:val="1"/>
                <w:color w:val="231F20"/>
              </w:rPr>
              <w:t>1,486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9"/>
                <w:szCs w:val="19"/>
                <w:b w:val="1"/>
                <w:bCs w:val="1"/>
                <w:color w:val="231F20"/>
              </w:rPr>
              <w:t>1,587</w:t>
            </w:r>
          </w:p>
        </w:tc>
        <w:tc>
          <w:tcPr>
            <w:tcW w:w="60" w:type="dxa"/>
            <w:vAlign w:val="bottom"/>
          </w:tcPr>
          <w:p>
            <w:pPr>
              <w:spacing w:after="0"/>
              <w:rPr>
                <w:sz w:val="20"/>
                <w:szCs w:val="20"/>
                <w:color w:val="auto"/>
              </w:rPr>
            </w:pPr>
          </w:p>
        </w:tc>
      </w:tr>
      <w:tr>
        <w:trPr>
          <w:trHeight w:val="236"/>
        </w:trPr>
        <w:tc>
          <w:tcPr>
            <w:tcW w:w="6240" w:type="dxa"/>
            <w:vAlign w:val="bottom"/>
          </w:tcPr>
          <w:p>
            <w:pPr>
              <w:ind w:left="100"/>
              <w:spacing w:after="0"/>
              <w:rPr>
                <w:sz w:val="20"/>
                <w:szCs w:val="20"/>
                <w:color w:val="auto"/>
              </w:rPr>
            </w:pPr>
            <w:r>
              <w:rPr>
                <w:rFonts w:ascii="Arial" w:cs="Arial" w:eastAsia="Arial" w:hAnsi="Arial"/>
                <w:sz w:val="19"/>
                <w:szCs w:val="19"/>
                <w:b w:val="1"/>
                <w:bCs w:val="1"/>
                <w:color w:val="231F20"/>
              </w:rPr>
              <w:t>Capitalized R&amp;D</w:t>
            </w:r>
          </w:p>
        </w:tc>
        <w:tc>
          <w:tcPr>
            <w:tcW w:w="1180" w:type="dxa"/>
            <w:vAlign w:val="bottom"/>
            <w:tcBorders>
              <w:bottom w:val="single" w:sz="8" w:color="231F20"/>
            </w:tcBorders>
          </w:tcPr>
          <w:p>
            <w:pPr>
              <w:spacing w:after="0"/>
              <w:rPr>
                <w:sz w:val="20"/>
                <w:szCs w:val="20"/>
                <w:color w:val="auto"/>
              </w:rPr>
            </w:pPr>
          </w:p>
        </w:tc>
        <w:tc>
          <w:tcPr>
            <w:tcW w:w="72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48,392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bottom w:val="single" w:sz="8" w:color="231F20"/>
            </w:tcBorders>
          </w:tcPr>
          <w:p>
            <w:pPr>
              <w:spacing w:after="0"/>
              <w:rPr>
                <w:sz w:val="20"/>
                <w:szCs w:val="20"/>
                <w:color w:val="auto"/>
              </w:rPr>
            </w:pPr>
          </w:p>
        </w:tc>
        <w:tc>
          <w:tcPr>
            <w:tcW w:w="134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38,425</w:t>
            </w:r>
          </w:p>
        </w:tc>
        <w:tc>
          <w:tcPr>
            <w:tcW w:w="60" w:type="dxa"/>
            <w:vAlign w:val="bottom"/>
          </w:tcPr>
          <w:p>
            <w:pPr>
              <w:spacing w:after="0"/>
              <w:rPr>
                <w:sz w:val="20"/>
                <w:szCs w:val="20"/>
                <w:color w:val="auto"/>
              </w:rPr>
            </w:pPr>
          </w:p>
        </w:tc>
      </w:tr>
      <w:tr>
        <w:trPr>
          <w:trHeight w:val="226"/>
        </w:trPr>
        <w:tc>
          <w:tcPr>
            <w:tcW w:w="6240" w:type="dxa"/>
            <w:vAlign w:val="bottom"/>
          </w:tcPr>
          <w:p>
            <w:pPr>
              <w:spacing w:after="0"/>
              <w:rPr>
                <w:sz w:val="20"/>
                <w:szCs w:val="20"/>
                <w:color w:val="auto"/>
              </w:rPr>
            </w:pPr>
            <w:r>
              <w:rPr>
                <w:rFonts w:ascii="Arial" w:cs="Arial" w:eastAsia="Arial" w:hAnsi="Arial"/>
                <w:sz w:val="19"/>
                <w:szCs w:val="19"/>
                <w:b w:val="1"/>
                <w:bCs w:val="1"/>
                <w:color w:val="231F20"/>
              </w:rPr>
              <w:t>Total deferred tax assets</w:t>
            </w:r>
          </w:p>
        </w:tc>
        <w:tc>
          <w:tcPr>
            <w:tcW w:w="1180" w:type="dxa"/>
            <w:vAlign w:val="bottom"/>
            <w:tcBorders>
              <w:bottom w:val="single" w:sz="8" w:color="231F20"/>
            </w:tcBorders>
          </w:tcPr>
          <w:p>
            <w:pPr>
              <w:spacing w:after="0"/>
              <w:rPr>
                <w:sz w:val="19"/>
                <w:szCs w:val="19"/>
                <w:color w:val="auto"/>
              </w:rPr>
            </w:pPr>
          </w:p>
        </w:tc>
        <w:tc>
          <w:tcPr>
            <w:tcW w:w="72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130,831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bottom w:val="single" w:sz="8" w:color="231F20"/>
            </w:tcBorders>
          </w:tcPr>
          <w:p>
            <w:pPr>
              <w:spacing w:after="0"/>
              <w:rPr>
                <w:sz w:val="19"/>
                <w:szCs w:val="19"/>
                <w:color w:val="auto"/>
              </w:rPr>
            </w:pPr>
          </w:p>
        </w:tc>
        <w:tc>
          <w:tcPr>
            <w:tcW w:w="134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97,907</w:t>
            </w:r>
          </w:p>
        </w:tc>
        <w:tc>
          <w:tcPr>
            <w:tcW w:w="60" w:type="dxa"/>
            <w:vAlign w:val="bottom"/>
          </w:tcPr>
          <w:p>
            <w:pPr>
              <w:spacing w:after="0"/>
              <w:rPr>
                <w:sz w:val="19"/>
                <w:szCs w:val="19"/>
                <w:color w:val="auto"/>
              </w:rPr>
            </w:pPr>
          </w:p>
        </w:tc>
      </w:tr>
      <w:tr>
        <w:trPr>
          <w:trHeight w:val="228"/>
        </w:trPr>
        <w:tc>
          <w:tcPr>
            <w:tcW w:w="6240" w:type="dxa"/>
            <w:vAlign w:val="bottom"/>
          </w:tcPr>
          <w:p>
            <w:pPr>
              <w:spacing w:after="0"/>
              <w:rPr>
                <w:sz w:val="20"/>
                <w:szCs w:val="20"/>
                <w:color w:val="auto"/>
              </w:rPr>
            </w:pPr>
            <w:r>
              <w:rPr>
                <w:rFonts w:ascii="Arial" w:cs="Arial" w:eastAsia="Arial" w:hAnsi="Arial"/>
                <w:sz w:val="19"/>
                <w:szCs w:val="19"/>
                <w:b w:val="1"/>
                <w:bCs w:val="1"/>
                <w:color w:val="231F20"/>
              </w:rPr>
              <w:t>Deferred tax liabilities:</w:t>
            </w:r>
          </w:p>
        </w:tc>
        <w:tc>
          <w:tcPr>
            <w:tcW w:w="1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5"/>
        </w:trPr>
        <w:tc>
          <w:tcPr>
            <w:tcW w:w="6240" w:type="dxa"/>
            <w:vAlign w:val="bottom"/>
          </w:tcPr>
          <w:p>
            <w:pPr>
              <w:ind w:left="100"/>
              <w:spacing w:after="0"/>
              <w:rPr>
                <w:sz w:val="20"/>
                <w:szCs w:val="20"/>
                <w:color w:val="auto"/>
              </w:rPr>
            </w:pPr>
            <w:r>
              <w:rPr>
                <w:rFonts w:ascii="Arial" w:cs="Arial" w:eastAsia="Arial" w:hAnsi="Arial"/>
                <w:sz w:val="19"/>
                <w:szCs w:val="19"/>
                <w:b w:val="1"/>
                <w:bCs w:val="1"/>
                <w:color w:val="231F20"/>
              </w:rPr>
              <w:t>Fixed assets</w:t>
            </w:r>
          </w:p>
        </w:tc>
        <w:tc>
          <w:tcPr>
            <w:tcW w:w="1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9"/>
                <w:szCs w:val="19"/>
                <w:b w:val="1"/>
                <w:bCs w:val="1"/>
                <w:color w:val="231F20"/>
              </w:rPr>
              <w:t>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9"/>
                <w:szCs w:val="19"/>
                <w:b w:val="1"/>
                <w:bCs w:val="1"/>
                <w:color w:val="231F20"/>
              </w:rPr>
              <w:t>96</w:t>
            </w:r>
          </w:p>
        </w:tc>
        <w:tc>
          <w:tcPr>
            <w:tcW w:w="60" w:type="dxa"/>
            <w:vAlign w:val="bottom"/>
          </w:tcPr>
          <w:p>
            <w:pPr>
              <w:spacing w:after="0"/>
              <w:rPr>
                <w:sz w:val="20"/>
                <w:szCs w:val="20"/>
                <w:color w:val="auto"/>
              </w:rPr>
            </w:pPr>
          </w:p>
        </w:tc>
      </w:tr>
      <w:tr>
        <w:trPr>
          <w:trHeight w:val="238"/>
        </w:trPr>
        <w:tc>
          <w:tcPr>
            <w:tcW w:w="6240" w:type="dxa"/>
            <w:vAlign w:val="bottom"/>
          </w:tcPr>
          <w:p>
            <w:pPr>
              <w:ind w:left="100"/>
              <w:spacing w:after="0"/>
              <w:rPr>
                <w:sz w:val="20"/>
                <w:szCs w:val="20"/>
                <w:color w:val="auto"/>
              </w:rPr>
            </w:pPr>
            <w:r>
              <w:rPr>
                <w:rFonts w:ascii="Arial" w:cs="Arial" w:eastAsia="Arial" w:hAnsi="Arial"/>
                <w:sz w:val="19"/>
                <w:szCs w:val="19"/>
                <w:b w:val="1"/>
                <w:bCs w:val="1"/>
                <w:color w:val="231F20"/>
              </w:rPr>
              <w:t>Lease ROU assets</w:t>
            </w:r>
          </w:p>
        </w:tc>
        <w:tc>
          <w:tcPr>
            <w:tcW w:w="1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9"/>
                <w:szCs w:val="19"/>
                <w:b w:val="1"/>
                <w:bCs w:val="1"/>
                <w:color w:val="231F20"/>
              </w:rPr>
              <w:t>1,413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9"/>
                <w:szCs w:val="19"/>
                <w:b w:val="1"/>
                <w:bCs w:val="1"/>
                <w:color w:val="231F20"/>
              </w:rPr>
              <w:t>1,523</w:t>
            </w:r>
          </w:p>
        </w:tc>
        <w:tc>
          <w:tcPr>
            <w:tcW w:w="60" w:type="dxa"/>
            <w:vAlign w:val="bottom"/>
          </w:tcPr>
          <w:p>
            <w:pPr>
              <w:spacing w:after="0"/>
              <w:rPr>
                <w:sz w:val="20"/>
                <w:szCs w:val="20"/>
                <w:color w:val="auto"/>
              </w:rPr>
            </w:pPr>
          </w:p>
        </w:tc>
      </w:tr>
      <w:tr>
        <w:trPr>
          <w:trHeight w:val="236"/>
        </w:trPr>
        <w:tc>
          <w:tcPr>
            <w:tcW w:w="6240" w:type="dxa"/>
            <w:vAlign w:val="bottom"/>
          </w:tcPr>
          <w:p>
            <w:pPr>
              <w:ind w:left="100"/>
              <w:spacing w:after="0"/>
              <w:rPr>
                <w:sz w:val="20"/>
                <w:szCs w:val="20"/>
                <w:color w:val="auto"/>
              </w:rPr>
            </w:pPr>
            <w:r>
              <w:rPr>
                <w:rFonts w:ascii="Arial" w:cs="Arial" w:eastAsia="Arial" w:hAnsi="Arial"/>
                <w:sz w:val="19"/>
                <w:szCs w:val="19"/>
                <w:b w:val="1"/>
                <w:bCs w:val="1"/>
                <w:color w:val="231F20"/>
              </w:rPr>
              <w:t>Prepaid expenses</w:t>
            </w:r>
          </w:p>
        </w:tc>
        <w:tc>
          <w:tcPr>
            <w:tcW w:w="1180" w:type="dxa"/>
            <w:vAlign w:val="bottom"/>
            <w:tcBorders>
              <w:bottom w:val="single" w:sz="8" w:color="231F20"/>
            </w:tcBorders>
          </w:tcPr>
          <w:p>
            <w:pPr>
              <w:spacing w:after="0"/>
              <w:rPr>
                <w:sz w:val="20"/>
                <w:szCs w:val="20"/>
                <w:color w:val="auto"/>
              </w:rPr>
            </w:pPr>
          </w:p>
        </w:tc>
        <w:tc>
          <w:tcPr>
            <w:tcW w:w="72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b w:val="1"/>
                <w:bCs w:val="1"/>
                <w:color w:val="231F20"/>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bottom w:val="single" w:sz="8" w:color="231F20"/>
            </w:tcBorders>
          </w:tcPr>
          <w:p>
            <w:pPr>
              <w:spacing w:after="0"/>
              <w:rPr>
                <w:sz w:val="20"/>
                <w:szCs w:val="20"/>
                <w:color w:val="auto"/>
              </w:rPr>
            </w:pPr>
          </w:p>
        </w:tc>
        <w:tc>
          <w:tcPr>
            <w:tcW w:w="134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b w:val="1"/>
                <w:bCs w:val="1"/>
                <w:color w:val="231F20"/>
              </w:rPr>
              <w:t></w:t>
            </w:r>
          </w:p>
        </w:tc>
        <w:tc>
          <w:tcPr>
            <w:tcW w:w="60" w:type="dxa"/>
            <w:vAlign w:val="bottom"/>
          </w:tcPr>
          <w:p>
            <w:pPr>
              <w:spacing w:after="0"/>
              <w:rPr>
                <w:sz w:val="20"/>
                <w:szCs w:val="20"/>
                <w:color w:val="auto"/>
              </w:rPr>
            </w:pPr>
          </w:p>
        </w:tc>
      </w:tr>
      <w:tr>
        <w:trPr>
          <w:trHeight w:val="227"/>
        </w:trPr>
        <w:tc>
          <w:tcPr>
            <w:tcW w:w="6240" w:type="dxa"/>
            <w:vAlign w:val="bottom"/>
          </w:tcPr>
          <w:p>
            <w:pPr>
              <w:spacing w:after="0"/>
              <w:rPr>
                <w:sz w:val="20"/>
                <w:szCs w:val="20"/>
                <w:color w:val="auto"/>
              </w:rPr>
            </w:pPr>
            <w:r>
              <w:rPr>
                <w:rFonts w:ascii="Arial" w:cs="Arial" w:eastAsia="Arial" w:hAnsi="Arial"/>
                <w:sz w:val="19"/>
                <w:szCs w:val="19"/>
                <w:b w:val="1"/>
                <w:bCs w:val="1"/>
                <w:color w:val="231F20"/>
              </w:rPr>
              <w:t>Total deferred tax liabilities</w:t>
            </w:r>
          </w:p>
        </w:tc>
        <w:tc>
          <w:tcPr>
            <w:tcW w:w="1180" w:type="dxa"/>
            <w:vAlign w:val="bottom"/>
            <w:tcBorders>
              <w:bottom w:val="single" w:sz="8" w:color="231F20"/>
            </w:tcBorders>
          </w:tcPr>
          <w:p>
            <w:pPr>
              <w:spacing w:after="0"/>
              <w:rPr>
                <w:sz w:val="19"/>
                <w:szCs w:val="19"/>
                <w:color w:val="auto"/>
              </w:rPr>
            </w:pPr>
          </w:p>
        </w:tc>
        <w:tc>
          <w:tcPr>
            <w:tcW w:w="72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1,420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bottom w:val="single" w:sz="8" w:color="231F20"/>
            </w:tcBorders>
          </w:tcPr>
          <w:p>
            <w:pPr>
              <w:spacing w:after="0"/>
              <w:rPr>
                <w:sz w:val="19"/>
                <w:szCs w:val="19"/>
                <w:color w:val="auto"/>
              </w:rPr>
            </w:pPr>
          </w:p>
        </w:tc>
        <w:tc>
          <w:tcPr>
            <w:tcW w:w="134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1,619</w:t>
            </w:r>
          </w:p>
        </w:tc>
        <w:tc>
          <w:tcPr>
            <w:tcW w:w="60" w:type="dxa"/>
            <w:vAlign w:val="bottom"/>
          </w:tcPr>
          <w:p>
            <w:pPr>
              <w:spacing w:after="0"/>
              <w:rPr>
                <w:sz w:val="19"/>
                <w:szCs w:val="19"/>
                <w:color w:val="auto"/>
              </w:rPr>
            </w:pPr>
          </w:p>
        </w:tc>
      </w:tr>
      <w:tr>
        <w:trPr>
          <w:trHeight w:val="226"/>
        </w:trPr>
        <w:tc>
          <w:tcPr>
            <w:tcW w:w="6240" w:type="dxa"/>
            <w:vAlign w:val="bottom"/>
          </w:tcPr>
          <w:p>
            <w:pPr>
              <w:spacing w:after="0"/>
              <w:rPr>
                <w:sz w:val="20"/>
                <w:szCs w:val="20"/>
                <w:color w:val="auto"/>
              </w:rPr>
            </w:pPr>
            <w:r>
              <w:rPr>
                <w:rFonts w:ascii="Arial" w:cs="Arial" w:eastAsia="Arial" w:hAnsi="Arial"/>
                <w:sz w:val="19"/>
                <w:szCs w:val="19"/>
                <w:b w:val="1"/>
                <w:bCs w:val="1"/>
                <w:color w:val="231F20"/>
              </w:rPr>
              <w:t>Valuation allowance</w:t>
            </w:r>
          </w:p>
        </w:tc>
        <w:tc>
          <w:tcPr>
            <w:tcW w:w="11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231F20"/>
                <w:w w:val="95"/>
              </w:rPr>
              <w:t>(129,411)</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9"/>
                <w:szCs w:val="19"/>
                <w:b w:val="1"/>
                <w:bCs w:val="1"/>
                <w:color w:val="231F20"/>
              </w:rPr>
              <w:t>(96,288)</w:t>
            </w:r>
          </w:p>
        </w:tc>
      </w:tr>
      <w:tr>
        <w:trPr>
          <w:trHeight w:val="20"/>
        </w:trPr>
        <w:tc>
          <w:tcPr>
            <w:tcW w:w="6240" w:type="dxa"/>
            <w:vAlign w:val="bottom"/>
          </w:tcPr>
          <w:p>
            <w:pPr>
              <w:spacing w:after="0" w:line="20" w:lineRule="exact"/>
              <w:rPr>
                <w:sz w:val="1"/>
                <w:szCs w:val="1"/>
                <w:color w:val="auto"/>
              </w:rPr>
            </w:pPr>
          </w:p>
        </w:tc>
        <w:tc>
          <w:tcPr>
            <w:tcW w:w="1180" w:type="dxa"/>
            <w:vAlign w:val="bottom"/>
            <w:shd w:val="clear" w:color="auto" w:fill="231F20"/>
          </w:tcPr>
          <w:p>
            <w:pPr>
              <w:spacing w:after="0" w:line="20" w:lineRule="exact"/>
              <w:rPr>
                <w:sz w:val="1"/>
                <w:szCs w:val="1"/>
                <w:color w:val="auto"/>
              </w:rPr>
            </w:pPr>
          </w:p>
        </w:tc>
        <w:tc>
          <w:tcPr>
            <w:tcW w:w="72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231F20"/>
          </w:tcPr>
          <w:p>
            <w:pPr>
              <w:spacing w:after="0" w:line="20" w:lineRule="exact"/>
              <w:rPr>
                <w:sz w:val="1"/>
                <w:szCs w:val="1"/>
                <w:color w:val="auto"/>
              </w:rPr>
            </w:pPr>
          </w:p>
        </w:tc>
        <w:tc>
          <w:tcPr>
            <w:tcW w:w="1340" w:type="dxa"/>
            <w:vAlign w:val="bottom"/>
            <w:shd w:val="clear" w:color="auto" w:fill="231F2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5"/>
        </w:trPr>
        <w:tc>
          <w:tcPr>
            <w:tcW w:w="6240" w:type="dxa"/>
            <w:vAlign w:val="bottom"/>
          </w:tcPr>
          <w:p>
            <w:pPr>
              <w:spacing w:after="0"/>
              <w:rPr>
                <w:sz w:val="20"/>
                <w:szCs w:val="20"/>
                <w:color w:val="auto"/>
              </w:rPr>
            </w:pPr>
            <w:r>
              <w:rPr>
                <w:rFonts w:ascii="Arial" w:cs="Arial" w:eastAsia="Arial" w:hAnsi="Arial"/>
                <w:sz w:val="19"/>
                <w:szCs w:val="19"/>
                <w:b w:val="1"/>
                <w:bCs w:val="1"/>
                <w:color w:val="231F20"/>
              </w:rPr>
              <w:t>Net deferred tax assets</w:t>
            </w:r>
          </w:p>
        </w:tc>
        <w:tc>
          <w:tcPr>
            <w:tcW w:w="1180" w:type="dxa"/>
            <w:vAlign w:val="bottom"/>
          </w:tcPr>
          <w:p>
            <w:pPr>
              <w:jc w:val="right"/>
              <w:ind w:right="983"/>
              <w:spacing w:after="0"/>
              <w:rPr>
                <w:sz w:val="20"/>
                <w:szCs w:val="20"/>
                <w:color w:val="auto"/>
              </w:rPr>
            </w:pPr>
            <w:r>
              <w:rPr>
                <w:rFonts w:ascii="Arial" w:cs="Arial" w:eastAsia="Arial" w:hAnsi="Arial"/>
                <w:sz w:val="19"/>
                <w:szCs w:val="19"/>
                <w:b w:val="1"/>
                <w:bCs w:val="1"/>
                <w:color w:val="231F20"/>
                <w:w w:val="75"/>
              </w:rPr>
              <w:t>$</w:t>
            </w:r>
          </w:p>
        </w:tc>
        <w:tc>
          <w:tcPr>
            <w:tcW w:w="720" w:type="dxa"/>
            <w:vAlign w:val="bottom"/>
          </w:tcPr>
          <w:p>
            <w:pPr>
              <w:jc w:val="right"/>
              <w:spacing w:after="0" w:line="226" w:lineRule="exact"/>
              <w:rPr>
                <w:sz w:val="20"/>
                <w:szCs w:val="20"/>
                <w:color w:val="auto"/>
              </w:rPr>
            </w:pPr>
            <w:r>
              <w:rPr>
                <w:rFonts w:ascii="PMingLiU" w:cs="PMingLiU" w:eastAsia="PMingLiU" w:hAnsi="PMingLiU"/>
                <w:sz w:val="19"/>
                <w:szCs w:val="19"/>
                <w:b w:val="1"/>
                <w:bCs w:val="1"/>
                <w:color w:val="231F20"/>
              </w:rPr>
              <w:t></w:t>
            </w:r>
          </w:p>
        </w:tc>
        <w:tc>
          <w:tcPr>
            <w:tcW w:w="200" w:type="dxa"/>
            <w:vAlign w:val="bottom"/>
          </w:tcPr>
          <w:p>
            <w:pPr>
              <w:spacing w:after="0"/>
              <w:rPr>
                <w:sz w:val="19"/>
                <w:szCs w:val="19"/>
                <w:color w:val="auto"/>
              </w:rPr>
            </w:pPr>
          </w:p>
        </w:tc>
        <w:tc>
          <w:tcPr>
            <w:tcW w:w="700" w:type="dxa"/>
            <w:vAlign w:val="bottom"/>
            <w:gridSpan w:val="2"/>
          </w:tcPr>
          <w:p>
            <w:pPr>
              <w:jc w:val="right"/>
              <w:ind w:right="480"/>
              <w:spacing w:after="0"/>
              <w:rPr>
                <w:sz w:val="20"/>
                <w:szCs w:val="20"/>
                <w:color w:val="auto"/>
              </w:rPr>
            </w:pPr>
            <w:r>
              <w:rPr>
                <w:rFonts w:ascii="Arial" w:cs="Arial" w:eastAsia="Arial" w:hAnsi="Arial"/>
                <w:sz w:val="19"/>
                <w:szCs w:val="19"/>
                <w:b w:val="1"/>
                <w:bCs w:val="1"/>
                <w:color w:val="231F20"/>
              </w:rPr>
              <w:t>$</w:t>
            </w:r>
          </w:p>
        </w:tc>
        <w:tc>
          <w:tcPr>
            <w:tcW w:w="1340" w:type="dxa"/>
            <w:vAlign w:val="bottom"/>
          </w:tcPr>
          <w:p>
            <w:pPr>
              <w:jc w:val="right"/>
              <w:spacing w:after="0" w:line="226" w:lineRule="exact"/>
              <w:rPr>
                <w:sz w:val="20"/>
                <w:szCs w:val="20"/>
                <w:color w:val="auto"/>
              </w:rPr>
            </w:pPr>
            <w:r>
              <w:rPr>
                <w:rFonts w:ascii="PMingLiU" w:cs="PMingLiU" w:eastAsia="PMingLiU" w:hAnsi="PMingLiU"/>
                <w:sz w:val="19"/>
                <w:szCs w:val="19"/>
                <w:b w:val="1"/>
                <w:bCs w:val="1"/>
                <w:color w:val="231F20"/>
              </w:rPr>
              <w:t></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3953510</wp:posOffset>
            </wp:positionH>
            <wp:positionV relativeFrom="paragraph">
              <wp:posOffset>-11430</wp:posOffset>
            </wp:positionV>
            <wp:extent cx="2647950" cy="5588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647950" cy="55880"/>
                    </a:xfrm>
                    <a:prstGeom prst="rect">
                      <a:avLst/>
                    </a:prstGeom>
                    <a:noFill/>
                  </pic:spPr>
                </pic:pic>
              </a:graphicData>
            </a:graphic>
          </wp:anchor>
        </w:drawing>
      </w:r>
    </w:p>
    <w:p>
      <w:pPr>
        <w:spacing w:after="0" w:line="268" w:lineRule="exact"/>
        <w:rPr>
          <w:sz w:val="20"/>
          <w:szCs w:val="20"/>
          <w:color w:val="auto"/>
        </w:rPr>
      </w:pPr>
    </w:p>
    <w:p>
      <w:pPr>
        <w:ind w:right="80" w:firstLine="475"/>
        <w:spacing w:after="0" w:line="221" w:lineRule="exact"/>
        <w:rPr>
          <w:sz w:val="20"/>
          <w:szCs w:val="20"/>
          <w:color w:val="auto"/>
        </w:rPr>
      </w:pPr>
      <w:r>
        <w:rPr>
          <w:rFonts w:ascii="Arial" w:cs="Arial" w:eastAsia="Arial" w:hAnsi="Arial"/>
          <w:sz w:val="16"/>
          <w:szCs w:val="16"/>
          <w:b w:val="1"/>
          <w:bCs w:val="1"/>
          <w:color w:val="231F20"/>
        </w:rPr>
        <w:t xml:space="preserve">ASC 740 requires that the tax benefit of net operating losses, temporary differences and credit carryforwards be recorded as an asset to the extent that management assesses that realization is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more likely than not.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Realization of the future tax benefits is dependent on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ability to generate sufficient taxable income within the carryforward period. Because of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recent history of operating losses, management believes that recognition of the deferred tax assets arising from the above-mentioned future tax benefits is currently not likely to be realized and, accordingly, has provided a valuation allowance. The valuation allowance increased by approximately $33.1 million and $64.5 million for the years ended December 31, 2024 and 2023, respectively.</w:t>
      </w:r>
    </w:p>
    <w:p>
      <w:pPr>
        <w:spacing w:after="0" w:line="129" w:lineRule="exact"/>
        <w:rPr>
          <w:sz w:val="20"/>
          <w:szCs w:val="20"/>
          <w:color w:val="auto"/>
        </w:rPr>
      </w:pPr>
    </w:p>
    <w:p>
      <w:pPr>
        <w:ind w:right="560" w:firstLine="475"/>
        <w:spacing w:after="0" w:line="295" w:lineRule="auto"/>
        <w:rPr>
          <w:sz w:val="20"/>
          <w:szCs w:val="20"/>
          <w:color w:val="auto"/>
        </w:rPr>
      </w:pPr>
      <w:r>
        <w:rPr>
          <w:rFonts w:ascii="Arial" w:cs="Arial" w:eastAsia="Arial" w:hAnsi="Arial"/>
          <w:sz w:val="17"/>
          <w:szCs w:val="17"/>
          <w:b w:val="1"/>
          <w:bCs w:val="1"/>
          <w:color w:val="231F20"/>
        </w:rPr>
        <w:t>The Tax Cuts and Jobs Act eliminated the option to deduct research and development expenditures currently and requires taxpayers to capitalize and amortize them pursuant to Internal Revenue Code Section 174 beginning in 2022.</w:t>
      </w:r>
    </w:p>
    <w:p>
      <w:pPr>
        <w:spacing w:after="0" w:line="76"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Net operating losses and tax credit carryforwards as of December 31, 2024 are as follows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240" w:type="dxa"/>
            <w:vAlign w:val="bottom"/>
          </w:tcPr>
          <w:p>
            <w:pPr>
              <w:spacing w:after="0"/>
              <w:rPr>
                <w:sz w:val="19"/>
                <w:szCs w:val="19"/>
                <w:color w:val="auto"/>
              </w:rPr>
            </w:pPr>
          </w:p>
        </w:tc>
        <w:tc>
          <w:tcPr>
            <w:tcW w:w="360" w:type="dxa"/>
            <w:vAlign w:val="bottom"/>
            <w:tcBorders>
              <w:bottom w:val="single" w:sz="8" w:color="231F20"/>
            </w:tcBorders>
          </w:tcPr>
          <w:p>
            <w:pPr>
              <w:spacing w:after="0"/>
              <w:rPr>
                <w:sz w:val="19"/>
                <w:szCs w:val="19"/>
                <w:color w:val="auto"/>
              </w:rPr>
            </w:pPr>
          </w:p>
        </w:tc>
        <w:tc>
          <w:tcPr>
            <w:tcW w:w="1540" w:type="dxa"/>
            <w:vAlign w:val="bottom"/>
            <w:tcBorders>
              <w:bottom w:val="single" w:sz="8" w:color="231F20"/>
            </w:tcBorders>
          </w:tcPr>
          <w:p>
            <w:pPr>
              <w:jc w:val="right"/>
              <w:ind w:right="523"/>
              <w:spacing w:after="0"/>
              <w:rPr>
                <w:sz w:val="20"/>
                <w:szCs w:val="20"/>
                <w:color w:val="auto"/>
              </w:rPr>
            </w:pPr>
            <w:r>
              <w:rPr>
                <w:rFonts w:ascii="Arial" w:cs="Arial" w:eastAsia="Arial" w:hAnsi="Arial"/>
                <w:sz w:val="19"/>
                <w:szCs w:val="19"/>
                <w:b w:val="1"/>
                <w:bCs w:val="1"/>
                <w:color w:val="231F20"/>
              </w:rPr>
              <w:t>Amount</w:t>
            </w:r>
          </w:p>
        </w:tc>
        <w:tc>
          <w:tcPr>
            <w:tcW w:w="340" w:type="dxa"/>
            <w:vAlign w:val="bottom"/>
          </w:tcPr>
          <w:p>
            <w:pPr>
              <w:spacing w:after="0"/>
              <w:rPr>
                <w:sz w:val="19"/>
                <w:szCs w:val="19"/>
                <w:color w:val="auto"/>
              </w:rPr>
            </w:pPr>
          </w:p>
        </w:tc>
        <w:tc>
          <w:tcPr>
            <w:tcW w:w="2000" w:type="dxa"/>
            <w:vAlign w:val="bottom"/>
            <w:tcBorders>
              <w:bottom w:val="single" w:sz="8" w:color="231F20"/>
            </w:tcBorders>
          </w:tcPr>
          <w:p>
            <w:pPr>
              <w:jc w:val="center"/>
              <w:spacing w:after="0"/>
              <w:rPr>
                <w:sz w:val="20"/>
                <w:szCs w:val="20"/>
                <w:color w:val="auto"/>
              </w:rPr>
            </w:pPr>
            <w:r>
              <w:rPr>
                <w:rFonts w:ascii="Arial" w:cs="Arial" w:eastAsia="Arial" w:hAnsi="Arial"/>
                <w:sz w:val="19"/>
                <w:szCs w:val="19"/>
                <w:b w:val="1"/>
                <w:bCs w:val="1"/>
                <w:color w:val="231F20"/>
                <w:w w:val="94"/>
              </w:rPr>
              <w:t>Expiration Years</w:t>
            </w:r>
          </w:p>
        </w:tc>
      </w:tr>
      <w:tr>
        <w:trPr>
          <w:trHeight w:val="225"/>
        </w:trPr>
        <w:tc>
          <w:tcPr>
            <w:tcW w:w="6240" w:type="dxa"/>
            <w:vAlign w:val="bottom"/>
          </w:tcPr>
          <w:p>
            <w:pPr>
              <w:spacing w:after="0"/>
              <w:rPr>
                <w:sz w:val="20"/>
                <w:szCs w:val="20"/>
                <w:color w:val="auto"/>
              </w:rPr>
            </w:pPr>
            <w:r>
              <w:rPr>
                <w:rFonts w:ascii="Arial" w:cs="Arial" w:eastAsia="Arial" w:hAnsi="Arial"/>
                <w:sz w:val="19"/>
                <w:szCs w:val="19"/>
                <w:b w:val="1"/>
                <w:bCs w:val="1"/>
                <w:color w:val="231F20"/>
              </w:rPr>
              <w:t>Net operating losses, federal (post December 31, 2017)</w:t>
            </w:r>
          </w:p>
        </w:tc>
        <w:tc>
          <w:tcPr>
            <w:tcW w:w="360" w:type="dxa"/>
            <w:vAlign w:val="bottom"/>
          </w:tcPr>
          <w:p>
            <w:pPr>
              <w:jc w:val="right"/>
              <w:ind w:right="163"/>
              <w:spacing w:after="0"/>
              <w:rPr>
                <w:sz w:val="20"/>
                <w:szCs w:val="20"/>
                <w:color w:val="auto"/>
              </w:rPr>
            </w:pPr>
            <w:r>
              <w:rPr>
                <w:rFonts w:ascii="Arial" w:cs="Arial" w:eastAsia="Arial" w:hAnsi="Arial"/>
                <w:sz w:val="19"/>
                <w:szCs w:val="19"/>
                <w:b w:val="1"/>
                <w:bCs w:val="1"/>
                <w:color w:val="231F20"/>
                <w:w w:val="75"/>
              </w:rPr>
              <w:t>$</w:t>
            </w:r>
          </w:p>
        </w:tc>
        <w:tc>
          <w:tcPr>
            <w:tcW w:w="1540" w:type="dxa"/>
            <w:vAlign w:val="bottom"/>
          </w:tcPr>
          <w:p>
            <w:pPr>
              <w:jc w:val="right"/>
              <w:spacing w:after="0"/>
              <w:rPr>
                <w:sz w:val="20"/>
                <w:szCs w:val="20"/>
                <w:color w:val="auto"/>
              </w:rPr>
            </w:pPr>
            <w:r>
              <w:rPr>
                <w:rFonts w:ascii="Arial" w:cs="Arial" w:eastAsia="Arial" w:hAnsi="Arial"/>
                <w:sz w:val="19"/>
                <w:szCs w:val="19"/>
                <w:b w:val="1"/>
                <w:bCs w:val="1"/>
                <w:color w:val="231F20"/>
              </w:rPr>
              <w:t>162,644</w:t>
            </w:r>
          </w:p>
        </w:tc>
        <w:tc>
          <w:tcPr>
            <w:tcW w:w="34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Arial" w:cs="Arial" w:eastAsia="Arial" w:hAnsi="Arial"/>
                <w:sz w:val="19"/>
                <w:szCs w:val="19"/>
                <w:b w:val="1"/>
                <w:bCs w:val="1"/>
                <w:color w:val="231F20"/>
                <w:w w:val="90"/>
              </w:rPr>
              <w:t>Do Not Expire</w:t>
            </w:r>
          </w:p>
        </w:tc>
      </w:tr>
      <w:tr>
        <w:trPr>
          <w:trHeight w:val="238"/>
        </w:trPr>
        <w:tc>
          <w:tcPr>
            <w:tcW w:w="6240" w:type="dxa"/>
            <w:vAlign w:val="bottom"/>
          </w:tcPr>
          <w:p>
            <w:pPr>
              <w:spacing w:after="0"/>
              <w:rPr>
                <w:sz w:val="20"/>
                <w:szCs w:val="20"/>
                <w:color w:val="auto"/>
              </w:rPr>
            </w:pPr>
            <w:r>
              <w:rPr>
                <w:rFonts w:ascii="Arial" w:cs="Arial" w:eastAsia="Arial" w:hAnsi="Arial"/>
                <w:sz w:val="19"/>
                <w:szCs w:val="19"/>
                <w:b w:val="1"/>
                <w:bCs w:val="1"/>
                <w:color w:val="231F20"/>
              </w:rPr>
              <w:t>Net operating losses, state</w:t>
            </w:r>
          </w:p>
        </w:tc>
        <w:tc>
          <w:tcPr>
            <w:tcW w:w="360" w:type="dxa"/>
            <w:vAlign w:val="bottom"/>
          </w:tcPr>
          <w:p>
            <w:pPr>
              <w:jc w:val="right"/>
              <w:ind w:right="163"/>
              <w:spacing w:after="0"/>
              <w:rPr>
                <w:sz w:val="20"/>
                <w:szCs w:val="20"/>
                <w:color w:val="auto"/>
              </w:rPr>
            </w:pPr>
            <w:r>
              <w:rPr>
                <w:rFonts w:ascii="Arial" w:cs="Arial" w:eastAsia="Arial" w:hAnsi="Arial"/>
                <w:sz w:val="19"/>
                <w:szCs w:val="19"/>
                <w:b w:val="1"/>
                <w:bCs w:val="1"/>
                <w:color w:val="231F20"/>
                <w:w w:val="75"/>
              </w:rPr>
              <w:t>$</w:t>
            </w:r>
          </w:p>
        </w:tc>
        <w:tc>
          <w:tcPr>
            <w:tcW w:w="1540" w:type="dxa"/>
            <w:vAlign w:val="bottom"/>
          </w:tcPr>
          <w:p>
            <w:pPr>
              <w:jc w:val="right"/>
              <w:spacing w:after="0"/>
              <w:rPr>
                <w:sz w:val="20"/>
                <w:szCs w:val="20"/>
                <w:color w:val="auto"/>
              </w:rPr>
            </w:pPr>
            <w:r>
              <w:rPr>
                <w:rFonts w:ascii="Arial" w:cs="Arial" w:eastAsia="Arial" w:hAnsi="Arial"/>
                <w:sz w:val="19"/>
                <w:szCs w:val="19"/>
                <w:b w:val="1"/>
                <w:bCs w:val="1"/>
                <w:color w:val="231F20"/>
              </w:rPr>
              <w:t>68,993</w:t>
            </w:r>
          </w:p>
        </w:tc>
        <w:tc>
          <w:tcPr>
            <w:tcW w:w="2340" w:type="dxa"/>
            <w:vAlign w:val="bottom"/>
            <w:gridSpan w:val="2"/>
          </w:tcPr>
          <w:p>
            <w:pPr>
              <w:jc w:val="center"/>
              <w:ind w:left="203"/>
              <w:spacing w:after="0"/>
              <w:rPr>
                <w:sz w:val="20"/>
                <w:szCs w:val="20"/>
                <w:color w:val="auto"/>
              </w:rPr>
            </w:pPr>
            <w:r>
              <w:rPr>
                <w:rFonts w:ascii="Arial" w:cs="Arial" w:eastAsia="Arial" w:hAnsi="Arial"/>
                <w:sz w:val="19"/>
                <w:szCs w:val="19"/>
                <w:b w:val="1"/>
                <w:bCs w:val="1"/>
                <w:color w:val="231F20"/>
                <w:w w:val="92"/>
              </w:rPr>
              <w:t>2038-2040</w:t>
            </w:r>
          </w:p>
        </w:tc>
      </w:tr>
      <w:tr>
        <w:trPr>
          <w:trHeight w:val="238"/>
        </w:trPr>
        <w:tc>
          <w:tcPr>
            <w:tcW w:w="6240" w:type="dxa"/>
            <w:vAlign w:val="bottom"/>
          </w:tcPr>
          <w:p>
            <w:pPr>
              <w:spacing w:after="0"/>
              <w:rPr>
                <w:sz w:val="20"/>
                <w:szCs w:val="20"/>
                <w:color w:val="auto"/>
              </w:rPr>
            </w:pPr>
            <w:r>
              <w:rPr>
                <w:rFonts w:ascii="Arial" w:cs="Arial" w:eastAsia="Arial" w:hAnsi="Arial"/>
                <w:sz w:val="19"/>
                <w:szCs w:val="19"/>
                <w:b w:val="1"/>
                <w:bCs w:val="1"/>
                <w:color w:val="231F20"/>
              </w:rPr>
              <w:t>Tax credits, federal</w:t>
            </w:r>
          </w:p>
        </w:tc>
        <w:tc>
          <w:tcPr>
            <w:tcW w:w="360" w:type="dxa"/>
            <w:vAlign w:val="bottom"/>
          </w:tcPr>
          <w:p>
            <w:pPr>
              <w:jc w:val="right"/>
              <w:ind w:right="163"/>
              <w:spacing w:after="0"/>
              <w:rPr>
                <w:sz w:val="20"/>
                <w:szCs w:val="20"/>
                <w:color w:val="auto"/>
              </w:rPr>
            </w:pPr>
            <w:r>
              <w:rPr>
                <w:rFonts w:ascii="Arial" w:cs="Arial" w:eastAsia="Arial" w:hAnsi="Arial"/>
                <w:sz w:val="19"/>
                <w:szCs w:val="19"/>
                <w:b w:val="1"/>
                <w:bCs w:val="1"/>
                <w:color w:val="231F20"/>
                <w:w w:val="75"/>
              </w:rPr>
              <w:t>$</w:t>
            </w:r>
          </w:p>
        </w:tc>
        <w:tc>
          <w:tcPr>
            <w:tcW w:w="1540" w:type="dxa"/>
            <w:vAlign w:val="bottom"/>
          </w:tcPr>
          <w:p>
            <w:pPr>
              <w:jc w:val="right"/>
              <w:spacing w:after="0"/>
              <w:rPr>
                <w:sz w:val="20"/>
                <w:szCs w:val="20"/>
                <w:color w:val="auto"/>
              </w:rPr>
            </w:pPr>
            <w:r>
              <w:rPr>
                <w:rFonts w:ascii="Arial" w:cs="Arial" w:eastAsia="Arial" w:hAnsi="Arial"/>
                <w:sz w:val="19"/>
                <w:szCs w:val="19"/>
                <w:b w:val="1"/>
                <w:bCs w:val="1"/>
                <w:color w:val="231F20"/>
              </w:rPr>
              <w:t>19,922</w:t>
            </w:r>
          </w:p>
        </w:tc>
        <w:tc>
          <w:tcPr>
            <w:tcW w:w="2340" w:type="dxa"/>
            <w:vAlign w:val="bottom"/>
            <w:gridSpan w:val="2"/>
          </w:tcPr>
          <w:p>
            <w:pPr>
              <w:jc w:val="center"/>
              <w:ind w:left="223"/>
              <w:spacing w:after="0"/>
              <w:rPr>
                <w:sz w:val="20"/>
                <w:szCs w:val="20"/>
                <w:color w:val="auto"/>
              </w:rPr>
            </w:pPr>
            <w:r>
              <w:rPr>
                <w:rFonts w:ascii="Arial" w:cs="Arial" w:eastAsia="Arial" w:hAnsi="Arial"/>
                <w:sz w:val="19"/>
                <w:szCs w:val="19"/>
                <w:b w:val="1"/>
                <w:bCs w:val="1"/>
                <w:color w:val="231F20"/>
                <w:w w:val="94"/>
              </w:rPr>
              <w:t>2039-2044</w:t>
            </w:r>
          </w:p>
        </w:tc>
      </w:tr>
      <w:tr>
        <w:trPr>
          <w:trHeight w:val="235"/>
        </w:trPr>
        <w:tc>
          <w:tcPr>
            <w:tcW w:w="6240" w:type="dxa"/>
            <w:vAlign w:val="bottom"/>
          </w:tcPr>
          <w:p>
            <w:pPr>
              <w:spacing w:after="0"/>
              <w:rPr>
                <w:sz w:val="20"/>
                <w:szCs w:val="20"/>
                <w:color w:val="auto"/>
              </w:rPr>
            </w:pPr>
            <w:r>
              <w:rPr>
                <w:rFonts w:ascii="Arial" w:cs="Arial" w:eastAsia="Arial" w:hAnsi="Arial"/>
                <w:sz w:val="19"/>
                <w:szCs w:val="19"/>
                <w:b w:val="1"/>
                <w:bCs w:val="1"/>
                <w:color w:val="231F20"/>
              </w:rPr>
              <w:t>Tax credits, state</w:t>
            </w:r>
          </w:p>
        </w:tc>
        <w:tc>
          <w:tcPr>
            <w:tcW w:w="360" w:type="dxa"/>
            <w:vAlign w:val="bottom"/>
          </w:tcPr>
          <w:p>
            <w:pPr>
              <w:jc w:val="right"/>
              <w:ind w:right="163"/>
              <w:spacing w:after="0"/>
              <w:rPr>
                <w:sz w:val="20"/>
                <w:szCs w:val="20"/>
                <w:color w:val="auto"/>
              </w:rPr>
            </w:pPr>
            <w:r>
              <w:rPr>
                <w:rFonts w:ascii="Arial" w:cs="Arial" w:eastAsia="Arial" w:hAnsi="Arial"/>
                <w:sz w:val="19"/>
                <w:szCs w:val="19"/>
                <w:b w:val="1"/>
                <w:bCs w:val="1"/>
                <w:color w:val="231F20"/>
                <w:w w:val="75"/>
              </w:rPr>
              <w:t>$</w:t>
            </w:r>
          </w:p>
        </w:tc>
        <w:tc>
          <w:tcPr>
            <w:tcW w:w="1540" w:type="dxa"/>
            <w:vAlign w:val="bottom"/>
          </w:tcPr>
          <w:p>
            <w:pPr>
              <w:jc w:val="right"/>
              <w:spacing w:after="0"/>
              <w:rPr>
                <w:sz w:val="20"/>
                <w:szCs w:val="20"/>
                <w:color w:val="auto"/>
              </w:rPr>
            </w:pPr>
            <w:r>
              <w:rPr>
                <w:rFonts w:ascii="Arial" w:cs="Arial" w:eastAsia="Arial" w:hAnsi="Arial"/>
                <w:sz w:val="19"/>
                <w:szCs w:val="19"/>
                <w:b w:val="1"/>
                <w:bCs w:val="1"/>
                <w:color w:val="231F20"/>
              </w:rPr>
              <w:t>7,741</w:t>
            </w:r>
          </w:p>
        </w:tc>
        <w:tc>
          <w:tcPr>
            <w:tcW w:w="34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9"/>
                <w:szCs w:val="19"/>
                <w:b w:val="1"/>
                <w:bCs w:val="1"/>
                <w:color w:val="231F20"/>
              </w:rPr>
              <w:t>N/A</w:t>
            </w:r>
          </w:p>
        </w:tc>
      </w:tr>
      <w:tr>
        <w:trPr>
          <w:trHeight w:val="238"/>
        </w:trPr>
        <w:tc>
          <w:tcPr>
            <w:tcW w:w="6240" w:type="dxa"/>
            <w:vAlign w:val="bottom"/>
          </w:tcPr>
          <w:p>
            <w:pPr>
              <w:spacing w:after="0"/>
              <w:rPr>
                <w:sz w:val="20"/>
                <w:szCs w:val="20"/>
                <w:color w:val="auto"/>
              </w:rPr>
            </w:pPr>
            <w:r>
              <w:rPr>
                <w:rFonts w:ascii="Arial" w:cs="Arial" w:eastAsia="Arial" w:hAnsi="Arial"/>
                <w:sz w:val="19"/>
                <w:szCs w:val="19"/>
                <w:b w:val="1"/>
                <w:bCs w:val="1"/>
                <w:color w:val="231F20"/>
              </w:rPr>
              <w:t>Net operating losses, foreign</w:t>
            </w:r>
          </w:p>
        </w:tc>
        <w:tc>
          <w:tcPr>
            <w:tcW w:w="360" w:type="dxa"/>
            <w:vAlign w:val="bottom"/>
          </w:tcPr>
          <w:p>
            <w:pPr>
              <w:jc w:val="right"/>
              <w:ind w:right="163"/>
              <w:spacing w:after="0"/>
              <w:rPr>
                <w:sz w:val="20"/>
                <w:szCs w:val="20"/>
                <w:color w:val="auto"/>
              </w:rPr>
            </w:pPr>
            <w:r>
              <w:rPr>
                <w:rFonts w:ascii="Arial" w:cs="Arial" w:eastAsia="Arial" w:hAnsi="Arial"/>
                <w:sz w:val="19"/>
                <w:szCs w:val="19"/>
                <w:b w:val="1"/>
                <w:bCs w:val="1"/>
                <w:color w:val="231F20"/>
                <w:w w:val="75"/>
              </w:rPr>
              <w:t>$</w:t>
            </w:r>
          </w:p>
        </w:tc>
        <w:tc>
          <w:tcPr>
            <w:tcW w:w="1540" w:type="dxa"/>
            <w:vAlign w:val="bottom"/>
          </w:tcPr>
          <w:p>
            <w:pPr>
              <w:jc w:val="right"/>
              <w:spacing w:after="0"/>
              <w:rPr>
                <w:sz w:val="20"/>
                <w:szCs w:val="20"/>
                <w:color w:val="auto"/>
              </w:rPr>
            </w:pPr>
            <w:r>
              <w:rPr>
                <w:rFonts w:ascii="Arial" w:cs="Arial" w:eastAsia="Arial" w:hAnsi="Arial"/>
                <w:sz w:val="19"/>
                <w:szCs w:val="19"/>
                <w:b w:val="1"/>
                <w:bCs w:val="1"/>
                <w:color w:val="231F20"/>
              </w:rPr>
              <w:t>5,515</w:t>
            </w:r>
          </w:p>
        </w:tc>
        <w:tc>
          <w:tcPr>
            <w:tcW w:w="34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9"/>
                <w:szCs w:val="19"/>
                <w:b w:val="1"/>
                <w:bCs w:val="1"/>
                <w:color w:val="231F20"/>
              </w:rPr>
              <w:t>N/A</w:t>
            </w:r>
          </w:p>
        </w:tc>
      </w:tr>
    </w:tbl>
    <w:p>
      <w:pPr>
        <w:spacing w:after="0" w:line="200" w:lineRule="exact"/>
        <w:rPr>
          <w:sz w:val="20"/>
          <w:szCs w:val="20"/>
          <w:color w:val="auto"/>
        </w:rPr>
      </w:pPr>
    </w:p>
    <w:p>
      <w:pPr>
        <w:sectPr>
          <w:pgSz w:w="12240" w:h="15840" w:orient="portrait"/>
          <w:cols w:equalWidth="0" w:num="1">
            <w:col w:w="10480"/>
          </w:cols>
          <w:pgMar w:left="880" w:top="1165" w:right="880" w:bottom="401" w:gutter="0" w:footer="0" w:header="0"/>
        </w:sectPr>
      </w:pP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31F20"/>
        </w:rPr>
        <w:t>117</w:t>
      </w:r>
    </w:p>
    <w:p>
      <w:pPr>
        <w:sectPr>
          <w:pgSz w:w="12240" w:h="15840" w:orient="portrait"/>
          <w:cols w:equalWidth="0" w:num="1">
            <w:col w:w="10480"/>
          </w:cols>
          <w:pgMar w:left="880" w:top="1165" w:right="880" w:bottom="401" w:gutter="0" w:footer="0" w:header="0"/>
          <w:type w:val="continuous"/>
        </w:sectPr>
      </w:pPr>
    </w:p>
    <w:bookmarkStart w:id="125" w:name="page126"/>
    <w:bookmarkEnd w:id="125"/>
    <w:p>
      <w:pPr>
        <w:jc w:val="both"/>
        <w:ind w:right="180" w:firstLine="475"/>
        <w:spacing w:after="0" w:line="221" w:lineRule="exact"/>
        <w:rPr>
          <w:sz w:val="20"/>
          <w:szCs w:val="20"/>
          <w:color w:val="auto"/>
        </w:rPr>
      </w:pPr>
      <w:r>
        <w:rPr>
          <w:rFonts w:ascii="Arial" w:cs="Arial" w:eastAsia="Arial" w:hAnsi="Arial"/>
          <w:sz w:val="16"/>
          <w:szCs w:val="16"/>
          <w:b w:val="1"/>
          <w:bCs w:val="1"/>
          <w:color w:val="231F20"/>
        </w:rPr>
        <w:t>Utilization of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U.S. net operating loss and credit carryforwards may be subject to substantial annual limitation due to the ownership change limitations provided by the Internal Revenue Code and similar state provisions. Such annual limitation could result in the expiration of the U.S. net operating loss and credit carryforwards before utilization. To date, the Company has not performed an analysis to determine whether there would be a substantial annual limitation due to a change in ownership.</w:t>
      </w:r>
    </w:p>
    <w:p>
      <w:pPr>
        <w:spacing w:after="0" w:line="238"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Unrecognized Tax Benefits</w:t>
      </w:r>
    </w:p>
    <w:p>
      <w:pPr>
        <w:spacing w:after="0" w:line="128" w:lineRule="exact"/>
        <w:rPr>
          <w:sz w:val="20"/>
          <w:szCs w:val="20"/>
          <w:color w:val="auto"/>
        </w:rPr>
      </w:pPr>
    </w:p>
    <w:p>
      <w:pPr>
        <w:ind w:right="40" w:firstLine="475"/>
        <w:spacing w:after="0" w:line="299" w:lineRule="auto"/>
        <w:rPr>
          <w:sz w:val="20"/>
          <w:szCs w:val="20"/>
          <w:color w:val="auto"/>
        </w:rPr>
      </w:pPr>
      <w:r>
        <w:rPr>
          <w:rFonts w:ascii="Arial" w:cs="Arial" w:eastAsia="Arial" w:hAnsi="Arial"/>
          <w:sz w:val="16"/>
          <w:szCs w:val="16"/>
          <w:b w:val="1"/>
          <w:bCs w:val="1"/>
          <w:color w:val="231F20"/>
        </w:rPr>
        <w:t>The Company recognizes the tax benefit from uncertain tax positions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The Company recognizes interest and penalties related to unrecognized tax benefits in income tax expense. The Company files income tax returns in the U.S. federal and California jurisdiction, which is not currently under exam, and all years since inception are opened to examination.</w:t>
      </w:r>
    </w:p>
    <w:p>
      <w:pPr>
        <w:spacing w:after="0" w:line="85" w:lineRule="exact"/>
        <w:rPr>
          <w:sz w:val="20"/>
          <w:szCs w:val="20"/>
          <w:color w:val="auto"/>
        </w:rPr>
      </w:pPr>
    </w:p>
    <w:p>
      <w:pPr>
        <w:ind w:right="40" w:firstLine="475"/>
        <w:spacing w:after="0" w:line="220" w:lineRule="exact"/>
        <w:rPr>
          <w:sz w:val="20"/>
          <w:szCs w:val="20"/>
          <w:color w:val="auto"/>
        </w:rPr>
      </w:pPr>
      <w:r>
        <w:rPr>
          <w:rFonts w:ascii="Arial" w:cs="Arial" w:eastAsia="Arial" w:hAnsi="Arial"/>
          <w:sz w:val="19"/>
          <w:szCs w:val="19"/>
          <w:b w:val="1"/>
          <w:bCs w:val="1"/>
          <w:color w:val="231F20"/>
        </w:rPr>
        <w:t>The unrecognized tax benefits as of December 31, 2024, 2023 and 2022 were $4.1 million, $3.1 million and $1.7 million, respectively. Future changes in the unrecognized tax benefits will not impact the effective tax rate due to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full valuation allowance.</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The Company has the following activity relating to unrecognized tax benefits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160" w:type="dxa"/>
            <w:vAlign w:val="bottom"/>
          </w:tcPr>
          <w:p>
            <w:pPr>
              <w:spacing w:after="0"/>
              <w:rPr>
                <w:sz w:val="18"/>
                <w:szCs w:val="18"/>
                <w:color w:val="auto"/>
              </w:rPr>
            </w:pPr>
          </w:p>
        </w:tc>
        <w:tc>
          <w:tcPr>
            <w:tcW w:w="1020" w:type="dxa"/>
            <w:vAlign w:val="bottom"/>
            <w:tcBorders>
              <w:bottom w:val="single" w:sz="8" w:color="231F20"/>
            </w:tcBorders>
          </w:tcPr>
          <w:p>
            <w:pPr>
              <w:spacing w:after="0"/>
              <w:rPr>
                <w:sz w:val="18"/>
                <w:szCs w:val="18"/>
                <w:color w:val="auto"/>
              </w:rPr>
            </w:pPr>
          </w:p>
        </w:tc>
        <w:tc>
          <w:tcPr>
            <w:tcW w:w="2980" w:type="dxa"/>
            <w:vAlign w:val="bottom"/>
            <w:tcBorders>
              <w:bottom w:val="single" w:sz="8" w:color="231F20"/>
            </w:tcBorders>
            <w:gridSpan w:val="7"/>
          </w:tcPr>
          <w:p>
            <w:pPr>
              <w:jc w:val="right"/>
              <w:ind w:right="223"/>
              <w:spacing w:after="0"/>
              <w:rPr>
                <w:sz w:val="20"/>
                <w:szCs w:val="20"/>
                <w:color w:val="auto"/>
              </w:rPr>
            </w:pPr>
            <w:r>
              <w:rPr>
                <w:rFonts w:ascii="Arial" w:cs="Arial" w:eastAsia="Arial" w:hAnsi="Arial"/>
                <w:sz w:val="19"/>
                <w:szCs w:val="19"/>
                <w:b w:val="1"/>
                <w:bCs w:val="1"/>
                <w:color w:val="231F20"/>
              </w:rPr>
              <w:t>Year Ended December 31,</w:t>
            </w:r>
          </w:p>
        </w:tc>
        <w:tc>
          <w:tcPr>
            <w:tcW w:w="1220" w:type="dxa"/>
            <w:vAlign w:val="bottom"/>
            <w:tcBorders>
              <w:bottom w:val="single" w:sz="8" w:color="231F20"/>
            </w:tcBorders>
          </w:tcPr>
          <w:p>
            <w:pPr>
              <w:spacing w:after="0"/>
              <w:rPr>
                <w:sz w:val="18"/>
                <w:szCs w:val="18"/>
                <w:color w:val="auto"/>
              </w:rPr>
            </w:pPr>
          </w:p>
        </w:tc>
        <w:tc>
          <w:tcPr>
            <w:tcW w:w="60" w:type="dxa"/>
            <w:vAlign w:val="bottom"/>
          </w:tcPr>
          <w:p>
            <w:pPr>
              <w:spacing w:after="0"/>
              <w:rPr>
                <w:sz w:val="18"/>
                <w:szCs w:val="18"/>
                <w:color w:val="auto"/>
              </w:rPr>
            </w:pPr>
          </w:p>
        </w:tc>
      </w:tr>
      <w:tr>
        <w:trPr>
          <w:trHeight w:val="226"/>
        </w:trPr>
        <w:tc>
          <w:tcPr>
            <w:tcW w:w="5160" w:type="dxa"/>
            <w:vAlign w:val="bottom"/>
          </w:tcPr>
          <w:p>
            <w:pPr>
              <w:spacing w:after="0"/>
              <w:rPr>
                <w:sz w:val="19"/>
                <w:szCs w:val="19"/>
                <w:color w:val="auto"/>
              </w:rPr>
            </w:pPr>
          </w:p>
        </w:tc>
        <w:tc>
          <w:tcPr>
            <w:tcW w:w="102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2024</w:t>
            </w:r>
          </w:p>
        </w:tc>
        <w:tc>
          <w:tcPr>
            <w:tcW w:w="520" w:type="dxa"/>
            <w:vAlign w:val="bottom"/>
            <w:tcBorders>
              <w:bottom w:val="single" w:sz="8" w:color="231F20"/>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231F20"/>
            </w:tcBorders>
          </w:tcPr>
          <w:p>
            <w:pPr>
              <w:spacing w:after="0"/>
              <w:rPr>
                <w:sz w:val="19"/>
                <w:szCs w:val="19"/>
                <w:color w:val="auto"/>
              </w:rPr>
            </w:pPr>
          </w:p>
        </w:tc>
        <w:tc>
          <w:tcPr>
            <w:tcW w:w="1220" w:type="dxa"/>
            <w:vAlign w:val="bottom"/>
            <w:tcBorders>
              <w:bottom w:val="single" w:sz="8" w:color="231F20"/>
            </w:tcBorders>
          </w:tcPr>
          <w:p>
            <w:pPr>
              <w:jc w:val="right"/>
              <w:ind w:right="483"/>
              <w:spacing w:after="0"/>
              <w:rPr>
                <w:sz w:val="20"/>
                <w:szCs w:val="20"/>
                <w:color w:val="auto"/>
              </w:rPr>
            </w:pPr>
            <w:r>
              <w:rPr>
                <w:rFonts w:ascii="Arial" w:cs="Arial" w:eastAsia="Arial" w:hAnsi="Arial"/>
                <w:sz w:val="19"/>
                <w:szCs w:val="19"/>
                <w:b w:val="1"/>
                <w:bCs w:val="1"/>
                <w:color w:val="231F20"/>
              </w:rPr>
              <w:t>2023</w:t>
            </w:r>
          </w:p>
        </w:tc>
        <w:tc>
          <w:tcPr>
            <w:tcW w:w="280" w:type="dxa"/>
            <w:vAlign w:val="bottom"/>
          </w:tcPr>
          <w:p>
            <w:pPr>
              <w:spacing w:after="0"/>
              <w:rPr>
                <w:sz w:val="19"/>
                <w:szCs w:val="19"/>
                <w:color w:val="auto"/>
              </w:rPr>
            </w:pPr>
          </w:p>
        </w:tc>
        <w:tc>
          <w:tcPr>
            <w:tcW w:w="340" w:type="dxa"/>
            <w:vAlign w:val="bottom"/>
            <w:tcBorders>
              <w:bottom w:val="single" w:sz="8" w:color="231F20"/>
            </w:tcBorders>
          </w:tcPr>
          <w:p>
            <w:pPr>
              <w:spacing w:after="0"/>
              <w:rPr>
                <w:sz w:val="19"/>
                <w:szCs w:val="19"/>
                <w:color w:val="auto"/>
              </w:rPr>
            </w:pPr>
          </w:p>
        </w:tc>
        <w:tc>
          <w:tcPr>
            <w:tcW w:w="1220" w:type="dxa"/>
            <w:vAlign w:val="bottom"/>
            <w:tcBorders>
              <w:bottom w:val="single" w:sz="8" w:color="231F20"/>
            </w:tcBorders>
          </w:tcPr>
          <w:p>
            <w:pPr>
              <w:jc w:val="right"/>
              <w:ind w:right="503"/>
              <w:spacing w:after="0"/>
              <w:rPr>
                <w:sz w:val="20"/>
                <w:szCs w:val="20"/>
                <w:color w:val="auto"/>
              </w:rPr>
            </w:pPr>
            <w:r>
              <w:rPr>
                <w:rFonts w:ascii="Arial" w:cs="Arial" w:eastAsia="Arial" w:hAnsi="Arial"/>
                <w:sz w:val="19"/>
                <w:szCs w:val="19"/>
                <w:b w:val="1"/>
                <w:bCs w:val="1"/>
                <w:color w:val="231F20"/>
              </w:rPr>
              <w:t>2022</w:t>
            </w:r>
          </w:p>
        </w:tc>
        <w:tc>
          <w:tcPr>
            <w:tcW w:w="60" w:type="dxa"/>
            <w:vAlign w:val="bottom"/>
          </w:tcPr>
          <w:p>
            <w:pPr>
              <w:spacing w:after="0"/>
              <w:rPr>
                <w:sz w:val="19"/>
                <w:szCs w:val="19"/>
                <w:color w:val="auto"/>
              </w:rPr>
            </w:pPr>
          </w:p>
        </w:tc>
      </w:tr>
      <w:tr>
        <w:trPr>
          <w:trHeight w:val="226"/>
        </w:trPr>
        <w:tc>
          <w:tcPr>
            <w:tcW w:w="5160" w:type="dxa"/>
            <w:vAlign w:val="bottom"/>
          </w:tcPr>
          <w:p>
            <w:pPr>
              <w:spacing w:after="0"/>
              <w:rPr>
                <w:sz w:val="20"/>
                <w:szCs w:val="20"/>
                <w:color w:val="auto"/>
              </w:rPr>
            </w:pPr>
            <w:r>
              <w:rPr>
                <w:rFonts w:ascii="Arial" w:cs="Arial" w:eastAsia="Arial" w:hAnsi="Arial"/>
                <w:sz w:val="19"/>
                <w:szCs w:val="19"/>
                <w:b w:val="1"/>
                <w:bCs w:val="1"/>
                <w:color w:val="231F20"/>
              </w:rPr>
              <w:t>Balance at beginning of year</w:t>
            </w:r>
          </w:p>
        </w:tc>
        <w:tc>
          <w:tcPr>
            <w:tcW w:w="1020" w:type="dxa"/>
            <w:vAlign w:val="bottom"/>
          </w:tcPr>
          <w:p>
            <w:pPr>
              <w:jc w:val="right"/>
              <w:ind w:right="857"/>
              <w:spacing w:after="0"/>
              <w:rPr>
                <w:sz w:val="20"/>
                <w:szCs w:val="20"/>
                <w:color w:val="auto"/>
              </w:rPr>
            </w:pPr>
            <w:r>
              <w:rPr>
                <w:rFonts w:ascii="Arial" w:cs="Arial" w:eastAsia="Arial" w:hAnsi="Arial"/>
                <w:sz w:val="15"/>
                <w:szCs w:val="15"/>
                <w:b w:val="1"/>
                <w:bCs w:val="1"/>
                <w:color w:val="231F20"/>
                <w:w w:val="71"/>
              </w:rPr>
              <w:t>$</w:t>
            </w:r>
          </w:p>
        </w:tc>
        <w:tc>
          <w:tcPr>
            <w:tcW w:w="520" w:type="dxa"/>
            <w:vAlign w:val="bottom"/>
          </w:tcPr>
          <w:p>
            <w:pPr>
              <w:jc w:val="right"/>
              <w:spacing w:after="0"/>
              <w:rPr>
                <w:sz w:val="20"/>
                <w:szCs w:val="20"/>
                <w:color w:val="auto"/>
              </w:rPr>
            </w:pPr>
            <w:r>
              <w:rPr>
                <w:rFonts w:ascii="Arial" w:cs="Arial" w:eastAsia="Arial" w:hAnsi="Arial"/>
                <w:sz w:val="19"/>
                <w:szCs w:val="19"/>
                <w:b w:val="1"/>
                <w:bCs w:val="1"/>
                <w:color w:val="231F20"/>
              </w:rPr>
              <w:t>3,120</w:t>
            </w:r>
          </w:p>
        </w:tc>
        <w:tc>
          <w:tcPr>
            <w:tcW w:w="180" w:type="dxa"/>
            <w:vAlign w:val="bottom"/>
          </w:tcPr>
          <w:p>
            <w:pPr>
              <w:spacing w:after="0"/>
              <w:rPr>
                <w:sz w:val="19"/>
                <w:szCs w:val="19"/>
                <w:color w:val="auto"/>
              </w:rPr>
            </w:pPr>
          </w:p>
        </w:tc>
        <w:tc>
          <w:tcPr>
            <w:tcW w:w="440" w:type="dxa"/>
            <w:vAlign w:val="bottom"/>
            <w:gridSpan w:val="2"/>
          </w:tcPr>
          <w:p>
            <w:pPr>
              <w:jc w:val="right"/>
              <w:ind w:right="143"/>
              <w:spacing w:after="0"/>
              <w:rPr>
                <w:sz w:val="20"/>
                <w:szCs w:val="20"/>
                <w:color w:val="auto"/>
              </w:rPr>
            </w:pPr>
            <w:r>
              <w:rPr>
                <w:rFonts w:ascii="Arial" w:cs="Arial" w:eastAsia="Arial" w:hAnsi="Arial"/>
                <w:sz w:val="19"/>
                <w:szCs w:val="19"/>
                <w:b w:val="1"/>
                <w:bCs w:val="1"/>
                <w:color w:val="231F20"/>
              </w:rPr>
              <w:t>$</w:t>
            </w:r>
          </w:p>
        </w:tc>
        <w:tc>
          <w:tcPr>
            <w:tcW w:w="1220" w:type="dxa"/>
            <w:vAlign w:val="bottom"/>
          </w:tcPr>
          <w:p>
            <w:pPr>
              <w:jc w:val="right"/>
              <w:spacing w:after="0"/>
              <w:rPr>
                <w:sz w:val="20"/>
                <w:szCs w:val="20"/>
                <w:color w:val="auto"/>
              </w:rPr>
            </w:pPr>
            <w:r>
              <w:rPr>
                <w:rFonts w:ascii="Arial" w:cs="Arial" w:eastAsia="Arial" w:hAnsi="Arial"/>
                <w:sz w:val="19"/>
                <w:szCs w:val="19"/>
                <w:b w:val="1"/>
                <w:bCs w:val="1"/>
                <w:color w:val="231F20"/>
              </w:rPr>
              <w:t>1,661</w:t>
            </w:r>
          </w:p>
        </w:tc>
        <w:tc>
          <w:tcPr>
            <w:tcW w:w="280" w:type="dxa"/>
            <w:vAlign w:val="bottom"/>
          </w:tcPr>
          <w:p>
            <w:pPr>
              <w:spacing w:after="0"/>
              <w:rPr>
                <w:sz w:val="19"/>
                <w:szCs w:val="19"/>
                <w:color w:val="auto"/>
              </w:rPr>
            </w:pPr>
          </w:p>
        </w:tc>
        <w:tc>
          <w:tcPr>
            <w:tcW w:w="340" w:type="dxa"/>
            <w:vAlign w:val="bottom"/>
          </w:tcPr>
          <w:p>
            <w:pPr>
              <w:jc w:val="right"/>
              <w:ind w:right="143"/>
              <w:spacing w:after="0"/>
              <w:rPr>
                <w:sz w:val="20"/>
                <w:szCs w:val="20"/>
                <w:color w:val="auto"/>
              </w:rPr>
            </w:pPr>
            <w:r>
              <w:rPr>
                <w:rFonts w:ascii="Arial" w:cs="Arial" w:eastAsia="Arial" w:hAnsi="Arial"/>
                <w:sz w:val="19"/>
                <w:szCs w:val="19"/>
                <w:b w:val="1"/>
                <w:bCs w:val="1"/>
                <w:color w:val="231F20"/>
                <w:w w:val="75"/>
              </w:rPr>
              <w:t>$</w:t>
            </w:r>
          </w:p>
        </w:tc>
        <w:tc>
          <w:tcPr>
            <w:tcW w:w="1220" w:type="dxa"/>
            <w:vAlign w:val="bottom"/>
          </w:tcPr>
          <w:p>
            <w:pPr>
              <w:jc w:val="right"/>
              <w:spacing w:after="0"/>
              <w:rPr>
                <w:sz w:val="20"/>
                <w:szCs w:val="20"/>
                <w:color w:val="auto"/>
              </w:rPr>
            </w:pPr>
            <w:r>
              <w:rPr>
                <w:rFonts w:ascii="Arial" w:cs="Arial" w:eastAsia="Arial" w:hAnsi="Arial"/>
                <w:sz w:val="19"/>
                <w:szCs w:val="19"/>
                <w:b w:val="1"/>
                <w:bCs w:val="1"/>
                <w:color w:val="231F20"/>
              </w:rPr>
              <w:t>1,217</w:t>
            </w:r>
          </w:p>
        </w:tc>
        <w:tc>
          <w:tcPr>
            <w:tcW w:w="60" w:type="dxa"/>
            <w:vAlign w:val="bottom"/>
          </w:tcPr>
          <w:p>
            <w:pPr>
              <w:spacing w:after="0"/>
              <w:rPr>
                <w:sz w:val="19"/>
                <w:szCs w:val="19"/>
                <w:color w:val="auto"/>
              </w:rPr>
            </w:pPr>
          </w:p>
        </w:tc>
      </w:tr>
      <w:tr>
        <w:trPr>
          <w:trHeight w:val="238"/>
        </w:trPr>
        <w:tc>
          <w:tcPr>
            <w:tcW w:w="5160" w:type="dxa"/>
            <w:vAlign w:val="bottom"/>
          </w:tcPr>
          <w:p>
            <w:pPr>
              <w:spacing w:after="0"/>
              <w:rPr>
                <w:sz w:val="20"/>
                <w:szCs w:val="20"/>
                <w:color w:val="auto"/>
              </w:rPr>
            </w:pPr>
            <w:r>
              <w:rPr>
                <w:rFonts w:ascii="Arial" w:cs="Arial" w:eastAsia="Arial" w:hAnsi="Arial"/>
                <w:sz w:val="19"/>
                <w:szCs w:val="19"/>
                <w:b w:val="1"/>
                <w:bCs w:val="1"/>
                <w:color w:val="231F20"/>
                <w:w w:val="99"/>
              </w:rPr>
              <w:t>Additions/reversals based on tax positions of prior years</w:t>
            </w:r>
          </w:p>
        </w:tc>
        <w:tc>
          <w:tcPr>
            <w:tcW w:w="1020" w:type="dxa"/>
            <w:vAlign w:val="bottom"/>
          </w:tcPr>
          <w:p>
            <w:pPr>
              <w:spacing w:after="0"/>
              <w:rPr>
                <w:sz w:val="20"/>
                <w:szCs w:val="20"/>
                <w:color w:val="auto"/>
              </w:rPr>
            </w:pPr>
          </w:p>
        </w:tc>
        <w:tc>
          <w:tcPr>
            <w:tcW w:w="52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231F20"/>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9"/>
                <w:szCs w:val="19"/>
                <w:b w:val="1"/>
                <w:bCs w:val="1"/>
                <w:color w:val="231F20"/>
              </w:rPr>
              <w:t>81</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9"/>
                <w:szCs w:val="19"/>
                <w:b w:val="1"/>
                <w:bCs w:val="1"/>
                <w:color w:val="231F20"/>
              </w:rPr>
              <w:t>13</w:t>
            </w:r>
          </w:p>
        </w:tc>
        <w:tc>
          <w:tcPr>
            <w:tcW w:w="60" w:type="dxa"/>
            <w:vAlign w:val="bottom"/>
          </w:tcPr>
          <w:p>
            <w:pPr>
              <w:spacing w:after="0"/>
              <w:rPr>
                <w:sz w:val="20"/>
                <w:szCs w:val="20"/>
                <w:color w:val="auto"/>
              </w:rPr>
            </w:pPr>
          </w:p>
        </w:tc>
      </w:tr>
      <w:tr>
        <w:trPr>
          <w:trHeight w:val="235"/>
        </w:trPr>
        <w:tc>
          <w:tcPr>
            <w:tcW w:w="5160" w:type="dxa"/>
            <w:vAlign w:val="bottom"/>
          </w:tcPr>
          <w:p>
            <w:pPr>
              <w:spacing w:after="0"/>
              <w:rPr>
                <w:sz w:val="20"/>
                <w:szCs w:val="20"/>
                <w:color w:val="auto"/>
              </w:rPr>
            </w:pPr>
            <w:r>
              <w:rPr>
                <w:rFonts w:ascii="Arial" w:cs="Arial" w:eastAsia="Arial" w:hAnsi="Arial"/>
                <w:sz w:val="19"/>
                <w:szCs w:val="19"/>
                <w:b w:val="1"/>
                <w:bCs w:val="1"/>
                <w:color w:val="231F20"/>
                <w:w w:val="95"/>
              </w:rPr>
              <w:t>Additions based on tax positions related to the current year</w:t>
            </w:r>
          </w:p>
        </w:tc>
        <w:tc>
          <w:tcPr>
            <w:tcW w:w="10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9"/>
                <w:szCs w:val="19"/>
                <w:b w:val="1"/>
                <w:bCs w:val="1"/>
                <w:color w:val="231F20"/>
              </w:rPr>
              <w:t>1,097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9"/>
                <w:szCs w:val="19"/>
                <w:b w:val="1"/>
                <w:bCs w:val="1"/>
                <w:color w:val="231F20"/>
              </w:rPr>
              <w:t>1,409</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9"/>
                <w:szCs w:val="19"/>
                <w:b w:val="1"/>
                <w:bCs w:val="1"/>
                <w:color w:val="231F20"/>
              </w:rPr>
              <w:t>443</w:t>
            </w:r>
          </w:p>
        </w:tc>
        <w:tc>
          <w:tcPr>
            <w:tcW w:w="60" w:type="dxa"/>
            <w:vAlign w:val="bottom"/>
          </w:tcPr>
          <w:p>
            <w:pPr>
              <w:spacing w:after="0"/>
              <w:rPr>
                <w:sz w:val="20"/>
                <w:szCs w:val="20"/>
                <w:color w:val="auto"/>
              </w:rPr>
            </w:pPr>
          </w:p>
        </w:tc>
      </w:tr>
      <w:tr>
        <w:trPr>
          <w:trHeight w:val="237"/>
        </w:trPr>
        <w:tc>
          <w:tcPr>
            <w:tcW w:w="5160" w:type="dxa"/>
            <w:vAlign w:val="bottom"/>
          </w:tcPr>
          <w:p>
            <w:pPr>
              <w:spacing w:after="0"/>
              <w:rPr>
                <w:sz w:val="20"/>
                <w:szCs w:val="20"/>
                <w:color w:val="auto"/>
              </w:rPr>
            </w:pPr>
            <w:r>
              <w:rPr>
                <w:rFonts w:ascii="Arial" w:cs="Arial" w:eastAsia="Arial" w:hAnsi="Arial"/>
                <w:sz w:val="19"/>
                <w:szCs w:val="19"/>
                <w:b w:val="1"/>
                <w:bCs w:val="1"/>
                <w:color w:val="231F20"/>
              </w:rPr>
              <w:t>Lapses in statutes of limitations</w:t>
            </w:r>
          </w:p>
        </w:tc>
        <w:tc>
          <w:tcPr>
            <w:tcW w:w="10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231F20"/>
              </w:rPr>
              <w:t>(107)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9"/>
                <w:szCs w:val="19"/>
                <w:b w:val="1"/>
                <w:bCs w:val="1"/>
                <w:color w:val="231F20"/>
              </w:rPr>
              <w:t>(31)</w:t>
            </w:r>
          </w:p>
        </w:tc>
        <w:tc>
          <w:tcPr>
            <w:tcW w:w="34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(12)</w:t>
            </w:r>
          </w:p>
        </w:tc>
      </w:tr>
      <w:tr>
        <w:trPr>
          <w:trHeight w:val="228"/>
        </w:trPr>
        <w:tc>
          <w:tcPr>
            <w:tcW w:w="5160" w:type="dxa"/>
            <w:vAlign w:val="bottom"/>
          </w:tcPr>
          <w:p>
            <w:pPr>
              <w:spacing w:after="0"/>
              <w:rPr>
                <w:sz w:val="20"/>
                <w:szCs w:val="20"/>
                <w:color w:val="auto"/>
              </w:rPr>
            </w:pPr>
            <w:r>
              <w:rPr>
                <w:rFonts w:ascii="Arial" w:cs="Arial" w:eastAsia="Arial" w:hAnsi="Arial"/>
                <w:sz w:val="19"/>
                <w:szCs w:val="19"/>
                <w:b w:val="1"/>
                <w:bCs w:val="1"/>
                <w:color w:val="231F20"/>
              </w:rPr>
              <w:t>Balance at end of year</w:t>
            </w:r>
          </w:p>
        </w:tc>
        <w:tc>
          <w:tcPr>
            <w:tcW w:w="1020" w:type="dxa"/>
            <w:vAlign w:val="bottom"/>
            <w:tcBorders>
              <w:top w:val="single" w:sz="8" w:color="231F20"/>
            </w:tcBorders>
          </w:tcPr>
          <w:p>
            <w:pPr>
              <w:jc w:val="right"/>
              <w:ind w:right="857"/>
              <w:spacing w:after="0"/>
              <w:rPr>
                <w:sz w:val="20"/>
                <w:szCs w:val="20"/>
                <w:color w:val="auto"/>
              </w:rPr>
            </w:pPr>
            <w:r>
              <w:rPr>
                <w:rFonts w:ascii="Arial" w:cs="Arial" w:eastAsia="Arial" w:hAnsi="Arial"/>
                <w:sz w:val="15"/>
                <w:szCs w:val="15"/>
                <w:b w:val="1"/>
                <w:bCs w:val="1"/>
                <w:color w:val="231F20"/>
                <w:w w:val="71"/>
              </w:rPr>
              <w:t>$</w:t>
            </w:r>
          </w:p>
        </w:tc>
        <w:tc>
          <w:tcPr>
            <w:tcW w:w="520" w:type="dxa"/>
            <w:vAlign w:val="bottom"/>
            <w:tcBorders>
              <w:top w:val="single" w:sz="8" w:color="231F20"/>
            </w:tcBorders>
          </w:tcPr>
          <w:p>
            <w:pPr>
              <w:jc w:val="right"/>
              <w:spacing w:after="0"/>
              <w:rPr>
                <w:sz w:val="20"/>
                <w:szCs w:val="20"/>
                <w:color w:val="auto"/>
              </w:rPr>
            </w:pPr>
            <w:r>
              <w:rPr>
                <w:rFonts w:ascii="Arial" w:cs="Arial" w:eastAsia="Arial" w:hAnsi="Arial"/>
                <w:sz w:val="19"/>
                <w:szCs w:val="19"/>
                <w:b w:val="1"/>
                <w:bCs w:val="1"/>
                <w:color w:val="231F20"/>
              </w:rPr>
              <w:t>4,110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231F20"/>
            </w:tcBorders>
          </w:tcPr>
          <w:p>
            <w:pPr>
              <w:jc w:val="right"/>
              <w:ind w:right="143"/>
              <w:spacing w:after="0"/>
              <w:rPr>
                <w:sz w:val="20"/>
                <w:szCs w:val="20"/>
                <w:color w:val="auto"/>
              </w:rPr>
            </w:pPr>
            <w:r>
              <w:rPr>
                <w:rFonts w:ascii="Arial" w:cs="Arial" w:eastAsia="Arial" w:hAnsi="Arial"/>
                <w:sz w:val="19"/>
                <w:szCs w:val="19"/>
                <w:b w:val="1"/>
                <w:bCs w:val="1"/>
                <w:color w:val="231F20"/>
                <w:w w:val="75"/>
              </w:rPr>
              <w:t>$</w:t>
            </w:r>
          </w:p>
        </w:tc>
        <w:tc>
          <w:tcPr>
            <w:tcW w:w="1220" w:type="dxa"/>
            <w:vAlign w:val="bottom"/>
            <w:tcBorders>
              <w:top w:val="single" w:sz="8" w:color="231F20"/>
            </w:tcBorders>
          </w:tcPr>
          <w:p>
            <w:pPr>
              <w:jc w:val="right"/>
              <w:spacing w:after="0"/>
              <w:rPr>
                <w:sz w:val="20"/>
                <w:szCs w:val="20"/>
                <w:color w:val="auto"/>
              </w:rPr>
            </w:pPr>
            <w:r>
              <w:rPr>
                <w:rFonts w:ascii="Arial" w:cs="Arial" w:eastAsia="Arial" w:hAnsi="Arial"/>
                <w:sz w:val="19"/>
                <w:szCs w:val="19"/>
                <w:b w:val="1"/>
                <w:bCs w:val="1"/>
                <w:color w:val="231F20"/>
              </w:rPr>
              <w:t>3,120</w:t>
            </w:r>
          </w:p>
        </w:tc>
        <w:tc>
          <w:tcPr>
            <w:tcW w:w="280" w:type="dxa"/>
            <w:vAlign w:val="bottom"/>
          </w:tcPr>
          <w:p>
            <w:pPr>
              <w:spacing w:after="0"/>
              <w:rPr>
                <w:sz w:val="19"/>
                <w:szCs w:val="19"/>
                <w:color w:val="auto"/>
              </w:rPr>
            </w:pPr>
          </w:p>
        </w:tc>
        <w:tc>
          <w:tcPr>
            <w:tcW w:w="340" w:type="dxa"/>
            <w:vAlign w:val="bottom"/>
            <w:tcBorders>
              <w:top w:val="single" w:sz="8" w:color="231F20"/>
            </w:tcBorders>
          </w:tcPr>
          <w:p>
            <w:pPr>
              <w:jc w:val="right"/>
              <w:ind w:right="143"/>
              <w:spacing w:after="0"/>
              <w:rPr>
                <w:sz w:val="20"/>
                <w:szCs w:val="20"/>
                <w:color w:val="auto"/>
              </w:rPr>
            </w:pPr>
            <w:r>
              <w:rPr>
                <w:rFonts w:ascii="Arial" w:cs="Arial" w:eastAsia="Arial" w:hAnsi="Arial"/>
                <w:sz w:val="19"/>
                <w:szCs w:val="19"/>
                <w:b w:val="1"/>
                <w:bCs w:val="1"/>
                <w:color w:val="231F20"/>
                <w:w w:val="75"/>
              </w:rPr>
              <w:t>$</w:t>
            </w:r>
          </w:p>
        </w:tc>
        <w:tc>
          <w:tcPr>
            <w:tcW w:w="1220" w:type="dxa"/>
            <w:vAlign w:val="bottom"/>
            <w:tcBorders>
              <w:top w:val="single" w:sz="8" w:color="231F20"/>
            </w:tcBorders>
          </w:tcPr>
          <w:p>
            <w:pPr>
              <w:jc w:val="right"/>
              <w:spacing w:after="0"/>
              <w:rPr>
                <w:sz w:val="20"/>
                <w:szCs w:val="20"/>
                <w:color w:val="auto"/>
              </w:rPr>
            </w:pPr>
            <w:r>
              <w:rPr>
                <w:rFonts w:ascii="Arial" w:cs="Arial" w:eastAsia="Arial" w:hAnsi="Arial"/>
                <w:sz w:val="19"/>
                <w:szCs w:val="19"/>
                <w:b w:val="1"/>
                <w:bCs w:val="1"/>
                <w:color w:val="231F20"/>
              </w:rPr>
              <w:t>1,661</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-11430</wp:posOffset>
            </wp:positionV>
            <wp:extent cx="3341370" cy="5461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341370" cy="54610"/>
                    </a:xfrm>
                    <a:prstGeom prst="rect">
                      <a:avLst/>
                    </a:prstGeom>
                    <a:noFill/>
                  </pic:spPr>
                </pic:pic>
              </a:graphicData>
            </a:graphic>
          </wp:anchor>
        </w:drawing>
      </w:r>
    </w:p>
    <w:p>
      <w:pPr>
        <w:spacing w:after="0" w:line="266" w:lineRule="exact"/>
        <w:rPr>
          <w:sz w:val="20"/>
          <w:szCs w:val="20"/>
          <w:color w:val="auto"/>
        </w:rPr>
      </w:pPr>
    </w:p>
    <w:p>
      <w:pPr>
        <w:ind w:firstLine="475"/>
        <w:spacing w:after="0" w:line="279" w:lineRule="auto"/>
        <w:rPr>
          <w:sz w:val="20"/>
          <w:szCs w:val="20"/>
          <w:color w:val="auto"/>
        </w:rPr>
      </w:pPr>
      <w:r>
        <w:rPr>
          <w:rFonts w:ascii="Arial" w:cs="Arial" w:eastAsia="Arial" w:hAnsi="Arial"/>
          <w:sz w:val="17"/>
          <w:szCs w:val="17"/>
          <w:b w:val="1"/>
          <w:bCs w:val="1"/>
          <w:color w:val="231F20"/>
        </w:rPr>
        <w:t>Although it is reasonably possible that certain unrecognized tax benefits may increase or decrease within the next 12 months due to tax examination changes, settlement activities, expirations of statute of limitations or the impact on recognition and measurement considerations related to the results of published tax cases or other similar activities, the Company does not anticipate any significant changes to unrecognized tax benefits over the next 12 months. During the years ended December 31, 2024, 2023 and 2022, no significant interest or penalties were required to be recognized relating to unrecognized tax benefits.</w:t>
      </w:r>
    </w:p>
    <w:p>
      <w:pPr>
        <w:spacing w:after="0" w:line="322"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(10) RELATED-PARTY TRANSACTIONS</w:t>
      </w:r>
    </w:p>
    <w:p>
      <w:pPr>
        <w:spacing w:after="0" w:line="238"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Tallac Service Agreement</w:t>
      </w:r>
    </w:p>
    <w:p>
      <w:pPr>
        <w:spacing w:after="0" w:line="125" w:lineRule="exact"/>
        <w:rPr>
          <w:sz w:val="20"/>
          <w:szCs w:val="20"/>
          <w:color w:val="auto"/>
        </w:rPr>
      </w:pPr>
    </w:p>
    <w:p>
      <w:pPr>
        <w:ind w:right="40" w:firstLine="475"/>
        <w:spacing w:after="0" w:line="277" w:lineRule="auto"/>
        <w:rPr>
          <w:sz w:val="20"/>
          <w:szCs w:val="20"/>
          <w:color w:val="auto"/>
        </w:rPr>
      </w:pPr>
      <w:r>
        <w:rPr>
          <w:rFonts w:ascii="Arial" w:cs="Arial" w:eastAsia="Arial" w:hAnsi="Arial"/>
          <w:sz w:val="17"/>
          <w:szCs w:val="17"/>
          <w:b w:val="1"/>
          <w:bCs w:val="1"/>
          <w:color w:val="231F20"/>
        </w:rPr>
        <w:t>The Company entered into a research and development services agreement, or the Tallac Services Agreement, with Tallac Therapeutics, Inc., or Tallac, effective as of July 1, 2020. The Tallac Services Agreement provides that Tallac will provide certain preclinical research services to the Company for a service fee based on the costs incurred by Tallac plus a mark-up equal to 10.0% of such costs. The Tallac Services Agreement has an initial term of four years and is renewed automatically for additional one year terms thereafter. The Company records the payments for the research and development services as research and development, or R&amp;D, costs within the consolidated statements of operations. For the years ended December 31, 2024, 2023 and 2022, the Company recorded a nominal amount, $0.3 million and $0.6 million, respectively, as R&amp;D costs in relation to the Tallac Services Agreement. The Tallac Services Agreement was terminated on July 1, 2024.</w:t>
      </w:r>
    </w:p>
    <w:p>
      <w:pPr>
        <w:spacing w:after="0" w:line="208"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Tallac Collaboration Agreement</w:t>
      </w:r>
    </w:p>
    <w:p>
      <w:pPr>
        <w:spacing w:after="0" w:line="125" w:lineRule="exact"/>
        <w:rPr>
          <w:sz w:val="20"/>
          <w:szCs w:val="20"/>
          <w:color w:val="auto"/>
        </w:rPr>
      </w:pPr>
    </w:p>
    <w:p>
      <w:pPr>
        <w:ind w:right="20" w:firstLine="475"/>
        <w:spacing w:after="0" w:line="222" w:lineRule="exact"/>
        <w:rPr>
          <w:sz w:val="20"/>
          <w:szCs w:val="20"/>
          <w:color w:val="auto"/>
        </w:rPr>
      </w:pPr>
      <w:r>
        <w:rPr>
          <w:rFonts w:ascii="Arial" w:cs="Arial" w:eastAsia="Arial" w:hAnsi="Arial"/>
          <w:sz w:val="18"/>
          <w:szCs w:val="18"/>
          <w:b w:val="1"/>
          <w:bCs w:val="1"/>
          <w:color w:val="231F20"/>
        </w:rPr>
        <w:t>On March 4, 2021, the Company entered into a Collaboration Agreement with Tallac, or the Tallac Collaboration Agreement, to jointly develop, manufacture, and commercialize a novel class of cancer immunotherapy. The collaboration builds on the Company</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expertise in developing therapies that block the CD47 checkpoint pathway and expands its immuno-oncology pipeline. The companies will leverage their respective scientific and technical expertise to advance an anti-SIRP</w:t>
      </w:r>
      <w:r>
        <w:rPr>
          <w:sz w:val="1"/>
          <w:szCs w:val="1"/>
          <w:color w:val="auto"/>
        </w:rPr>
        <w:drawing>
          <wp:inline distT="0" distB="0" distL="0" distR="0">
            <wp:extent cx="83185" cy="83185"/>
            <wp:effectExtent l="0" t="0" r="0" b="0"/>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3185" cy="83185"/>
                    </a:xfrm>
                    <a:prstGeom prst="rect">
                      <a:avLst/>
                    </a:prstGeom>
                    <a:noFill/>
                    <a:ln>
                      <a:noFill/>
                    </a:ln>
                  </pic:spPr>
                </pic:pic>
              </a:graphicData>
            </a:graphic>
          </wp:inline>
        </w:drawing>
      </w:r>
      <w:r>
        <w:rPr>
          <w:rFonts w:ascii="Arial" w:cs="Arial" w:eastAsia="Arial" w:hAnsi="Arial"/>
          <w:sz w:val="18"/>
          <w:szCs w:val="18"/>
          <w:b w:val="1"/>
          <w:bCs w:val="1"/>
          <w:color w:val="231F20"/>
        </w:rPr>
        <w:t xml:space="preserve"> antibody conjugated to a Toll-like receptor 9, or TLR9, agonist for targeted activation of both the innate and adaptive immune systems. The key economic components of the collaboration transaction include that both parties will share equally (a) in the cost and expenses of research and development and (b) any profit or loss.</w:t>
      </w:r>
    </w:p>
    <w:p>
      <w:pPr>
        <w:sectPr>
          <w:pgSz w:w="12240" w:h="15840" w:orient="portrait"/>
          <w:cols w:equalWidth="0" w:num="1">
            <w:col w:w="10480"/>
          </w:cols>
          <w:pgMar w:left="880" w:top="1165" w:right="880" w:bottom="4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31F20"/>
        </w:rPr>
        <w:t>118</w:t>
      </w:r>
    </w:p>
    <w:p>
      <w:pPr>
        <w:sectPr>
          <w:pgSz w:w="12240" w:h="15840" w:orient="portrait"/>
          <w:cols w:equalWidth="0" w:num="1">
            <w:col w:w="10480"/>
          </w:cols>
          <w:pgMar w:left="880" w:top="1165" w:right="880" w:bottom="401" w:gutter="0" w:footer="0" w:header="0"/>
          <w:type w:val="continuous"/>
        </w:sectPr>
      </w:pPr>
    </w:p>
    <w:bookmarkStart w:id="126" w:name="page127"/>
    <w:bookmarkEnd w:id="126"/>
    <w:p>
      <w:pPr>
        <w:ind w:right="40" w:firstLine="475"/>
        <w:spacing w:after="0" w:line="222" w:lineRule="exact"/>
        <w:rPr>
          <w:sz w:val="20"/>
          <w:szCs w:val="20"/>
          <w:color w:val="auto"/>
        </w:rPr>
      </w:pPr>
      <w:r>
        <w:rPr>
          <w:rFonts w:ascii="Arial" w:cs="Arial" w:eastAsia="Arial" w:hAnsi="Arial"/>
          <w:sz w:val="17"/>
          <w:szCs w:val="17"/>
          <w:b w:val="1"/>
          <w:bCs w:val="1"/>
          <w:color w:val="231F20"/>
        </w:rPr>
        <w:t>The Company accounts for R&amp;D costs in accordance with ASC 730, Research and Development, which states R&amp;D costs must be charged to expense as incurred. Accordingly, the Company records its internal and third-party costs associated with the collaboration as R&amp;D expenses as incurred. When the Company is entitled to reimbursement of the R&amp;D expenses that it incurs under the collaboration, the Company records those reimbursable amounts as a reduction to R&amp;D expenses. The Company also records as R&amp;D expenses, the portion of Tallac</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expenses that the Company is obligated to reimburse, in the period when Tallac incurs such expenses. During the years ended December 31, 2024, 2023 and 2022, the Company recorded $0.8 million, $1.7 million and $7.8 million, respectively, as R&amp;D costs in relation to the Tallac Collaboration Agreement.</w:t>
      </w:r>
    </w:p>
    <w:p>
      <w:pPr>
        <w:spacing w:after="0" w:line="129" w:lineRule="exact"/>
        <w:rPr>
          <w:sz w:val="20"/>
          <w:szCs w:val="20"/>
          <w:color w:val="auto"/>
        </w:rPr>
      </w:pPr>
    </w:p>
    <w:p>
      <w:pPr>
        <w:ind w:right="140" w:firstLine="475"/>
        <w:spacing w:after="0" w:line="260" w:lineRule="auto"/>
        <w:rPr>
          <w:sz w:val="20"/>
          <w:szCs w:val="20"/>
          <w:color w:val="auto"/>
        </w:rPr>
      </w:pPr>
      <w:r>
        <w:rPr>
          <w:rFonts w:ascii="Arial" w:cs="Arial" w:eastAsia="Arial" w:hAnsi="Arial"/>
          <w:sz w:val="18"/>
          <w:szCs w:val="18"/>
          <w:b w:val="1"/>
          <w:bCs w:val="1"/>
          <w:color w:val="231F20"/>
        </w:rPr>
        <w:t>The Tallac Collaboration Agreement includes the right to set off clause, as such, the Company records the amount due to or reimbursable from Tallac on a net basis. As of December 31, 2024 and 2023, the Company had accrued expenses of $0.1 million and $0.5 million, respectively, related to the Tallac Collaboration Agreement which was presented within the payable and accrued liabilities due to related party on the consolidated balance sheets.</w:t>
      </w:r>
    </w:p>
    <w:p>
      <w:pPr>
        <w:spacing w:after="0" w:line="221"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ScalmiBio Milestone Payments</w:t>
      </w:r>
    </w:p>
    <w:p>
      <w:pPr>
        <w:spacing w:after="0" w:line="128" w:lineRule="exact"/>
        <w:rPr>
          <w:sz w:val="20"/>
          <w:szCs w:val="20"/>
          <w:color w:val="auto"/>
        </w:rPr>
      </w:pPr>
    </w:p>
    <w:p>
      <w:pPr>
        <w:ind w:right="40" w:firstLine="475"/>
        <w:spacing w:after="0" w:line="222" w:lineRule="exact"/>
        <w:rPr>
          <w:sz w:val="20"/>
          <w:szCs w:val="20"/>
          <w:color w:val="auto"/>
        </w:rPr>
      </w:pPr>
      <w:r>
        <w:rPr>
          <w:rFonts w:ascii="Arial" w:cs="Arial" w:eastAsia="Arial" w:hAnsi="Arial"/>
          <w:sz w:val="18"/>
          <w:szCs w:val="18"/>
          <w:b w:val="1"/>
          <w:bCs w:val="1"/>
          <w:color w:val="231F20"/>
        </w:rPr>
        <w:t>On October 4, 2021, the Company entered into a stock purchase agreement with ScalmiBio, Inc. or ScalmiBio, with plans to develop new anti-cancer drug candidates based on ScalmiBio</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platform. Under the terms of the stock purchase agreement, the Company has agreed to pay up to $35.0 million, in aggregate, in certain milestones based on the clinical development of the acquired ScalmiBio technology and has also agreed to pay a low single digit royalty on net sales of any products developed from the ScalmiBio acquired technology for a defined term. The Company has the option to buy-out the royalty payment, prior to the first marketing approval of the developed product.</w:t>
      </w:r>
    </w:p>
    <w:p>
      <w:pPr>
        <w:spacing w:after="0" w:line="128" w:lineRule="exact"/>
        <w:rPr>
          <w:sz w:val="20"/>
          <w:szCs w:val="20"/>
          <w:color w:val="auto"/>
        </w:rPr>
      </w:pPr>
    </w:p>
    <w:p>
      <w:pPr>
        <w:ind w:firstLine="475"/>
        <w:spacing w:after="0" w:line="221" w:lineRule="exact"/>
        <w:rPr>
          <w:sz w:val="20"/>
          <w:szCs w:val="20"/>
          <w:color w:val="auto"/>
        </w:rPr>
      </w:pPr>
      <w:r>
        <w:rPr>
          <w:rFonts w:ascii="Arial" w:cs="Arial" w:eastAsia="Arial" w:hAnsi="Arial"/>
          <w:sz w:val="19"/>
          <w:szCs w:val="19"/>
          <w:b w:val="1"/>
          <w:bCs w:val="1"/>
          <w:color w:val="231F20"/>
        </w:rPr>
        <w:t>During the year ended December 31, 2024, the Company made its first milestone payment of $1.0 million as a result of selecting a development candidate to the stockholders of ScalmiBio, including 31.7%, or $0.3 million, to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s former Chief Executive Officer and current Chief Scientific Officer and President, and 63.5%, or $0.6 million, to another employee of the Company. This milestone payment was recorded as R&amp;D costs within the consolidated statements of operations (see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Note 12. Commitments and Contingencies</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License Agreements</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w:t>
      </w:r>
    </w:p>
    <w:p>
      <w:pPr>
        <w:spacing w:after="0" w:line="357"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(11) NET LOSS PER SHARE ATTRIBUTABLE TO COMMON STOCKHOLDERS</w:t>
      </w:r>
    </w:p>
    <w:p>
      <w:pPr>
        <w:spacing w:after="0" w:line="128" w:lineRule="exact"/>
        <w:rPr>
          <w:sz w:val="20"/>
          <w:szCs w:val="20"/>
          <w:color w:val="auto"/>
        </w:rPr>
      </w:pPr>
    </w:p>
    <w:p>
      <w:pPr>
        <w:ind w:firstLine="475"/>
        <w:spacing w:after="0" w:line="239" w:lineRule="auto"/>
        <w:rPr>
          <w:sz w:val="20"/>
          <w:szCs w:val="20"/>
          <w:color w:val="auto"/>
        </w:rPr>
      </w:pPr>
      <w:r>
        <w:rPr>
          <w:rFonts w:ascii="Arial" w:cs="Arial" w:eastAsia="Arial" w:hAnsi="Arial"/>
          <w:sz w:val="19"/>
          <w:szCs w:val="19"/>
          <w:b w:val="1"/>
          <w:bCs w:val="1"/>
          <w:color w:val="231F20"/>
        </w:rPr>
        <w:t>The following table sets forth the computation of the basic and diluted net loss per share attributable to common stockholders (in thousands, except share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9"/>
                <w:szCs w:val="19"/>
                <w:b w:val="1"/>
                <w:bCs w:val="1"/>
                <w:color w:val="231F20"/>
                <w:w w:val="95"/>
              </w:rPr>
              <w:t>Year Ended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5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1040" w:type="dxa"/>
            <w:vAlign w:val="bottom"/>
            <w:tcBorders>
              <w:bottom w:val="single" w:sz="8" w:color="231F20"/>
            </w:tcBorders>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1460" w:type="dxa"/>
            <w:vAlign w:val="bottom"/>
            <w:tcBorders>
              <w:bottom w:val="single" w:sz="8" w:color="231F20"/>
            </w:tcBorders>
            <w:gridSpan w:val="3"/>
          </w:tcPr>
          <w:p>
            <w:pPr>
              <w:jc w:val="center"/>
              <w:ind w:right="180"/>
              <w:spacing w:after="0"/>
              <w:rPr>
                <w:sz w:val="20"/>
                <w:szCs w:val="20"/>
                <w:color w:val="auto"/>
              </w:rPr>
            </w:pPr>
            <w:r>
              <w:rPr>
                <w:rFonts w:ascii="Arial" w:cs="Arial" w:eastAsia="Arial" w:hAnsi="Arial"/>
                <w:sz w:val="19"/>
                <w:szCs w:val="19"/>
                <w:b w:val="1"/>
                <w:bCs w:val="1"/>
                <w:color w:val="231F20"/>
                <w:w w:val="90"/>
              </w:rPr>
              <w:t>December 31,</w:t>
            </w:r>
          </w:p>
        </w:tc>
        <w:tc>
          <w:tcPr>
            <w:tcW w:w="100" w:type="dxa"/>
            <w:vAlign w:val="bottom"/>
            <w:tcBorders>
              <w:bottom w:val="single" w:sz="8" w:color="231F20"/>
            </w:tcBorders>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1060" w:type="dxa"/>
            <w:vAlign w:val="bottom"/>
            <w:tcBorders>
              <w:bottom w:val="single" w:sz="8" w:color="231F20"/>
            </w:tcBorders>
          </w:tcPr>
          <w:p>
            <w:pPr>
              <w:spacing w:after="0"/>
              <w:rPr>
                <w:sz w:val="20"/>
                <w:szCs w:val="20"/>
                <w:color w:val="auto"/>
              </w:rPr>
            </w:pPr>
          </w:p>
        </w:tc>
        <w:tc>
          <w:tcPr>
            <w:tcW w:w="60" w:type="dxa"/>
            <w:vAlign w:val="bottom"/>
          </w:tcPr>
          <w:p>
            <w:pPr>
              <w:spacing w:after="0"/>
              <w:rPr>
                <w:sz w:val="20"/>
                <w:szCs w:val="20"/>
                <w:color w:val="auto"/>
              </w:rPr>
            </w:pPr>
          </w:p>
        </w:tc>
      </w:tr>
      <w:tr>
        <w:trPr>
          <w:trHeight w:val="227"/>
        </w:trPr>
        <w:tc>
          <w:tcPr>
            <w:tcW w:w="5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bottom w:val="single" w:sz="8" w:color="231F20"/>
            </w:tcBorders>
          </w:tcPr>
          <w:p>
            <w:pPr>
              <w:spacing w:after="0"/>
              <w:rPr>
                <w:sz w:val="19"/>
                <w:szCs w:val="19"/>
                <w:color w:val="auto"/>
              </w:rPr>
            </w:pPr>
          </w:p>
        </w:tc>
        <w:tc>
          <w:tcPr>
            <w:tcW w:w="1040" w:type="dxa"/>
            <w:vAlign w:val="bottom"/>
            <w:tcBorders>
              <w:bottom w:val="single" w:sz="8" w:color="231F20"/>
            </w:tcBorders>
          </w:tcPr>
          <w:p>
            <w:pPr>
              <w:jc w:val="right"/>
              <w:ind w:right="363"/>
              <w:spacing w:after="0"/>
              <w:rPr>
                <w:sz w:val="20"/>
                <w:szCs w:val="20"/>
                <w:color w:val="auto"/>
              </w:rPr>
            </w:pPr>
            <w:r>
              <w:rPr>
                <w:rFonts w:ascii="Arial" w:cs="Arial" w:eastAsia="Arial" w:hAnsi="Arial"/>
                <w:sz w:val="19"/>
                <w:szCs w:val="19"/>
                <w:b w:val="1"/>
                <w:bCs w:val="1"/>
                <w:color w:val="231F20"/>
              </w:rPr>
              <w:t>2024</w:t>
            </w:r>
          </w:p>
        </w:tc>
        <w:tc>
          <w:tcPr>
            <w:tcW w:w="26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180" w:type="dxa"/>
            <w:vAlign w:val="bottom"/>
            <w:tcBorders>
              <w:bottom w:val="single" w:sz="8" w:color="231F20"/>
            </w:tcBorders>
          </w:tcPr>
          <w:p>
            <w:pPr>
              <w:jc w:val="center"/>
              <w:ind w:right="43"/>
              <w:spacing w:after="0"/>
              <w:rPr>
                <w:sz w:val="20"/>
                <w:szCs w:val="20"/>
                <w:color w:val="auto"/>
              </w:rPr>
            </w:pPr>
            <w:r>
              <w:rPr>
                <w:rFonts w:ascii="Arial" w:cs="Arial" w:eastAsia="Arial" w:hAnsi="Arial"/>
                <w:sz w:val="19"/>
                <w:szCs w:val="19"/>
                <w:b w:val="1"/>
                <w:bCs w:val="1"/>
                <w:color w:val="231F20"/>
                <w:w w:val="94"/>
              </w:rPr>
              <w:t>2023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1060" w:type="dxa"/>
            <w:vAlign w:val="bottom"/>
            <w:tcBorders>
              <w:bottom w:val="single" w:sz="8" w:color="231F20"/>
            </w:tcBorders>
          </w:tcPr>
          <w:p>
            <w:pPr>
              <w:jc w:val="right"/>
              <w:ind w:right="363"/>
              <w:spacing w:after="0"/>
              <w:rPr>
                <w:sz w:val="20"/>
                <w:szCs w:val="20"/>
                <w:color w:val="auto"/>
              </w:rPr>
            </w:pPr>
            <w:r>
              <w:rPr>
                <w:rFonts w:ascii="Arial" w:cs="Arial" w:eastAsia="Arial" w:hAnsi="Arial"/>
                <w:sz w:val="19"/>
                <w:szCs w:val="19"/>
                <w:b w:val="1"/>
                <w:bCs w:val="1"/>
                <w:color w:val="231F20"/>
              </w:rPr>
              <w:t>2022</w:t>
            </w:r>
          </w:p>
        </w:tc>
        <w:tc>
          <w:tcPr>
            <w:tcW w:w="60" w:type="dxa"/>
            <w:vAlign w:val="bottom"/>
          </w:tcPr>
          <w:p>
            <w:pPr>
              <w:spacing w:after="0"/>
              <w:rPr>
                <w:sz w:val="19"/>
                <w:szCs w:val="19"/>
                <w:color w:val="auto"/>
              </w:rPr>
            </w:pPr>
          </w:p>
        </w:tc>
      </w:tr>
      <w:tr>
        <w:trPr>
          <w:trHeight w:val="225"/>
        </w:trPr>
        <w:tc>
          <w:tcPr>
            <w:tcW w:w="5640" w:type="dxa"/>
            <w:vAlign w:val="bottom"/>
          </w:tcPr>
          <w:p>
            <w:pPr>
              <w:spacing w:after="0"/>
              <w:rPr>
                <w:sz w:val="20"/>
                <w:szCs w:val="20"/>
                <w:color w:val="auto"/>
              </w:rPr>
            </w:pPr>
            <w:r>
              <w:rPr>
                <w:rFonts w:ascii="Arial" w:cs="Arial" w:eastAsia="Arial" w:hAnsi="Arial"/>
                <w:sz w:val="19"/>
                <w:szCs w:val="19"/>
                <w:b w:val="1"/>
                <w:bCs w:val="1"/>
                <w:color w:val="231F20"/>
              </w:rPr>
              <w:t>Numerator:</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5640" w:type="dxa"/>
            <w:vAlign w:val="bottom"/>
          </w:tcPr>
          <w:p>
            <w:pPr>
              <w:ind w:left="200"/>
              <w:spacing w:after="0"/>
              <w:rPr>
                <w:sz w:val="20"/>
                <w:szCs w:val="20"/>
                <w:color w:val="auto"/>
              </w:rPr>
            </w:pPr>
            <w:r>
              <w:rPr>
                <w:rFonts w:ascii="Arial" w:cs="Arial" w:eastAsia="Arial" w:hAnsi="Arial"/>
                <w:sz w:val="19"/>
                <w:szCs w:val="19"/>
                <w:b w:val="1"/>
                <w:bCs w:val="1"/>
                <w:color w:val="231F20"/>
              </w:rPr>
              <w:t>Net loss</w:t>
            </w:r>
          </w:p>
        </w:tc>
        <w:tc>
          <w:tcPr>
            <w:tcW w:w="58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231F20"/>
              </w:rPr>
              <w:t>$</w:t>
            </w:r>
          </w:p>
        </w:tc>
        <w:tc>
          <w:tcPr>
            <w:tcW w:w="1300" w:type="dxa"/>
            <w:vAlign w:val="bottom"/>
            <w:gridSpan w:val="2"/>
          </w:tcPr>
          <w:p>
            <w:pPr>
              <w:jc w:val="right"/>
              <w:ind w:right="200"/>
              <w:spacing w:after="0"/>
              <w:rPr>
                <w:sz w:val="20"/>
                <w:szCs w:val="20"/>
                <w:color w:val="auto"/>
              </w:rPr>
            </w:pPr>
            <w:r>
              <w:rPr>
                <w:rFonts w:ascii="Arial" w:cs="Arial" w:eastAsia="Arial" w:hAnsi="Arial"/>
                <w:sz w:val="19"/>
                <w:szCs w:val="19"/>
                <w:b w:val="1"/>
                <w:bCs w:val="1"/>
                <w:color w:val="231F20"/>
              </w:rPr>
              <w:t>(134,850)</w:t>
            </w:r>
          </w:p>
        </w:tc>
        <w:tc>
          <w:tcPr>
            <w:tcW w:w="120" w:type="dxa"/>
            <w:vAlign w:val="bottom"/>
          </w:tcPr>
          <w:p>
            <w:pPr>
              <w:jc w:val="right"/>
              <w:spacing w:after="0"/>
              <w:rPr>
                <w:sz w:val="20"/>
                <w:szCs w:val="20"/>
                <w:color w:val="auto"/>
              </w:rPr>
            </w:pPr>
            <w:r>
              <w:rPr>
                <w:rFonts w:ascii="Arial" w:cs="Arial" w:eastAsia="Arial" w:hAnsi="Arial"/>
                <w:sz w:val="19"/>
                <w:szCs w:val="19"/>
                <w:b w:val="1"/>
                <w:bCs w:val="1"/>
                <w:color w:val="231F20"/>
                <w:w w:val="75"/>
              </w:rPr>
              <w:t>$</w:t>
            </w:r>
          </w:p>
        </w:tc>
        <w:tc>
          <w:tcPr>
            <w:tcW w:w="134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231F20"/>
              </w:rPr>
              <w:t>(160,805)</w:t>
            </w:r>
          </w:p>
        </w:tc>
        <w:tc>
          <w:tcPr>
            <w:tcW w:w="34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231F20"/>
              </w:rPr>
              <w:t>$</w:t>
            </w:r>
          </w:p>
        </w:tc>
        <w:tc>
          <w:tcPr>
            <w:tcW w:w="112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(123,482)</w:t>
            </w:r>
          </w:p>
        </w:tc>
      </w:tr>
      <w:tr>
        <w:trPr>
          <w:trHeight w:val="235"/>
        </w:trPr>
        <w:tc>
          <w:tcPr>
            <w:tcW w:w="5640" w:type="dxa"/>
            <w:vAlign w:val="bottom"/>
          </w:tcPr>
          <w:p>
            <w:pPr>
              <w:spacing w:after="0"/>
              <w:rPr>
                <w:sz w:val="20"/>
                <w:szCs w:val="20"/>
                <w:color w:val="auto"/>
              </w:rPr>
            </w:pPr>
            <w:r>
              <w:rPr>
                <w:rFonts w:ascii="Arial" w:cs="Arial" w:eastAsia="Arial" w:hAnsi="Arial"/>
                <w:sz w:val="19"/>
                <w:szCs w:val="19"/>
                <w:b w:val="1"/>
                <w:bCs w:val="1"/>
                <w:color w:val="231F20"/>
              </w:rPr>
              <w:t>Denominator:</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5640" w:type="dxa"/>
            <w:vAlign w:val="bottom"/>
          </w:tcPr>
          <w:p>
            <w:pPr>
              <w:ind w:left="200"/>
              <w:spacing w:after="0"/>
              <w:rPr>
                <w:sz w:val="20"/>
                <w:szCs w:val="20"/>
                <w:color w:val="auto"/>
              </w:rPr>
            </w:pPr>
            <w:r>
              <w:rPr>
                <w:rFonts w:ascii="Arial" w:cs="Arial" w:eastAsia="Arial" w:hAnsi="Arial"/>
                <w:sz w:val="19"/>
                <w:szCs w:val="19"/>
                <w:b w:val="1"/>
                <w:bCs w:val="1"/>
                <w:color w:val="231F20"/>
                <w:w w:val="89"/>
              </w:rPr>
              <w:t>Weighted-average shares of common stock outstanding, basic and</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5640" w:type="dxa"/>
            <w:vAlign w:val="bottom"/>
          </w:tcPr>
          <w:p>
            <w:pPr>
              <w:ind w:left="200"/>
              <w:spacing w:after="0"/>
              <w:rPr>
                <w:sz w:val="20"/>
                <w:szCs w:val="20"/>
                <w:color w:val="auto"/>
              </w:rPr>
            </w:pPr>
            <w:r>
              <w:rPr>
                <w:rFonts w:ascii="Arial" w:cs="Arial" w:eastAsia="Arial" w:hAnsi="Arial"/>
                <w:sz w:val="19"/>
                <w:szCs w:val="19"/>
                <w:b w:val="1"/>
                <w:bCs w:val="1"/>
                <w:color w:val="231F20"/>
              </w:rPr>
              <w:t>diluted</w:t>
            </w:r>
          </w:p>
        </w:tc>
        <w:tc>
          <w:tcPr>
            <w:tcW w:w="320" w:type="dxa"/>
            <w:vAlign w:val="bottom"/>
          </w:tcPr>
          <w:p>
            <w:pPr>
              <w:spacing w:after="0"/>
              <w:rPr>
                <w:sz w:val="19"/>
                <w:szCs w:val="19"/>
                <w:color w:val="auto"/>
              </w:rPr>
            </w:pPr>
          </w:p>
        </w:tc>
        <w:tc>
          <w:tcPr>
            <w:tcW w:w="260" w:type="dxa"/>
            <w:vAlign w:val="bottom"/>
            <w:tcBorders>
              <w:bottom w:val="single" w:sz="8" w:color="231F20"/>
            </w:tcBorders>
          </w:tcPr>
          <w:p>
            <w:pPr>
              <w:spacing w:after="0"/>
              <w:rPr>
                <w:sz w:val="19"/>
                <w:szCs w:val="19"/>
                <w:color w:val="auto"/>
              </w:rPr>
            </w:pPr>
          </w:p>
        </w:tc>
        <w:tc>
          <w:tcPr>
            <w:tcW w:w="104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52,174,904</w:t>
            </w:r>
          </w:p>
        </w:tc>
        <w:tc>
          <w:tcPr>
            <w:tcW w:w="26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18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42,987,767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106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40,699,612</w:t>
            </w:r>
          </w:p>
        </w:tc>
        <w:tc>
          <w:tcPr>
            <w:tcW w:w="60" w:type="dxa"/>
            <w:vAlign w:val="bottom"/>
          </w:tcPr>
          <w:p>
            <w:pPr>
              <w:spacing w:after="0"/>
              <w:rPr>
                <w:sz w:val="19"/>
                <w:szCs w:val="19"/>
                <w:color w:val="auto"/>
              </w:rPr>
            </w:pPr>
          </w:p>
        </w:tc>
      </w:tr>
      <w:tr>
        <w:trPr>
          <w:trHeight w:val="228"/>
        </w:trPr>
        <w:tc>
          <w:tcPr>
            <w:tcW w:w="5640" w:type="dxa"/>
            <w:vAlign w:val="bottom"/>
          </w:tcPr>
          <w:p>
            <w:pPr>
              <w:spacing w:after="0"/>
              <w:rPr>
                <w:sz w:val="20"/>
                <w:szCs w:val="20"/>
                <w:color w:val="auto"/>
              </w:rPr>
            </w:pPr>
            <w:r>
              <w:rPr>
                <w:rFonts w:ascii="Arial" w:cs="Arial" w:eastAsia="Arial" w:hAnsi="Arial"/>
                <w:sz w:val="19"/>
                <w:szCs w:val="19"/>
                <w:b w:val="1"/>
                <w:bCs w:val="1"/>
                <w:color w:val="231F20"/>
              </w:rPr>
              <w:t>Net loss per share, basic and diluted</w:t>
            </w:r>
          </w:p>
        </w:tc>
        <w:tc>
          <w:tcPr>
            <w:tcW w:w="58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231F20"/>
              </w:rPr>
              <w:t>$</w:t>
            </w:r>
          </w:p>
        </w:tc>
        <w:tc>
          <w:tcPr>
            <w:tcW w:w="1300" w:type="dxa"/>
            <w:vAlign w:val="bottom"/>
            <w:gridSpan w:val="2"/>
          </w:tcPr>
          <w:p>
            <w:pPr>
              <w:jc w:val="right"/>
              <w:ind w:right="200"/>
              <w:spacing w:after="0"/>
              <w:rPr>
                <w:sz w:val="20"/>
                <w:szCs w:val="20"/>
                <w:color w:val="auto"/>
              </w:rPr>
            </w:pPr>
            <w:r>
              <w:rPr>
                <w:rFonts w:ascii="Arial" w:cs="Arial" w:eastAsia="Arial" w:hAnsi="Arial"/>
                <w:sz w:val="19"/>
                <w:szCs w:val="19"/>
                <w:b w:val="1"/>
                <w:bCs w:val="1"/>
                <w:color w:val="231F20"/>
              </w:rPr>
              <w:t>(2.58)</w:t>
            </w:r>
          </w:p>
        </w:tc>
        <w:tc>
          <w:tcPr>
            <w:tcW w:w="120" w:type="dxa"/>
            <w:vAlign w:val="bottom"/>
          </w:tcPr>
          <w:p>
            <w:pPr>
              <w:jc w:val="right"/>
              <w:spacing w:after="0"/>
              <w:rPr>
                <w:sz w:val="20"/>
                <w:szCs w:val="20"/>
                <w:color w:val="auto"/>
              </w:rPr>
            </w:pPr>
            <w:r>
              <w:rPr>
                <w:rFonts w:ascii="Arial" w:cs="Arial" w:eastAsia="Arial" w:hAnsi="Arial"/>
                <w:sz w:val="19"/>
                <w:szCs w:val="19"/>
                <w:b w:val="1"/>
                <w:bCs w:val="1"/>
                <w:color w:val="231F20"/>
                <w:w w:val="75"/>
              </w:rPr>
              <w:t>$</w:t>
            </w:r>
          </w:p>
        </w:tc>
        <w:tc>
          <w:tcPr>
            <w:tcW w:w="134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231F20"/>
              </w:rPr>
              <w:t>(3.74)</w:t>
            </w:r>
          </w:p>
        </w:tc>
        <w:tc>
          <w:tcPr>
            <w:tcW w:w="34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231F20"/>
              </w:rPr>
              <w:t>$</w:t>
            </w:r>
          </w:p>
        </w:tc>
        <w:tc>
          <w:tcPr>
            <w:tcW w:w="1120" w:type="dxa"/>
            <w:vAlign w:val="bottom"/>
            <w:gridSpan w:val="2"/>
          </w:tcPr>
          <w:p>
            <w:pPr>
              <w:jc w:val="right"/>
              <w:spacing w:after="0"/>
              <w:rPr>
                <w:sz w:val="20"/>
                <w:szCs w:val="20"/>
                <w:color w:val="auto"/>
              </w:rPr>
            </w:pPr>
            <w:r>
              <w:rPr>
                <w:rFonts w:ascii="Arial" w:cs="Arial" w:eastAsia="Arial" w:hAnsi="Arial"/>
                <w:sz w:val="19"/>
                <w:szCs w:val="19"/>
                <w:b w:val="1"/>
                <w:bCs w:val="1"/>
                <w:color w:val="231F20"/>
              </w:rPr>
              <w:t>(3.03)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3771900</wp:posOffset>
            </wp:positionH>
            <wp:positionV relativeFrom="paragraph">
              <wp:posOffset>-11430</wp:posOffset>
            </wp:positionV>
            <wp:extent cx="2828290" cy="5461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828290" cy="54610"/>
                    </a:xfrm>
                    <a:prstGeom prst="rect">
                      <a:avLst/>
                    </a:prstGeom>
                    <a:noFill/>
                  </pic:spPr>
                </pic:pic>
              </a:graphicData>
            </a:graphic>
          </wp:anchor>
        </w:drawing>
      </w:r>
    </w:p>
    <w:p>
      <w:pPr>
        <w:spacing w:after="0" w:line="295" w:lineRule="exact"/>
        <w:rPr>
          <w:sz w:val="20"/>
          <w:szCs w:val="20"/>
          <w:color w:val="auto"/>
        </w:rPr>
      </w:pPr>
    </w:p>
    <w:p>
      <w:pPr>
        <w:ind w:right="320" w:firstLine="475"/>
        <w:spacing w:after="0" w:line="329" w:lineRule="auto"/>
        <w:rPr>
          <w:sz w:val="20"/>
          <w:szCs w:val="20"/>
          <w:color w:val="auto"/>
        </w:rPr>
      </w:pPr>
      <w:r>
        <w:rPr>
          <w:rFonts w:ascii="Arial" w:cs="Arial" w:eastAsia="Arial" w:hAnsi="Arial"/>
          <w:sz w:val="16"/>
          <w:szCs w:val="16"/>
          <w:b w:val="1"/>
          <w:bCs w:val="1"/>
          <w:color w:val="231F20"/>
        </w:rPr>
        <w:t>Since the Company was in a loss position for all periods presented, basic net loss per share is the same as diluted net loss per share for all periods presented as the inclusion of all potential common stock outstanding would have been anti-dilutive.</w:t>
      </w:r>
    </w:p>
    <w:p>
      <w:pPr>
        <w:spacing w:after="0" w:line="57" w:lineRule="exact"/>
        <w:rPr>
          <w:sz w:val="20"/>
          <w:szCs w:val="20"/>
          <w:color w:val="auto"/>
        </w:rPr>
      </w:pPr>
    </w:p>
    <w:p>
      <w:pPr>
        <w:ind w:right="280" w:firstLine="475"/>
        <w:spacing w:after="0" w:line="295" w:lineRule="auto"/>
        <w:rPr>
          <w:sz w:val="20"/>
          <w:szCs w:val="20"/>
          <w:color w:val="auto"/>
        </w:rPr>
      </w:pPr>
      <w:r>
        <w:rPr>
          <w:rFonts w:ascii="Arial" w:cs="Arial" w:eastAsia="Arial" w:hAnsi="Arial"/>
          <w:sz w:val="17"/>
          <w:szCs w:val="17"/>
          <w:b w:val="1"/>
          <w:bCs w:val="1"/>
          <w:color w:val="231F20"/>
        </w:rPr>
        <w:t>The following outstanding potentially dilutive securities were excluded from the computation of diluted net loss per share for the years ended December 31, 2024, 2023 and 2022, because including them would have been anti-dilutive: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9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9"/>
                <w:szCs w:val="19"/>
                <w:b w:val="1"/>
                <w:bCs w:val="1"/>
                <w:color w:val="231F20"/>
                <w:w w:val="95"/>
              </w:rPr>
              <w:t>Year Ended</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9"/>
        </w:trPr>
        <w:tc>
          <w:tcPr>
            <w:tcW w:w="5920" w:type="dxa"/>
            <w:vAlign w:val="bottom"/>
          </w:tcPr>
          <w:p>
            <w:pPr>
              <w:spacing w:after="0"/>
              <w:rPr>
                <w:sz w:val="20"/>
                <w:szCs w:val="20"/>
                <w:color w:val="auto"/>
              </w:rPr>
            </w:pPr>
          </w:p>
        </w:tc>
        <w:tc>
          <w:tcPr>
            <w:tcW w:w="1340" w:type="dxa"/>
            <w:vAlign w:val="bottom"/>
            <w:tcBorders>
              <w:bottom w:val="single" w:sz="8" w:color="231F20"/>
            </w:tcBorders>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1360" w:type="dxa"/>
            <w:vAlign w:val="bottom"/>
            <w:tcBorders>
              <w:bottom w:val="single" w:sz="8" w:color="231F20"/>
            </w:tcBorders>
          </w:tcPr>
          <w:p>
            <w:pPr>
              <w:jc w:val="center"/>
              <w:spacing w:after="0"/>
              <w:rPr>
                <w:sz w:val="20"/>
                <w:szCs w:val="20"/>
                <w:color w:val="auto"/>
              </w:rPr>
            </w:pPr>
            <w:r>
              <w:rPr>
                <w:rFonts w:ascii="Arial" w:cs="Arial" w:eastAsia="Arial" w:hAnsi="Arial"/>
                <w:sz w:val="19"/>
                <w:szCs w:val="19"/>
                <w:b w:val="1"/>
                <w:bCs w:val="1"/>
                <w:color w:val="231F20"/>
                <w:w w:val="90"/>
              </w:rPr>
              <w:t>December 31,</w:t>
            </w:r>
          </w:p>
        </w:tc>
        <w:tc>
          <w:tcPr>
            <w:tcW w:w="200" w:type="dxa"/>
            <w:vAlign w:val="bottom"/>
            <w:tcBorders>
              <w:bottom w:val="single" w:sz="8" w:color="231F20"/>
            </w:tcBorders>
          </w:tcPr>
          <w:p>
            <w:pPr>
              <w:spacing w:after="0"/>
              <w:rPr>
                <w:sz w:val="20"/>
                <w:szCs w:val="20"/>
                <w:color w:val="auto"/>
              </w:rPr>
            </w:pPr>
          </w:p>
        </w:tc>
        <w:tc>
          <w:tcPr>
            <w:tcW w:w="1360" w:type="dxa"/>
            <w:vAlign w:val="bottom"/>
            <w:tcBorders>
              <w:bottom w:val="single" w:sz="8" w:color="231F20"/>
            </w:tcBorders>
          </w:tcPr>
          <w:p>
            <w:pPr>
              <w:spacing w:after="0"/>
              <w:rPr>
                <w:sz w:val="20"/>
                <w:szCs w:val="20"/>
                <w:color w:val="auto"/>
              </w:rPr>
            </w:pPr>
          </w:p>
        </w:tc>
      </w:tr>
      <w:tr>
        <w:trPr>
          <w:trHeight w:val="226"/>
        </w:trPr>
        <w:tc>
          <w:tcPr>
            <w:tcW w:w="5920" w:type="dxa"/>
            <w:vAlign w:val="bottom"/>
          </w:tcPr>
          <w:p>
            <w:pPr>
              <w:spacing w:after="0"/>
              <w:rPr>
                <w:sz w:val="19"/>
                <w:szCs w:val="19"/>
                <w:color w:val="auto"/>
              </w:rPr>
            </w:pPr>
          </w:p>
        </w:tc>
        <w:tc>
          <w:tcPr>
            <w:tcW w:w="1340" w:type="dxa"/>
            <w:vAlign w:val="bottom"/>
            <w:tcBorders>
              <w:bottom w:val="single" w:sz="8" w:color="231F20"/>
            </w:tcBorders>
          </w:tcPr>
          <w:p>
            <w:pPr>
              <w:jc w:val="right"/>
              <w:ind w:right="383"/>
              <w:spacing w:after="0"/>
              <w:rPr>
                <w:sz w:val="20"/>
                <w:szCs w:val="20"/>
                <w:color w:val="auto"/>
              </w:rPr>
            </w:pPr>
            <w:r>
              <w:rPr>
                <w:rFonts w:ascii="Arial" w:cs="Arial" w:eastAsia="Arial" w:hAnsi="Arial"/>
                <w:sz w:val="19"/>
                <w:szCs w:val="19"/>
                <w:b w:val="1"/>
                <w:bCs w:val="1"/>
                <w:color w:val="231F20"/>
              </w:rPr>
              <w:t>2024</w:t>
            </w:r>
          </w:p>
        </w:tc>
        <w:tc>
          <w:tcPr>
            <w:tcW w:w="200" w:type="dxa"/>
            <w:vAlign w:val="bottom"/>
          </w:tcPr>
          <w:p>
            <w:pPr>
              <w:spacing w:after="0"/>
              <w:rPr>
                <w:sz w:val="19"/>
                <w:szCs w:val="19"/>
                <w:color w:val="auto"/>
              </w:rPr>
            </w:pPr>
          </w:p>
        </w:tc>
        <w:tc>
          <w:tcPr>
            <w:tcW w:w="1360" w:type="dxa"/>
            <w:vAlign w:val="bottom"/>
            <w:tcBorders>
              <w:bottom w:val="single" w:sz="8" w:color="231F20"/>
            </w:tcBorders>
          </w:tcPr>
          <w:p>
            <w:pPr>
              <w:jc w:val="center"/>
              <w:spacing w:after="0"/>
              <w:rPr>
                <w:sz w:val="20"/>
                <w:szCs w:val="20"/>
                <w:color w:val="auto"/>
              </w:rPr>
            </w:pPr>
            <w:r>
              <w:rPr>
                <w:rFonts w:ascii="Arial" w:cs="Arial" w:eastAsia="Arial" w:hAnsi="Arial"/>
                <w:sz w:val="19"/>
                <w:szCs w:val="19"/>
                <w:b w:val="1"/>
                <w:bCs w:val="1"/>
                <w:color w:val="231F20"/>
                <w:w w:val="94"/>
              </w:rPr>
              <w:t>2023</w:t>
            </w:r>
          </w:p>
        </w:tc>
        <w:tc>
          <w:tcPr>
            <w:tcW w:w="200" w:type="dxa"/>
            <w:vAlign w:val="bottom"/>
          </w:tcPr>
          <w:p>
            <w:pPr>
              <w:spacing w:after="0"/>
              <w:rPr>
                <w:sz w:val="19"/>
                <w:szCs w:val="19"/>
                <w:color w:val="auto"/>
              </w:rPr>
            </w:pPr>
          </w:p>
        </w:tc>
        <w:tc>
          <w:tcPr>
            <w:tcW w:w="1360" w:type="dxa"/>
            <w:vAlign w:val="bottom"/>
            <w:tcBorders>
              <w:bottom w:val="single" w:sz="8" w:color="231F20"/>
            </w:tcBorders>
          </w:tcPr>
          <w:p>
            <w:pPr>
              <w:jc w:val="right"/>
              <w:ind w:right="403"/>
              <w:spacing w:after="0"/>
              <w:rPr>
                <w:sz w:val="20"/>
                <w:szCs w:val="20"/>
                <w:color w:val="auto"/>
              </w:rPr>
            </w:pPr>
            <w:r>
              <w:rPr>
                <w:rFonts w:ascii="Arial" w:cs="Arial" w:eastAsia="Arial" w:hAnsi="Arial"/>
                <w:sz w:val="19"/>
                <w:szCs w:val="19"/>
                <w:b w:val="1"/>
                <w:bCs w:val="1"/>
                <w:color w:val="231F20"/>
              </w:rPr>
              <w:t>2022</w:t>
            </w:r>
          </w:p>
        </w:tc>
      </w:tr>
      <w:tr>
        <w:trPr>
          <w:trHeight w:val="225"/>
        </w:trPr>
        <w:tc>
          <w:tcPr>
            <w:tcW w:w="5920" w:type="dxa"/>
            <w:vAlign w:val="bottom"/>
          </w:tcPr>
          <w:p>
            <w:pPr>
              <w:spacing w:after="0"/>
              <w:rPr>
                <w:sz w:val="20"/>
                <w:szCs w:val="20"/>
                <w:color w:val="auto"/>
              </w:rPr>
            </w:pPr>
            <w:r>
              <w:rPr>
                <w:rFonts w:ascii="Arial" w:cs="Arial" w:eastAsia="Arial" w:hAnsi="Arial"/>
                <w:sz w:val="19"/>
                <w:szCs w:val="19"/>
                <w:b w:val="1"/>
                <w:bCs w:val="1"/>
                <w:color w:val="231F20"/>
              </w:rPr>
              <w:t>Stock options issued and outstanding</w:t>
            </w:r>
          </w:p>
        </w:tc>
        <w:tc>
          <w:tcPr>
            <w:tcW w:w="1340" w:type="dxa"/>
            <w:vAlign w:val="bottom"/>
          </w:tcPr>
          <w:p>
            <w:pPr>
              <w:jc w:val="right"/>
              <w:spacing w:after="0"/>
              <w:rPr>
                <w:sz w:val="20"/>
                <w:szCs w:val="20"/>
                <w:color w:val="auto"/>
              </w:rPr>
            </w:pPr>
            <w:r>
              <w:rPr>
                <w:rFonts w:ascii="Arial" w:cs="Arial" w:eastAsia="Arial" w:hAnsi="Arial"/>
                <w:sz w:val="19"/>
                <w:szCs w:val="19"/>
                <w:b w:val="1"/>
                <w:bCs w:val="1"/>
                <w:color w:val="231F20"/>
              </w:rPr>
              <w:t>10,528,751</w:t>
            </w:r>
          </w:p>
        </w:tc>
        <w:tc>
          <w:tcPr>
            <w:tcW w:w="1560" w:type="dxa"/>
            <w:vAlign w:val="bottom"/>
            <w:gridSpan w:val="2"/>
          </w:tcPr>
          <w:p>
            <w:pPr>
              <w:jc w:val="right"/>
              <w:spacing w:after="0"/>
              <w:rPr>
                <w:sz w:val="20"/>
                <w:szCs w:val="20"/>
                <w:color w:val="auto"/>
              </w:rPr>
            </w:pPr>
            <w:r>
              <w:rPr>
                <w:rFonts w:ascii="Arial" w:cs="Arial" w:eastAsia="Arial" w:hAnsi="Arial"/>
                <w:sz w:val="19"/>
                <w:szCs w:val="19"/>
                <w:b w:val="1"/>
                <w:bCs w:val="1"/>
                <w:color w:val="231F20"/>
              </w:rPr>
              <w:t>8,984,671</w:t>
            </w:r>
          </w:p>
        </w:tc>
        <w:tc>
          <w:tcPr>
            <w:tcW w:w="1560" w:type="dxa"/>
            <w:vAlign w:val="bottom"/>
            <w:gridSpan w:val="2"/>
          </w:tcPr>
          <w:p>
            <w:pPr>
              <w:jc w:val="right"/>
              <w:spacing w:after="0"/>
              <w:rPr>
                <w:sz w:val="20"/>
                <w:szCs w:val="20"/>
                <w:color w:val="auto"/>
              </w:rPr>
            </w:pPr>
            <w:r>
              <w:rPr>
                <w:rFonts w:ascii="Arial" w:cs="Arial" w:eastAsia="Arial" w:hAnsi="Arial"/>
                <w:sz w:val="19"/>
                <w:szCs w:val="19"/>
                <w:b w:val="1"/>
                <w:bCs w:val="1"/>
                <w:color w:val="231F20"/>
              </w:rPr>
              <w:t>6,196,848</w:t>
            </w:r>
          </w:p>
        </w:tc>
      </w:tr>
      <w:tr>
        <w:trPr>
          <w:trHeight w:val="238"/>
        </w:trPr>
        <w:tc>
          <w:tcPr>
            <w:tcW w:w="5920" w:type="dxa"/>
            <w:vAlign w:val="bottom"/>
          </w:tcPr>
          <w:p>
            <w:pPr>
              <w:spacing w:after="0"/>
              <w:rPr>
                <w:sz w:val="20"/>
                <w:szCs w:val="20"/>
                <w:color w:val="auto"/>
              </w:rPr>
            </w:pPr>
            <w:r>
              <w:rPr>
                <w:rFonts w:ascii="Arial" w:cs="Arial" w:eastAsia="Arial" w:hAnsi="Arial"/>
                <w:sz w:val="19"/>
                <w:szCs w:val="19"/>
                <w:b w:val="1"/>
                <w:bCs w:val="1"/>
                <w:color w:val="231F20"/>
              </w:rPr>
              <w:t>RSUs issued and outstanding</w:t>
            </w:r>
          </w:p>
        </w:tc>
        <w:tc>
          <w:tcPr>
            <w:tcW w:w="1340" w:type="dxa"/>
            <w:vAlign w:val="bottom"/>
          </w:tcPr>
          <w:p>
            <w:pPr>
              <w:jc w:val="right"/>
              <w:spacing w:after="0"/>
              <w:rPr>
                <w:sz w:val="20"/>
                <w:szCs w:val="20"/>
                <w:color w:val="auto"/>
              </w:rPr>
            </w:pPr>
            <w:r>
              <w:rPr>
                <w:rFonts w:ascii="Arial" w:cs="Arial" w:eastAsia="Arial" w:hAnsi="Arial"/>
                <w:sz w:val="19"/>
                <w:szCs w:val="19"/>
                <w:b w:val="1"/>
                <w:bCs w:val="1"/>
                <w:color w:val="231F20"/>
              </w:rPr>
              <w:t>898,755</w:t>
            </w:r>
          </w:p>
        </w:tc>
        <w:tc>
          <w:tcPr>
            <w:tcW w:w="1560" w:type="dxa"/>
            <w:vAlign w:val="bottom"/>
            <w:gridSpan w:val="2"/>
          </w:tcPr>
          <w:p>
            <w:pPr>
              <w:jc w:val="right"/>
              <w:spacing w:after="0"/>
              <w:rPr>
                <w:sz w:val="20"/>
                <w:szCs w:val="20"/>
                <w:color w:val="auto"/>
              </w:rPr>
            </w:pPr>
            <w:r>
              <w:rPr>
                <w:rFonts w:ascii="Arial" w:cs="Arial" w:eastAsia="Arial" w:hAnsi="Arial"/>
                <w:sz w:val="19"/>
                <w:szCs w:val="19"/>
                <w:b w:val="1"/>
                <w:bCs w:val="1"/>
                <w:color w:val="231F20"/>
              </w:rPr>
              <w:t>949,669</w:t>
            </w:r>
          </w:p>
        </w:tc>
        <w:tc>
          <w:tcPr>
            <w:tcW w:w="1560" w:type="dxa"/>
            <w:vAlign w:val="bottom"/>
            <w:gridSpan w:val="2"/>
          </w:tcPr>
          <w:p>
            <w:pPr>
              <w:jc w:val="right"/>
              <w:spacing w:after="0"/>
              <w:rPr>
                <w:sz w:val="20"/>
                <w:szCs w:val="20"/>
                <w:color w:val="auto"/>
              </w:rPr>
            </w:pPr>
            <w:r>
              <w:rPr>
                <w:rFonts w:ascii="Arial" w:cs="Arial" w:eastAsia="Arial" w:hAnsi="Arial"/>
                <w:sz w:val="19"/>
                <w:szCs w:val="19"/>
                <w:b w:val="1"/>
                <w:bCs w:val="1"/>
                <w:color w:val="231F20"/>
              </w:rPr>
              <w:t>820,326</w:t>
            </w:r>
          </w:p>
        </w:tc>
      </w:tr>
      <w:tr>
        <w:trPr>
          <w:trHeight w:val="238"/>
        </w:trPr>
        <w:tc>
          <w:tcPr>
            <w:tcW w:w="5920" w:type="dxa"/>
            <w:vAlign w:val="bottom"/>
          </w:tcPr>
          <w:p>
            <w:pPr>
              <w:spacing w:after="0"/>
              <w:rPr>
                <w:sz w:val="20"/>
                <w:szCs w:val="20"/>
                <w:color w:val="auto"/>
              </w:rPr>
            </w:pPr>
            <w:r>
              <w:rPr>
                <w:rFonts w:ascii="Arial" w:cs="Arial" w:eastAsia="Arial" w:hAnsi="Arial"/>
                <w:sz w:val="19"/>
                <w:szCs w:val="19"/>
                <w:b w:val="1"/>
                <w:bCs w:val="1"/>
                <w:color w:val="231F20"/>
              </w:rPr>
              <w:t>PSUs issued and outstanding</w:t>
            </w:r>
          </w:p>
        </w:tc>
        <w:tc>
          <w:tcPr>
            <w:tcW w:w="1340" w:type="dxa"/>
            <w:vAlign w:val="bottom"/>
          </w:tcPr>
          <w:p>
            <w:pPr>
              <w:jc w:val="right"/>
              <w:spacing w:after="0"/>
              <w:rPr>
                <w:sz w:val="20"/>
                <w:szCs w:val="20"/>
                <w:color w:val="auto"/>
              </w:rPr>
            </w:pPr>
            <w:r>
              <w:rPr>
                <w:rFonts w:ascii="Arial" w:cs="Arial" w:eastAsia="Arial" w:hAnsi="Arial"/>
                <w:sz w:val="19"/>
                <w:szCs w:val="19"/>
                <w:b w:val="1"/>
                <w:bCs w:val="1"/>
                <w:color w:val="231F20"/>
              </w:rPr>
              <w:t>357,500</w:t>
            </w:r>
          </w:p>
        </w:tc>
        <w:tc>
          <w:tcPr>
            <w:tcW w:w="1560" w:type="dxa"/>
            <w:vAlign w:val="bottom"/>
            <w:gridSpan w:val="2"/>
          </w:tcPr>
          <w:p>
            <w:pPr>
              <w:jc w:val="right"/>
              <w:spacing w:after="0" w:line="228" w:lineRule="exact"/>
              <w:rPr>
                <w:sz w:val="20"/>
                <w:szCs w:val="20"/>
                <w:color w:val="auto"/>
              </w:rPr>
            </w:pPr>
            <w:r>
              <w:rPr>
                <w:rFonts w:ascii="PMingLiU" w:cs="PMingLiU" w:eastAsia="PMingLiU" w:hAnsi="PMingLiU"/>
                <w:sz w:val="19"/>
                <w:szCs w:val="19"/>
                <w:b w:val="1"/>
                <w:bCs w:val="1"/>
                <w:color w:val="231F20"/>
              </w:rPr>
              <w:t></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36"/>
        </w:trPr>
        <w:tc>
          <w:tcPr>
            <w:tcW w:w="5920" w:type="dxa"/>
            <w:vAlign w:val="bottom"/>
          </w:tcPr>
          <w:p>
            <w:pPr>
              <w:spacing w:after="0"/>
              <w:rPr>
                <w:sz w:val="20"/>
                <w:szCs w:val="20"/>
                <w:color w:val="auto"/>
              </w:rPr>
            </w:pPr>
            <w:r>
              <w:rPr>
                <w:rFonts w:ascii="Arial" w:cs="Arial" w:eastAsia="Arial" w:hAnsi="Arial"/>
                <w:sz w:val="19"/>
                <w:szCs w:val="19"/>
                <w:b w:val="1"/>
                <w:bCs w:val="1"/>
                <w:color w:val="231F20"/>
              </w:rPr>
              <w:t>Employee Stock Purchase Plan estimated shares issuable</w:t>
            </w:r>
          </w:p>
        </w:tc>
        <w:tc>
          <w:tcPr>
            <w:tcW w:w="134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b w:val="1"/>
                <w:bCs w:val="1"/>
                <w:color w:val="231F20"/>
              </w:rPr>
              <w:t></w:t>
            </w:r>
          </w:p>
        </w:tc>
        <w:tc>
          <w:tcPr>
            <w:tcW w:w="200" w:type="dxa"/>
            <w:vAlign w:val="bottom"/>
          </w:tcPr>
          <w:p>
            <w:pPr>
              <w:spacing w:after="0"/>
              <w:rPr>
                <w:sz w:val="20"/>
                <w:szCs w:val="20"/>
                <w:color w:val="auto"/>
              </w:rPr>
            </w:pPr>
          </w:p>
        </w:tc>
        <w:tc>
          <w:tcPr>
            <w:tcW w:w="136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b w:val="1"/>
                <w:bCs w:val="1"/>
                <w:color w:val="231F20"/>
              </w:rPr>
              <w:t></w:t>
            </w:r>
          </w:p>
        </w:tc>
        <w:tc>
          <w:tcPr>
            <w:tcW w:w="200" w:type="dxa"/>
            <w:vAlign w:val="bottom"/>
          </w:tcPr>
          <w:p>
            <w:pPr>
              <w:spacing w:after="0"/>
              <w:rPr>
                <w:sz w:val="20"/>
                <w:szCs w:val="20"/>
                <w:color w:val="auto"/>
              </w:rPr>
            </w:pPr>
          </w:p>
        </w:tc>
        <w:tc>
          <w:tcPr>
            <w:tcW w:w="1360" w:type="dxa"/>
            <w:vAlign w:val="bottom"/>
            <w:tcBorders>
              <w:bottom w:val="single" w:sz="8" w:color="231F20"/>
            </w:tcBorders>
          </w:tcPr>
          <w:p>
            <w:pPr>
              <w:jc w:val="right"/>
              <w:spacing w:after="0" w:line="228" w:lineRule="exact"/>
              <w:rPr>
                <w:sz w:val="20"/>
                <w:szCs w:val="20"/>
                <w:color w:val="auto"/>
              </w:rPr>
            </w:pPr>
            <w:r>
              <w:rPr>
                <w:rFonts w:ascii="PMingLiU" w:cs="PMingLiU" w:eastAsia="PMingLiU" w:hAnsi="PMingLiU"/>
                <w:sz w:val="19"/>
                <w:szCs w:val="19"/>
                <w:b w:val="1"/>
                <w:bCs w:val="1"/>
                <w:color w:val="231F20"/>
              </w:rPr>
              <w:t></w:t>
            </w:r>
          </w:p>
        </w:tc>
      </w:tr>
      <w:tr>
        <w:trPr>
          <w:trHeight w:val="226"/>
        </w:trPr>
        <w:tc>
          <w:tcPr>
            <w:tcW w:w="5920" w:type="dxa"/>
            <w:vAlign w:val="bottom"/>
          </w:tcPr>
          <w:p>
            <w:pPr>
              <w:ind w:left="200"/>
              <w:spacing w:after="0"/>
              <w:rPr>
                <w:sz w:val="20"/>
                <w:szCs w:val="20"/>
                <w:color w:val="auto"/>
              </w:rPr>
            </w:pPr>
            <w:r>
              <w:rPr>
                <w:rFonts w:ascii="Arial" w:cs="Arial" w:eastAsia="Arial" w:hAnsi="Arial"/>
                <w:sz w:val="19"/>
                <w:szCs w:val="19"/>
                <w:b w:val="1"/>
                <w:bCs w:val="1"/>
                <w:color w:val="231F20"/>
              </w:rPr>
              <w:t>Total</w:t>
            </w:r>
          </w:p>
        </w:tc>
        <w:tc>
          <w:tcPr>
            <w:tcW w:w="1340" w:type="dxa"/>
            <w:vAlign w:val="bottom"/>
          </w:tcPr>
          <w:p>
            <w:pPr>
              <w:jc w:val="right"/>
              <w:spacing w:after="0"/>
              <w:rPr>
                <w:sz w:val="20"/>
                <w:szCs w:val="20"/>
                <w:color w:val="auto"/>
              </w:rPr>
            </w:pPr>
            <w:r>
              <w:rPr>
                <w:rFonts w:ascii="Arial" w:cs="Arial" w:eastAsia="Arial" w:hAnsi="Arial"/>
                <w:sz w:val="19"/>
                <w:szCs w:val="19"/>
                <w:b w:val="1"/>
                <w:bCs w:val="1"/>
                <w:color w:val="231F20"/>
              </w:rPr>
              <w:t>11,785,006</w:t>
            </w:r>
          </w:p>
        </w:tc>
        <w:tc>
          <w:tcPr>
            <w:tcW w:w="1560" w:type="dxa"/>
            <w:vAlign w:val="bottom"/>
            <w:gridSpan w:val="2"/>
          </w:tcPr>
          <w:p>
            <w:pPr>
              <w:jc w:val="right"/>
              <w:spacing w:after="0"/>
              <w:rPr>
                <w:sz w:val="20"/>
                <w:szCs w:val="20"/>
                <w:color w:val="auto"/>
              </w:rPr>
            </w:pPr>
            <w:r>
              <w:rPr>
                <w:rFonts w:ascii="Arial" w:cs="Arial" w:eastAsia="Arial" w:hAnsi="Arial"/>
                <w:sz w:val="19"/>
                <w:szCs w:val="19"/>
                <w:b w:val="1"/>
                <w:bCs w:val="1"/>
                <w:color w:val="231F20"/>
              </w:rPr>
              <w:t>9,934,340</w:t>
            </w:r>
          </w:p>
        </w:tc>
        <w:tc>
          <w:tcPr>
            <w:tcW w:w="1560" w:type="dxa"/>
            <w:vAlign w:val="bottom"/>
            <w:gridSpan w:val="2"/>
          </w:tcPr>
          <w:p>
            <w:pPr>
              <w:jc w:val="right"/>
              <w:spacing w:after="0"/>
              <w:rPr>
                <w:sz w:val="20"/>
                <w:szCs w:val="20"/>
                <w:color w:val="auto"/>
              </w:rPr>
            </w:pPr>
            <w:r>
              <w:rPr>
                <w:rFonts w:ascii="Arial" w:cs="Arial" w:eastAsia="Arial" w:hAnsi="Arial"/>
                <w:sz w:val="19"/>
                <w:szCs w:val="19"/>
                <w:b w:val="1"/>
                <w:bCs w:val="1"/>
                <w:color w:val="231F20"/>
              </w:rPr>
              <w:t>7,017,174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3741420</wp:posOffset>
            </wp:positionH>
            <wp:positionV relativeFrom="paragraph">
              <wp:posOffset>-11430</wp:posOffset>
            </wp:positionV>
            <wp:extent cx="2858770" cy="5461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858770" cy="54610"/>
                    </a:xfrm>
                    <a:prstGeom prst="rect">
                      <a:avLst/>
                    </a:prstGeom>
                    <a:noFill/>
                  </pic:spPr>
                </pic:pic>
              </a:graphicData>
            </a:graphic>
          </wp:anchor>
        </w:drawing>
      </w:r>
    </w:p>
    <w:p>
      <w:pPr>
        <w:sectPr>
          <w:pgSz w:w="12240" w:h="15840" w:orient="portrait"/>
          <w:cols w:equalWidth="0" w:num="1">
            <w:col w:w="10480"/>
          </w:cols>
          <w:pgMar w:left="880" w:top="1165" w:right="880" w:bottom="4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31F20"/>
        </w:rPr>
        <w:t>119</w:t>
      </w:r>
    </w:p>
    <w:p>
      <w:pPr>
        <w:sectPr>
          <w:pgSz w:w="12240" w:h="15840" w:orient="portrait"/>
          <w:cols w:equalWidth="0" w:num="1">
            <w:col w:w="10480"/>
          </w:cols>
          <w:pgMar w:left="880" w:top="1165" w:right="880" w:bottom="401" w:gutter="0" w:footer="0" w:header="0"/>
          <w:type w:val="continuous"/>
        </w:sectPr>
      </w:pPr>
    </w:p>
    <w:bookmarkStart w:id="127" w:name="page128"/>
    <w:bookmarkEnd w:id="127"/>
    <w:p>
      <w:pPr>
        <w:spacing w:after="0"/>
        <w:rPr>
          <w:sz w:val="20"/>
          <w:szCs w:val="20"/>
          <w:color w:val="auto"/>
        </w:rPr>
      </w:pPr>
      <w:r>
        <w:rPr>
          <w:rFonts w:ascii="Arial" w:cs="Arial" w:eastAsia="Arial" w:hAnsi="Arial"/>
          <w:sz w:val="19"/>
          <w:szCs w:val="19"/>
          <w:b w:val="1"/>
          <w:bCs w:val="1"/>
          <w:color w:val="231F20"/>
        </w:rPr>
        <w:t>(12) COMMITMENTS AND CONTINGENCIES</w:t>
      </w:r>
    </w:p>
    <w:p>
      <w:pPr>
        <w:spacing w:after="0" w:line="122"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Guarantees and Indemnifications</w:t>
      </w:r>
    </w:p>
    <w:p>
      <w:pPr>
        <w:spacing w:after="0" w:line="125" w:lineRule="exact"/>
        <w:rPr>
          <w:sz w:val="20"/>
          <w:szCs w:val="20"/>
          <w:color w:val="auto"/>
        </w:rPr>
      </w:pPr>
    </w:p>
    <w:p>
      <w:pPr>
        <w:ind w:firstLine="475"/>
        <w:spacing w:after="0" w:line="222" w:lineRule="exact"/>
        <w:rPr>
          <w:sz w:val="20"/>
          <w:szCs w:val="20"/>
          <w:color w:val="auto"/>
        </w:rPr>
      </w:pPr>
      <w:r>
        <w:rPr>
          <w:rFonts w:ascii="Arial" w:cs="Arial" w:eastAsia="Arial" w:hAnsi="Arial"/>
          <w:sz w:val="16"/>
          <w:szCs w:val="16"/>
          <w:b w:val="1"/>
          <w:bCs w:val="1"/>
          <w:color w:val="231F20"/>
        </w:rPr>
        <w:t>In the normal course of business, the Company enters into contracts and agreements that contain a variety of representations and warranties and provide for general indemnifications.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exposure under these agreements is unknown because it involves claims that may be made against the Company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officers and directors for specified events or occurrences, subject to some limits, while they are serving at the Company</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request in such capacities. There have been no claims to date and the Company has director and officer insurance that may enable the Company to recover a portion of any amounts paid for future potential claims. The Company believes the fair value of these indemnification agreements is minimal. Accordingly, the Company has not recorded any liabilities for these agreements as of December 31, 2024.</w:t>
      </w:r>
    </w:p>
    <w:p>
      <w:pPr>
        <w:spacing w:after="0" w:line="239"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Contingencies</w:t>
      </w:r>
    </w:p>
    <w:p>
      <w:pPr>
        <w:spacing w:after="0" w:line="125" w:lineRule="exact"/>
        <w:rPr>
          <w:sz w:val="20"/>
          <w:szCs w:val="20"/>
          <w:color w:val="auto"/>
        </w:rPr>
      </w:pPr>
    </w:p>
    <w:p>
      <w:pPr>
        <w:ind w:right="80" w:firstLine="475"/>
        <w:spacing w:after="0" w:line="243" w:lineRule="auto"/>
        <w:rPr>
          <w:sz w:val="20"/>
          <w:szCs w:val="20"/>
          <w:color w:val="auto"/>
        </w:rPr>
      </w:pPr>
      <w:r>
        <w:rPr>
          <w:rFonts w:ascii="Arial" w:cs="Arial" w:eastAsia="Arial" w:hAnsi="Arial"/>
          <w:sz w:val="19"/>
          <w:szCs w:val="19"/>
          <w:b w:val="1"/>
          <w:bCs w:val="1"/>
          <w:color w:val="231F20"/>
        </w:rPr>
        <w:t>From time to time, the Company may be a party to various claims in the normal course of business. Legal fees and other costs associated with such actions will be expensed as incurred. The Company will assess, in conjunction with its legal counsel, the need to record a liability for litigation and contingencies. Reserve estimates will be recorded when and if it is determined that a loss related matter is both probable and reasonably estimable. For the years ended December 31, 2024, 2023 and 2022, the Company had no pending or threatened litigation.</w:t>
      </w:r>
    </w:p>
    <w:p>
      <w:pPr>
        <w:spacing w:after="0" w:line="237"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License Agreements</w:t>
      </w:r>
    </w:p>
    <w:p>
      <w:pPr>
        <w:spacing w:after="0" w:line="128" w:lineRule="exact"/>
        <w:rPr>
          <w:sz w:val="20"/>
          <w:szCs w:val="20"/>
          <w:color w:val="auto"/>
        </w:rPr>
      </w:pPr>
    </w:p>
    <w:p>
      <w:pPr>
        <w:ind w:right="60" w:firstLine="475"/>
        <w:spacing w:after="0" w:line="222" w:lineRule="exact"/>
        <w:rPr>
          <w:sz w:val="20"/>
          <w:szCs w:val="20"/>
          <w:color w:val="auto"/>
        </w:rPr>
      </w:pPr>
      <w:r>
        <w:rPr>
          <w:rFonts w:ascii="Arial" w:cs="Arial" w:eastAsia="Arial" w:hAnsi="Arial"/>
          <w:sz w:val="17"/>
          <w:szCs w:val="17"/>
          <w:b w:val="1"/>
          <w:bCs w:val="1"/>
          <w:color w:val="231F20"/>
        </w:rPr>
        <w:t>In March 2015, the Company entered into a license agreement, or the Stanford Agreement, with the Board of Trustees of the Leland Stanford Junior University, or Stanford, under which the Company obtained a worldwide, royalty-bearing, sublicensable license under certain patents relating to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current product candidates, to develop, manufacture and commercialize products for use in certain licensed fields, the scope of which would include the application of the licensed intellectual property in oncology. The Company paid Stanford a nonrefundable license royalty and reimbursed Stanford for past patent expenses, together totaling less than $0.1 million, and granted Stanford a specified number of shares of common stock of the Company. The Company is required to make milestone payments up to an aggregate of $5.0 million in respect of a specified number of licensed products that successfully satisfy certain clinical and regulatory milestones. The Company recorded the first milestone payment of $0.2 million during the year ended December 31, 2021. There were no milestone payments recorded for the years ended December 31, 2024, 2023 and 2022.</w:t>
      </w:r>
    </w:p>
    <w:p>
      <w:pPr>
        <w:spacing w:after="0" w:line="128"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231F20"/>
        </w:rPr>
        <w:t>In June 2016, the Company entered into a license agreement with Selexis SA, or Selexis, under which the Company obtained a</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worldwide, royalty-bearing, sublicensable license under certain patents, know-how and other intellectual property, to use Selexis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generated cell lines to manufacture evorpacept, and to make, use and sell licensed product containing such compound in all fields of</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use. The Company paid Selexis a nominal one-time fee and will pay Selexis an annual maintenance fee. The Company also agreed to</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pay Selexis milestone payments up to an aggregate of 1.2 million Swiss Francs in respect of all licensed products developed and/or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commercialized under the grant that successfully satisfies certain milestone events. The Company recorded a milestone payment of</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$0.1 million during the year ended December 31, 2021. There were no milestone payments recorded for the years ended December 31,</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2024, 2023 and 2022.</w:t>
      </w:r>
    </w:p>
    <w:p>
      <w:pPr>
        <w:spacing w:after="0" w:line="128" w:lineRule="exact"/>
        <w:rPr>
          <w:sz w:val="20"/>
          <w:szCs w:val="20"/>
          <w:color w:val="auto"/>
        </w:rPr>
      </w:pPr>
    </w:p>
    <w:p>
      <w:pPr>
        <w:ind w:firstLine="475"/>
        <w:spacing w:after="0" w:line="222" w:lineRule="exact"/>
        <w:rPr>
          <w:sz w:val="20"/>
          <w:szCs w:val="20"/>
          <w:color w:val="auto"/>
        </w:rPr>
      </w:pPr>
      <w:r>
        <w:rPr>
          <w:rFonts w:ascii="Arial" w:cs="Arial" w:eastAsia="Arial" w:hAnsi="Arial"/>
          <w:sz w:val="18"/>
          <w:szCs w:val="18"/>
          <w:b w:val="1"/>
          <w:bCs w:val="1"/>
          <w:color w:val="231F20"/>
        </w:rPr>
        <w:t>In March 2017, the Company entered into an agreement with Crystal Bioscience Inc. (now a subsidiary of Ligand Pharmaceuticals Incorporated), or Crystal, under which the Company obtained an assignment of certain patents, covering certain SIRP</w:t>
      </w:r>
      <w:r>
        <w:rPr>
          <w:sz w:val="1"/>
          <w:szCs w:val="1"/>
          <w:color w:val="auto"/>
        </w:rPr>
        <w:drawing>
          <wp:inline distT="0" distB="0" distL="0" distR="0">
            <wp:extent cx="83185" cy="83185"/>
            <wp:effectExtent l="0" t="0" r="0" b="0"/>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3185" cy="83185"/>
                    </a:xfrm>
                    <a:prstGeom prst="rect">
                      <a:avLst/>
                    </a:prstGeom>
                    <a:noFill/>
                    <a:ln>
                      <a:noFill/>
                    </a:ln>
                  </pic:spPr>
                </pic:pic>
              </a:graphicData>
            </a:graphic>
          </wp:inline>
        </w:drawing>
      </w:r>
      <w:r>
        <w:rPr>
          <w:rFonts w:ascii="Arial" w:cs="Arial" w:eastAsia="Arial" w:hAnsi="Arial"/>
          <w:sz w:val="18"/>
          <w:szCs w:val="18"/>
          <w:b w:val="1"/>
          <w:bCs w:val="1"/>
          <w:color w:val="231F20"/>
        </w:rPr>
        <w:t xml:space="preserve"> antibodies. Under this agreement, the Company also received a worldwide, royalty-bearing non-exclusive license, with the right to grant sublicenses through multiple tiers of sublicenses, under certain of Crystal</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background patents and know-how necessary to commercialize the rights under the assigned patents. The Company agreed to pay Crystal milestone payments up to $11.1 million in respect of all licensed products developed under the assigned patents, that successfully satisfy certain clinical and regulatory milestones, each milestone being paid only once for all products. The Company recorded the first milestone payment of $0.3 million during the year ended December 31, 2022. There were no milestone payments recorded for the years ended December 31, 2024 and 2023.</w:t>
      </w:r>
    </w:p>
    <w:p>
      <w:pPr>
        <w:spacing w:after="0" w:line="133" w:lineRule="exact"/>
        <w:rPr>
          <w:sz w:val="20"/>
          <w:szCs w:val="20"/>
          <w:color w:val="auto"/>
        </w:rPr>
      </w:pPr>
    </w:p>
    <w:p>
      <w:pPr>
        <w:ind w:right="20" w:firstLine="475"/>
        <w:spacing w:after="0" w:line="222" w:lineRule="exact"/>
        <w:rPr>
          <w:sz w:val="20"/>
          <w:szCs w:val="20"/>
          <w:color w:val="auto"/>
        </w:rPr>
      </w:pPr>
      <w:r>
        <w:rPr>
          <w:rFonts w:ascii="Arial" w:cs="Arial" w:eastAsia="Arial" w:hAnsi="Arial"/>
          <w:sz w:val="16"/>
          <w:szCs w:val="16"/>
          <w:b w:val="1"/>
          <w:bCs w:val="1"/>
          <w:color w:val="231F20"/>
        </w:rPr>
        <w:t>In October 2021, the Company entered into a stock purchase agreement with ScalmiBio, Inc. or ScalmiBio, with plans to develop new anti-cancer drug candidates based on ScalmiBio</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s platform. Under the terms of the stock purchase agreement, the Company has agreed to pay up to $35.0 million, in aggregate, in certain milestones based on the clinical development of the acquired ScalmiBio technology and has also agreed to pay a low single digit royalty on net sales of any products developed from the ScalmiBio acquired technology for a defined term. The Company has the option to buy-out the royalty payment, prior to the first marketing approval of the developed product. The Company recorded the first milestone payment of $1.0 million during the year ended December 31, 2024. For further details, refer to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Note 10. Related-Party Transactions</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ScalmiBio Milestone Payments.</w:t>
      </w:r>
      <w:r>
        <w:rPr>
          <w:rFonts w:ascii="PMingLiU" w:cs="PMingLiU" w:eastAsia="PMingLiU" w:hAnsi="PMingLiU"/>
          <w:sz w:val="16"/>
          <w:szCs w:val="16"/>
          <w:b w:val="1"/>
          <w:bCs w:val="1"/>
          <w:color w:val="231F20"/>
        </w:rPr>
        <w:t></w:t>
      </w:r>
    </w:p>
    <w:p>
      <w:pPr>
        <w:sectPr>
          <w:pgSz w:w="12240" w:h="15840" w:orient="portrait"/>
          <w:cols w:equalWidth="0" w:num="1">
            <w:col w:w="10460"/>
          </w:cols>
          <w:pgMar w:left="880" w:top="1160" w:right="900" w:bottom="4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31F20"/>
        </w:rPr>
        <w:t>120</w:t>
      </w:r>
    </w:p>
    <w:p>
      <w:pPr>
        <w:sectPr>
          <w:pgSz w:w="12240" w:h="15840" w:orient="portrait"/>
          <w:cols w:equalWidth="0" w:num="1">
            <w:col w:w="10460"/>
          </w:cols>
          <w:pgMar w:left="880" w:top="1160" w:right="900" w:bottom="401" w:gutter="0" w:footer="0" w:header="0"/>
          <w:type w:val="continuous"/>
        </w:sectPr>
      </w:pPr>
    </w:p>
    <w:bookmarkStart w:id="128" w:name="page129"/>
    <w:bookmarkEnd w:id="128"/>
    <w:p>
      <w:pPr>
        <w:ind w:right="100" w:firstLine="475"/>
        <w:spacing w:after="0" w:line="298" w:lineRule="auto"/>
        <w:rPr>
          <w:sz w:val="20"/>
          <w:szCs w:val="20"/>
          <w:color w:val="auto"/>
        </w:rPr>
      </w:pPr>
      <w:r>
        <w:rPr>
          <w:rFonts w:ascii="Arial" w:cs="Arial" w:eastAsia="Arial" w:hAnsi="Arial"/>
          <w:sz w:val="16"/>
          <w:szCs w:val="16"/>
          <w:b w:val="1"/>
          <w:bCs w:val="1"/>
          <w:color w:val="231F20"/>
        </w:rPr>
        <w:t>In January 2024, the Company entered into a license agreement with WuXi Biologics Ireland, Ltd., or WuXi, under which the Company obtained a worldwide, non-exclusive, non-transferrable, sublicensable license under certain patents, know-how, and other intellectual property, to use WuXi developed cell lines to manufacture, develop, use and sell licensed product containing such compound in all fields of use. The Company agreed to pay WuXi milestone payments up to an aggregate of $3.2 million in respect of all licensed products developed and/or commercialized under the assigned patents that successfully satisfies certain milestone events. The Company recorded the first milestone payment of $0.2 million during the year ended December 31, 2024.</w:t>
      </w:r>
    </w:p>
    <w:p>
      <w:pPr>
        <w:spacing w:after="0" w:line="196"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Other Contractual Obligations and Other Commitments</w:t>
      </w:r>
    </w:p>
    <w:p>
      <w:pPr>
        <w:spacing w:after="0" w:line="128" w:lineRule="exact"/>
        <w:rPr>
          <w:sz w:val="20"/>
          <w:szCs w:val="20"/>
          <w:color w:val="auto"/>
        </w:rPr>
      </w:pPr>
    </w:p>
    <w:p>
      <w:pPr>
        <w:ind w:firstLine="475"/>
        <w:spacing w:after="0" w:line="239" w:lineRule="auto"/>
        <w:rPr>
          <w:sz w:val="20"/>
          <w:szCs w:val="20"/>
          <w:color w:val="auto"/>
        </w:rPr>
      </w:pPr>
      <w:r>
        <w:rPr>
          <w:rFonts w:ascii="Arial" w:cs="Arial" w:eastAsia="Arial" w:hAnsi="Arial"/>
          <w:sz w:val="19"/>
          <w:szCs w:val="19"/>
          <w:b w:val="1"/>
          <w:bCs w:val="1"/>
          <w:color w:val="231F20"/>
        </w:rPr>
        <w:t>We have other contractual obligations and other commitments from manufacturing and service contracts, which are presented as follows as of December 31, 2024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940" w:type="dxa"/>
            <w:vAlign w:val="bottom"/>
            <w:tcBorders>
              <w:bottom w:val="single" w:sz="8" w:color="231F20"/>
            </w:tcBorders>
          </w:tcPr>
          <w:p>
            <w:pPr>
              <w:spacing w:after="0"/>
              <w:rPr>
                <w:sz w:val="19"/>
                <w:szCs w:val="19"/>
                <w:color w:val="auto"/>
              </w:rPr>
            </w:pPr>
          </w:p>
        </w:tc>
        <w:tc>
          <w:tcPr>
            <w:tcW w:w="260" w:type="dxa"/>
            <w:vAlign w:val="bottom"/>
            <w:tcBorders>
              <w:bottom w:val="single" w:sz="8" w:color="231F20"/>
            </w:tcBorders>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920" w:type="dxa"/>
            <w:vAlign w:val="bottom"/>
            <w:tcBorders>
              <w:bottom w:val="single" w:sz="8" w:color="231F20"/>
            </w:tcBorders>
          </w:tcPr>
          <w:p>
            <w:pPr>
              <w:spacing w:after="0"/>
              <w:rPr>
                <w:sz w:val="19"/>
                <w:szCs w:val="19"/>
                <w:color w:val="auto"/>
              </w:rPr>
            </w:pPr>
          </w:p>
        </w:tc>
        <w:tc>
          <w:tcPr>
            <w:tcW w:w="40" w:type="dxa"/>
            <w:vAlign w:val="bottom"/>
            <w:tcBorders>
              <w:bottom w:val="single" w:sz="8" w:color="231F20"/>
            </w:tcBorders>
          </w:tcPr>
          <w:p>
            <w:pPr>
              <w:spacing w:after="0"/>
              <w:rPr>
                <w:sz w:val="19"/>
                <w:szCs w:val="19"/>
                <w:color w:val="auto"/>
              </w:rPr>
            </w:pPr>
          </w:p>
        </w:tc>
        <w:tc>
          <w:tcPr>
            <w:tcW w:w="1640" w:type="dxa"/>
            <w:vAlign w:val="bottom"/>
            <w:tcBorders>
              <w:bottom w:val="single" w:sz="8" w:color="231F20"/>
            </w:tcBorders>
            <w:gridSpan w:val="4"/>
          </w:tcPr>
          <w:p>
            <w:pPr>
              <w:jc w:val="center"/>
              <w:ind w:right="40"/>
              <w:spacing w:after="0"/>
              <w:rPr>
                <w:sz w:val="20"/>
                <w:szCs w:val="20"/>
                <w:color w:val="auto"/>
              </w:rPr>
            </w:pPr>
            <w:r>
              <w:rPr>
                <w:rFonts w:ascii="Arial" w:cs="Arial" w:eastAsia="Arial" w:hAnsi="Arial"/>
                <w:sz w:val="19"/>
                <w:szCs w:val="19"/>
                <w:b w:val="1"/>
                <w:bCs w:val="1"/>
                <w:color w:val="231F20"/>
                <w:w w:val="91"/>
              </w:rPr>
              <w:t>December 31, 2024</w:t>
            </w:r>
          </w:p>
        </w:tc>
        <w:tc>
          <w:tcPr>
            <w:tcW w:w="120" w:type="dxa"/>
            <w:vAlign w:val="bottom"/>
            <w:tcBorders>
              <w:bottom w:val="single" w:sz="8" w:color="231F20"/>
            </w:tcBorders>
          </w:tcPr>
          <w:p>
            <w:pPr>
              <w:spacing w:after="0"/>
              <w:rPr>
                <w:sz w:val="19"/>
                <w:szCs w:val="19"/>
                <w:color w:val="auto"/>
              </w:rPr>
            </w:pPr>
          </w:p>
        </w:tc>
        <w:tc>
          <w:tcPr>
            <w:tcW w:w="1060" w:type="dxa"/>
            <w:vAlign w:val="bottom"/>
            <w:tcBorders>
              <w:bottom w:val="single" w:sz="8" w:color="231F20"/>
            </w:tcBorders>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060" w:type="dxa"/>
            <w:vAlign w:val="bottom"/>
            <w:tcBorders>
              <w:bottom w:val="single" w:sz="8" w:color="231F20"/>
            </w:tcBorders>
          </w:tcPr>
          <w:p>
            <w:pPr>
              <w:spacing w:after="0"/>
              <w:rPr>
                <w:sz w:val="19"/>
                <w:szCs w:val="19"/>
                <w:color w:val="auto"/>
              </w:rPr>
            </w:pPr>
          </w:p>
        </w:tc>
      </w:tr>
      <w:tr>
        <w:trPr>
          <w:trHeight w:val="213"/>
        </w:trPr>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940" w:type="dxa"/>
            <w:vAlign w:val="bottom"/>
            <w:tcBorders>
              <w:bottom w:val="single" w:sz="8" w:color="231F20"/>
            </w:tcBorders>
          </w:tcPr>
          <w:p>
            <w:pPr>
              <w:jc w:val="right"/>
              <w:ind w:right="263"/>
              <w:spacing w:after="0" w:line="213" w:lineRule="exact"/>
              <w:rPr>
                <w:sz w:val="20"/>
                <w:szCs w:val="20"/>
                <w:color w:val="auto"/>
              </w:rPr>
            </w:pPr>
            <w:r>
              <w:rPr>
                <w:rFonts w:ascii="Arial" w:cs="Arial" w:eastAsia="Arial" w:hAnsi="Arial"/>
                <w:sz w:val="19"/>
                <w:szCs w:val="19"/>
                <w:b w:val="1"/>
                <w:bCs w:val="1"/>
                <w:color w:val="231F20"/>
              </w:rPr>
              <w:t>Total</w:t>
            </w:r>
          </w:p>
        </w:tc>
        <w:tc>
          <w:tcPr>
            <w:tcW w:w="260" w:type="dxa"/>
            <w:vAlign w:val="bottom"/>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920" w:type="dxa"/>
            <w:vAlign w:val="bottom"/>
            <w:tcBorders>
              <w:bottom w:val="single" w:sz="8" w:color="231F20"/>
            </w:tcBorders>
          </w:tcPr>
          <w:p>
            <w:pPr>
              <w:jc w:val="right"/>
              <w:ind w:right="283"/>
              <w:spacing w:after="0" w:line="213" w:lineRule="exact"/>
              <w:rPr>
                <w:sz w:val="20"/>
                <w:szCs w:val="20"/>
                <w:color w:val="auto"/>
              </w:rPr>
            </w:pPr>
            <w:r>
              <w:rPr>
                <w:rFonts w:ascii="Arial" w:cs="Arial" w:eastAsia="Arial" w:hAnsi="Arial"/>
                <w:sz w:val="19"/>
                <w:szCs w:val="19"/>
                <w:b w:val="1"/>
                <w:bCs w:val="1"/>
                <w:color w:val="231F20"/>
              </w:rPr>
              <w:t>2025</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231F20"/>
            </w:tcBorders>
          </w:tcPr>
          <w:p>
            <w:pPr>
              <w:spacing w:after="0"/>
              <w:rPr>
                <w:sz w:val="18"/>
                <w:szCs w:val="18"/>
                <w:color w:val="auto"/>
              </w:rPr>
            </w:pPr>
          </w:p>
        </w:tc>
        <w:tc>
          <w:tcPr>
            <w:tcW w:w="1040" w:type="dxa"/>
            <w:vAlign w:val="bottom"/>
            <w:tcBorders>
              <w:bottom w:val="single" w:sz="8" w:color="231F20"/>
            </w:tcBorders>
          </w:tcPr>
          <w:p>
            <w:pPr>
              <w:jc w:val="right"/>
              <w:ind w:right="63"/>
              <w:spacing w:after="0" w:line="213" w:lineRule="exact"/>
              <w:rPr>
                <w:sz w:val="20"/>
                <w:szCs w:val="20"/>
                <w:color w:val="auto"/>
              </w:rPr>
            </w:pPr>
            <w:r>
              <w:rPr>
                <w:rFonts w:ascii="Arial" w:cs="Arial" w:eastAsia="Arial" w:hAnsi="Arial"/>
                <w:sz w:val="19"/>
                <w:szCs w:val="19"/>
                <w:b w:val="1"/>
                <w:bCs w:val="1"/>
                <w:color w:val="231F20"/>
                <w:w w:val="94"/>
              </w:rPr>
              <w:t>2026-2027</w:t>
            </w:r>
          </w:p>
        </w:tc>
        <w:tc>
          <w:tcPr>
            <w:tcW w:w="260" w:type="dxa"/>
            <w:vAlign w:val="bottom"/>
          </w:tcPr>
          <w:p>
            <w:pPr>
              <w:spacing w:after="0"/>
              <w:rPr>
                <w:sz w:val="18"/>
                <w:szCs w:val="18"/>
                <w:color w:val="auto"/>
              </w:rPr>
            </w:pPr>
          </w:p>
        </w:tc>
        <w:tc>
          <w:tcPr>
            <w:tcW w:w="120" w:type="dxa"/>
            <w:vAlign w:val="bottom"/>
            <w:tcBorders>
              <w:bottom w:val="single" w:sz="8" w:color="231F20"/>
            </w:tcBorders>
          </w:tcPr>
          <w:p>
            <w:pPr>
              <w:spacing w:after="0"/>
              <w:rPr>
                <w:sz w:val="18"/>
                <w:szCs w:val="18"/>
                <w:color w:val="auto"/>
              </w:rPr>
            </w:pPr>
          </w:p>
        </w:tc>
        <w:tc>
          <w:tcPr>
            <w:tcW w:w="1060" w:type="dxa"/>
            <w:vAlign w:val="bottom"/>
            <w:tcBorders>
              <w:bottom w:val="single" w:sz="8" w:color="231F20"/>
            </w:tcBorders>
          </w:tcPr>
          <w:p>
            <w:pPr>
              <w:jc w:val="right"/>
              <w:ind w:right="83"/>
              <w:spacing w:after="0" w:line="213" w:lineRule="exact"/>
              <w:rPr>
                <w:sz w:val="20"/>
                <w:szCs w:val="20"/>
                <w:color w:val="auto"/>
              </w:rPr>
            </w:pPr>
            <w:r>
              <w:rPr>
                <w:rFonts w:ascii="Arial" w:cs="Arial" w:eastAsia="Arial" w:hAnsi="Arial"/>
                <w:sz w:val="19"/>
                <w:szCs w:val="19"/>
                <w:b w:val="1"/>
                <w:bCs w:val="1"/>
                <w:color w:val="231F20"/>
                <w:w w:val="94"/>
              </w:rPr>
              <w:t>2028-2029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231F20"/>
            </w:tcBorders>
          </w:tcPr>
          <w:p>
            <w:pPr>
              <w:spacing w:after="0"/>
              <w:rPr>
                <w:sz w:val="18"/>
                <w:szCs w:val="18"/>
                <w:color w:val="auto"/>
              </w:rPr>
            </w:pPr>
          </w:p>
        </w:tc>
        <w:tc>
          <w:tcPr>
            <w:tcW w:w="1060" w:type="dxa"/>
            <w:vAlign w:val="bottom"/>
            <w:tcBorders>
              <w:bottom w:val="single" w:sz="8" w:color="231F20"/>
            </w:tcBorders>
          </w:tcPr>
          <w:p>
            <w:pPr>
              <w:jc w:val="right"/>
              <w:ind w:right="43"/>
              <w:spacing w:after="0" w:line="213" w:lineRule="exact"/>
              <w:rPr>
                <w:sz w:val="20"/>
                <w:szCs w:val="20"/>
                <w:color w:val="auto"/>
              </w:rPr>
            </w:pPr>
            <w:r>
              <w:rPr>
                <w:rFonts w:ascii="Arial" w:cs="Arial" w:eastAsia="Arial" w:hAnsi="Arial"/>
                <w:sz w:val="19"/>
                <w:szCs w:val="19"/>
                <w:b w:val="1"/>
                <w:bCs w:val="1"/>
                <w:color w:val="231F20"/>
                <w:w w:val="96"/>
              </w:rPr>
              <w:t>Thereafter</w:t>
            </w:r>
          </w:p>
        </w:tc>
      </w:tr>
      <w:tr>
        <w:trPr>
          <w:trHeight w:val="213"/>
        </w:trPr>
        <w:tc>
          <w:tcPr>
            <w:tcW w:w="3160" w:type="dxa"/>
            <w:vAlign w:val="bottom"/>
          </w:tcPr>
          <w:p>
            <w:pPr>
              <w:spacing w:after="0" w:line="213" w:lineRule="exact"/>
              <w:rPr>
                <w:sz w:val="20"/>
                <w:szCs w:val="20"/>
                <w:color w:val="auto"/>
              </w:rPr>
            </w:pPr>
            <w:r>
              <w:rPr>
                <w:rFonts w:ascii="Arial" w:cs="Arial" w:eastAsia="Arial" w:hAnsi="Arial"/>
                <w:sz w:val="19"/>
                <w:szCs w:val="19"/>
                <w:b w:val="1"/>
                <w:bCs w:val="1"/>
                <w:color w:val="231F20"/>
                <w:w w:val="94"/>
              </w:rPr>
              <w:t>Manufacturing and service contracts</w:t>
            </w:r>
          </w:p>
        </w:tc>
        <w:tc>
          <w:tcPr>
            <w:tcW w:w="340" w:type="dxa"/>
            <w:vAlign w:val="bottom"/>
          </w:tcPr>
          <w:p>
            <w:pPr>
              <w:spacing w:after="0"/>
              <w:rPr>
                <w:sz w:val="18"/>
                <w:szCs w:val="18"/>
                <w:color w:val="auto"/>
              </w:rPr>
            </w:pPr>
          </w:p>
        </w:tc>
        <w:tc>
          <w:tcPr>
            <w:tcW w:w="240" w:type="dxa"/>
            <w:vAlign w:val="bottom"/>
          </w:tcPr>
          <w:p>
            <w:pPr>
              <w:jc w:val="right"/>
              <w:ind w:right="43"/>
              <w:spacing w:after="0" w:line="213" w:lineRule="exact"/>
              <w:rPr>
                <w:sz w:val="20"/>
                <w:szCs w:val="20"/>
                <w:color w:val="auto"/>
              </w:rPr>
            </w:pPr>
            <w:r>
              <w:rPr>
                <w:rFonts w:ascii="Arial" w:cs="Arial" w:eastAsia="Arial" w:hAnsi="Arial"/>
                <w:sz w:val="19"/>
                <w:szCs w:val="19"/>
                <w:b w:val="1"/>
                <w:bCs w:val="1"/>
                <w:color w:val="231F20"/>
                <w:w w:val="75"/>
              </w:rPr>
              <w:t>$</w:t>
            </w:r>
          </w:p>
        </w:tc>
        <w:tc>
          <w:tcPr>
            <w:tcW w:w="1200" w:type="dxa"/>
            <w:vAlign w:val="bottom"/>
            <w:gridSpan w:val="2"/>
          </w:tcPr>
          <w:p>
            <w:pPr>
              <w:jc w:val="right"/>
              <w:ind w:right="260"/>
              <w:spacing w:after="0" w:line="213" w:lineRule="exact"/>
              <w:rPr>
                <w:sz w:val="20"/>
                <w:szCs w:val="20"/>
                <w:color w:val="auto"/>
              </w:rPr>
            </w:pPr>
            <w:r>
              <w:rPr>
                <w:rFonts w:ascii="Arial" w:cs="Arial" w:eastAsia="Arial" w:hAnsi="Arial"/>
                <w:sz w:val="19"/>
                <w:szCs w:val="19"/>
                <w:b w:val="1"/>
                <w:bCs w:val="1"/>
                <w:color w:val="231F20"/>
              </w:rPr>
              <w:t>2,290</w:t>
            </w:r>
          </w:p>
        </w:tc>
        <w:tc>
          <w:tcPr>
            <w:tcW w:w="240" w:type="dxa"/>
            <w:vAlign w:val="bottom"/>
          </w:tcPr>
          <w:p>
            <w:pPr>
              <w:jc w:val="right"/>
              <w:ind w:right="54"/>
              <w:spacing w:after="0" w:line="213" w:lineRule="exact"/>
              <w:rPr>
                <w:sz w:val="20"/>
                <w:szCs w:val="20"/>
                <w:color w:val="auto"/>
              </w:rPr>
            </w:pPr>
            <w:r>
              <w:rPr>
                <w:rFonts w:ascii="Arial" w:cs="Arial" w:eastAsia="Arial" w:hAnsi="Arial"/>
                <w:sz w:val="19"/>
                <w:szCs w:val="19"/>
                <w:b w:val="1"/>
                <w:bCs w:val="1"/>
                <w:color w:val="231F20"/>
                <w:w w:val="75"/>
              </w:rPr>
              <w:t>$</w:t>
            </w:r>
          </w:p>
        </w:tc>
        <w:tc>
          <w:tcPr>
            <w:tcW w:w="960" w:type="dxa"/>
            <w:vAlign w:val="bottom"/>
            <w:gridSpan w:val="2"/>
          </w:tcPr>
          <w:p>
            <w:pPr>
              <w:jc w:val="right"/>
              <w:ind w:right="40"/>
              <w:spacing w:after="0" w:line="213" w:lineRule="exact"/>
              <w:rPr>
                <w:sz w:val="20"/>
                <w:szCs w:val="20"/>
                <w:color w:val="auto"/>
              </w:rPr>
            </w:pPr>
            <w:r>
              <w:rPr>
                <w:rFonts w:ascii="Arial" w:cs="Arial" w:eastAsia="Arial" w:hAnsi="Arial"/>
                <w:sz w:val="19"/>
                <w:szCs w:val="19"/>
                <w:b w:val="1"/>
                <w:bCs w:val="1"/>
                <w:color w:val="231F20"/>
              </w:rPr>
              <w:t>1,989</w:t>
            </w:r>
          </w:p>
        </w:tc>
        <w:tc>
          <w:tcPr>
            <w:tcW w:w="340" w:type="dxa"/>
            <w:vAlign w:val="bottom"/>
            <w:gridSpan w:val="2"/>
          </w:tcPr>
          <w:p>
            <w:pPr>
              <w:jc w:val="right"/>
              <w:ind w:right="20"/>
              <w:spacing w:after="0" w:line="213" w:lineRule="exact"/>
              <w:rPr>
                <w:sz w:val="20"/>
                <w:szCs w:val="20"/>
                <w:color w:val="auto"/>
              </w:rPr>
            </w:pPr>
            <w:r>
              <w:rPr>
                <w:rFonts w:ascii="Arial" w:cs="Arial" w:eastAsia="Arial" w:hAnsi="Arial"/>
                <w:sz w:val="19"/>
                <w:szCs w:val="19"/>
                <w:b w:val="1"/>
                <w:bCs w:val="1"/>
                <w:color w:val="231F20"/>
              </w:rPr>
              <w:t>$</w:t>
            </w:r>
          </w:p>
        </w:tc>
        <w:tc>
          <w:tcPr>
            <w:tcW w:w="1300" w:type="dxa"/>
            <w:vAlign w:val="bottom"/>
            <w:gridSpan w:val="2"/>
          </w:tcPr>
          <w:p>
            <w:pPr>
              <w:ind w:left="760"/>
              <w:spacing w:after="0" w:line="213" w:lineRule="exact"/>
              <w:rPr>
                <w:sz w:val="20"/>
                <w:szCs w:val="20"/>
                <w:color w:val="auto"/>
              </w:rPr>
            </w:pPr>
            <w:r>
              <w:rPr>
                <w:rFonts w:ascii="Arial" w:cs="Arial" w:eastAsia="Arial" w:hAnsi="Arial"/>
                <w:sz w:val="19"/>
                <w:szCs w:val="19"/>
                <w:b w:val="1"/>
                <w:bCs w:val="1"/>
                <w:color w:val="231F20"/>
              </w:rPr>
              <w:t>301</w:t>
            </w:r>
          </w:p>
        </w:tc>
        <w:tc>
          <w:tcPr>
            <w:tcW w:w="120" w:type="dxa"/>
            <w:vAlign w:val="bottom"/>
          </w:tcPr>
          <w:p>
            <w:pPr>
              <w:jc w:val="right"/>
              <w:spacing w:after="0" w:line="213" w:lineRule="exact"/>
              <w:rPr>
                <w:sz w:val="20"/>
                <w:szCs w:val="20"/>
                <w:color w:val="auto"/>
              </w:rPr>
            </w:pPr>
            <w:r>
              <w:rPr>
                <w:rFonts w:ascii="Arial" w:cs="Arial" w:eastAsia="Arial" w:hAnsi="Arial"/>
                <w:sz w:val="19"/>
                <w:szCs w:val="19"/>
                <w:b w:val="1"/>
                <w:bCs w:val="1"/>
                <w:color w:val="231F20"/>
                <w:w w:val="75"/>
              </w:rPr>
              <w:t>$</w:t>
            </w:r>
          </w:p>
        </w:tc>
        <w:tc>
          <w:tcPr>
            <w:tcW w:w="1180" w:type="dxa"/>
            <w:vAlign w:val="bottom"/>
            <w:gridSpan w:val="2"/>
          </w:tcPr>
          <w:p>
            <w:pPr>
              <w:jc w:val="right"/>
              <w:ind w:right="120"/>
              <w:spacing w:after="0" w:line="213" w:lineRule="exact"/>
              <w:rPr>
                <w:sz w:val="20"/>
                <w:szCs w:val="20"/>
                <w:color w:val="auto"/>
              </w:rPr>
            </w:pPr>
            <w:r>
              <w:rPr>
                <w:rFonts w:ascii="PMingLiU" w:cs="PMingLiU" w:eastAsia="PMingLiU" w:hAnsi="PMingLiU"/>
                <w:sz w:val="19"/>
                <w:szCs w:val="19"/>
                <w:b w:val="1"/>
                <w:bCs w:val="1"/>
                <w:color w:val="231F20"/>
              </w:rPr>
              <w:t></w:t>
            </w:r>
          </w:p>
        </w:tc>
        <w:tc>
          <w:tcPr>
            <w:tcW w:w="240" w:type="dxa"/>
            <w:vAlign w:val="bottom"/>
            <w:gridSpan w:val="2"/>
          </w:tcPr>
          <w:p>
            <w:pPr>
              <w:jc w:val="right"/>
              <w:ind w:right="20"/>
              <w:spacing w:after="0" w:line="213" w:lineRule="exact"/>
              <w:rPr>
                <w:sz w:val="20"/>
                <w:szCs w:val="20"/>
                <w:color w:val="auto"/>
              </w:rPr>
            </w:pPr>
            <w:r>
              <w:rPr>
                <w:rFonts w:ascii="Arial" w:cs="Arial" w:eastAsia="Arial" w:hAnsi="Arial"/>
                <w:sz w:val="19"/>
                <w:szCs w:val="19"/>
                <w:b w:val="1"/>
                <w:bCs w:val="1"/>
                <w:color w:val="231F20"/>
              </w:rPr>
              <w:t>$</w:t>
            </w:r>
          </w:p>
        </w:tc>
        <w:tc>
          <w:tcPr>
            <w:tcW w:w="1060" w:type="dxa"/>
            <w:vAlign w:val="bottom"/>
          </w:tcPr>
          <w:p>
            <w:pPr>
              <w:jc w:val="right"/>
              <w:spacing w:after="0" w:line="213" w:lineRule="exact"/>
              <w:rPr>
                <w:sz w:val="20"/>
                <w:szCs w:val="20"/>
                <w:color w:val="auto"/>
              </w:rPr>
            </w:pPr>
            <w:r>
              <w:rPr>
                <w:rFonts w:ascii="PMingLiU" w:cs="PMingLiU" w:eastAsia="PMingLiU" w:hAnsi="PMingLiU"/>
                <w:sz w:val="19"/>
                <w:szCs w:val="19"/>
                <w:b w:val="1"/>
                <w:bCs w:val="1"/>
                <w:color w:val="231F20"/>
              </w:rPr>
              <w:t></w:t>
            </w:r>
          </w:p>
        </w:tc>
      </w:tr>
      <w:tr>
        <w:trPr>
          <w:trHeight w:val="20"/>
        </w:trPr>
        <w:tc>
          <w:tcPr>
            <w:tcW w:w="3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231F20"/>
          </w:tcPr>
          <w:p>
            <w:pPr>
              <w:spacing w:after="0" w:line="20" w:lineRule="exact"/>
              <w:rPr>
                <w:sz w:val="1"/>
                <w:szCs w:val="1"/>
                <w:color w:val="auto"/>
              </w:rPr>
            </w:pPr>
          </w:p>
        </w:tc>
        <w:tc>
          <w:tcPr>
            <w:tcW w:w="940" w:type="dxa"/>
            <w:vAlign w:val="bottom"/>
            <w:shd w:val="clear" w:color="auto" w:fill="231F2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231F20"/>
          </w:tcPr>
          <w:p>
            <w:pPr>
              <w:spacing w:after="0" w:line="20" w:lineRule="exact"/>
              <w:rPr>
                <w:sz w:val="1"/>
                <w:szCs w:val="1"/>
                <w:color w:val="auto"/>
              </w:rPr>
            </w:pPr>
          </w:p>
        </w:tc>
        <w:tc>
          <w:tcPr>
            <w:tcW w:w="92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1040" w:type="dxa"/>
            <w:vAlign w:val="bottom"/>
            <w:shd w:val="clear" w:color="auto" w:fill="231F2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1060" w:type="dxa"/>
            <w:vAlign w:val="bottom"/>
            <w:shd w:val="clear" w:color="auto" w:fill="231F2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1060" w:type="dxa"/>
            <w:vAlign w:val="bottom"/>
            <w:shd w:val="clear" w:color="auto" w:fill="231F20"/>
          </w:tcPr>
          <w:p>
            <w:pPr>
              <w:spacing w:after="0" w:line="20" w:lineRule="exact"/>
              <w:rPr>
                <w:sz w:val="1"/>
                <w:szCs w:val="1"/>
                <w:color w:val="auto"/>
              </w:rPr>
            </w:pPr>
          </w:p>
        </w:tc>
      </w:tr>
      <w:tr>
        <w:trPr>
          <w:trHeight w:val="212"/>
        </w:trPr>
        <w:tc>
          <w:tcPr>
            <w:tcW w:w="3160" w:type="dxa"/>
            <w:vAlign w:val="bottom"/>
          </w:tcPr>
          <w:p>
            <w:pPr>
              <w:ind w:left="200"/>
              <w:spacing w:after="0" w:line="212" w:lineRule="exact"/>
              <w:rPr>
                <w:sz w:val="20"/>
                <w:szCs w:val="20"/>
                <w:color w:val="auto"/>
              </w:rPr>
            </w:pPr>
            <w:r>
              <w:rPr>
                <w:rFonts w:ascii="Arial" w:cs="Arial" w:eastAsia="Arial" w:hAnsi="Arial"/>
                <w:sz w:val="19"/>
                <w:szCs w:val="19"/>
                <w:b w:val="1"/>
                <w:bCs w:val="1"/>
                <w:color w:val="231F20"/>
              </w:rPr>
              <w:t>Total</w:t>
            </w:r>
          </w:p>
        </w:tc>
        <w:tc>
          <w:tcPr>
            <w:tcW w:w="340" w:type="dxa"/>
            <w:vAlign w:val="bottom"/>
          </w:tcPr>
          <w:p>
            <w:pPr>
              <w:spacing w:after="0"/>
              <w:rPr>
                <w:sz w:val="18"/>
                <w:szCs w:val="18"/>
                <w:color w:val="auto"/>
              </w:rPr>
            </w:pPr>
          </w:p>
        </w:tc>
        <w:tc>
          <w:tcPr>
            <w:tcW w:w="240" w:type="dxa"/>
            <w:vAlign w:val="bottom"/>
          </w:tcPr>
          <w:p>
            <w:pPr>
              <w:jc w:val="right"/>
              <w:ind w:right="43"/>
              <w:spacing w:after="0" w:line="212" w:lineRule="exact"/>
              <w:rPr>
                <w:sz w:val="20"/>
                <w:szCs w:val="20"/>
                <w:color w:val="auto"/>
              </w:rPr>
            </w:pPr>
            <w:r>
              <w:rPr>
                <w:rFonts w:ascii="Arial" w:cs="Arial" w:eastAsia="Arial" w:hAnsi="Arial"/>
                <w:sz w:val="19"/>
                <w:szCs w:val="19"/>
                <w:b w:val="1"/>
                <w:bCs w:val="1"/>
                <w:color w:val="231F20"/>
                <w:w w:val="75"/>
              </w:rPr>
              <w:t>$</w:t>
            </w:r>
          </w:p>
        </w:tc>
        <w:tc>
          <w:tcPr>
            <w:tcW w:w="940" w:type="dxa"/>
            <w:vAlign w:val="bottom"/>
          </w:tcPr>
          <w:p>
            <w:pPr>
              <w:jc w:val="right"/>
              <w:spacing w:after="0" w:line="212" w:lineRule="exact"/>
              <w:rPr>
                <w:sz w:val="20"/>
                <w:szCs w:val="20"/>
                <w:color w:val="auto"/>
              </w:rPr>
            </w:pPr>
            <w:r>
              <w:rPr>
                <w:rFonts w:ascii="Arial" w:cs="Arial" w:eastAsia="Arial" w:hAnsi="Arial"/>
                <w:sz w:val="19"/>
                <w:szCs w:val="19"/>
                <w:b w:val="1"/>
                <w:bCs w:val="1"/>
                <w:color w:val="231F20"/>
              </w:rPr>
              <w:t>2,290</w:t>
            </w:r>
          </w:p>
        </w:tc>
        <w:tc>
          <w:tcPr>
            <w:tcW w:w="260" w:type="dxa"/>
            <w:vAlign w:val="bottom"/>
          </w:tcPr>
          <w:p>
            <w:pPr>
              <w:spacing w:after="0"/>
              <w:rPr>
                <w:sz w:val="18"/>
                <w:szCs w:val="18"/>
                <w:color w:val="auto"/>
              </w:rPr>
            </w:pPr>
          </w:p>
        </w:tc>
        <w:tc>
          <w:tcPr>
            <w:tcW w:w="240" w:type="dxa"/>
            <w:vAlign w:val="bottom"/>
          </w:tcPr>
          <w:p>
            <w:pPr>
              <w:jc w:val="right"/>
              <w:ind w:right="74"/>
              <w:spacing w:after="0"/>
              <w:rPr>
                <w:sz w:val="20"/>
                <w:szCs w:val="20"/>
                <w:color w:val="auto"/>
              </w:rPr>
            </w:pPr>
            <w:r>
              <w:rPr>
                <w:rFonts w:ascii="Arial" w:cs="Arial" w:eastAsia="Arial" w:hAnsi="Arial"/>
                <w:sz w:val="15"/>
                <w:szCs w:val="15"/>
                <w:b w:val="1"/>
                <w:bCs w:val="1"/>
                <w:color w:val="231F20"/>
                <w:w w:val="71"/>
              </w:rPr>
              <w:t>$</w:t>
            </w:r>
          </w:p>
        </w:tc>
        <w:tc>
          <w:tcPr>
            <w:tcW w:w="960" w:type="dxa"/>
            <w:vAlign w:val="bottom"/>
            <w:gridSpan w:val="2"/>
          </w:tcPr>
          <w:p>
            <w:pPr>
              <w:jc w:val="right"/>
              <w:ind w:right="40"/>
              <w:spacing w:after="0" w:line="212" w:lineRule="exact"/>
              <w:rPr>
                <w:sz w:val="20"/>
                <w:szCs w:val="20"/>
                <w:color w:val="auto"/>
              </w:rPr>
            </w:pPr>
            <w:r>
              <w:rPr>
                <w:rFonts w:ascii="Arial" w:cs="Arial" w:eastAsia="Arial" w:hAnsi="Arial"/>
                <w:sz w:val="19"/>
                <w:szCs w:val="19"/>
                <w:b w:val="1"/>
                <w:bCs w:val="1"/>
                <w:color w:val="231F20"/>
              </w:rPr>
              <w:t>1,989</w:t>
            </w:r>
          </w:p>
        </w:tc>
        <w:tc>
          <w:tcPr>
            <w:tcW w:w="340" w:type="dxa"/>
            <w:vAlign w:val="bottom"/>
            <w:gridSpan w:val="2"/>
          </w:tcPr>
          <w:p>
            <w:pPr>
              <w:jc w:val="right"/>
              <w:ind w:right="40"/>
              <w:spacing w:after="0" w:line="212" w:lineRule="exact"/>
              <w:rPr>
                <w:sz w:val="20"/>
                <w:szCs w:val="20"/>
                <w:color w:val="auto"/>
              </w:rPr>
            </w:pPr>
            <w:r>
              <w:rPr>
                <w:rFonts w:ascii="Arial" w:cs="Arial" w:eastAsia="Arial" w:hAnsi="Arial"/>
                <w:sz w:val="19"/>
                <w:szCs w:val="19"/>
                <w:b w:val="1"/>
                <w:bCs w:val="1"/>
                <w:color w:val="231F20"/>
              </w:rPr>
              <w:t>$</w:t>
            </w:r>
          </w:p>
        </w:tc>
        <w:tc>
          <w:tcPr>
            <w:tcW w:w="1040" w:type="dxa"/>
            <w:vAlign w:val="bottom"/>
          </w:tcPr>
          <w:p>
            <w:pPr>
              <w:ind w:left="760"/>
              <w:spacing w:after="0" w:line="212" w:lineRule="exact"/>
              <w:rPr>
                <w:sz w:val="20"/>
                <w:szCs w:val="20"/>
                <w:color w:val="auto"/>
              </w:rPr>
            </w:pPr>
            <w:r>
              <w:rPr>
                <w:rFonts w:ascii="Arial" w:cs="Arial" w:eastAsia="Arial" w:hAnsi="Arial"/>
                <w:sz w:val="19"/>
                <w:szCs w:val="19"/>
                <w:b w:val="1"/>
                <w:bCs w:val="1"/>
                <w:color w:val="231F20"/>
                <w:w w:val="81"/>
              </w:rPr>
              <w:t>301</w:t>
            </w:r>
          </w:p>
        </w:tc>
        <w:tc>
          <w:tcPr>
            <w:tcW w:w="260" w:type="dxa"/>
            <w:vAlign w:val="bottom"/>
          </w:tcPr>
          <w:p>
            <w:pPr>
              <w:spacing w:after="0"/>
              <w:rPr>
                <w:sz w:val="18"/>
                <w:szCs w:val="18"/>
                <w:color w:val="auto"/>
              </w:rPr>
            </w:pPr>
          </w:p>
        </w:tc>
        <w:tc>
          <w:tcPr>
            <w:tcW w:w="120" w:type="dxa"/>
            <w:vAlign w:val="bottom"/>
          </w:tcPr>
          <w:p>
            <w:pPr>
              <w:jc w:val="right"/>
              <w:spacing w:after="0" w:line="212" w:lineRule="exact"/>
              <w:rPr>
                <w:sz w:val="20"/>
                <w:szCs w:val="20"/>
                <w:color w:val="auto"/>
              </w:rPr>
            </w:pPr>
            <w:r>
              <w:rPr>
                <w:rFonts w:ascii="Arial" w:cs="Arial" w:eastAsia="Arial" w:hAnsi="Arial"/>
                <w:sz w:val="19"/>
                <w:szCs w:val="19"/>
                <w:b w:val="1"/>
                <w:bCs w:val="1"/>
                <w:color w:val="231F20"/>
                <w:w w:val="75"/>
              </w:rPr>
              <w:t>$</w:t>
            </w:r>
          </w:p>
        </w:tc>
        <w:tc>
          <w:tcPr>
            <w:tcW w:w="1180" w:type="dxa"/>
            <w:vAlign w:val="bottom"/>
            <w:gridSpan w:val="2"/>
          </w:tcPr>
          <w:p>
            <w:pPr>
              <w:jc w:val="right"/>
              <w:ind w:right="120"/>
              <w:spacing w:after="0" w:line="212" w:lineRule="exact"/>
              <w:rPr>
                <w:sz w:val="20"/>
                <w:szCs w:val="20"/>
                <w:color w:val="auto"/>
              </w:rPr>
            </w:pPr>
            <w:r>
              <w:rPr>
                <w:rFonts w:ascii="PMingLiU" w:cs="PMingLiU" w:eastAsia="PMingLiU" w:hAnsi="PMingLiU"/>
                <w:sz w:val="19"/>
                <w:szCs w:val="19"/>
                <w:b w:val="1"/>
                <w:bCs w:val="1"/>
                <w:color w:val="231F20"/>
              </w:rPr>
              <w:t></w:t>
            </w:r>
          </w:p>
        </w:tc>
        <w:tc>
          <w:tcPr>
            <w:tcW w:w="240" w:type="dxa"/>
            <w:vAlign w:val="bottom"/>
            <w:gridSpan w:val="2"/>
          </w:tcPr>
          <w:p>
            <w:pPr>
              <w:jc w:val="right"/>
              <w:ind w:right="20"/>
              <w:spacing w:after="0" w:line="212" w:lineRule="exact"/>
              <w:rPr>
                <w:sz w:val="20"/>
                <w:szCs w:val="20"/>
                <w:color w:val="auto"/>
              </w:rPr>
            </w:pPr>
            <w:r>
              <w:rPr>
                <w:rFonts w:ascii="Arial" w:cs="Arial" w:eastAsia="Arial" w:hAnsi="Arial"/>
                <w:sz w:val="19"/>
                <w:szCs w:val="19"/>
                <w:b w:val="1"/>
                <w:bCs w:val="1"/>
                <w:color w:val="231F20"/>
              </w:rPr>
              <w:t>$</w:t>
            </w:r>
          </w:p>
        </w:tc>
        <w:tc>
          <w:tcPr>
            <w:tcW w:w="1060" w:type="dxa"/>
            <w:vAlign w:val="bottom"/>
          </w:tcPr>
          <w:p>
            <w:pPr>
              <w:jc w:val="right"/>
              <w:spacing w:after="0" w:line="212" w:lineRule="exact"/>
              <w:rPr>
                <w:sz w:val="20"/>
                <w:szCs w:val="20"/>
                <w:color w:val="auto"/>
              </w:rPr>
            </w:pPr>
            <w:r>
              <w:rPr>
                <w:rFonts w:ascii="PMingLiU" w:cs="PMingLiU" w:eastAsia="PMingLiU" w:hAnsi="PMingLiU"/>
                <w:sz w:val="19"/>
                <w:szCs w:val="19"/>
                <w:b w:val="1"/>
                <w:bCs w:val="1"/>
                <w:color w:val="231F20"/>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2212975</wp:posOffset>
            </wp:positionH>
            <wp:positionV relativeFrom="paragraph">
              <wp:posOffset>-11430</wp:posOffset>
            </wp:positionV>
            <wp:extent cx="4387215" cy="5588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4387215" cy="55880"/>
                    </a:xfrm>
                    <a:prstGeom prst="rect">
                      <a:avLst/>
                    </a:prstGeom>
                    <a:noFill/>
                  </pic:spPr>
                </pic:pic>
              </a:graphicData>
            </a:graphic>
          </wp:anchor>
        </w:drawing>
      </w:r>
    </w:p>
    <w:p>
      <w:pPr>
        <w:spacing w:after="0" w:line="256" w:lineRule="exact"/>
        <w:rPr>
          <w:sz w:val="20"/>
          <w:szCs w:val="20"/>
          <w:color w:val="auto"/>
        </w:rPr>
      </w:pPr>
    </w:p>
    <w:p>
      <w:pPr>
        <w:ind w:right="60" w:firstLine="475"/>
        <w:spacing w:after="0" w:line="296" w:lineRule="auto"/>
        <w:rPr>
          <w:sz w:val="20"/>
          <w:szCs w:val="20"/>
          <w:color w:val="auto"/>
        </w:rPr>
      </w:pPr>
      <w:r>
        <w:rPr>
          <w:rFonts w:ascii="Arial" w:cs="Arial" w:eastAsia="Arial" w:hAnsi="Arial"/>
          <w:sz w:val="16"/>
          <w:szCs w:val="16"/>
          <w:b w:val="1"/>
          <w:bCs w:val="1"/>
          <w:color w:val="231F20"/>
        </w:rPr>
        <w:t>In November 2015, the Company entered into a Master Service Agreement, or the MSA, with KBI Biopharma, Inc. relating to formulation development, process development and current good manufacturing practices, or cGMP, manufacturing of evorpacept for use in clinical trials on a project basis. The MSA had an initial term of three years with successive one-year renewal periods, which was extended an additional eight years until November 2026, is cancellable upon notice and is non-exclusive. Statements of work under the MSA commit the Company to certain future purchase obligations of approximately $1.1 million. In addition, the Company has commitments with three other pharmaceutical contract manufacturers, including certain future purchase obligations of approximately $1.2 million. These amounts are based on non-cancellable commitments and forecasts that include estimates of future market demand, quantity discounts and manufacturing efficiencies that may impact timing of purchase.</w:t>
      </w:r>
    </w:p>
    <w:p>
      <w:pPr>
        <w:spacing w:after="0" w:line="88" w:lineRule="exact"/>
        <w:rPr>
          <w:sz w:val="20"/>
          <w:szCs w:val="20"/>
          <w:color w:val="auto"/>
        </w:rPr>
      </w:pPr>
    </w:p>
    <w:p>
      <w:pPr>
        <w:ind w:right="100" w:firstLine="475"/>
        <w:spacing w:after="0" w:line="280" w:lineRule="auto"/>
        <w:rPr>
          <w:sz w:val="20"/>
          <w:szCs w:val="20"/>
          <w:color w:val="auto"/>
        </w:rPr>
      </w:pPr>
      <w:r>
        <w:rPr>
          <w:rFonts w:ascii="Arial" w:cs="Arial" w:eastAsia="Arial" w:hAnsi="Arial"/>
          <w:sz w:val="17"/>
          <w:szCs w:val="17"/>
          <w:b w:val="1"/>
          <w:bCs w:val="1"/>
          <w:color w:val="231F20"/>
        </w:rPr>
        <w:t>The Company enters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our service providers, up to the date of cancellation.</w:t>
      </w:r>
    </w:p>
    <w:p>
      <w:pPr>
        <w:spacing w:after="0" w:line="32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(13) SEGMENT REPORTING</w:t>
      </w:r>
    </w:p>
    <w:p>
      <w:pPr>
        <w:spacing w:after="0" w:line="125" w:lineRule="exact"/>
        <w:rPr>
          <w:sz w:val="20"/>
          <w:szCs w:val="20"/>
          <w:color w:val="auto"/>
        </w:rPr>
      </w:pPr>
    </w:p>
    <w:p>
      <w:pPr>
        <w:ind w:right="80" w:firstLine="475"/>
        <w:spacing w:after="0" w:line="220" w:lineRule="exact"/>
        <w:rPr>
          <w:sz w:val="20"/>
          <w:szCs w:val="20"/>
          <w:color w:val="auto"/>
        </w:rPr>
      </w:pPr>
      <w:r>
        <w:rPr>
          <w:rFonts w:ascii="Arial" w:cs="Arial" w:eastAsia="Arial" w:hAnsi="Arial"/>
          <w:sz w:val="19"/>
          <w:szCs w:val="19"/>
          <w:b w:val="1"/>
          <w:bCs w:val="1"/>
          <w:color w:val="231F20"/>
        </w:rPr>
        <w:t>The Company manages its operations as a single operating segment.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CODM uses consolidated, single-segment financial information for the purposes of assessing performance, making operating decisions, allocating resources, and planning and forecasting for future periods.</w:t>
      </w:r>
    </w:p>
    <w:p>
      <w:pPr>
        <w:spacing w:after="0" w:line="128" w:lineRule="exact"/>
        <w:rPr>
          <w:sz w:val="20"/>
          <w:szCs w:val="20"/>
          <w:color w:val="auto"/>
        </w:rPr>
      </w:pPr>
    </w:p>
    <w:p>
      <w:pPr>
        <w:jc w:val="both"/>
        <w:ind w:right="600" w:firstLine="475"/>
        <w:spacing w:after="0" w:line="220" w:lineRule="exact"/>
        <w:rPr>
          <w:sz w:val="20"/>
          <w:szCs w:val="20"/>
          <w:color w:val="auto"/>
        </w:rPr>
      </w:pPr>
      <w:r>
        <w:rPr>
          <w:rFonts w:ascii="Arial" w:cs="Arial" w:eastAsia="Arial" w:hAnsi="Arial"/>
          <w:sz w:val="17"/>
          <w:szCs w:val="17"/>
          <w:b w:val="1"/>
          <w:bCs w:val="1"/>
          <w:color w:val="231F20"/>
        </w:rPr>
        <w:t>The CODM assesses performance and decides how to allocate resources based on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consolidated net loss, including key components of research and development costs and general and administrative costs. These measures are used to monitor budget versus actual results and to evaluate the performance of the segment.</w:t>
      </w:r>
    </w:p>
    <w:p>
      <w:pPr>
        <w:spacing w:after="0" w:line="126" w:lineRule="exact"/>
        <w:rPr>
          <w:sz w:val="20"/>
          <w:szCs w:val="20"/>
          <w:color w:val="auto"/>
        </w:rPr>
      </w:pPr>
    </w:p>
    <w:p>
      <w:pPr>
        <w:ind w:right="460" w:firstLine="475"/>
        <w:spacing w:after="0" w:line="218" w:lineRule="exact"/>
        <w:rPr>
          <w:sz w:val="20"/>
          <w:szCs w:val="20"/>
          <w:color w:val="auto"/>
        </w:rPr>
      </w:pPr>
      <w:r>
        <w:rPr>
          <w:rFonts w:ascii="Arial" w:cs="Arial" w:eastAsia="Arial" w:hAnsi="Arial"/>
          <w:sz w:val="17"/>
          <w:szCs w:val="17"/>
          <w:b w:val="1"/>
          <w:bCs w:val="1"/>
          <w:color w:val="231F20"/>
        </w:rPr>
        <w:t>The CODM reviews cash, cash equivalents and investments as a measure of segment assets. As of December 31, 2024 and 2023,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cash, cash equivalents and investments were $131.3 million and $218.1 million, respectively.</w:t>
      </w:r>
    </w:p>
    <w:p>
      <w:pPr>
        <w:sectPr>
          <w:pgSz w:w="12240" w:h="15840" w:orient="portrait"/>
          <w:cols w:equalWidth="0" w:num="1">
            <w:col w:w="10460"/>
          </w:cols>
          <w:pgMar w:left="880" w:top="1165" w:right="900" w:bottom="4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31F20"/>
        </w:rPr>
        <w:t>121</w:t>
      </w:r>
    </w:p>
    <w:p>
      <w:pPr>
        <w:sectPr>
          <w:pgSz w:w="12240" w:h="15840" w:orient="portrait"/>
          <w:cols w:equalWidth="0" w:num="1">
            <w:col w:w="10460"/>
          </w:cols>
          <w:pgMar w:left="880" w:top="1165" w:right="900" w:bottom="401" w:gutter="0" w:footer="0" w:header="0"/>
          <w:type w:val="continuous"/>
        </w:sectPr>
      </w:pPr>
    </w:p>
    <w:bookmarkStart w:id="129" w:name="page130"/>
    <w:bookmarkEnd w:id="129"/>
    <w:p>
      <w:pPr>
        <w:ind w:right="560" w:firstLine="475"/>
        <w:spacing w:after="0" w:line="239" w:lineRule="auto"/>
        <w:rPr>
          <w:sz w:val="20"/>
          <w:szCs w:val="20"/>
          <w:color w:val="auto"/>
        </w:rPr>
      </w:pPr>
      <w:r>
        <w:rPr>
          <w:rFonts w:ascii="Arial" w:cs="Arial" w:eastAsia="Arial" w:hAnsi="Arial"/>
          <w:sz w:val="19"/>
          <w:szCs w:val="19"/>
          <w:b w:val="1"/>
          <w:bCs w:val="1"/>
          <w:color w:val="231F20"/>
        </w:rPr>
        <w:t>The following table presents the significant segment expenses for the years ended December 31, 2024, 2023 and 2022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9"/>
                <w:szCs w:val="19"/>
                <w:b w:val="1"/>
                <w:bCs w:val="1"/>
                <w:color w:val="231F20"/>
                <w:w w:val="95"/>
              </w:rPr>
              <w:t>Year Ended</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7"/>
        </w:trPr>
        <w:tc>
          <w:tcPr>
            <w:tcW w:w="5080" w:type="dxa"/>
            <w:vAlign w:val="bottom"/>
          </w:tcPr>
          <w:p>
            <w:pPr>
              <w:spacing w:after="0"/>
              <w:rPr>
                <w:sz w:val="20"/>
                <w:szCs w:val="20"/>
                <w:color w:val="auto"/>
              </w:rPr>
            </w:pPr>
          </w:p>
        </w:tc>
        <w:tc>
          <w:tcPr>
            <w:tcW w:w="340" w:type="dxa"/>
            <w:vAlign w:val="bottom"/>
            <w:tcBorders>
              <w:bottom w:val="single" w:sz="8" w:color="231F20"/>
            </w:tcBorders>
          </w:tcPr>
          <w:p>
            <w:pPr>
              <w:spacing w:after="0"/>
              <w:rPr>
                <w:sz w:val="20"/>
                <w:szCs w:val="20"/>
                <w:color w:val="auto"/>
              </w:rPr>
            </w:pPr>
          </w:p>
        </w:tc>
        <w:tc>
          <w:tcPr>
            <w:tcW w:w="1220" w:type="dxa"/>
            <w:vAlign w:val="bottom"/>
            <w:tcBorders>
              <w:bottom w:val="single" w:sz="8" w:color="231F20"/>
            </w:tcBorders>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1700" w:type="dxa"/>
            <w:vAlign w:val="bottom"/>
            <w:tcBorders>
              <w:bottom w:val="single" w:sz="8" w:color="231F20"/>
            </w:tcBorders>
            <w:gridSpan w:val="2"/>
          </w:tcPr>
          <w:p>
            <w:pPr>
              <w:jc w:val="center"/>
              <w:ind w:right="460"/>
              <w:spacing w:after="0"/>
              <w:rPr>
                <w:sz w:val="20"/>
                <w:szCs w:val="20"/>
                <w:color w:val="auto"/>
              </w:rPr>
            </w:pPr>
            <w:r>
              <w:rPr>
                <w:rFonts w:ascii="Arial" w:cs="Arial" w:eastAsia="Arial" w:hAnsi="Arial"/>
                <w:sz w:val="19"/>
                <w:szCs w:val="19"/>
                <w:b w:val="1"/>
                <w:bCs w:val="1"/>
                <w:color w:val="231F20"/>
                <w:w w:val="90"/>
              </w:rPr>
              <w:t>December 31,</w:t>
            </w:r>
          </w:p>
        </w:tc>
        <w:tc>
          <w:tcPr>
            <w:tcW w:w="34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tcBorders>
          </w:tcPr>
          <w:p>
            <w:pPr>
              <w:spacing w:after="0"/>
              <w:rPr>
                <w:sz w:val="20"/>
                <w:szCs w:val="20"/>
                <w:color w:val="auto"/>
              </w:rPr>
            </w:pPr>
          </w:p>
        </w:tc>
        <w:tc>
          <w:tcPr>
            <w:tcW w:w="60" w:type="dxa"/>
            <w:vAlign w:val="bottom"/>
          </w:tcPr>
          <w:p>
            <w:pPr>
              <w:spacing w:after="0"/>
              <w:rPr>
                <w:sz w:val="20"/>
                <w:szCs w:val="20"/>
                <w:color w:val="auto"/>
              </w:rPr>
            </w:pPr>
          </w:p>
        </w:tc>
      </w:tr>
      <w:tr>
        <w:trPr>
          <w:trHeight w:val="225"/>
        </w:trPr>
        <w:tc>
          <w:tcPr>
            <w:tcW w:w="5080" w:type="dxa"/>
            <w:vAlign w:val="bottom"/>
          </w:tcPr>
          <w:p>
            <w:pPr>
              <w:spacing w:after="0"/>
              <w:rPr>
                <w:sz w:val="19"/>
                <w:szCs w:val="19"/>
                <w:color w:val="auto"/>
              </w:rPr>
            </w:pPr>
          </w:p>
        </w:tc>
        <w:tc>
          <w:tcPr>
            <w:tcW w:w="340" w:type="dxa"/>
            <w:vAlign w:val="bottom"/>
            <w:tcBorders>
              <w:bottom w:val="single" w:sz="8" w:color="231F20"/>
            </w:tcBorders>
          </w:tcPr>
          <w:p>
            <w:pPr>
              <w:spacing w:after="0"/>
              <w:rPr>
                <w:sz w:val="19"/>
                <w:szCs w:val="19"/>
                <w:color w:val="auto"/>
              </w:rPr>
            </w:pPr>
          </w:p>
        </w:tc>
        <w:tc>
          <w:tcPr>
            <w:tcW w:w="1220" w:type="dxa"/>
            <w:vAlign w:val="bottom"/>
            <w:tcBorders>
              <w:bottom w:val="single" w:sz="8" w:color="231F20"/>
            </w:tcBorders>
          </w:tcPr>
          <w:p>
            <w:pPr>
              <w:jc w:val="right"/>
              <w:ind w:right="503"/>
              <w:spacing w:after="0"/>
              <w:rPr>
                <w:sz w:val="20"/>
                <w:szCs w:val="20"/>
                <w:color w:val="auto"/>
              </w:rPr>
            </w:pPr>
            <w:r>
              <w:rPr>
                <w:rFonts w:ascii="Arial" w:cs="Arial" w:eastAsia="Arial" w:hAnsi="Arial"/>
                <w:sz w:val="19"/>
                <w:szCs w:val="19"/>
                <w:b w:val="1"/>
                <w:bCs w:val="1"/>
                <w:color w:val="231F20"/>
              </w:rPr>
              <w:t>2024</w:t>
            </w:r>
          </w:p>
        </w:tc>
        <w:tc>
          <w:tcPr>
            <w:tcW w:w="300" w:type="dxa"/>
            <w:vAlign w:val="bottom"/>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1420" w:type="dxa"/>
            <w:vAlign w:val="bottom"/>
            <w:tcBorders>
              <w:bottom w:val="single" w:sz="8" w:color="231F20"/>
            </w:tcBorders>
          </w:tcPr>
          <w:p>
            <w:pPr>
              <w:jc w:val="center"/>
              <w:ind w:right="103"/>
              <w:spacing w:after="0"/>
              <w:rPr>
                <w:sz w:val="20"/>
                <w:szCs w:val="20"/>
                <w:color w:val="auto"/>
              </w:rPr>
            </w:pPr>
            <w:r>
              <w:rPr>
                <w:rFonts w:ascii="Arial" w:cs="Arial" w:eastAsia="Arial" w:hAnsi="Arial"/>
                <w:sz w:val="19"/>
                <w:szCs w:val="19"/>
                <w:b w:val="1"/>
                <w:bCs w:val="1"/>
                <w:color w:val="231F20"/>
                <w:w w:val="89"/>
              </w:rPr>
              <w:t>2023</w:t>
            </w:r>
          </w:p>
        </w:tc>
        <w:tc>
          <w:tcPr>
            <w:tcW w:w="280" w:type="dxa"/>
            <w:vAlign w:val="bottom"/>
          </w:tcPr>
          <w:p>
            <w:pPr>
              <w:spacing w:after="0"/>
              <w:rPr>
                <w:sz w:val="19"/>
                <w:szCs w:val="19"/>
                <w:color w:val="auto"/>
              </w:rPr>
            </w:pPr>
          </w:p>
        </w:tc>
        <w:tc>
          <w:tcPr>
            <w:tcW w:w="340" w:type="dxa"/>
            <w:vAlign w:val="bottom"/>
            <w:tcBorders>
              <w:bottom w:val="single" w:sz="8" w:color="231F20"/>
            </w:tcBorders>
          </w:tcPr>
          <w:p>
            <w:pPr>
              <w:spacing w:after="0"/>
              <w:rPr>
                <w:sz w:val="19"/>
                <w:szCs w:val="19"/>
                <w:color w:val="auto"/>
              </w:rPr>
            </w:pPr>
          </w:p>
        </w:tc>
        <w:tc>
          <w:tcPr>
            <w:tcW w:w="1240" w:type="dxa"/>
            <w:vAlign w:val="bottom"/>
            <w:tcBorders>
              <w:bottom w:val="single" w:sz="8" w:color="231F20"/>
            </w:tcBorders>
          </w:tcPr>
          <w:p>
            <w:pPr>
              <w:jc w:val="right"/>
              <w:ind w:right="503"/>
              <w:spacing w:after="0"/>
              <w:rPr>
                <w:sz w:val="20"/>
                <w:szCs w:val="20"/>
                <w:color w:val="auto"/>
              </w:rPr>
            </w:pPr>
            <w:r>
              <w:rPr>
                <w:rFonts w:ascii="Arial" w:cs="Arial" w:eastAsia="Arial" w:hAnsi="Arial"/>
                <w:sz w:val="19"/>
                <w:szCs w:val="19"/>
                <w:b w:val="1"/>
                <w:bCs w:val="1"/>
                <w:color w:val="231F20"/>
              </w:rPr>
              <w:t>2022</w:t>
            </w:r>
          </w:p>
        </w:tc>
        <w:tc>
          <w:tcPr>
            <w:tcW w:w="60" w:type="dxa"/>
            <w:vAlign w:val="bottom"/>
          </w:tcPr>
          <w:p>
            <w:pPr>
              <w:spacing w:after="0"/>
              <w:rPr>
                <w:sz w:val="19"/>
                <w:szCs w:val="19"/>
                <w:color w:val="auto"/>
              </w:rPr>
            </w:pPr>
          </w:p>
        </w:tc>
      </w:tr>
      <w:tr>
        <w:trPr>
          <w:trHeight w:val="227"/>
        </w:trPr>
        <w:tc>
          <w:tcPr>
            <w:tcW w:w="5080" w:type="dxa"/>
            <w:vAlign w:val="bottom"/>
          </w:tcPr>
          <w:p>
            <w:pPr>
              <w:spacing w:after="0"/>
              <w:rPr>
                <w:sz w:val="20"/>
                <w:szCs w:val="20"/>
                <w:color w:val="auto"/>
              </w:rPr>
            </w:pPr>
            <w:r>
              <w:rPr>
                <w:rFonts w:ascii="Arial" w:cs="Arial" w:eastAsia="Arial" w:hAnsi="Arial"/>
                <w:sz w:val="19"/>
                <w:szCs w:val="19"/>
                <w:b w:val="1"/>
                <w:bCs w:val="1"/>
                <w:color w:val="231F20"/>
              </w:rPr>
              <w:t>Research and development expenses: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5"/>
        </w:trPr>
        <w:tc>
          <w:tcPr>
            <w:tcW w:w="5080" w:type="dxa"/>
            <w:vAlign w:val="bottom"/>
          </w:tcPr>
          <w:p>
            <w:pPr>
              <w:ind w:left="200"/>
              <w:spacing w:after="0"/>
              <w:rPr>
                <w:sz w:val="20"/>
                <w:szCs w:val="20"/>
                <w:color w:val="auto"/>
              </w:rPr>
            </w:pPr>
            <w:r>
              <w:rPr>
                <w:rFonts w:ascii="Arial" w:cs="Arial" w:eastAsia="Arial" w:hAnsi="Arial"/>
                <w:sz w:val="19"/>
                <w:szCs w:val="19"/>
                <w:b w:val="1"/>
                <w:bCs w:val="1"/>
                <w:color w:val="231F20"/>
              </w:rPr>
              <w:t>Clinical and development costs</w:t>
            </w:r>
          </w:p>
        </w:tc>
        <w:tc>
          <w:tcPr>
            <w:tcW w:w="340" w:type="dxa"/>
            <w:vAlign w:val="bottom"/>
          </w:tcPr>
          <w:p>
            <w:pPr>
              <w:jc w:val="right"/>
              <w:ind w:right="154"/>
              <w:spacing w:after="0"/>
              <w:rPr>
                <w:sz w:val="20"/>
                <w:szCs w:val="20"/>
                <w:color w:val="auto"/>
              </w:rPr>
            </w:pPr>
            <w:r>
              <w:rPr>
                <w:rFonts w:ascii="Arial" w:cs="Arial" w:eastAsia="Arial" w:hAnsi="Arial"/>
                <w:sz w:val="19"/>
                <w:szCs w:val="19"/>
                <w:b w:val="1"/>
                <w:bCs w:val="1"/>
                <w:color w:val="231F20"/>
                <w:w w:val="75"/>
              </w:rPr>
              <w:t>$</w:t>
            </w:r>
          </w:p>
        </w:tc>
        <w:tc>
          <w:tcPr>
            <w:tcW w:w="1220" w:type="dxa"/>
            <w:vAlign w:val="bottom"/>
          </w:tcPr>
          <w:p>
            <w:pPr>
              <w:jc w:val="right"/>
              <w:spacing w:after="0"/>
              <w:rPr>
                <w:sz w:val="20"/>
                <w:szCs w:val="20"/>
                <w:color w:val="auto"/>
              </w:rPr>
            </w:pPr>
            <w:r>
              <w:rPr>
                <w:rFonts w:ascii="Arial" w:cs="Arial" w:eastAsia="Arial" w:hAnsi="Arial"/>
                <w:sz w:val="19"/>
                <w:szCs w:val="19"/>
                <w:b w:val="1"/>
                <w:bCs w:val="1"/>
                <w:color w:val="231F20"/>
              </w:rPr>
              <w:t>61,868</w:t>
            </w: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9"/>
                <w:szCs w:val="19"/>
                <w:b w:val="1"/>
                <w:bCs w:val="1"/>
                <w:color w:val="231F20"/>
                <w:w w:val="75"/>
              </w:rPr>
              <w:t>$</w:t>
            </w:r>
          </w:p>
        </w:tc>
        <w:tc>
          <w:tcPr>
            <w:tcW w:w="1420" w:type="dxa"/>
            <w:vAlign w:val="bottom"/>
          </w:tcPr>
          <w:p>
            <w:pPr>
              <w:jc w:val="right"/>
              <w:spacing w:after="0"/>
              <w:rPr>
                <w:sz w:val="20"/>
                <w:szCs w:val="20"/>
                <w:color w:val="auto"/>
              </w:rPr>
            </w:pPr>
            <w:r>
              <w:rPr>
                <w:rFonts w:ascii="Arial" w:cs="Arial" w:eastAsia="Arial" w:hAnsi="Arial"/>
                <w:sz w:val="19"/>
                <w:szCs w:val="19"/>
                <w:b w:val="1"/>
                <w:bCs w:val="1"/>
                <w:color w:val="231F20"/>
              </w:rPr>
              <w:t>99,362</w:t>
            </w:r>
          </w:p>
        </w:tc>
        <w:tc>
          <w:tcPr>
            <w:tcW w:w="280" w:type="dxa"/>
            <w:vAlign w:val="bottom"/>
          </w:tcPr>
          <w:p>
            <w:pPr>
              <w:spacing w:after="0"/>
              <w:rPr>
                <w:sz w:val="20"/>
                <w:szCs w:val="20"/>
                <w:color w:val="auto"/>
              </w:rPr>
            </w:pPr>
          </w:p>
        </w:tc>
        <w:tc>
          <w:tcPr>
            <w:tcW w:w="340" w:type="dxa"/>
            <w:vAlign w:val="bottom"/>
          </w:tcPr>
          <w:p>
            <w:pPr>
              <w:jc w:val="right"/>
              <w:ind w:right="143"/>
              <w:spacing w:after="0"/>
              <w:rPr>
                <w:sz w:val="20"/>
                <w:szCs w:val="20"/>
                <w:color w:val="auto"/>
              </w:rPr>
            </w:pPr>
            <w:r>
              <w:rPr>
                <w:rFonts w:ascii="Arial" w:cs="Arial" w:eastAsia="Arial" w:hAnsi="Arial"/>
                <w:sz w:val="19"/>
                <w:szCs w:val="19"/>
                <w:b w:val="1"/>
                <w:bCs w:val="1"/>
                <w:color w:val="231F20"/>
                <w:w w:val="75"/>
              </w:rPr>
              <w:t>$</w:t>
            </w:r>
          </w:p>
        </w:tc>
        <w:tc>
          <w:tcPr>
            <w:tcW w:w="1240" w:type="dxa"/>
            <w:vAlign w:val="bottom"/>
          </w:tcPr>
          <w:p>
            <w:pPr>
              <w:jc w:val="right"/>
              <w:spacing w:after="0"/>
              <w:rPr>
                <w:sz w:val="20"/>
                <w:szCs w:val="20"/>
                <w:color w:val="auto"/>
              </w:rPr>
            </w:pPr>
            <w:r>
              <w:rPr>
                <w:rFonts w:ascii="Arial" w:cs="Arial" w:eastAsia="Arial" w:hAnsi="Arial"/>
                <w:sz w:val="19"/>
                <w:szCs w:val="19"/>
                <w:b w:val="1"/>
                <w:bCs w:val="1"/>
                <w:color w:val="231F20"/>
              </w:rPr>
              <w:t>63,426</w:t>
            </w:r>
          </w:p>
        </w:tc>
        <w:tc>
          <w:tcPr>
            <w:tcW w:w="60" w:type="dxa"/>
            <w:vAlign w:val="bottom"/>
          </w:tcPr>
          <w:p>
            <w:pPr>
              <w:spacing w:after="0"/>
              <w:rPr>
                <w:sz w:val="20"/>
                <w:szCs w:val="20"/>
                <w:color w:val="auto"/>
              </w:rPr>
            </w:pPr>
          </w:p>
        </w:tc>
      </w:tr>
      <w:tr>
        <w:trPr>
          <w:trHeight w:val="238"/>
        </w:trPr>
        <w:tc>
          <w:tcPr>
            <w:tcW w:w="5080" w:type="dxa"/>
            <w:vAlign w:val="bottom"/>
          </w:tcPr>
          <w:p>
            <w:pPr>
              <w:ind w:left="200"/>
              <w:spacing w:after="0"/>
              <w:rPr>
                <w:sz w:val="20"/>
                <w:szCs w:val="20"/>
                <w:color w:val="auto"/>
              </w:rPr>
            </w:pPr>
            <w:r>
              <w:rPr>
                <w:rFonts w:ascii="Arial" w:cs="Arial" w:eastAsia="Arial" w:hAnsi="Arial"/>
                <w:sz w:val="19"/>
                <w:szCs w:val="19"/>
                <w:b w:val="1"/>
                <w:bCs w:val="1"/>
                <w:color w:val="231F20"/>
              </w:rPr>
              <w:t>Preclinical costs</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9"/>
                <w:szCs w:val="19"/>
                <w:b w:val="1"/>
                <w:bCs w:val="1"/>
                <w:color w:val="231F20"/>
              </w:rPr>
              <w:t>6,717</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9"/>
                <w:szCs w:val="19"/>
                <w:b w:val="1"/>
                <w:bCs w:val="1"/>
                <w:color w:val="231F20"/>
              </w:rPr>
              <w:t>3,682</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9"/>
                <w:szCs w:val="19"/>
                <w:b w:val="1"/>
                <w:bCs w:val="1"/>
                <w:color w:val="231F20"/>
              </w:rPr>
              <w:t>3,925</w:t>
            </w:r>
          </w:p>
        </w:tc>
        <w:tc>
          <w:tcPr>
            <w:tcW w:w="60" w:type="dxa"/>
            <w:vAlign w:val="bottom"/>
          </w:tcPr>
          <w:p>
            <w:pPr>
              <w:spacing w:after="0"/>
              <w:rPr>
                <w:sz w:val="20"/>
                <w:szCs w:val="20"/>
                <w:color w:val="auto"/>
              </w:rPr>
            </w:pPr>
          </w:p>
        </w:tc>
      </w:tr>
      <w:tr>
        <w:trPr>
          <w:trHeight w:val="238"/>
        </w:trPr>
        <w:tc>
          <w:tcPr>
            <w:tcW w:w="5080" w:type="dxa"/>
            <w:vAlign w:val="bottom"/>
          </w:tcPr>
          <w:p>
            <w:pPr>
              <w:ind w:left="200"/>
              <w:spacing w:after="0"/>
              <w:rPr>
                <w:sz w:val="20"/>
                <w:szCs w:val="20"/>
                <w:color w:val="auto"/>
              </w:rPr>
            </w:pPr>
            <w:r>
              <w:rPr>
                <w:rFonts w:ascii="Arial" w:cs="Arial" w:eastAsia="Arial" w:hAnsi="Arial"/>
                <w:sz w:val="19"/>
                <w:szCs w:val="19"/>
                <w:b w:val="1"/>
                <w:bCs w:val="1"/>
                <w:color w:val="231F20"/>
              </w:rPr>
              <w:t>Personnel and related costs</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9"/>
                <w:szCs w:val="19"/>
                <w:b w:val="1"/>
                <w:bCs w:val="1"/>
                <w:color w:val="231F20"/>
              </w:rPr>
              <w:t>23,085</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9"/>
                <w:szCs w:val="19"/>
                <w:b w:val="1"/>
                <w:bCs w:val="1"/>
                <w:color w:val="231F20"/>
              </w:rPr>
              <w:t>19,407</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9"/>
                <w:szCs w:val="19"/>
                <w:b w:val="1"/>
                <w:bCs w:val="1"/>
                <w:color w:val="231F20"/>
              </w:rPr>
              <w:t>14,465</w:t>
            </w:r>
          </w:p>
        </w:tc>
        <w:tc>
          <w:tcPr>
            <w:tcW w:w="60" w:type="dxa"/>
            <w:vAlign w:val="bottom"/>
          </w:tcPr>
          <w:p>
            <w:pPr>
              <w:spacing w:after="0"/>
              <w:rPr>
                <w:sz w:val="20"/>
                <w:szCs w:val="20"/>
                <w:color w:val="auto"/>
              </w:rPr>
            </w:pPr>
          </w:p>
        </w:tc>
      </w:tr>
      <w:tr>
        <w:trPr>
          <w:trHeight w:val="235"/>
        </w:trPr>
        <w:tc>
          <w:tcPr>
            <w:tcW w:w="5080" w:type="dxa"/>
            <w:vAlign w:val="bottom"/>
          </w:tcPr>
          <w:p>
            <w:pPr>
              <w:ind w:left="200"/>
              <w:spacing w:after="0"/>
              <w:rPr>
                <w:sz w:val="20"/>
                <w:szCs w:val="20"/>
                <w:color w:val="auto"/>
              </w:rPr>
            </w:pPr>
            <w:r>
              <w:rPr>
                <w:rFonts w:ascii="Arial" w:cs="Arial" w:eastAsia="Arial" w:hAnsi="Arial"/>
                <w:sz w:val="19"/>
                <w:szCs w:val="19"/>
                <w:b w:val="1"/>
                <w:bCs w:val="1"/>
                <w:color w:val="231F20"/>
              </w:rPr>
              <w:t>Stock-based compensation expense</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9"/>
                <w:szCs w:val="19"/>
                <w:b w:val="1"/>
                <w:bCs w:val="1"/>
                <w:color w:val="231F20"/>
              </w:rPr>
              <w:t>18,490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9"/>
                <w:szCs w:val="19"/>
                <w:b w:val="1"/>
                <w:bCs w:val="1"/>
                <w:color w:val="231F20"/>
              </w:rPr>
              <w:t>14,665</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9"/>
                <w:szCs w:val="19"/>
                <w:b w:val="1"/>
                <w:bCs w:val="1"/>
                <w:color w:val="231F20"/>
              </w:rPr>
              <w:t>10,741</w:t>
            </w:r>
          </w:p>
        </w:tc>
        <w:tc>
          <w:tcPr>
            <w:tcW w:w="60" w:type="dxa"/>
            <w:vAlign w:val="bottom"/>
          </w:tcPr>
          <w:p>
            <w:pPr>
              <w:spacing w:after="0"/>
              <w:rPr>
                <w:sz w:val="20"/>
                <w:szCs w:val="20"/>
                <w:color w:val="auto"/>
              </w:rPr>
            </w:pPr>
          </w:p>
        </w:tc>
      </w:tr>
      <w:tr>
        <w:trPr>
          <w:trHeight w:val="237"/>
        </w:trPr>
        <w:tc>
          <w:tcPr>
            <w:tcW w:w="5080" w:type="dxa"/>
            <w:vAlign w:val="bottom"/>
          </w:tcPr>
          <w:p>
            <w:pPr>
              <w:ind w:left="200"/>
              <w:spacing w:after="0"/>
              <w:rPr>
                <w:sz w:val="20"/>
                <w:szCs w:val="20"/>
                <w:color w:val="auto"/>
              </w:rPr>
            </w:pPr>
            <w:r>
              <w:rPr>
                <w:rFonts w:ascii="Arial" w:cs="Arial" w:eastAsia="Arial" w:hAnsi="Arial"/>
                <w:sz w:val="19"/>
                <w:szCs w:val="19"/>
                <w:b w:val="1"/>
                <w:bCs w:val="1"/>
                <w:color w:val="231F20"/>
              </w:rPr>
              <w:t>Other research costs</w:t>
            </w:r>
          </w:p>
        </w:tc>
        <w:tc>
          <w:tcPr>
            <w:tcW w:w="340" w:type="dxa"/>
            <w:vAlign w:val="bottom"/>
            <w:tcBorders>
              <w:bottom w:val="single" w:sz="8" w:color="231F20"/>
            </w:tcBorders>
          </w:tcPr>
          <w:p>
            <w:pPr>
              <w:spacing w:after="0"/>
              <w:rPr>
                <w:sz w:val="20"/>
                <w:szCs w:val="20"/>
                <w:color w:val="auto"/>
              </w:rPr>
            </w:pPr>
          </w:p>
        </w:tc>
        <w:tc>
          <w:tcPr>
            <w:tcW w:w="122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6,213</w:t>
            </w:r>
          </w:p>
        </w:tc>
        <w:tc>
          <w:tcPr>
            <w:tcW w:w="300" w:type="dxa"/>
            <w:vAlign w:val="bottom"/>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142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4,679</w:t>
            </w:r>
          </w:p>
        </w:tc>
        <w:tc>
          <w:tcPr>
            <w:tcW w:w="280" w:type="dxa"/>
            <w:vAlign w:val="bottom"/>
          </w:tcPr>
          <w:p>
            <w:pPr>
              <w:spacing w:after="0"/>
              <w:rPr>
                <w:sz w:val="20"/>
                <w:szCs w:val="20"/>
                <w:color w:val="auto"/>
              </w:rPr>
            </w:pPr>
          </w:p>
        </w:tc>
        <w:tc>
          <w:tcPr>
            <w:tcW w:w="34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5,843</w:t>
            </w:r>
          </w:p>
        </w:tc>
        <w:tc>
          <w:tcPr>
            <w:tcW w:w="60" w:type="dxa"/>
            <w:vAlign w:val="bottom"/>
          </w:tcPr>
          <w:p>
            <w:pPr>
              <w:spacing w:after="0"/>
              <w:rPr>
                <w:sz w:val="20"/>
                <w:szCs w:val="20"/>
                <w:color w:val="auto"/>
              </w:rPr>
            </w:pPr>
          </w:p>
        </w:tc>
      </w:tr>
      <w:tr>
        <w:trPr>
          <w:trHeight w:val="228"/>
        </w:trPr>
        <w:tc>
          <w:tcPr>
            <w:tcW w:w="5080" w:type="dxa"/>
            <w:vAlign w:val="bottom"/>
          </w:tcPr>
          <w:p>
            <w:pPr>
              <w:ind w:left="380"/>
              <w:spacing w:after="0"/>
              <w:rPr>
                <w:sz w:val="20"/>
                <w:szCs w:val="20"/>
                <w:color w:val="auto"/>
              </w:rPr>
            </w:pPr>
            <w:r>
              <w:rPr>
                <w:rFonts w:ascii="Arial" w:cs="Arial" w:eastAsia="Arial" w:hAnsi="Arial"/>
                <w:sz w:val="19"/>
                <w:szCs w:val="19"/>
                <w:b w:val="1"/>
                <w:bCs w:val="1"/>
                <w:color w:val="231F20"/>
              </w:rPr>
              <w:t>Total research and development expenses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9"/>
                <w:szCs w:val="19"/>
                <w:b w:val="1"/>
                <w:bCs w:val="1"/>
                <w:color w:val="231F20"/>
              </w:rPr>
              <w:t>116,373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9"/>
                <w:szCs w:val="19"/>
                <w:b w:val="1"/>
                <w:bCs w:val="1"/>
                <w:color w:val="231F20"/>
              </w:rPr>
              <w:t>141,795</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9"/>
                <w:szCs w:val="19"/>
                <w:b w:val="1"/>
                <w:bCs w:val="1"/>
                <w:color w:val="231F20"/>
              </w:rPr>
              <w:t>98,400</w:t>
            </w:r>
          </w:p>
        </w:tc>
        <w:tc>
          <w:tcPr>
            <w:tcW w:w="60" w:type="dxa"/>
            <w:vAlign w:val="bottom"/>
          </w:tcPr>
          <w:p>
            <w:pPr>
              <w:spacing w:after="0"/>
              <w:rPr>
                <w:sz w:val="19"/>
                <w:szCs w:val="19"/>
                <w:color w:val="auto"/>
              </w:rPr>
            </w:pPr>
          </w:p>
        </w:tc>
      </w:tr>
      <w:tr>
        <w:trPr>
          <w:trHeight w:val="235"/>
        </w:trPr>
        <w:tc>
          <w:tcPr>
            <w:tcW w:w="5080" w:type="dxa"/>
            <w:vAlign w:val="bottom"/>
          </w:tcPr>
          <w:p>
            <w:pPr>
              <w:spacing w:after="0"/>
              <w:rPr>
                <w:sz w:val="20"/>
                <w:szCs w:val="20"/>
                <w:color w:val="auto"/>
              </w:rPr>
            </w:pPr>
            <w:r>
              <w:rPr>
                <w:rFonts w:ascii="Arial" w:cs="Arial" w:eastAsia="Arial" w:hAnsi="Arial"/>
                <w:sz w:val="19"/>
                <w:szCs w:val="19"/>
                <w:b w:val="1"/>
                <w:bCs w:val="1"/>
                <w:color w:val="231F20"/>
              </w:rPr>
              <w:t>General and administrative expenses:</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5080" w:type="dxa"/>
            <w:vAlign w:val="bottom"/>
          </w:tcPr>
          <w:p>
            <w:pPr>
              <w:ind w:left="200"/>
              <w:spacing w:after="0"/>
              <w:rPr>
                <w:sz w:val="20"/>
                <w:szCs w:val="20"/>
                <w:color w:val="auto"/>
              </w:rPr>
            </w:pPr>
            <w:r>
              <w:rPr>
                <w:rFonts w:ascii="Arial" w:cs="Arial" w:eastAsia="Arial" w:hAnsi="Arial"/>
                <w:sz w:val="19"/>
                <w:szCs w:val="19"/>
                <w:b w:val="1"/>
                <w:bCs w:val="1"/>
                <w:color w:val="231F20"/>
              </w:rPr>
              <w:t>Personnel and related costs</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9"/>
                <w:szCs w:val="19"/>
                <w:b w:val="1"/>
                <w:bCs w:val="1"/>
                <w:color w:val="231F20"/>
              </w:rPr>
              <w:t>7,619</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9"/>
                <w:szCs w:val="19"/>
                <w:b w:val="1"/>
                <w:bCs w:val="1"/>
                <w:color w:val="231F20"/>
              </w:rPr>
              <w:t>7,100</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9"/>
                <w:szCs w:val="19"/>
                <w:b w:val="1"/>
                <w:bCs w:val="1"/>
                <w:color w:val="231F20"/>
              </w:rPr>
              <w:t>5,767</w:t>
            </w:r>
          </w:p>
        </w:tc>
        <w:tc>
          <w:tcPr>
            <w:tcW w:w="60" w:type="dxa"/>
            <w:vAlign w:val="bottom"/>
          </w:tcPr>
          <w:p>
            <w:pPr>
              <w:spacing w:after="0"/>
              <w:rPr>
                <w:sz w:val="20"/>
                <w:szCs w:val="20"/>
                <w:color w:val="auto"/>
              </w:rPr>
            </w:pPr>
          </w:p>
        </w:tc>
      </w:tr>
      <w:tr>
        <w:trPr>
          <w:trHeight w:val="235"/>
        </w:trPr>
        <w:tc>
          <w:tcPr>
            <w:tcW w:w="5080" w:type="dxa"/>
            <w:vAlign w:val="bottom"/>
          </w:tcPr>
          <w:p>
            <w:pPr>
              <w:ind w:left="200"/>
              <w:spacing w:after="0"/>
              <w:rPr>
                <w:sz w:val="20"/>
                <w:szCs w:val="20"/>
                <w:color w:val="auto"/>
              </w:rPr>
            </w:pPr>
            <w:r>
              <w:rPr>
                <w:rFonts w:ascii="Arial" w:cs="Arial" w:eastAsia="Arial" w:hAnsi="Arial"/>
                <w:sz w:val="19"/>
                <w:szCs w:val="19"/>
                <w:b w:val="1"/>
                <w:bCs w:val="1"/>
                <w:color w:val="231F20"/>
              </w:rPr>
              <w:t>Stock-based compensation expense</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9"/>
                <w:szCs w:val="19"/>
                <w:b w:val="1"/>
                <w:bCs w:val="1"/>
                <w:color w:val="231F20"/>
              </w:rPr>
              <w:t>8,603</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9"/>
                <w:szCs w:val="19"/>
                <w:b w:val="1"/>
                <w:bCs w:val="1"/>
                <w:color w:val="231F20"/>
              </w:rPr>
              <w:t>11,608</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9"/>
                <w:szCs w:val="19"/>
                <w:b w:val="1"/>
                <w:bCs w:val="1"/>
                <w:color w:val="231F20"/>
              </w:rPr>
              <w:t>13,098</w:t>
            </w:r>
          </w:p>
        </w:tc>
        <w:tc>
          <w:tcPr>
            <w:tcW w:w="60" w:type="dxa"/>
            <w:vAlign w:val="bottom"/>
          </w:tcPr>
          <w:p>
            <w:pPr>
              <w:spacing w:after="0"/>
              <w:rPr>
                <w:sz w:val="20"/>
                <w:szCs w:val="20"/>
                <w:color w:val="auto"/>
              </w:rPr>
            </w:pPr>
          </w:p>
        </w:tc>
      </w:tr>
      <w:tr>
        <w:trPr>
          <w:trHeight w:val="237"/>
        </w:trPr>
        <w:tc>
          <w:tcPr>
            <w:tcW w:w="5080" w:type="dxa"/>
            <w:vAlign w:val="bottom"/>
          </w:tcPr>
          <w:p>
            <w:pPr>
              <w:ind w:left="200"/>
              <w:spacing w:after="0"/>
              <w:rPr>
                <w:sz w:val="20"/>
                <w:szCs w:val="20"/>
                <w:color w:val="auto"/>
              </w:rPr>
            </w:pPr>
            <w:r>
              <w:rPr>
                <w:rFonts w:ascii="Arial" w:cs="Arial" w:eastAsia="Arial" w:hAnsi="Arial"/>
                <w:sz w:val="19"/>
                <w:szCs w:val="19"/>
                <w:b w:val="1"/>
                <w:bCs w:val="1"/>
                <w:color w:val="231F20"/>
              </w:rPr>
              <w:t>Other general and administrative costs</w:t>
            </w:r>
          </w:p>
        </w:tc>
        <w:tc>
          <w:tcPr>
            <w:tcW w:w="340" w:type="dxa"/>
            <w:vAlign w:val="bottom"/>
            <w:tcBorders>
              <w:bottom w:val="single" w:sz="8" w:color="231F20"/>
            </w:tcBorders>
          </w:tcPr>
          <w:p>
            <w:pPr>
              <w:spacing w:after="0"/>
              <w:rPr>
                <w:sz w:val="20"/>
                <w:szCs w:val="20"/>
                <w:color w:val="auto"/>
              </w:rPr>
            </w:pPr>
          </w:p>
        </w:tc>
        <w:tc>
          <w:tcPr>
            <w:tcW w:w="122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9,872</w:t>
            </w:r>
          </w:p>
        </w:tc>
        <w:tc>
          <w:tcPr>
            <w:tcW w:w="300" w:type="dxa"/>
            <w:vAlign w:val="bottom"/>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142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9,775</w:t>
            </w:r>
          </w:p>
        </w:tc>
        <w:tc>
          <w:tcPr>
            <w:tcW w:w="280" w:type="dxa"/>
            <w:vAlign w:val="bottom"/>
          </w:tcPr>
          <w:p>
            <w:pPr>
              <w:spacing w:after="0"/>
              <w:rPr>
                <w:sz w:val="20"/>
                <w:szCs w:val="20"/>
                <w:color w:val="auto"/>
              </w:rPr>
            </w:pPr>
          </w:p>
        </w:tc>
        <w:tc>
          <w:tcPr>
            <w:tcW w:w="34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10,171</w:t>
            </w:r>
          </w:p>
        </w:tc>
        <w:tc>
          <w:tcPr>
            <w:tcW w:w="60" w:type="dxa"/>
            <w:vAlign w:val="bottom"/>
          </w:tcPr>
          <w:p>
            <w:pPr>
              <w:spacing w:after="0"/>
              <w:rPr>
                <w:sz w:val="20"/>
                <w:szCs w:val="20"/>
                <w:color w:val="auto"/>
              </w:rPr>
            </w:pPr>
          </w:p>
        </w:tc>
      </w:tr>
      <w:tr>
        <w:trPr>
          <w:trHeight w:val="227"/>
        </w:trPr>
        <w:tc>
          <w:tcPr>
            <w:tcW w:w="5080" w:type="dxa"/>
            <w:vAlign w:val="bottom"/>
          </w:tcPr>
          <w:p>
            <w:pPr>
              <w:ind w:left="380"/>
              <w:spacing w:after="0"/>
              <w:rPr>
                <w:sz w:val="20"/>
                <w:szCs w:val="20"/>
                <w:color w:val="auto"/>
              </w:rPr>
            </w:pPr>
            <w:r>
              <w:rPr>
                <w:rFonts w:ascii="Arial" w:cs="Arial" w:eastAsia="Arial" w:hAnsi="Arial"/>
                <w:sz w:val="19"/>
                <w:szCs w:val="19"/>
                <w:b w:val="1"/>
                <w:bCs w:val="1"/>
                <w:color w:val="231F20"/>
              </w:rPr>
              <w:t>Total general and administrative expenses</w:t>
            </w:r>
          </w:p>
        </w:tc>
        <w:tc>
          <w:tcPr>
            <w:tcW w:w="340" w:type="dxa"/>
            <w:vAlign w:val="bottom"/>
            <w:tcBorders>
              <w:bottom w:val="single" w:sz="8" w:color="231F20"/>
            </w:tcBorders>
          </w:tcPr>
          <w:p>
            <w:pPr>
              <w:spacing w:after="0"/>
              <w:rPr>
                <w:sz w:val="19"/>
                <w:szCs w:val="19"/>
                <w:color w:val="auto"/>
              </w:rPr>
            </w:pPr>
          </w:p>
        </w:tc>
        <w:tc>
          <w:tcPr>
            <w:tcW w:w="122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26,094</w:t>
            </w:r>
          </w:p>
        </w:tc>
        <w:tc>
          <w:tcPr>
            <w:tcW w:w="300" w:type="dxa"/>
            <w:vAlign w:val="bottom"/>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142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28,483</w:t>
            </w:r>
          </w:p>
        </w:tc>
        <w:tc>
          <w:tcPr>
            <w:tcW w:w="280" w:type="dxa"/>
            <w:vAlign w:val="bottom"/>
          </w:tcPr>
          <w:p>
            <w:pPr>
              <w:spacing w:after="0"/>
              <w:rPr>
                <w:sz w:val="19"/>
                <w:szCs w:val="19"/>
                <w:color w:val="auto"/>
              </w:rPr>
            </w:pPr>
          </w:p>
        </w:tc>
        <w:tc>
          <w:tcPr>
            <w:tcW w:w="340" w:type="dxa"/>
            <w:vAlign w:val="bottom"/>
            <w:tcBorders>
              <w:bottom w:val="single" w:sz="8" w:color="231F20"/>
            </w:tcBorders>
          </w:tcPr>
          <w:p>
            <w:pPr>
              <w:spacing w:after="0"/>
              <w:rPr>
                <w:sz w:val="19"/>
                <w:szCs w:val="19"/>
                <w:color w:val="auto"/>
              </w:rPr>
            </w:pPr>
          </w:p>
        </w:tc>
        <w:tc>
          <w:tcPr>
            <w:tcW w:w="1240" w:type="dxa"/>
            <w:vAlign w:val="bottom"/>
            <w:tcBorders>
              <w:bottom w:val="single" w:sz="8" w:color="231F20"/>
            </w:tcBorders>
          </w:tcPr>
          <w:p>
            <w:pPr>
              <w:jc w:val="right"/>
              <w:spacing w:after="0"/>
              <w:rPr>
                <w:sz w:val="20"/>
                <w:szCs w:val="20"/>
                <w:color w:val="auto"/>
              </w:rPr>
            </w:pPr>
            <w:r>
              <w:rPr>
                <w:rFonts w:ascii="Arial" w:cs="Arial" w:eastAsia="Arial" w:hAnsi="Arial"/>
                <w:sz w:val="19"/>
                <w:szCs w:val="19"/>
                <w:b w:val="1"/>
                <w:bCs w:val="1"/>
                <w:color w:val="231F20"/>
              </w:rPr>
              <w:t>29,036</w:t>
            </w:r>
          </w:p>
        </w:tc>
        <w:tc>
          <w:tcPr>
            <w:tcW w:w="60" w:type="dxa"/>
            <w:vAlign w:val="bottom"/>
          </w:tcPr>
          <w:p>
            <w:pPr>
              <w:spacing w:after="0"/>
              <w:rPr>
                <w:sz w:val="19"/>
                <w:szCs w:val="19"/>
                <w:color w:val="auto"/>
              </w:rPr>
            </w:pPr>
          </w:p>
        </w:tc>
      </w:tr>
      <w:tr>
        <w:trPr>
          <w:trHeight w:val="226"/>
        </w:trPr>
        <w:tc>
          <w:tcPr>
            <w:tcW w:w="5080" w:type="dxa"/>
            <w:vAlign w:val="bottom"/>
          </w:tcPr>
          <w:p>
            <w:pPr>
              <w:spacing w:after="0"/>
              <w:rPr>
                <w:sz w:val="20"/>
                <w:szCs w:val="20"/>
                <w:color w:val="auto"/>
              </w:rPr>
            </w:pPr>
            <w:r>
              <w:rPr>
                <w:rFonts w:ascii="Arial" w:cs="Arial" w:eastAsia="Arial" w:hAnsi="Arial"/>
                <w:sz w:val="19"/>
                <w:szCs w:val="19"/>
                <w:b w:val="1"/>
                <w:bCs w:val="1"/>
                <w:color w:val="231F20"/>
              </w:rPr>
              <w:t>Loss from operations</w:t>
            </w:r>
          </w:p>
        </w:tc>
        <w:tc>
          <w:tcPr>
            <w:tcW w:w="34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9"/>
                <w:szCs w:val="19"/>
                <w:b w:val="1"/>
                <w:bCs w:val="1"/>
                <w:color w:val="231F20"/>
              </w:rPr>
              <w:t>(142,467)</w:t>
            </w:r>
          </w:p>
        </w:tc>
        <w:tc>
          <w:tcPr>
            <w:tcW w:w="16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9"/>
                <w:szCs w:val="19"/>
                <w:b w:val="1"/>
                <w:bCs w:val="1"/>
                <w:color w:val="231F20"/>
              </w:rPr>
              <w:t>(170,278)</w:t>
            </w:r>
          </w:p>
        </w:tc>
        <w:tc>
          <w:tcPr>
            <w:tcW w:w="3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(127,436)</w:t>
            </w:r>
          </w:p>
        </w:tc>
      </w:tr>
      <w:tr>
        <w:trPr>
          <w:trHeight w:val="226"/>
        </w:trPr>
        <w:tc>
          <w:tcPr>
            <w:tcW w:w="5080" w:type="dxa"/>
            <w:vAlign w:val="bottom"/>
          </w:tcPr>
          <w:p>
            <w:pPr>
              <w:ind w:left="200"/>
              <w:spacing w:after="0"/>
              <w:rPr>
                <w:sz w:val="20"/>
                <w:szCs w:val="20"/>
                <w:color w:val="auto"/>
              </w:rPr>
            </w:pPr>
            <w:r>
              <w:rPr>
                <w:rFonts w:ascii="Arial" w:cs="Arial" w:eastAsia="Arial" w:hAnsi="Arial"/>
                <w:sz w:val="19"/>
                <w:szCs w:val="19"/>
                <w:b w:val="1"/>
                <w:bCs w:val="1"/>
                <w:color w:val="231F20"/>
              </w:rPr>
              <w:t>Interest income</w:t>
            </w:r>
          </w:p>
        </w:tc>
        <w:tc>
          <w:tcPr>
            <w:tcW w:w="340" w:type="dxa"/>
            <w:vAlign w:val="bottom"/>
            <w:tcBorders>
              <w:top w:val="single" w:sz="8" w:color="231F20"/>
            </w:tcBorders>
          </w:tcPr>
          <w:p>
            <w:pPr>
              <w:spacing w:after="0"/>
              <w:rPr>
                <w:sz w:val="19"/>
                <w:szCs w:val="19"/>
                <w:color w:val="auto"/>
              </w:rPr>
            </w:pPr>
          </w:p>
        </w:tc>
        <w:tc>
          <w:tcPr>
            <w:tcW w:w="1220" w:type="dxa"/>
            <w:vAlign w:val="bottom"/>
            <w:tcBorders>
              <w:top w:val="single" w:sz="8" w:color="231F20"/>
            </w:tcBorders>
          </w:tcPr>
          <w:p>
            <w:pPr>
              <w:jc w:val="right"/>
              <w:spacing w:after="0"/>
              <w:rPr>
                <w:sz w:val="20"/>
                <w:szCs w:val="20"/>
                <w:color w:val="auto"/>
              </w:rPr>
            </w:pPr>
            <w:r>
              <w:rPr>
                <w:rFonts w:ascii="Arial" w:cs="Arial" w:eastAsia="Arial" w:hAnsi="Arial"/>
                <w:sz w:val="19"/>
                <w:szCs w:val="19"/>
                <w:b w:val="1"/>
                <w:bCs w:val="1"/>
                <w:color w:val="231F20"/>
              </w:rPr>
              <w:t>9,366</w:t>
            </w:r>
          </w:p>
        </w:tc>
        <w:tc>
          <w:tcPr>
            <w:tcW w:w="300" w:type="dxa"/>
            <w:vAlign w:val="bottom"/>
          </w:tcPr>
          <w:p>
            <w:pPr>
              <w:spacing w:after="0"/>
              <w:rPr>
                <w:sz w:val="19"/>
                <w:szCs w:val="19"/>
                <w:color w:val="auto"/>
              </w:rPr>
            </w:pPr>
          </w:p>
        </w:tc>
        <w:tc>
          <w:tcPr>
            <w:tcW w:w="160" w:type="dxa"/>
            <w:vAlign w:val="bottom"/>
            <w:tcBorders>
              <w:top w:val="single" w:sz="8" w:color="231F20"/>
            </w:tcBorders>
          </w:tcPr>
          <w:p>
            <w:pPr>
              <w:spacing w:after="0"/>
              <w:rPr>
                <w:sz w:val="19"/>
                <w:szCs w:val="19"/>
                <w:color w:val="auto"/>
              </w:rPr>
            </w:pPr>
          </w:p>
        </w:tc>
        <w:tc>
          <w:tcPr>
            <w:tcW w:w="1420" w:type="dxa"/>
            <w:vAlign w:val="bottom"/>
            <w:tcBorders>
              <w:top w:val="single" w:sz="8" w:color="231F20"/>
            </w:tcBorders>
          </w:tcPr>
          <w:p>
            <w:pPr>
              <w:jc w:val="right"/>
              <w:spacing w:after="0"/>
              <w:rPr>
                <w:sz w:val="20"/>
                <w:szCs w:val="20"/>
                <w:color w:val="auto"/>
              </w:rPr>
            </w:pPr>
            <w:r>
              <w:rPr>
                <w:rFonts w:ascii="Arial" w:cs="Arial" w:eastAsia="Arial" w:hAnsi="Arial"/>
                <w:sz w:val="19"/>
                <w:szCs w:val="19"/>
                <w:b w:val="1"/>
                <w:bCs w:val="1"/>
                <w:color w:val="231F20"/>
              </w:rPr>
              <w:t>10,649</w:t>
            </w:r>
          </w:p>
        </w:tc>
        <w:tc>
          <w:tcPr>
            <w:tcW w:w="280" w:type="dxa"/>
            <w:vAlign w:val="bottom"/>
          </w:tcPr>
          <w:p>
            <w:pPr>
              <w:spacing w:after="0"/>
              <w:rPr>
                <w:sz w:val="19"/>
                <w:szCs w:val="19"/>
                <w:color w:val="auto"/>
              </w:rPr>
            </w:pPr>
          </w:p>
        </w:tc>
        <w:tc>
          <w:tcPr>
            <w:tcW w:w="340" w:type="dxa"/>
            <w:vAlign w:val="bottom"/>
            <w:tcBorders>
              <w:top w:val="single" w:sz="8" w:color="231F20"/>
            </w:tcBorders>
          </w:tcPr>
          <w:p>
            <w:pPr>
              <w:spacing w:after="0"/>
              <w:rPr>
                <w:sz w:val="19"/>
                <w:szCs w:val="19"/>
                <w:color w:val="auto"/>
              </w:rPr>
            </w:pPr>
          </w:p>
        </w:tc>
        <w:tc>
          <w:tcPr>
            <w:tcW w:w="1240" w:type="dxa"/>
            <w:vAlign w:val="bottom"/>
            <w:tcBorders>
              <w:top w:val="single" w:sz="8" w:color="231F20"/>
            </w:tcBorders>
          </w:tcPr>
          <w:p>
            <w:pPr>
              <w:jc w:val="right"/>
              <w:spacing w:after="0"/>
              <w:rPr>
                <w:sz w:val="20"/>
                <w:szCs w:val="20"/>
                <w:color w:val="auto"/>
              </w:rPr>
            </w:pPr>
            <w:r>
              <w:rPr>
                <w:rFonts w:ascii="Arial" w:cs="Arial" w:eastAsia="Arial" w:hAnsi="Arial"/>
                <w:sz w:val="19"/>
                <w:szCs w:val="19"/>
                <w:b w:val="1"/>
                <w:bCs w:val="1"/>
                <w:color w:val="231F20"/>
              </w:rPr>
              <w:t>4,278</w:t>
            </w:r>
          </w:p>
        </w:tc>
        <w:tc>
          <w:tcPr>
            <w:tcW w:w="60" w:type="dxa"/>
            <w:vAlign w:val="bottom"/>
          </w:tcPr>
          <w:p>
            <w:pPr>
              <w:spacing w:after="0"/>
              <w:rPr>
                <w:sz w:val="19"/>
                <w:szCs w:val="19"/>
                <w:color w:val="auto"/>
              </w:rPr>
            </w:pPr>
          </w:p>
        </w:tc>
      </w:tr>
      <w:tr>
        <w:trPr>
          <w:trHeight w:val="238"/>
        </w:trPr>
        <w:tc>
          <w:tcPr>
            <w:tcW w:w="5080" w:type="dxa"/>
            <w:vAlign w:val="bottom"/>
          </w:tcPr>
          <w:p>
            <w:pPr>
              <w:ind w:left="200"/>
              <w:spacing w:after="0"/>
              <w:rPr>
                <w:sz w:val="20"/>
                <w:szCs w:val="20"/>
                <w:color w:val="auto"/>
              </w:rPr>
            </w:pPr>
            <w:r>
              <w:rPr>
                <w:rFonts w:ascii="Arial" w:cs="Arial" w:eastAsia="Arial" w:hAnsi="Arial"/>
                <w:sz w:val="19"/>
                <w:szCs w:val="19"/>
                <w:b w:val="1"/>
                <w:bCs w:val="1"/>
                <w:color w:val="231F20"/>
              </w:rPr>
              <w:t>Interest expense</w:t>
            </w:r>
          </w:p>
        </w:tc>
        <w:tc>
          <w:tcPr>
            <w:tcW w:w="34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9"/>
                <w:szCs w:val="19"/>
                <w:b w:val="1"/>
                <w:bCs w:val="1"/>
                <w:color w:val="231F20"/>
              </w:rPr>
              <w:t>(1,729)</w:t>
            </w:r>
          </w:p>
        </w:tc>
        <w:tc>
          <w:tcPr>
            <w:tcW w:w="16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9"/>
                <w:szCs w:val="19"/>
                <w:b w:val="1"/>
                <w:bCs w:val="1"/>
                <w:color w:val="231F20"/>
              </w:rPr>
              <w:t>(1,565)</w:t>
            </w:r>
          </w:p>
        </w:tc>
        <w:tc>
          <w:tcPr>
            <w:tcW w:w="34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9"/>
                <w:szCs w:val="19"/>
                <w:b w:val="1"/>
                <w:bCs w:val="1"/>
                <w:color w:val="231F20"/>
              </w:rPr>
              <w:t>(238)</w:t>
            </w:r>
          </w:p>
        </w:tc>
      </w:tr>
      <w:tr>
        <w:trPr>
          <w:trHeight w:val="235"/>
        </w:trPr>
        <w:tc>
          <w:tcPr>
            <w:tcW w:w="5080" w:type="dxa"/>
            <w:vAlign w:val="bottom"/>
          </w:tcPr>
          <w:p>
            <w:pPr>
              <w:ind w:left="200"/>
              <w:spacing w:after="0"/>
              <w:rPr>
                <w:sz w:val="20"/>
                <w:szCs w:val="20"/>
                <w:color w:val="auto"/>
              </w:rPr>
            </w:pPr>
            <w:r>
              <w:rPr>
                <w:rFonts w:ascii="Arial" w:cs="Arial" w:eastAsia="Arial" w:hAnsi="Arial"/>
                <w:sz w:val="19"/>
                <w:szCs w:val="19"/>
                <w:b w:val="1"/>
                <w:bCs w:val="1"/>
                <w:color w:val="231F20"/>
              </w:rPr>
              <w:t>Other income (expense), net</w:t>
            </w:r>
          </w:p>
        </w:tc>
        <w:tc>
          <w:tcPr>
            <w:tcW w:w="34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9"/>
                <w:szCs w:val="19"/>
                <w:b w:val="1"/>
                <w:bCs w:val="1"/>
                <w:color w:val="231F20"/>
              </w:rPr>
              <w:t>(20)</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9"/>
                <w:szCs w:val="19"/>
                <w:b w:val="1"/>
                <w:bCs w:val="1"/>
                <w:color w:val="231F20"/>
              </w:rPr>
              <w:t>389</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9"/>
                <w:szCs w:val="19"/>
                <w:b w:val="1"/>
                <w:bCs w:val="1"/>
                <w:color w:val="231F20"/>
              </w:rPr>
              <w:t>(22)</w:t>
            </w:r>
          </w:p>
        </w:tc>
      </w:tr>
      <w:tr>
        <w:trPr>
          <w:trHeight w:val="237"/>
        </w:trPr>
        <w:tc>
          <w:tcPr>
            <w:tcW w:w="5080" w:type="dxa"/>
            <w:vAlign w:val="bottom"/>
          </w:tcPr>
          <w:p>
            <w:pPr>
              <w:ind w:left="200"/>
              <w:spacing w:after="0"/>
              <w:rPr>
                <w:sz w:val="20"/>
                <w:szCs w:val="20"/>
                <w:color w:val="auto"/>
              </w:rPr>
            </w:pPr>
            <w:r>
              <w:rPr>
                <w:rFonts w:ascii="Arial" w:cs="Arial" w:eastAsia="Arial" w:hAnsi="Arial"/>
                <w:sz w:val="19"/>
                <w:szCs w:val="19"/>
                <w:b w:val="1"/>
                <w:bCs w:val="1"/>
                <w:color w:val="231F20"/>
              </w:rPr>
              <w:t>Income tax provision</w:t>
            </w:r>
          </w:p>
        </w:tc>
        <w:tc>
          <w:tcPr>
            <w:tcW w:w="340" w:type="dxa"/>
            <w:vAlign w:val="bottom"/>
          </w:tcPr>
          <w:p>
            <w:pPr>
              <w:spacing w:after="0"/>
              <w:rPr>
                <w:sz w:val="20"/>
                <w:szCs w:val="20"/>
                <w:color w:val="auto"/>
              </w:rPr>
            </w:pPr>
          </w:p>
        </w:tc>
        <w:tc>
          <w:tcPr>
            <w:tcW w:w="122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231F20"/>
              </w:rPr>
              <w:t></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231F20"/>
              </w:rPr>
              <w:t></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9"/>
                <w:szCs w:val="19"/>
                <w:b w:val="1"/>
                <w:bCs w:val="1"/>
                <w:color w:val="231F20"/>
              </w:rPr>
              <w:t>(64)</w:t>
            </w:r>
          </w:p>
        </w:tc>
      </w:tr>
      <w:tr>
        <w:trPr>
          <w:trHeight w:val="20"/>
        </w:trPr>
        <w:tc>
          <w:tcPr>
            <w:tcW w:w="5080" w:type="dxa"/>
            <w:vAlign w:val="bottom"/>
          </w:tcPr>
          <w:p>
            <w:pPr>
              <w:spacing w:after="0" w:line="20" w:lineRule="exact"/>
              <w:rPr>
                <w:sz w:val="1"/>
                <w:szCs w:val="1"/>
                <w:color w:val="auto"/>
              </w:rPr>
            </w:pPr>
          </w:p>
        </w:tc>
        <w:tc>
          <w:tcPr>
            <w:tcW w:w="340" w:type="dxa"/>
            <w:vAlign w:val="bottom"/>
            <w:shd w:val="clear" w:color="auto" w:fill="231F20"/>
          </w:tcPr>
          <w:p>
            <w:pPr>
              <w:spacing w:after="0" w:line="20" w:lineRule="exact"/>
              <w:rPr>
                <w:sz w:val="1"/>
                <w:szCs w:val="1"/>
                <w:color w:val="auto"/>
              </w:rPr>
            </w:pPr>
          </w:p>
        </w:tc>
        <w:tc>
          <w:tcPr>
            <w:tcW w:w="1220" w:type="dxa"/>
            <w:vAlign w:val="bottom"/>
            <w:shd w:val="clear" w:color="auto" w:fill="231F2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231F20"/>
          </w:tcPr>
          <w:p>
            <w:pPr>
              <w:spacing w:after="0" w:line="20" w:lineRule="exact"/>
              <w:rPr>
                <w:sz w:val="1"/>
                <w:szCs w:val="1"/>
                <w:color w:val="auto"/>
              </w:rPr>
            </w:pPr>
          </w:p>
        </w:tc>
        <w:tc>
          <w:tcPr>
            <w:tcW w:w="1420" w:type="dxa"/>
            <w:vAlign w:val="bottom"/>
            <w:shd w:val="clear" w:color="auto" w:fill="231F2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231F20"/>
          </w:tcPr>
          <w:p>
            <w:pPr>
              <w:spacing w:after="0" w:line="20" w:lineRule="exact"/>
              <w:rPr>
                <w:sz w:val="1"/>
                <w:szCs w:val="1"/>
                <w:color w:val="auto"/>
              </w:rPr>
            </w:pPr>
          </w:p>
        </w:tc>
        <w:tc>
          <w:tcPr>
            <w:tcW w:w="1240" w:type="dxa"/>
            <w:vAlign w:val="bottom"/>
            <w:shd w:val="clear" w:color="auto" w:fill="231F2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5"/>
        </w:trPr>
        <w:tc>
          <w:tcPr>
            <w:tcW w:w="5080" w:type="dxa"/>
            <w:vAlign w:val="bottom"/>
          </w:tcPr>
          <w:p>
            <w:pPr>
              <w:spacing w:after="0"/>
              <w:rPr>
                <w:sz w:val="20"/>
                <w:szCs w:val="20"/>
                <w:color w:val="auto"/>
              </w:rPr>
            </w:pPr>
            <w:r>
              <w:rPr>
                <w:rFonts w:ascii="Arial" w:cs="Arial" w:eastAsia="Arial" w:hAnsi="Arial"/>
                <w:sz w:val="19"/>
                <w:szCs w:val="19"/>
                <w:b w:val="1"/>
                <w:bCs w:val="1"/>
                <w:color w:val="231F20"/>
              </w:rPr>
              <w:t>Net loss</w:t>
            </w:r>
          </w:p>
        </w:tc>
        <w:tc>
          <w:tcPr>
            <w:tcW w:w="340" w:type="dxa"/>
            <w:vAlign w:val="bottom"/>
          </w:tcPr>
          <w:p>
            <w:pPr>
              <w:jc w:val="right"/>
              <w:ind w:right="174"/>
              <w:spacing w:after="0"/>
              <w:rPr>
                <w:sz w:val="20"/>
                <w:szCs w:val="20"/>
                <w:color w:val="auto"/>
              </w:rPr>
            </w:pPr>
            <w:r>
              <w:rPr>
                <w:rFonts w:ascii="Arial" w:cs="Arial" w:eastAsia="Arial" w:hAnsi="Arial"/>
                <w:sz w:val="15"/>
                <w:szCs w:val="15"/>
                <w:b w:val="1"/>
                <w:bCs w:val="1"/>
                <w:color w:val="231F20"/>
                <w:w w:val="71"/>
              </w:rPr>
              <w:t>$</w:t>
            </w:r>
          </w:p>
        </w:tc>
        <w:tc>
          <w:tcPr>
            <w:tcW w:w="1520" w:type="dxa"/>
            <w:vAlign w:val="bottom"/>
            <w:gridSpan w:val="2"/>
          </w:tcPr>
          <w:p>
            <w:pPr>
              <w:jc w:val="right"/>
              <w:ind w:right="220"/>
              <w:spacing w:after="0"/>
              <w:rPr>
                <w:sz w:val="20"/>
                <w:szCs w:val="20"/>
                <w:color w:val="auto"/>
              </w:rPr>
            </w:pPr>
            <w:r>
              <w:rPr>
                <w:rFonts w:ascii="Arial" w:cs="Arial" w:eastAsia="Arial" w:hAnsi="Arial"/>
                <w:sz w:val="19"/>
                <w:szCs w:val="19"/>
                <w:b w:val="1"/>
                <w:bCs w:val="1"/>
                <w:color w:val="231F20"/>
              </w:rPr>
              <w:t>(134,850)</w:t>
            </w:r>
          </w:p>
        </w:tc>
        <w:tc>
          <w:tcPr>
            <w:tcW w:w="160" w:type="dxa"/>
            <w:vAlign w:val="bottom"/>
          </w:tcPr>
          <w:p>
            <w:pPr>
              <w:jc w:val="right"/>
              <w:spacing w:after="0"/>
              <w:rPr>
                <w:sz w:val="20"/>
                <w:szCs w:val="20"/>
                <w:color w:val="auto"/>
              </w:rPr>
            </w:pPr>
            <w:r>
              <w:rPr>
                <w:rFonts w:ascii="Arial" w:cs="Arial" w:eastAsia="Arial" w:hAnsi="Arial"/>
                <w:sz w:val="19"/>
                <w:szCs w:val="19"/>
                <w:b w:val="1"/>
                <w:bCs w:val="1"/>
                <w:color w:val="231F20"/>
                <w:w w:val="75"/>
              </w:rPr>
              <w:t>$</w:t>
            </w:r>
          </w:p>
        </w:tc>
        <w:tc>
          <w:tcPr>
            <w:tcW w:w="1700" w:type="dxa"/>
            <w:vAlign w:val="bottom"/>
            <w:gridSpan w:val="2"/>
          </w:tcPr>
          <w:p>
            <w:pPr>
              <w:jc w:val="right"/>
              <w:ind w:right="220"/>
              <w:spacing w:after="0"/>
              <w:rPr>
                <w:sz w:val="20"/>
                <w:szCs w:val="20"/>
                <w:color w:val="auto"/>
              </w:rPr>
            </w:pPr>
            <w:r>
              <w:rPr>
                <w:rFonts w:ascii="Arial" w:cs="Arial" w:eastAsia="Arial" w:hAnsi="Arial"/>
                <w:sz w:val="19"/>
                <w:szCs w:val="19"/>
                <w:b w:val="1"/>
                <w:bCs w:val="1"/>
                <w:color w:val="231F20"/>
              </w:rPr>
              <w:t>(160,805)</w:t>
            </w:r>
          </w:p>
        </w:tc>
        <w:tc>
          <w:tcPr>
            <w:tcW w:w="340" w:type="dxa"/>
            <w:vAlign w:val="bottom"/>
          </w:tcPr>
          <w:p>
            <w:pPr>
              <w:jc w:val="right"/>
              <w:ind w:right="143"/>
              <w:spacing w:after="0"/>
              <w:rPr>
                <w:sz w:val="20"/>
                <w:szCs w:val="20"/>
                <w:color w:val="auto"/>
              </w:rPr>
            </w:pPr>
            <w:r>
              <w:rPr>
                <w:rFonts w:ascii="Arial" w:cs="Arial" w:eastAsia="Arial" w:hAnsi="Arial"/>
                <w:sz w:val="19"/>
                <w:szCs w:val="19"/>
                <w:b w:val="1"/>
                <w:bCs w:val="1"/>
                <w:color w:val="231F20"/>
                <w:w w:val="75"/>
              </w:rPr>
              <w:t>$</w:t>
            </w:r>
          </w:p>
        </w:tc>
        <w:tc>
          <w:tcPr>
            <w:tcW w:w="1300" w:type="dxa"/>
            <w:vAlign w:val="bottom"/>
            <w:gridSpan w:val="2"/>
          </w:tcPr>
          <w:p>
            <w:pPr>
              <w:jc w:val="right"/>
              <w:spacing w:after="0"/>
              <w:rPr>
                <w:sz w:val="20"/>
                <w:szCs w:val="20"/>
                <w:color w:val="auto"/>
              </w:rPr>
            </w:pPr>
            <w:r>
              <w:rPr>
                <w:rFonts w:ascii="Arial" w:cs="Arial" w:eastAsia="Arial" w:hAnsi="Arial"/>
                <w:sz w:val="19"/>
                <w:szCs w:val="19"/>
                <w:b w:val="1"/>
                <w:bCs w:val="1"/>
                <w:color w:val="231F20"/>
              </w:rPr>
              <w:t>(123,482)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3208020</wp:posOffset>
            </wp:positionH>
            <wp:positionV relativeFrom="paragraph">
              <wp:posOffset>-11430</wp:posOffset>
            </wp:positionV>
            <wp:extent cx="3392170" cy="5588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392170" cy="5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left="480" w:right="7960" w:hanging="479"/>
        <w:spacing w:after="0" w:line="442" w:lineRule="auto"/>
        <w:tabs>
          <w:tab w:leader="none" w:pos="374" w:val="left"/>
        </w:tabs>
        <w:numPr>
          <w:ilvl w:val="0"/>
          <w:numId w:val="18"/>
        </w:numPr>
        <w:rPr>
          <w:rFonts w:ascii="Arial" w:cs="Arial" w:eastAsia="Arial" w:hAnsi="Arial"/>
          <w:sz w:val="16"/>
          <w:szCs w:val="16"/>
          <w:b w:val="1"/>
          <w:bCs w:val="1"/>
          <w:color w:val="231F20"/>
        </w:rPr>
      </w:pPr>
      <w:r>
        <w:rPr>
          <w:rFonts w:ascii="Arial" w:cs="Arial" w:eastAsia="Arial" w:hAnsi="Arial"/>
          <w:sz w:val="16"/>
          <w:szCs w:val="16"/>
          <w:b w:val="1"/>
          <w:bCs w:val="1"/>
          <w:color w:val="231F20"/>
        </w:rPr>
        <w:t>SUBSEQUENT EVENTS Appointment of Directors</w:t>
      </w:r>
    </w:p>
    <w:p>
      <w:pPr>
        <w:spacing w:after="0" w:line="1" w:lineRule="exact"/>
        <w:rPr>
          <w:sz w:val="20"/>
          <w:szCs w:val="20"/>
          <w:color w:val="auto"/>
        </w:rPr>
      </w:pPr>
    </w:p>
    <w:p>
      <w:pPr>
        <w:ind w:firstLine="475"/>
        <w:spacing w:after="0" w:line="260" w:lineRule="auto"/>
        <w:rPr>
          <w:sz w:val="20"/>
          <w:szCs w:val="20"/>
          <w:color w:val="auto"/>
        </w:rPr>
      </w:pPr>
      <w:r>
        <w:rPr>
          <w:rFonts w:ascii="Arial" w:cs="Arial" w:eastAsia="Arial" w:hAnsi="Arial"/>
          <w:sz w:val="18"/>
          <w:szCs w:val="18"/>
          <w:b w:val="1"/>
          <w:bCs w:val="1"/>
          <w:color w:val="231F20"/>
        </w:rPr>
        <w:t>On January 18, 2025, the Board appointed Barbara Klencke, M.D. to serve as a Class II director of the Board for a term expiring at the 2025 annual meeting of stockholders, and Chris Takimoto, M.D., Ph.D., F.A.C.P., to serve as a Class III director of the Board, for a term expiring at the 2026 annual meeting of stockholders. The Board also appointed Dr. Klencke to serve as a member of the Audit Committee and newly constituted Research and Development Committee of the Board, and Dr. Takimoto to serve as a member of the Compensation Committee and Research and Development Committee. In connection with the changes to the Board, the Board increased its size to six directors.</w:t>
      </w:r>
    </w:p>
    <w:p>
      <w:pPr>
        <w:spacing w:after="0" w:line="181"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Appointment of Chief Financial Officer</w:t>
      </w:r>
    </w:p>
    <w:p>
      <w:pPr>
        <w:spacing w:after="0" w:line="128" w:lineRule="exact"/>
        <w:rPr>
          <w:sz w:val="20"/>
          <w:szCs w:val="20"/>
          <w:color w:val="auto"/>
        </w:rPr>
      </w:pPr>
    </w:p>
    <w:p>
      <w:pPr>
        <w:ind w:firstLine="475"/>
        <w:spacing w:after="0" w:line="220" w:lineRule="exact"/>
        <w:rPr>
          <w:sz w:val="20"/>
          <w:szCs w:val="20"/>
          <w:color w:val="auto"/>
        </w:rPr>
      </w:pPr>
      <w:r>
        <w:rPr>
          <w:rFonts w:ascii="Arial" w:cs="Arial" w:eastAsia="Arial" w:hAnsi="Arial"/>
          <w:sz w:val="18"/>
          <w:szCs w:val="18"/>
          <w:b w:val="1"/>
          <w:bCs w:val="1"/>
          <w:color w:val="231F20"/>
        </w:rPr>
        <w:t>On January 21, 2025, the Board appointed Harish Shantharam to the office of Chief Financial Officer to replace the Company</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Interim Chief Financial Officer. In the role of Chief Financial Officer, Mr. Shantharam will serve as the Company</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principal financial officer. The interim Chief Financial Officer resigned effective as of the same date and will remain the Company</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Senior Vice President, Finance and Chief Accounting Officer and the principal accounting officer.</w:t>
      </w:r>
    </w:p>
    <w:p>
      <w:pPr>
        <w:spacing w:after="0" w:line="203"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Restructuring</w:t>
      </w:r>
    </w:p>
    <w:p>
      <w:pPr>
        <w:spacing w:after="0" w:line="125" w:lineRule="exact"/>
        <w:rPr>
          <w:sz w:val="20"/>
          <w:szCs w:val="20"/>
          <w:color w:val="auto"/>
        </w:rPr>
      </w:pPr>
    </w:p>
    <w:p>
      <w:pPr>
        <w:ind w:right="20" w:firstLine="475"/>
        <w:spacing w:after="0" w:line="222" w:lineRule="exact"/>
        <w:rPr>
          <w:sz w:val="20"/>
          <w:szCs w:val="20"/>
          <w:color w:val="auto"/>
        </w:rPr>
      </w:pPr>
      <w:r>
        <w:rPr>
          <w:rFonts w:ascii="Arial" w:cs="Arial" w:eastAsia="Arial" w:hAnsi="Arial"/>
          <w:sz w:val="19"/>
          <w:szCs w:val="19"/>
          <w:b w:val="1"/>
          <w:bCs w:val="1"/>
          <w:color w:val="231F20"/>
        </w:rPr>
        <w:t>On February 28, 2025,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Board of Directors approved a reduction in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workforce by approximately 30% of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employees in connection with the Company pipeline prioritization, clinical development and cash preservation strategy. The reduction in workforce is expected to be substantially completed by the end of May 2025. The Company estimates that it will incur expenses of approximately $2.2 million for severance payments and employee benefits in connection with the reduction in force, primarily related to research and preclinical development, with the expenses expected to be recognized in the first quarter of 2025.</w:t>
      </w:r>
    </w:p>
    <w:p>
      <w:pPr>
        <w:sectPr>
          <w:pgSz w:w="12240" w:h="15840" w:orient="portrait"/>
          <w:cols w:equalWidth="0" w:num="1">
            <w:col w:w="10460"/>
          </w:cols>
          <w:pgMar w:left="880" w:top="1165" w:right="900" w:bottom="4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31F20"/>
        </w:rPr>
        <w:t>122</w:t>
      </w:r>
    </w:p>
    <w:p>
      <w:pPr>
        <w:sectPr>
          <w:pgSz w:w="12240" w:h="15840" w:orient="portrait"/>
          <w:cols w:equalWidth="0" w:num="1">
            <w:col w:w="10460"/>
          </w:cols>
          <w:pgMar w:left="880" w:top="1165" w:right="900" w:bottom="401" w:gutter="0" w:footer="0" w:header="0"/>
          <w:type w:val="continuous"/>
        </w:sectPr>
      </w:pPr>
    </w:p>
    <w:bookmarkStart w:id="130" w:name="page131"/>
    <w:bookmarkEnd w:id="130"/>
    <w:p>
      <w:pPr>
        <w:ind w:firstLine="475"/>
        <w:spacing w:after="0" w:line="222" w:lineRule="exact"/>
        <w:rPr>
          <w:sz w:val="20"/>
          <w:szCs w:val="20"/>
          <w:color w:val="auto"/>
        </w:rPr>
      </w:pPr>
      <w:r>
        <w:rPr>
          <w:rFonts w:ascii="Arial" w:cs="Arial" w:eastAsia="Arial" w:hAnsi="Arial"/>
          <w:sz w:val="18"/>
          <w:szCs w:val="18"/>
          <w:b w:val="1"/>
          <w:bCs w:val="1"/>
          <w:color w:val="231F20"/>
        </w:rPr>
        <w:t>The Company</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President and Chief Scientific Officer, or the CSO, position will be eliminated as a result of the reduction in workforce, effective in April 2025. The Company and CSO entered into a severance and change in control agreement dated July 9, 2020 which provides a payment equal to their annual salary and COBRA coverage under the Company</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group health, dental and vision care plans for up to 12 months following the separation date. The CSO also remains eligible to receive certain additional severance and change in control benefits in accordance with the terms of the agreement. To facilitate an orderly transition from his position, the CSO and the Company intend to enter into a consulting agreement in customary form that provides the CSO to perform transition related consulting services for the Company on an as needed, hourly basis for up to one year following their separation date, subject to certain limitations.</w:t>
      </w:r>
    </w:p>
    <w:p>
      <w:pPr>
        <w:sectPr>
          <w:pgSz w:w="12240" w:h="15840" w:orient="portrait"/>
          <w:cols w:equalWidth="0" w:num="1">
            <w:col w:w="10420"/>
          </w:cols>
          <w:pgMar w:left="880" w:top="1165" w:right="940" w:bottom="4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231F20"/>
        </w:rPr>
        <w:t>123</w:t>
      </w:r>
    </w:p>
    <w:p>
      <w:pPr>
        <w:sectPr>
          <w:pgSz w:w="12240" w:h="15840" w:orient="portrait"/>
          <w:cols w:equalWidth="0" w:num="1">
            <w:col w:w="10420"/>
          </w:cols>
          <w:pgMar w:left="880" w:top="1165" w:right="940" w:bottom="401" w:gutter="0" w:footer="0" w:header="0"/>
          <w:type w:val="continuous"/>
        </w:sectPr>
      </w:pPr>
    </w:p>
    <w:bookmarkStart w:id="131" w:name="page132"/>
    <w:bookmarkEnd w:id="131"/>
    <w:p>
      <w:pPr>
        <w:spacing w:after="0"/>
        <w:rPr>
          <w:sz w:val="20"/>
          <w:szCs w:val="20"/>
          <w:color w:val="auto"/>
        </w:rPr>
      </w:pPr>
      <w:r>
        <w:rPr>
          <w:rFonts w:ascii="Arial" w:cs="Arial" w:eastAsia="Arial" w:hAnsi="Arial"/>
          <w:sz w:val="19"/>
          <w:szCs w:val="19"/>
          <w:b w:val="1"/>
          <w:bCs w:val="1"/>
          <w:color w:val="231F20"/>
        </w:rPr>
        <w:t>Item 9. Changes in and Disagreements With Accountants on Accounting and Financial Disclosure.</w:t>
      </w:r>
    </w:p>
    <w:p>
      <w:pPr>
        <w:spacing w:after="0" w:line="122"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None.</w:t>
      </w:r>
    </w:p>
    <w:p>
      <w:pPr>
        <w:spacing w:after="0" w:line="35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9A. Controls and Procedures.</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Evaluation of Disclosure Controls and Procedures</w:t>
      </w:r>
    </w:p>
    <w:p>
      <w:pPr>
        <w:spacing w:after="0" w:line="125" w:lineRule="exact"/>
        <w:rPr>
          <w:sz w:val="20"/>
          <w:szCs w:val="20"/>
          <w:color w:val="auto"/>
        </w:rPr>
      </w:pPr>
    </w:p>
    <w:p>
      <w:pPr>
        <w:ind w:firstLine="475"/>
        <w:spacing w:after="0" w:line="220" w:lineRule="exact"/>
        <w:rPr>
          <w:sz w:val="20"/>
          <w:szCs w:val="20"/>
          <w:color w:val="auto"/>
        </w:rPr>
      </w:pPr>
      <w:r>
        <w:rPr>
          <w:rFonts w:ascii="Arial" w:cs="Arial" w:eastAsia="Arial" w:hAnsi="Arial"/>
          <w:sz w:val="18"/>
          <w:szCs w:val="18"/>
          <w:b w:val="1"/>
          <w:bCs w:val="1"/>
          <w:color w:val="231F20"/>
        </w:rPr>
        <w:t xml:space="preserve">We carried out an evaluation, under the supervision and with the participation of our management, including our Chief Executive Officer and our Chief Financial Officer, of the effectiveness of our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disclosure controls and procedures</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 as of the end of the period covered by this report, pursuant to Rules 13a-15(e) and 15d-15(e) under the Exchange Act.</w:t>
      </w:r>
    </w:p>
    <w:p>
      <w:pPr>
        <w:spacing w:after="0" w:line="129" w:lineRule="exact"/>
        <w:rPr>
          <w:sz w:val="20"/>
          <w:szCs w:val="20"/>
          <w:color w:val="auto"/>
        </w:rPr>
      </w:pPr>
    </w:p>
    <w:p>
      <w:pPr>
        <w:ind w:firstLine="475"/>
        <w:spacing w:after="0" w:line="222" w:lineRule="exact"/>
        <w:rPr>
          <w:sz w:val="20"/>
          <w:szCs w:val="20"/>
          <w:color w:val="auto"/>
        </w:rPr>
      </w:pPr>
      <w:r>
        <w:rPr>
          <w:rFonts w:ascii="Arial" w:cs="Arial" w:eastAsia="Arial" w:hAnsi="Arial"/>
          <w:sz w:val="16"/>
          <w:szCs w:val="16"/>
          <w:b w:val="1"/>
          <w:bCs w:val="1"/>
          <w:color w:val="231F20"/>
        </w:rPr>
        <w:t>In connection with that evaluation, our Chief Executive Officer and our Chief Financial Officer concluded that our disclosure controls and procedures were effective and designed to provide reasonable assurance that the information required to be disclosed is recorded, processed, summarized and reported within the time periods specified in the SEC</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rules and forms as of December 31, 2024. For the purpose of this evaluation, disclosure controls and procedures means controls and procedures designed to ensure that information required to be disclosed by us in the reports that we file or submit is recorded, processed, summarized and reported within the time periods specified in the SEC</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rules and forms. These disclosure controls and procedures include, without limitation, controls and procedures designed to ensure that information required to be disclosed by us in the reports that we file or submit is accumulated and communicated to management, including our Principal Executive Officer, Principal Financial Officer and Principal Accounting Officer, as appropriate to allow timely decisions regarding required disclosure.</w:t>
      </w: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Limitations on the Effectiveness of Controls</w:t>
      </w:r>
    </w:p>
    <w:p>
      <w:pPr>
        <w:spacing w:after="0" w:line="128" w:lineRule="exact"/>
        <w:rPr>
          <w:sz w:val="20"/>
          <w:szCs w:val="20"/>
          <w:color w:val="auto"/>
        </w:rPr>
      </w:pPr>
    </w:p>
    <w:p>
      <w:pPr>
        <w:ind w:right="20" w:firstLine="475"/>
        <w:spacing w:after="0" w:line="296" w:lineRule="auto"/>
        <w:rPr>
          <w:sz w:val="20"/>
          <w:szCs w:val="20"/>
          <w:color w:val="auto"/>
        </w:rPr>
      </w:pPr>
      <w:r>
        <w:rPr>
          <w:rFonts w:ascii="Arial" w:cs="Arial" w:eastAsia="Arial" w:hAnsi="Arial"/>
          <w:sz w:val="16"/>
          <w:szCs w:val="16"/>
          <w:b w:val="1"/>
          <w:bCs w:val="1"/>
          <w:color w:val="231F20"/>
        </w:rPr>
        <w:t>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spacing w:after="0" w:line="231" w:lineRule="exact"/>
        <w:rPr>
          <w:sz w:val="20"/>
          <w:szCs w:val="20"/>
          <w:color w:val="auto"/>
        </w:rPr>
      </w:pPr>
      <w:r>
        <w:rPr>
          <w:rFonts w:ascii="Arial" w:cs="Arial" w:eastAsia="Arial" w:hAnsi="Arial"/>
          <w:sz w:val="19"/>
          <w:szCs w:val="19"/>
          <w:b w:val="1"/>
          <w:bCs w:val="1"/>
          <w:color w:val="231F20"/>
        </w:rPr>
        <w:t>Management</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Report on Internal Control over Financial Reporting</w:t>
      </w:r>
    </w:p>
    <w:p>
      <w:pPr>
        <w:spacing w:after="0" w:line="128" w:lineRule="exact"/>
        <w:rPr>
          <w:sz w:val="20"/>
          <w:szCs w:val="20"/>
          <w:color w:val="auto"/>
        </w:rPr>
      </w:pPr>
    </w:p>
    <w:p>
      <w:pPr>
        <w:ind w:right="40" w:firstLine="475"/>
        <w:spacing w:after="0" w:line="259" w:lineRule="auto"/>
        <w:rPr>
          <w:sz w:val="20"/>
          <w:szCs w:val="20"/>
          <w:color w:val="auto"/>
        </w:rPr>
      </w:pPr>
      <w:r>
        <w:rPr>
          <w:rFonts w:ascii="Arial" w:cs="Arial" w:eastAsia="Arial" w:hAnsi="Arial"/>
          <w:sz w:val="18"/>
          <w:szCs w:val="18"/>
          <w:b w:val="1"/>
          <w:bCs w:val="1"/>
          <w:color w:val="231F20"/>
        </w:rPr>
        <w:t>Our management is responsible for establishing and maintaining adequate internal control over financial reporting, as such term is defined in Exchange Act Rules 13a-15(f) and 15(d)-15(f). Our internal control over financial reporting is a process designed under the supervision of our principal executive and principal financial officers to provide reasonable assurance regarding the reliability of financial reporting and the preparation of our financial statements for external reporting purposes in accordance with U.S. generally accepted accounting principles.</w:t>
      </w:r>
    </w:p>
    <w:p>
      <w:pPr>
        <w:spacing w:after="0" w:line="114" w:lineRule="exact"/>
        <w:rPr>
          <w:sz w:val="20"/>
          <w:szCs w:val="20"/>
          <w:color w:val="auto"/>
        </w:rPr>
      </w:pPr>
    </w:p>
    <w:p>
      <w:pPr>
        <w:ind w:right="340" w:firstLine="475"/>
        <w:spacing w:after="0" w:line="221" w:lineRule="exact"/>
        <w:rPr>
          <w:sz w:val="20"/>
          <w:szCs w:val="20"/>
          <w:color w:val="auto"/>
        </w:rPr>
      </w:pPr>
      <w:r>
        <w:rPr>
          <w:rFonts w:ascii="Arial" w:cs="Arial" w:eastAsia="Arial" w:hAnsi="Arial"/>
          <w:sz w:val="16"/>
          <w:szCs w:val="16"/>
          <w:b w:val="1"/>
          <w:bCs w:val="1"/>
          <w:color w:val="231F20"/>
        </w:rPr>
        <w:t xml:space="preserve">As of the end of our 2024 fiscal year, management conducted an assessment of the effectiveness of our internal control over financial reporting based on the framework established in the original Internal Control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xml:space="preserve"> Integrated Framework issued by the Committee of Sponsoring Organizations of the Treadway Commission (2013 framework) (COSO). Based on this assessment, management has determined that our internal control over financial reporting as of December 31, 2024 was effective.</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Changes in Internal Control over Financial Reporting</w:t>
      </w:r>
    </w:p>
    <w:p>
      <w:pPr>
        <w:spacing w:after="0" w:line="125" w:lineRule="exact"/>
        <w:rPr>
          <w:sz w:val="20"/>
          <w:szCs w:val="20"/>
          <w:color w:val="auto"/>
        </w:rPr>
      </w:pPr>
    </w:p>
    <w:p>
      <w:pPr>
        <w:ind w:right="680" w:firstLine="475"/>
        <w:spacing w:after="0" w:line="295" w:lineRule="auto"/>
        <w:rPr>
          <w:sz w:val="20"/>
          <w:szCs w:val="20"/>
          <w:color w:val="auto"/>
        </w:rPr>
      </w:pPr>
      <w:r>
        <w:rPr>
          <w:rFonts w:ascii="Arial" w:cs="Arial" w:eastAsia="Arial" w:hAnsi="Arial"/>
          <w:sz w:val="17"/>
          <w:szCs w:val="17"/>
          <w:b w:val="1"/>
          <w:bCs w:val="1"/>
          <w:color w:val="231F20"/>
        </w:rPr>
        <w:t>There were no changes in our internal control over financial reporting during the quarter ended December 31, 2024 that materially affected, or are reasonably likely to materially affect, our internal control over financial reporting.</w:t>
      </w:r>
    </w:p>
    <w:p>
      <w:pPr>
        <w:spacing w:after="0" w:line="311"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9B. Other Information.</w:t>
      </w:r>
    </w:p>
    <w:p>
      <w:pPr>
        <w:spacing w:after="0" w:line="125" w:lineRule="exact"/>
        <w:rPr>
          <w:sz w:val="20"/>
          <w:szCs w:val="20"/>
          <w:color w:val="auto"/>
        </w:rPr>
      </w:pPr>
    </w:p>
    <w:p>
      <w:pPr>
        <w:ind w:right="300" w:firstLine="475"/>
        <w:spacing w:after="0" w:line="218" w:lineRule="exact"/>
        <w:rPr>
          <w:sz w:val="20"/>
          <w:szCs w:val="20"/>
          <w:color w:val="auto"/>
        </w:rPr>
      </w:pPr>
      <w:r>
        <w:rPr>
          <w:rFonts w:ascii="Arial" w:cs="Arial" w:eastAsia="Arial" w:hAnsi="Arial"/>
          <w:sz w:val="19"/>
          <w:szCs w:val="19"/>
          <w:b w:val="1"/>
          <w:bCs w:val="1"/>
          <w:color w:val="231F20"/>
        </w:rPr>
        <w:t xml:space="preserve">During our last fiscal quarter, the following director and officer, as defined in Rule 16a-1(f), adopted a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Rule 10b5-1 trading arrangement</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as defined in Regulation S-K Item 408, as follows:</w:t>
      </w:r>
    </w:p>
    <w:p>
      <w:pPr>
        <w:spacing w:after="0" w:line="126" w:lineRule="exact"/>
        <w:rPr>
          <w:sz w:val="20"/>
          <w:szCs w:val="20"/>
          <w:color w:val="auto"/>
        </w:rPr>
      </w:pPr>
    </w:p>
    <w:p>
      <w:pPr>
        <w:ind w:right="520" w:firstLine="475"/>
        <w:spacing w:after="0" w:line="220" w:lineRule="exact"/>
        <w:rPr>
          <w:sz w:val="20"/>
          <w:szCs w:val="20"/>
          <w:color w:val="auto"/>
        </w:rPr>
      </w:pPr>
      <w:r>
        <w:rPr>
          <w:rFonts w:ascii="Arial" w:cs="Arial" w:eastAsia="Arial" w:hAnsi="Arial"/>
          <w:sz w:val="18"/>
          <w:szCs w:val="18"/>
          <w:b w:val="1"/>
          <w:bCs w:val="1"/>
          <w:color w:val="231F20"/>
        </w:rPr>
        <w:t>On October 11, 2024, a Rule 10b5-1 trading arrangement intended to satisfy the affirmative defense of Rule 10b5-1(c), originally adopted on January 11, 2024 by Sophia Randolph, the Company</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former Chief Medical Officer, for the sale of up to 144,000 shares of the Company</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common stock until May 9, 2025, was terminated</w:t>
      </w:r>
    </w:p>
    <w:p>
      <w:pPr>
        <w:spacing w:after="0" w:line="128" w:lineRule="exact"/>
        <w:rPr>
          <w:sz w:val="20"/>
          <w:szCs w:val="20"/>
          <w:color w:val="auto"/>
        </w:rPr>
      </w:pPr>
    </w:p>
    <w:p>
      <w:pPr>
        <w:ind w:right="300" w:firstLine="475"/>
        <w:spacing w:after="0" w:line="220" w:lineRule="exact"/>
        <w:rPr>
          <w:sz w:val="20"/>
          <w:szCs w:val="20"/>
          <w:color w:val="auto"/>
        </w:rPr>
      </w:pPr>
      <w:r>
        <w:rPr>
          <w:rFonts w:ascii="Arial" w:cs="Arial" w:eastAsia="Arial" w:hAnsi="Arial"/>
          <w:sz w:val="18"/>
          <w:szCs w:val="18"/>
          <w:b w:val="1"/>
          <w:bCs w:val="1"/>
          <w:color w:val="231F20"/>
        </w:rPr>
        <w:t>On November 15, 2024, a Rule 10b5-1 trading arrangement intended to satisfy the affirmative defense of Rule 10b5-1(c), originally adopted on October 12, 2023 by Rekha Hemrajani, a member of the Company</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Board of Directors, for the sale of up to 50,000 shares of the Company</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common stock until February 11, 2025, was terminated.</w:t>
      </w:r>
    </w:p>
    <w:p>
      <w:pPr>
        <w:sectPr>
          <w:pgSz w:w="12240" w:h="15840" w:orient="portrait"/>
          <w:cols w:equalWidth="0" w:num="1">
            <w:col w:w="10440"/>
          </w:cols>
          <w:pgMar w:left="880" w:top="1160" w:right="920" w:bottom="401"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231F20"/>
        </w:rPr>
        <w:t>124</w:t>
      </w:r>
    </w:p>
    <w:p>
      <w:pPr>
        <w:sectPr>
          <w:pgSz w:w="12240" w:h="15840" w:orient="portrait"/>
          <w:cols w:equalWidth="0" w:num="1">
            <w:col w:w="10440"/>
          </w:cols>
          <w:pgMar w:left="880" w:top="1160" w:right="920" w:bottom="401" w:gutter="0" w:footer="0" w:header="0"/>
          <w:type w:val="continuous"/>
        </w:sectPr>
      </w:pPr>
    </w:p>
    <w:bookmarkStart w:id="132" w:name="page133"/>
    <w:bookmarkEnd w:id="132"/>
    <w:p>
      <w:pPr>
        <w:ind w:firstLine="475"/>
        <w:spacing w:after="0" w:line="219" w:lineRule="exact"/>
        <w:rPr>
          <w:sz w:val="20"/>
          <w:szCs w:val="20"/>
          <w:color w:val="auto"/>
        </w:rPr>
      </w:pPr>
      <w:r>
        <w:rPr>
          <w:rFonts w:ascii="Arial" w:cs="Arial" w:eastAsia="Arial" w:hAnsi="Arial"/>
          <w:sz w:val="17"/>
          <w:szCs w:val="17"/>
          <w:b w:val="1"/>
          <w:bCs w:val="1"/>
          <w:color w:val="231F20"/>
        </w:rPr>
        <w:t xml:space="preserve">No other officers or directors, as defined in Rule 16a-1(f), adopted and/or terminated a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Rule 10b5-1 trading arrangement</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or a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non-Rule 10b5-1 trading arrangement,</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as defined in Regulation S-K Item 408, during the last fiscal quarter.</w:t>
      </w:r>
    </w:p>
    <w:p>
      <w:pPr>
        <w:spacing w:after="0" w:line="356"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9C. Disclosure Regarding Foreign Jurisdictions that Prevent Inspections.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Not Applicable.</w:t>
      </w:r>
    </w:p>
    <w:p>
      <w:pPr>
        <w:sectPr>
          <w:pgSz w:w="12240" w:h="15840" w:orient="portrait"/>
          <w:cols w:equalWidth="0" w:num="1">
            <w:col w:w="10340"/>
          </w:cols>
          <w:pgMar w:left="880" w:top="1165" w:right="1020" w:bottom="4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231F20"/>
        </w:rPr>
        <w:t>125</w:t>
      </w:r>
    </w:p>
    <w:p>
      <w:pPr>
        <w:sectPr>
          <w:pgSz w:w="12240" w:h="15840" w:orient="portrait"/>
          <w:cols w:equalWidth="0" w:num="1">
            <w:col w:w="10340"/>
          </w:cols>
          <w:pgMar w:left="880" w:top="1165" w:right="1020" w:bottom="401" w:gutter="0" w:footer="0" w:header="0"/>
          <w:type w:val="continuous"/>
        </w:sectPr>
      </w:pPr>
    </w:p>
    <w:bookmarkStart w:id="133" w:name="page134"/>
    <w:bookmarkEnd w:id="133"/>
    <w:p>
      <w:pPr>
        <w:jc w:val="center"/>
        <w:ind w:right="-59"/>
        <w:spacing w:after="0"/>
        <w:rPr>
          <w:sz w:val="20"/>
          <w:szCs w:val="20"/>
          <w:color w:val="auto"/>
        </w:rPr>
      </w:pPr>
      <w:r>
        <w:rPr>
          <w:rFonts w:ascii="Arial" w:cs="Arial" w:eastAsia="Arial" w:hAnsi="Arial"/>
          <w:sz w:val="19"/>
          <w:szCs w:val="19"/>
          <w:b w:val="1"/>
          <w:bCs w:val="1"/>
          <w:color w:val="231F20"/>
        </w:rPr>
        <w:t>PART III</w:t>
      </w:r>
    </w:p>
    <w:p>
      <w:pPr>
        <w:spacing w:after="0" w:line="243" w:lineRule="exact"/>
        <w:rPr>
          <w:sz w:val="20"/>
          <w:szCs w:val="20"/>
          <w:color w:val="auto"/>
        </w:rPr>
      </w:pPr>
    </w:p>
    <w:p>
      <w:pPr>
        <w:ind w:firstLine="475"/>
        <w:spacing w:after="0" w:line="220" w:lineRule="exact"/>
        <w:rPr>
          <w:sz w:val="20"/>
          <w:szCs w:val="20"/>
          <w:color w:val="auto"/>
        </w:rPr>
      </w:pPr>
      <w:r>
        <w:rPr>
          <w:rFonts w:ascii="Arial" w:cs="Arial" w:eastAsia="Arial" w:hAnsi="Arial"/>
          <w:sz w:val="16"/>
          <w:szCs w:val="16"/>
          <w:b w:val="1"/>
          <w:bCs w:val="1"/>
          <w:color w:val="231F20"/>
        </w:rPr>
        <w:t xml:space="preserve">Certain information required by Part III is omitted from this Annual Report on Form 10-K and is incorporated herein by reference to our definitive Proxy Statement for our next Annual Meeting of Stockholders (the </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Proxy Statement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 which we intend to file pursuant to Regulation 14A of the Securities Exchange Act of 1934, as amended, within 120 days after December 31, 2024.</w:t>
      </w:r>
    </w:p>
    <w:p>
      <w:pPr>
        <w:spacing w:after="0" w:line="357"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10. Directors, Executive Officers and Corporate Governance.</w:t>
      </w:r>
    </w:p>
    <w:p>
      <w:pPr>
        <w:spacing w:after="0" w:line="125" w:lineRule="exact"/>
        <w:rPr>
          <w:sz w:val="20"/>
          <w:szCs w:val="20"/>
          <w:color w:val="auto"/>
        </w:rPr>
      </w:pPr>
    </w:p>
    <w:p>
      <w:pPr>
        <w:ind w:right="120" w:firstLine="475"/>
        <w:spacing w:after="0" w:line="266" w:lineRule="auto"/>
        <w:rPr>
          <w:sz w:val="20"/>
          <w:szCs w:val="20"/>
          <w:color w:val="auto"/>
        </w:rPr>
      </w:pPr>
      <w:r>
        <w:rPr>
          <w:rFonts w:ascii="Arial" w:cs="Arial" w:eastAsia="Arial" w:hAnsi="Arial"/>
          <w:sz w:val="18"/>
          <w:szCs w:val="18"/>
          <w:b w:val="1"/>
          <w:bCs w:val="1"/>
          <w:color w:val="231F20"/>
        </w:rPr>
        <w:t>The information required by this Item concerning our directors, executive officers, corporate governance, Section 16 reporting compliance and code of business conduct and ethics is incorporated by reference to the Proxy Statement.</w:t>
      </w: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11. Executive Compensation.</w:t>
      </w:r>
    </w:p>
    <w:p>
      <w:pPr>
        <w:spacing w:after="0" w:line="125"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231F20"/>
        </w:rPr>
        <w:t>The information required by this Item regarding executive compensation is incorporated by reference to the Proxy Statement.</w:t>
      </w:r>
    </w:p>
    <w:p>
      <w:pPr>
        <w:spacing w:after="0" w:line="382"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12. Security Ownership of Certain Beneficial Owners and Management and Related Stockholder Matters.</w:t>
      </w:r>
    </w:p>
    <w:p>
      <w:pPr>
        <w:spacing w:after="0" w:line="128" w:lineRule="exact"/>
        <w:rPr>
          <w:sz w:val="20"/>
          <w:szCs w:val="20"/>
          <w:color w:val="auto"/>
        </w:rPr>
      </w:pPr>
    </w:p>
    <w:p>
      <w:pPr>
        <w:ind w:right="200" w:firstLine="475"/>
        <w:spacing w:after="0" w:line="239" w:lineRule="auto"/>
        <w:rPr>
          <w:sz w:val="20"/>
          <w:szCs w:val="20"/>
          <w:color w:val="auto"/>
        </w:rPr>
      </w:pPr>
      <w:r>
        <w:rPr>
          <w:rFonts w:ascii="Arial" w:cs="Arial" w:eastAsia="Arial" w:hAnsi="Arial"/>
          <w:sz w:val="19"/>
          <w:szCs w:val="19"/>
          <w:b w:val="1"/>
          <w:bCs w:val="1"/>
          <w:color w:val="231F20"/>
        </w:rPr>
        <w:t>The information required by this Item regarding security ownership of certain beneficial owners and management and related stockholder matters is incorporated by reference to the Proxy Statement.</w:t>
      </w:r>
    </w:p>
    <w:p>
      <w:pPr>
        <w:spacing w:after="0" w:line="35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13. Certain Relationships and Related Transactions, and Director Independence.</w:t>
      </w:r>
    </w:p>
    <w:p>
      <w:pPr>
        <w:spacing w:after="0" w:line="128" w:lineRule="exact"/>
        <w:rPr>
          <w:sz w:val="20"/>
          <w:szCs w:val="20"/>
          <w:color w:val="auto"/>
        </w:rPr>
      </w:pPr>
    </w:p>
    <w:p>
      <w:pPr>
        <w:ind w:firstLine="475"/>
        <w:spacing w:after="0" w:line="239" w:lineRule="auto"/>
        <w:rPr>
          <w:sz w:val="20"/>
          <w:szCs w:val="20"/>
          <w:color w:val="auto"/>
        </w:rPr>
      </w:pPr>
      <w:r>
        <w:rPr>
          <w:rFonts w:ascii="Arial" w:cs="Arial" w:eastAsia="Arial" w:hAnsi="Arial"/>
          <w:sz w:val="19"/>
          <w:szCs w:val="19"/>
          <w:b w:val="1"/>
          <w:bCs w:val="1"/>
          <w:color w:val="231F20"/>
        </w:rPr>
        <w:t>The information required by this Item regarding certain relationships and related party transactions and director independence is incorporated by reference to the Proxy Statement.</w:t>
      </w:r>
    </w:p>
    <w:p>
      <w:pPr>
        <w:spacing w:after="0" w:line="35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14. Principal Accounting Fees and Services.</w:t>
      </w:r>
    </w:p>
    <w:p>
      <w:pPr>
        <w:spacing w:after="0" w:line="122"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Our independent registered public accounting firm is KPMG LLP, Auditor Firm ID: 185.</w:t>
      </w:r>
    </w:p>
    <w:p>
      <w:pPr>
        <w:spacing w:after="0" w:line="125" w:lineRule="exact"/>
        <w:rPr>
          <w:sz w:val="20"/>
          <w:szCs w:val="20"/>
          <w:color w:val="auto"/>
        </w:rPr>
      </w:pPr>
    </w:p>
    <w:p>
      <w:pPr>
        <w:ind w:firstLine="475"/>
        <w:spacing w:after="0" w:line="239" w:lineRule="auto"/>
        <w:rPr>
          <w:sz w:val="20"/>
          <w:szCs w:val="20"/>
          <w:color w:val="auto"/>
        </w:rPr>
      </w:pPr>
      <w:r>
        <w:rPr>
          <w:rFonts w:ascii="Arial" w:cs="Arial" w:eastAsia="Arial" w:hAnsi="Arial"/>
          <w:sz w:val="19"/>
          <w:szCs w:val="19"/>
          <w:b w:val="1"/>
          <w:bCs w:val="1"/>
          <w:color w:val="231F20"/>
        </w:rPr>
        <w:t>The information required by this Item regarding principal accountant fees and services is incorporated by reference to the Proxy Statement.</w:t>
      </w:r>
    </w:p>
    <w:p>
      <w:pPr>
        <w:sectPr>
          <w:pgSz w:w="12240" w:h="15840" w:orient="portrait"/>
          <w:cols w:equalWidth="0" w:num="1">
            <w:col w:w="10420"/>
          </w:cols>
          <w:pgMar w:left="880" w:top="1160" w:right="940" w:bottom="4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231F20"/>
        </w:rPr>
        <w:t>126</w:t>
      </w:r>
    </w:p>
    <w:p>
      <w:pPr>
        <w:sectPr>
          <w:pgSz w:w="12240" w:h="15840" w:orient="portrait"/>
          <w:cols w:equalWidth="0" w:num="1">
            <w:col w:w="10420"/>
          </w:cols>
          <w:pgMar w:left="880" w:top="1160" w:right="940" w:bottom="401" w:gutter="0" w:footer="0" w:header="0"/>
          <w:type w:val="continuous"/>
        </w:sectPr>
      </w:pPr>
    </w:p>
    <w:bookmarkStart w:id="134" w:name="page135"/>
    <w:bookmarkEnd w:id="134"/>
    <w:p>
      <w:pPr>
        <w:jc w:val="center"/>
        <w:spacing w:after="0"/>
        <w:rPr>
          <w:sz w:val="20"/>
          <w:szCs w:val="20"/>
          <w:color w:val="auto"/>
        </w:rPr>
      </w:pPr>
      <w:r>
        <w:rPr>
          <w:rFonts w:ascii="Arial" w:cs="Arial" w:eastAsia="Arial" w:hAnsi="Arial"/>
          <w:sz w:val="19"/>
          <w:szCs w:val="19"/>
          <w:b w:val="1"/>
          <w:bCs w:val="1"/>
          <w:color w:val="231F20"/>
        </w:rPr>
        <w:t>PART IV</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15. Exhibits, Financial Statement Schedules.</w:t>
      </w:r>
    </w:p>
    <w:p>
      <w:pPr>
        <w:spacing w:after="0" w:line="122" w:lineRule="exact"/>
        <w:rPr>
          <w:sz w:val="20"/>
          <w:szCs w:val="20"/>
          <w:color w:val="auto"/>
        </w:rPr>
      </w:pPr>
    </w:p>
    <w:p>
      <w:pPr>
        <w:ind w:left="960" w:hanging="484"/>
        <w:spacing w:after="0"/>
        <w:tabs>
          <w:tab w:leader="none" w:pos="960" w:val="left"/>
        </w:tabs>
        <w:numPr>
          <w:ilvl w:val="0"/>
          <w:numId w:val="19"/>
        </w:numPr>
        <w:rPr>
          <w:rFonts w:ascii="Arial" w:cs="Arial" w:eastAsia="Arial" w:hAnsi="Arial"/>
          <w:sz w:val="19"/>
          <w:szCs w:val="19"/>
          <w:b w:val="1"/>
          <w:bCs w:val="1"/>
          <w:color w:val="231F20"/>
        </w:rPr>
      </w:pPr>
      <w:r>
        <w:rPr>
          <w:rFonts w:ascii="Arial" w:cs="Arial" w:eastAsia="Arial" w:hAnsi="Arial"/>
          <w:sz w:val="19"/>
          <w:szCs w:val="19"/>
          <w:b w:val="1"/>
          <w:bCs w:val="1"/>
          <w:color w:val="231F20"/>
        </w:rPr>
        <w:t>The following documents are filed as part of this Annual Report on Form 10-K:</w:t>
      </w:r>
    </w:p>
    <w:p>
      <w:pPr>
        <w:spacing w:after="0" w:line="158" w:lineRule="exact"/>
        <w:rPr>
          <w:sz w:val="20"/>
          <w:szCs w:val="20"/>
          <w:color w:val="auto"/>
        </w:rPr>
      </w:pPr>
    </w:p>
    <w:p>
      <w:pPr>
        <w:ind w:left="1420" w:hanging="469"/>
        <w:spacing w:after="0"/>
        <w:tabs>
          <w:tab w:leader="none" w:pos="1420" w:val="left"/>
        </w:tabs>
        <w:numPr>
          <w:ilvl w:val="0"/>
          <w:numId w:val="20"/>
        </w:numPr>
        <w:rPr>
          <w:rFonts w:ascii="Arial" w:cs="Arial" w:eastAsia="Arial" w:hAnsi="Arial"/>
          <w:sz w:val="19"/>
          <w:szCs w:val="19"/>
          <w:b w:val="1"/>
          <w:bCs w:val="1"/>
          <w:color w:val="231F20"/>
        </w:rPr>
      </w:pPr>
      <w:r>
        <w:rPr>
          <w:rFonts w:ascii="Arial" w:cs="Arial" w:eastAsia="Arial" w:hAnsi="Arial"/>
          <w:sz w:val="19"/>
          <w:szCs w:val="19"/>
          <w:b w:val="1"/>
          <w:bCs w:val="1"/>
          <w:color w:val="231F20"/>
        </w:rPr>
        <w:t>Financial Statements</w:t>
      </w:r>
    </w:p>
    <w:p>
      <w:pPr>
        <w:spacing w:after="0" w:line="128" w:lineRule="exact"/>
        <w:rPr>
          <w:sz w:val="20"/>
          <w:szCs w:val="20"/>
          <w:color w:val="auto"/>
        </w:rPr>
      </w:pPr>
    </w:p>
    <w:p>
      <w:pPr>
        <w:ind w:left="960"/>
        <w:spacing w:after="0" w:line="218" w:lineRule="exact"/>
        <w:rPr>
          <w:sz w:val="20"/>
          <w:szCs w:val="20"/>
          <w:color w:val="auto"/>
        </w:rPr>
      </w:pPr>
      <w:r>
        <w:rPr>
          <w:rFonts w:ascii="Arial" w:cs="Arial" w:eastAsia="Arial" w:hAnsi="Arial"/>
          <w:sz w:val="19"/>
          <w:szCs w:val="19"/>
          <w:b w:val="1"/>
          <w:bCs w:val="1"/>
          <w:color w:val="231F20"/>
        </w:rPr>
        <w:t xml:space="preserve">The financial statements filed as part of this Annual Report on Form 10-K are listed in the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Index to Financial Statements</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under Part II, Item 8 of this Annual Report on Form 10-K.</w:t>
      </w:r>
    </w:p>
    <w:p>
      <w:pPr>
        <w:spacing w:after="0" w:line="159" w:lineRule="exact"/>
        <w:rPr>
          <w:sz w:val="20"/>
          <w:szCs w:val="20"/>
          <w:color w:val="auto"/>
        </w:rPr>
      </w:pPr>
    </w:p>
    <w:p>
      <w:pPr>
        <w:ind w:left="1420" w:hanging="469"/>
        <w:spacing w:after="0"/>
        <w:tabs>
          <w:tab w:leader="none" w:pos="1420" w:val="left"/>
        </w:tabs>
        <w:numPr>
          <w:ilvl w:val="0"/>
          <w:numId w:val="21"/>
        </w:numPr>
        <w:rPr>
          <w:rFonts w:ascii="Arial" w:cs="Arial" w:eastAsia="Arial" w:hAnsi="Arial"/>
          <w:sz w:val="19"/>
          <w:szCs w:val="19"/>
          <w:b w:val="1"/>
          <w:bCs w:val="1"/>
          <w:color w:val="231F20"/>
        </w:rPr>
      </w:pPr>
      <w:r>
        <w:rPr>
          <w:rFonts w:ascii="Arial" w:cs="Arial" w:eastAsia="Arial" w:hAnsi="Arial"/>
          <w:sz w:val="19"/>
          <w:szCs w:val="19"/>
          <w:b w:val="1"/>
          <w:bCs w:val="1"/>
          <w:color w:val="231F20"/>
        </w:rPr>
        <w:t>Financial Statement Schedules</w:t>
      </w:r>
    </w:p>
    <w:p>
      <w:pPr>
        <w:spacing w:after="0" w:line="128" w:lineRule="exact"/>
        <w:rPr>
          <w:sz w:val="20"/>
          <w:szCs w:val="20"/>
          <w:color w:val="auto"/>
        </w:rPr>
      </w:pPr>
    </w:p>
    <w:p>
      <w:pPr>
        <w:ind w:left="960" w:right="460"/>
        <w:spacing w:after="0" w:line="329" w:lineRule="auto"/>
        <w:rPr>
          <w:sz w:val="20"/>
          <w:szCs w:val="20"/>
          <w:color w:val="auto"/>
        </w:rPr>
      </w:pPr>
      <w:r>
        <w:rPr>
          <w:rFonts w:ascii="Arial" w:cs="Arial" w:eastAsia="Arial" w:hAnsi="Arial"/>
          <w:sz w:val="16"/>
          <w:szCs w:val="16"/>
          <w:b w:val="1"/>
          <w:bCs w:val="1"/>
          <w:color w:val="231F20"/>
        </w:rPr>
        <w:t>Financial statement schedules have been omitted as the information required is not applicable or the information is presented in the financial statements or related notes included in Part II, Item 8 of this Annual Report on Form 10-K.</w:t>
      </w:r>
    </w:p>
    <w:p>
      <w:pPr>
        <w:spacing w:after="0" w:line="90" w:lineRule="exact"/>
        <w:rPr>
          <w:sz w:val="20"/>
          <w:szCs w:val="20"/>
          <w:color w:val="auto"/>
        </w:rPr>
      </w:pPr>
    </w:p>
    <w:p>
      <w:pPr>
        <w:ind w:left="1420" w:hanging="469"/>
        <w:spacing w:after="0"/>
        <w:tabs>
          <w:tab w:leader="none" w:pos="1420" w:val="left"/>
        </w:tabs>
        <w:numPr>
          <w:ilvl w:val="0"/>
          <w:numId w:val="22"/>
        </w:numPr>
        <w:rPr>
          <w:rFonts w:ascii="Arial" w:cs="Arial" w:eastAsia="Arial" w:hAnsi="Arial"/>
          <w:sz w:val="19"/>
          <w:szCs w:val="19"/>
          <w:b w:val="1"/>
          <w:bCs w:val="1"/>
          <w:color w:val="231F20"/>
        </w:rPr>
      </w:pPr>
      <w:r>
        <w:rPr>
          <w:rFonts w:ascii="Arial" w:cs="Arial" w:eastAsia="Arial" w:hAnsi="Arial"/>
          <w:sz w:val="19"/>
          <w:szCs w:val="19"/>
          <w:b w:val="1"/>
          <w:bCs w:val="1"/>
          <w:color w:val="231F20"/>
        </w:rPr>
        <w:t>Exhibits</w:t>
      </w:r>
    </w:p>
    <w:p>
      <w:pPr>
        <w:spacing w:after="0" w:line="128" w:lineRule="exact"/>
        <w:rPr>
          <w:sz w:val="20"/>
          <w:szCs w:val="20"/>
          <w:color w:val="auto"/>
        </w:rPr>
      </w:pPr>
    </w:p>
    <w:p>
      <w:pPr>
        <w:ind w:left="960" w:right="60" w:hanging="11"/>
        <w:spacing w:after="0" w:line="239" w:lineRule="auto"/>
        <w:rPr>
          <w:sz w:val="20"/>
          <w:szCs w:val="20"/>
          <w:color w:val="auto"/>
        </w:rPr>
      </w:pPr>
      <w:r>
        <w:rPr>
          <w:rFonts w:ascii="Arial" w:cs="Arial" w:eastAsia="Arial" w:hAnsi="Arial"/>
          <w:sz w:val="19"/>
          <w:szCs w:val="19"/>
          <w:b w:val="1"/>
          <w:bCs w:val="1"/>
          <w:color w:val="231F20"/>
        </w:rPr>
        <w:t>The exhibits listed below are filed as part of this Annual Report on Form 10-K, or are incorporated herein by reference, in each case as indicated below.</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Exhibit Index</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231F20"/>
            </w:tcBorders>
          </w:tcPr>
          <w:p>
            <w:pPr>
              <w:spacing w:after="0"/>
              <w:rPr>
                <w:sz w:val="16"/>
                <w:szCs w:val="16"/>
                <w:color w:val="auto"/>
              </w:rPr>
            </w:pPr>
          </w:p>
        </w:tc>
        <w:tc>
          <w:tcPr>
            <w:tcW w:w="120" w:type="dxa"/>
            <w:vAlign w:val="bottom"/>
            <w:tcBorders>
              <w:bottom w:val="single" w:sz="8" w:color="231F20"/>
            </w:tcBorders>
          </w:tcPr>
          <w:p>
            <w:pPr>
              <w:spacing w:after="0"/>
              <w:rPr>
                <w:sz w:val="16"/>
                <w:szCs w:val="16"/>
                <w:color w:val="auto"/>
              </w:rPr>
            </w:pPr>
          </w:p>
        </w:tc>
        <w:tc>
          <w:tcPr>
            <w:tcW w:w="3680" w:type="dxa"/>
            <w:vAlign w:val="bottom"/>
            <w:tcBorders>
              <w:bottom w:val="single" w:sz="8" w:color="231F20"/>
            </w:tcBorders>
            <w:gridSpan w:val="5"/>
          </w:tcPr>
          <w:p>
            <w:pPr>
              <w:ind w:left="120"/>
              <w:spacing w:after="0"/>
              <w:rPr>
                <w:sz w:val="20"/>
                <w:szCs w:val="20"/>
                <w:color w:val="auto"/>
              </w:rPr>
            </w:pPr>
            <w:r>
              <w:rPr>
                <w:rFonts w:ascii="Arial" w:cs="Arial" w:eastAsia="Arial" w:hAnsi="Arial"/>
                <w:sz w:val="16"/>
                <w:szCs w:val="16"/>
                <w:b w:val="1"/>
                <w:bCs w:val="1"/>
                <w:color w:val="231F20"/>
              </w:rPr>
              <w:t>INCORPORATED BY REFERENCE</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67"/>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line="167" w:lineRule="exact"/>
              <w:rPr>
                <w:sz w:val="20"/>
                <w:szCs w:val="20"/>
                <w:color w:val="auto"/>
              </w:rPr>
            </w:pPr>
            <w:r>
              <w:rPr>
                <w:rFonts w:ascii="Arial" w:cs="Arial" w:eastAsia="Arial" w:hAnsi="Arial"/>
                <w:sz w:val="16"/>
                <w:szCs w:val="16"/>
                <w:b w:val="1"/>
                <w:bCs w:val="1"/>
                <w:color w:val="231F20"/>
              </w:rPr>
              <w:t>FILING</w:t>
            </w:r>
          </w:p>
        </w:tc>
        <w:tc>
          <w:tcPr>
            <w:tcW w:w="100" w:type="dxa"/>
            <w:vAlign w:val="bottom"/>
          </w:tcPr>
          <w:p>
            <w:pPr>
              <w:spacing w:after="0"/>
              <w:rPr>
                <w:sz w:val="14"/>
                <w:szCs w:val="14"/>
                <w:color w:val="auto"/>
              </w:rPr>
            </w:pPr>
          </w:p>
        </w:tc>
        <w:tc>
          <w:tcPr>
            <w:tcW w:w="1040" w:type="dxa"/>
            <w:vAlign w:val="bottom"/>
          </w:tcPr>
          <w:p>
            <w:pPr>
              <w:jc w:val="center"/>
              <w:spacing w:after="0" w:line="167" w:lineRule="exact"/>
              <w:rPr>
                <w:sz w:val="20"/>
                <w:szCs w:val="20"/>
                <w:color w:val="auto"/>
              </w:rPr>
            </w:pPr>
            <w:r>
              <w:rPr>
                <w:rFonts w:ascii="Arial" w:cs="Arial" w:eastAsia="Arial" w:hAnsi="Arial"/>
                <w:sz w:val="16"/>
                <w:szCs w:val="16"/>
                <w:b w:val="1"/>
                <w:bCs w:val="1"/>
                <w:color w:val="231F20"/>
              </w:rPr>
              <w:t>FILED</w:t>
            </w:r>
          </w:p>
        </w:tc>
      </w:tr>
      <w:tr>
        <w:trPr>
          <w:trHeight w:val="178"/>
        </w:trPr>
        <w:tc>
          <w:tcPr>
            <w:tcW w:w="980" w:type="dxa"/>
            <w:vAlign w:val="bottom"/>
            <w:tcBorders>
              <w:bottom w:val="single" w:sz="8" w:color="231F20"/>
            </w:tcBorders>
          </w:tcPr>
          <w:p>
            <w:pPr>
              <w:ind w:left="140"/>
              <w:spacing w:after="0" w:line="178" w:lineRule="exact"/>
              <w:rPr>
                <w:sz w:val="20"/>
                <w:szCs w:val="20"/>
                <w:color w:val="auto"/>
              </w:rPr>
            </w:pPr>
            <w:r>
              <w:rPr>
                <w:rFonts w:ascii="Arial" w:cs="Arial" w:eastAsia="Arial" w:hAnsi="Arial"/>
                <w:sz w:val="16"/>
                <w:szCs w:val="16"/>
                <w:b w:val="1"/>
                <w:bCs w:val="1"/>
                <w:color w:val="231F20"/>
              </w:rPr>
              <w:t>NUMBER</w:t>
            </w:r>
          </w:p>
        </w:tc>
        <w:tc>
          <w:tcPr>
            <w:tcW w:w="100" w:type="dxa"/>
            <w:vAlign w:val="bottom"/>
          </w:tcPr>
          <w:p>
            <w:pPr>
              <w:spacing w:after="0"/>
              <w:rPr>
                <w:sz w:val="15"/>
                <w:szCs w:val="15"/>
                <w:color w:val="auto"/>
              </w:rPr>
            </w:pPr>
          </w:p>
        </w:tc>
        <w:tc>
          <w:tcPr>
            <w:tcW w:w="3560" w:type="dxa"/>
            <w:vAlign w:val="bottom"/>
            <w:tcBorders>
              <w:bottom w:val="single" w:sz="8" w:color="231F20"/>
            </w:tcBorders>
          </w:tcPr>
          <w:p>
            <w:pPr>
              <w:ind w:left="1200"/>
              <w:spacing w:after="0" w:line="178" w:lineRule="exact"/>
              <w:rPr>
                <w:sz w:val="20"/>
                <w:szCs w:val="20"/>
                <w:color w:val="auto"/>
              </w:rPr>
            </w:pPr>
            <w:r>
              <w:rPr>
                <w:rFonts w:ascii="Arial" w:cs="Arial" w:eastAsia="Arial" w:hAnsi="Arial"/>
                <w:sz w:val="16"/>
                <w:szCs w:val="16"/>
                <w:b w:val="1"/>
                <w:bCs w:val="1"/>
                <w:color w:val="231F20"/>
              </w:rPr>
              <w:t>EXHIBIT TITLE</w:t>
            </w:r>
          </w:p>
        </w:tc>
        <w:tc>
          <w:tcPr>
            <w:tcW w:w="120" w:type="dxa"/>
            <w:vAlign w:val="bottom"/>
          </w:tcPr>
          <w:p>
            <w:pPr>
              <w:spacing w:after="0"/>
              <w:rPr>
                <w:sz w:val="15"/>
                <w:szCs w:val="15"/>
                <w:color w:val="auto"/>
              </w:rPr>
            </w:pPr>
          </w:p>
        </w:tc>
        <w:tc>
          <w:tcPr>
            <w:tcW w:w="780" w:type="dxa"/>
            <w:vAlign w:val="bottom"/>
            <w:tcBorders>
              <w:bottom w:val="single" w:sz="8" w:color="231F20"/>
            </w:tcBorders>
          </w:tcPr>
          <w:p>
            <w:pPr>
              <w:jc w:val="center"/>
              <w:spacing w:after="0" w:line="178" w:lineRule="exact"/>
              <w:rPr>
                <w:sz w:val="20"/>
                <w:szCs w:val="20"/>
                <w:color w:val="auto"/>
              </w:rPr>
            </w:pPr>
            <w:r>
              <w:rPr>
                <w:rFonts w:ascii="Arial" w:cs="Arial" w:eastAsia="Arial" w:hAnsi="Arial"/>
                <w:sz w:val="16"/>
                <w:szCs w:val="16"/>
                <w:b w:val="1"/>
                <w:bCs w:val="1"/>
                <w:color w:val="231F20"/>
                <w:w w:val="97"/>
              </w:rPr>
              <w:t>FORM</w:t>
            </w:r>
          </w:p>
        </w:tc>
        <w:tc>
          <w:tcPr>
            <w:tcW w:w="120" w:type="dxa"/>
            <w:vAlign w:val="bottom"/>
          </w:tcPr>
          <w:p>
            <w:pPr>
              <w:spacing w:after="0"/>
              <w:rPr>
                <w:sz w:val="15"/>
                <w:szCs w:val="15"/>
                <w:color w:val="auto"/>
              </w:rPr>
            </w:pPr>
          </w:p>
        </w:tc>
        <w:tc>
          <w:tcPr>
            <w:tcW w:w="1160" w:type="dxa"/>
            <w:vAlign w:val="bottom"/>
            <w:tcBorders>
              <w:bottom w:val="single" w:sz="8" w:color="231F20"/>
            </w:tcBorders>
          </w:tcPr>
          <w:p>
            <w:pPr>
              <w:ind w:left="240"/>
              <w:spacing w:after="0" w:line="178" w:lineRule="exact"/>
              <w:rPr>
                <w:sz w:val="20"/>
                <w:szCs w:val="20"/>
                <w:color w:val="auto"/>
              </w:rPr>
            </w:pPr>
            <w:r>
              <w:rPr>
                <w:rFonts w:ascii="Arial" w:cs="Arial" w:eastAsia="Arial" w:hAnsi="Arial"/>
                <w:sz w:val="16"/>
                <w:szCs w:val="16"/>
                <w:b w:val="1"/>
                <w:bCs w:val="1"/>
                <w:color w:val="231F20"/>
              </w:rPr>
              <w:t>FILE NO.</w:t>
            </w:r>
          </w:p>
        </w:tc>
        <w:tc>
          <w:tcPr>
            <w:tcW w:w="100" w:type="dxa"/>
            <w:vAlign w:val="bottom"/>
          </w:tcPr>
          <w:p>
            <w:pPr>
              <w:spacing w:after="0"/>
              <w:rPr>
                <w:sz w:val="15"/>
                <w:szCs w:val="15"/>
                <w:color w:val="auto"/>
              </w:rPr>
            </w:pPr>
          </w:p>
        </w:tc>
        <w:tc>
          <w:tcPr>
            <w:tcW w:w="840" w:type="dxa"/>
            <w:vAlign w:val="bottom"/>
            <w:tcBorders>
              <w:bottom w:val="single" w:sz="8" w:color="231F20"/>
            </w:tcBorders>
          </w:tcPr>
          <w:p>
            <w:pPr>
              <w:ind w:left="80"/>
              <w:spacing w:after="0" w:line="178" w:lineRule="exact"/>
              <w:rPr>
                <w:sz w:val="20"/>
                <w:szCs w:val="20"/>
                <w:color w:val="auto"/>
              </w:rPr>
            </w:pPr>
            <w:r>
              <w:rPr>
                <w:rFonts w:ascii="Arial" w:cs="Arial" w:eastAsia="Arial" w:hAnsi="Arial"/>
                <w:sz w:val="16"/>
                <w:szCs w:val="16"/>
                <w:b w:val="1"/>
                <w:bCs w:val="1"/>
                <w:color w:val="231F20"/>
              </w:rPr>
              <w:t>EXHIBIT</w:t>
            </w:r>
          </w:p>
        </w:tc>
        <w:tc>
          <w:tcPr>
            <w:tcW w:w="100" w:type="dxa"/>
            <w:vAlign w:val="bottom"/>
          </w:tcPr>
          <w:p>
            <w:pPr>
              <w:spacing w:after="0"/>
              <w:rPr>
                <w:sz w:val="15"/>
                <w:szCs w:val="15"/>
                <w:color w:val="auto"/>
              </w:rPr>
            </w:pPr>
          </w:p>
        </w:tc>
        <w:tc>
          <w:tcPr>
            <w:tcW w:w="1480" w:type="dxa"/>
            <w:vAlign w:val="bottom"/>
            <w:tcBorders>
              <w:bottom w:val="single" w:sz="8" w:color="231F20"/>
            </w:tcBorders>
          </w:tcPr>
          <w:p>
            <w:pPr>
              <w:jc w:val="center"/>
              <w:spacing w:after="0" w:line="178" w:lineRule="exact"/>
              <w:rPr>
                <w:sz w:val="20"/>
                <w:szCs w:val="20"/>
                <w:color w:val="auto"/>
              </w:rPr>
            </w:pPr>
            <w:r>
              <w:rPr>
                <w:rFonts w:ascii="Arial" w:cs="Arial" w:eastAsia="Arial" w:hAnsi="Arial"/>
                <w:sz w:val="16"/>
                <w:szCs w:val="16"/>
                <w:b w:val="1"/>
                <w:bCs w:val="1"/>
                <w:color w:val="231F20"/>
              </w:rPr>
              <w:t>DATE</w:t>
            </w:r>
          </w:p>
        </w:tc>
        <w:tc>
          <w:tcPr>
            <w:tcW w:w="100" w:type="dxa"/>
            <w:vAlign w:val="bottom"/>
          </w:tcPr>
          <w:p>
            <w:pPr>
              <w:spacing w:after="0"/>
              <w:rPr>
                <w:sz w:val="15"/>
                <w:szCs w:val="15"/>
                <w:color w:val="auto"/>
              </w:rPr>
            </w:pPr>
          </w:p>
        </w:tc>
        <w:tc>
          <w:tcPr>
            <w:tcW w:w="1040" w:type="dxa"/>
            <w:vAlign w:val="bottom"/>
            <w:tcBorders>
              <w:bottom w:val="single" w:sz="8" w:color="231F20"/>
            </w:tcBorders>
          </w:tcPr>
          <w:p>
            <w:pPr>
              <w:jc w:val="center"/>
              <w:spacing w:after="0" w:line="178" w:lineRule="exact"/>
              <w:rPr>
                <w:sz w:val="20"/>
                <w:szCs w:val="20"/>
                <w:color w:val="auto"/>
              </w:rPr>
            </w:pPr>
            <w:r>
              <w:rPr>
                <w:rFonts w:ascii="Arial" w:cs="Arial" w:eastAsia="Arial" w:hAnsi="Arial"/>
                <w:sz w:val="16"/>
                <w:szCs w:val="16"/>
                <w:b w:val="1"/>
                <w:bCs w:val="1"/>
                <w:color w:val="231F20"/>
              </w:rPr>
              <w:t>HEREWITH</w:t>
            </w:r>
          </w:p>
        </w:tc>
      </w:tr>
      <w:tr>
        <w:trPr>
          <w:trHeight w:val="348"/>
        </w:trPr>
        <w:tc>
          <w:tcPr>
            <w:tcW w:w="980" w:type="dxa"/>
            <w:vAlign w:val="bottom"/>
          </w:tcPr>
          <w:p>
            <w:pPr>
              <w:spacing w:after="0"/>
              <w:rPr>
                <w:sz w:val="20"/>
                <w:szCs w:val="20"/>
                <w:color w:val="auto"/>
              </w:rPr>
            </w:pPr>
            <w:r>
              <w:rPr>
                <w:rFonts w:ascii="Arial" w:cs="Arial" w:eastAsia="Arial" w:hAnsi="Arial"/>
                <w:sz w:val="19"/>
                <w:szCs w:val="19"/>
                <w:b w:val="1"/>
                <w:bCs w:val="1"/>
                <w:color w:val="231F20"/>
              </w:rPr>
              <w:t>3.1</w:t>
            </w:r>
          </w:p>
        </w:tc>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rPr>
              <w:t>Amended and Restated Certificate of</w:t>
            </w:r>
          </w:p>
        </w:tc>
        <w:tc>
          <w:tcPr>
            <w:tcW w:w="780" w:type="dxa"/>
            <w:vAlign w:val="bottom"/>
          </w:tcPr>
          <w:p>
            <w:pPr>
              <w:jc w:val="center"/>
              <w:spacing w:after="0"/>
              <w:rPr>
                <w:sz w:val="20"/>
                <w:szCs w:val="20"/>
                <w:color w:val="auto"/>
              </w:rPr>
            </w:pPr>
            <w:r>
              <w:rPr>
                <w:rFonts w:ascii="Arial" w:cs="Arial" w:eastAsia="Arial" w:hAnsi="Arial"/>
                <w:sz w:val="19"/>
                <w:szCs w:val="19"/>
                <w:b w:val="1"/>
                <w:bCs w:val="1"/>
                <w:color w:val="231F20"/>
                <w:w w:val="97"/>
              </w:rPr>
              <w:t>8-K</w:t>
            </w:r>
          </w:p>
        </w:tc>
        <w:tc>
          <w:tcPr>
            <w:tcW w:w="1280" w:type="dxa"/>
            <w:vAlign w:val="bottom"/>
            <w:gridSpan w:val="2"/>
          </w:tcPr>
          <w:p>
            <w:pPr>
              <w:jc w:val="center"/>
              <w:ind w:left="23"/>
              <w:spacing w:after="0"/>
              <w:rPr>
                <w:sz w:val="20"/>
                <w:szCs w:val="20"/>
                <w:color w:val="auto"/>
              </w:rPr>
            </w:pPr>
            <w:r>
              <w:rPr>
                <w:rFonts w:ascii="Arial" w:cs="Arial" w:eastAsia="Arial" w:hAnsi="Arial"/>
                <w:sz w:val="19"/>
                <w:szCs w:val="19"/>
                <w:b w:val="1"/>
                <w:bCs w:val="1"/>
                <w:color w:val="231F20"/>
                <w:w w:val="92"/>
              </w:rPr>
              <w:t>001-39386</w:t>
            </w:r>
          </w:p>
        </w:tc>
        <w:tc>
          <w:tcPr>
            <w:tcW w:w="940" w:type="dxa"/>
            <w:vAlign w:val="bottom"/>
            <w:gridSpan w:val="2"/>
          </w:tcPr>
          <w:p>
            <w:pPr>
              <w:jc w:val="center"/>
              <w:ind w:left="3"/>
              <w:spacing w:after="0"/>
              <w:rPr>
                <w:sz w:val="20"/>
                <w:szCs w:val="20"/>
                <w:color w:val="auto"/>
              </w:rPr>
            </w:pPr>
            <w:r>
              <w:rPr>
                <w:rFonts w:ascii="Arial" w:cs="Arial" w:eastAsia="Arial" w:hAnsi="Arial"/>
                <w:sz w:val="19"/>
                <w:szCs w:val="19"/>
                <w:b w:val="1"/>
                <w:bCs w:val="1"/>
                <w:color w:val="231F20"/>
                <w:w w:val="90"/>
              </w:rPr>
              <w:t>3.1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9"/>
                <w:szCs w:val="19"/>
                <w:b w:val="1"/>
                <w:bCs w:val="1"/>
                <w:color w:val="231F20"/>
                <w:w w:val="88"/>
              </w:rPr>
              <w:t>July 21, 2020</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rPr>
              <w:t>Incorporation of the Registrant.</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55"/>
        </w:trPr>
        <w:tc>
          <w:tcPr>
            <w:tcW w:w="980" w:type="dxa"/>
            <w:vAlign w:val="bottom"/>
          </w:tcPr>
          <w:p>
            <w:pPr>
              <w:spacing w:after="0"/>
              <w:rPr>
                <w:sz w:val="20"/>
                <w:szCs w:val="20"/>
                <w:color w:val="auto"/>
              </w:rPr>
            </w:pPr>
            <w:r>
              <w:rPr>
                <w:rFonts w:ascii="Arial" w:cs="Arial" w:eastAsia="Arial" w:hAnsi="Arial"/>
                <w:sz w:val="19"/>
                <w:szCs w:val="19"/>
                <w:b w:val="1"/>
                <w:bCs w:val="1"/>
                <w:color w:val="231F20"/>
              </w:rPr>
              <w:t>3.2</w:t>
            </w:r>
          </w:p>
        </w:tc>
        <w:tc>
          <w:tcPr>
            <w:tcW w:w="3780" w:type="dxa"/>
            <w:vAlign w:val="bottom"/>
            <w:gridSpan w:val="3"/>
          </w:tcPr>
          <w:p>
            <w:pPr>
              <w:ind w:left="100"/>
              <w:spacing w:after="0"/>
              <w:rPr>
                <w:sz w:val="20"/>
                <w:szCs w:val="20"/>
                <w:color w:val="auto"/>
              </w:rPr>
            </w:pPr>
            <w:r>
              <w:rPr>
                <w:rFonts w:ascii="Arial" w:cs="Arial" w:eastAsia="Arial" w:hAnsi="Arial"/>
                <w:sz w:val="19"/>
                <w:szCs w:val="19"/>
                <w:b w:val="1"/>
                <w:bCs w:val="1"/>
                <w:color w:val="231F20"/>
              </w:rPr>
              <w:t>Amended and Restated Bylaws of the</w:t>
            </w:r>
          </w:p>
        </w:tc>
        <w:tc>
          <w:tcPr>
            <w:tcW w:w="780" w:type="dxa"/>
            <w:vAlign w:val="bottom"/>
          </w:tcPr>
          <w:p>
            <w:pPr>
              <w:jc w:val="center"/>
              <w:spacing w:after="0"/>
              <w:rPr>
                <w:sz w:val="20"/>
                <w:szCs w:val="20"/>
                <w:color w:val="auto"/>
              </w:rPr>
            </w:pPr>
            <w:r>
              <w:rPr>
                <w:rFonts w:ascii="Arial" w:cs="Arial" w:eastAsia="Arial" w:hAnsi="Arial"/>
                <w:sz w:val="19"/>
                <w:szCs w:val="19"/>
                <w:b w:val="1"/>
                <w:bCs w:val="1"/>
                <w:color w:val="231F20"/>
                <w:w w:val="97"/>
              </w:rPr>
              <w:t>8-K</w:t>
            </w:r>
          </w:p>
        </w:tc>
        <w:tc>
          <w:tcPr>
            <w:tcW w:w="1280" w:type="dxa"/>
            <w:vAlign w:val="bottom"/>
            <w:gridSpan w:val="2"/>
          </w:tcPr>
          <w:p>
            <w:pPr>
              <w:jc w:val="center"/>
              <w:ind w:left="23"/>
              <w:spacing w:after="0"/>
              <w:rPr>
                <w:sz w:val="20"/>
                <w:szCs w:val="20"/>
                <w:color w:val="auto"/>
              </w:rPr>
            </w:pPr>
            <w:r>
              <w:rPr>
                <w:rFonts w:ascii="Arial" w:cs="Arial" w:eastAsia="Arial" w:hAnsi="Arial"/>
                <w:sz w:val="19"/>
                <w:szCs w:val="19"/>
                <w:b w:val="1"/>
                <w:bCs w:val="1"/>
                <w:color w:val="231F20"/>
                <w:w w:val="92"/>
              </w:rPr>
              <w:t>001-39386</w:t>
            </w:r>
          </w:p>
        </w:tc>
        <w:tc>
          <w:tcPr>
            <w:tcW w:w="940" w:type="dxa"/>
            <w:vAlign w:val="bottom"/>
            <w:gridSpan w:val="2"/>
          </w:tcPr>
          <w:p>
            <w:pPr>
              <w:jc w:val="center"/>
              <w:ind w:left="3"/>
              <w:spacing w:after="0"/>
              <w:rPr>
                <w:sz w:val="20"/>
                <w:szCs w:val="20"/>
                <w:color w:val="auto"/>
              </w:rPr>
            </w:pPr>
            <w:r>
              <w:rPr>
                <w:rFonts w:ascii="Arial" w:cs="Arial" w:eastAsia="Arial" w:hAnsi="Arial"/>
                <w:sz w:val="19"/>
                <w:szCs w:val="19"/>
                <w:b w:val="1"/>
                <w:bCs w:val="1"/>
                <w:color w:val="231F20"/>
                <w:w w:val="90"/>
              </w:rPr>
              <w:t>3.1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9"/>
                <w:szCs w:val="19"/>
                <w:b w:val="1"/>
                <w:bCs w:val="1"/>
                <w:color w:val="231F20"/>
                <w:w w:val="87"/>
              </w:rPr>
              <w:t>June 20, 2023</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rPr>
              <w:t>Registrant.</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58"/>
        </w:trPr>
        <w:tc>
          <w:tcPr>
            <w:tcW w:w="980" w:type="dxa"/>
            <w:vAlign w:val="bottom"/>
          </w:tcPr>
          <w:p>
            <w:pPr>
              <w:spacing w:after="0"/>
              <w:rPr>
                <w:sz w:val="20"/>
                <w:szCs w:val="20"/>
                <w:color w:val="auto"/>
              </w:rPr>
            </w:pPr>
            <w:r>
              <w:rPr>
                <w:rFonts w:ascii="Arial" w:cs="Arial" w:eastAsia="Arial" w:hAnsi="Arial"/>
                <w:sz w:val="19"/>
                <w:szCs w:val="19"/>
                <w:b w:val="1"/>
                <w:bCs w:val="1"/>
                <w:color w:val="231F20"/>
              </w:rPr>
              <w:t>4.1</w:t>
            </w:r>
          </w:p>
        </w:tc>
        <w:tc>
          <w:tcPr>
            <w:tcW w:w="100" w:type="dxa"/>
            <w:vAlign w:val="bottom"/>
          </w:tcPr>
          <w:p>
            <w:pPr>
              <w:spacing w:after="0"/>
              <w:rPr>
                <w:sz w:val="24"/>
                <w:szCs w:val="24"/>
                <w:color w:val="auto"/>
              </w:rPr>
            </w:pPr>
          </w:p>
        </w:tc>
        <w:tc>
          <w:tcPr>
            <w:tcW w:w="3680" w:type="dxa"/>
            <w:vAlign w:val="bottom"/>
            <w:gridSpan w:val="2"/>
          </w:tcPr>
          <w:p>
            <w:pPr>
              <w:spacing w:after="0" w:line="231" w:lineRule="exact"/>
              <w:rPr>
                <w:sz w:val="20"/>
                <w:szCs w:val="20"/>
                <w:color w:val="auto"/>
              </w:rPr>
            </w:pPr>
            <w:r>
              <w:rPr>
                <w:rFonts w:ascii="Arial" w:cs="Arial" w:eastAsia="Arial" w:hAnsi="Arial"/>
                <w:sz w:val="19"/>
                <w:szCs w:val="19"/>
                <w:b w:val="1"/>
                <w:bCs w:val="1"/>
                <w:color w:val="auto"/>
                <w:w w:val="99"/>
              </w:rPr>
              <w:t>Amended and Restated Investors</w:t>
            </w:r>
            <w:r>
              <w:rPr>
                <w:rFonts w:ascii="PMingLiU" w:cs="PMingLiU" w:eastAsia="PMingLiU" w:hAnsi="PMingLiU"/>
                <w:sz w:val="19"/>
                <w:szCs w:val="19"/>
                <w:b w:val="1"/>
                <w:bCs w:val="1"/>
                <w:color w:val="auto"/>
                <w:w w:val="99"/>
              </w:rPr>
              <w:t></w:t>
            </w:r>
            <w:r>
              <w:rPr>
                <w:rFonts w:ascii="Arial" w:cs="Arial" w:eastAsia="Arial" w:hAnsi="Arial"/>
                <w:sz w:val="19"/>
                <w:szCs w:val="19"/>
                <w:b w:val="1"/>
                <w:bCs w:val="1"/>
                <w:color w:val="auto"/>
                <w:w w:val="99"/>
              </w:rPr>
              <w:t xml:space="preserve"> Rights</w:t>
            </w:r>
          </w:p>
        </w:tc>
        <w:tc>
          <w:tcPr>
            <w:tcW w:w="780" w:type="dxa"/>
            <w:vAlign w:val="bottom"/>
          </w:tcPr>
          <w:p>
            <w:pPr>
              <w:jc w:val="center"/>
              <w:spacing w:after="0"/>
              <w:rPr>
                <w:sz w:val="20"/>
                <w:szCs w:val="20"/>
                <w:color w:val="auto"/>
              </w:rPr>
            </w:pPr>
            <w:r>
              <w:rPr>
                <w:rFonts w:ascii="Arial" w:cs="Arial" w:eastAsia="Arial" w:hAnsi="Arial"/>
                <w:sz w:val="19"/>
                <w:szCs w:val="19"/>
                <w:b w:val="1"/>
                <w:bCs w:val="1"/>
                <w:color w:val="231F20"/>
                <w:w w:val="87"/>
              </w:rPr>
              <w:t>S-1</w:t>
            </w:r>
          </w:p>
        </w:tc>
        <w:tc>
          <w:tcPr>
            <w:tcW w:w="1280" w:type="dxa"/>
            <w:vAlign w:val="bottom"/>
            <w:gridSpan w:val="2"/>
          </w:tcPr>
          <w:p>
            <w:pPr>
              <w:jc w:val="center"/>
              <w:ind w:left="3"/>
              <w:spacing w:after="0"/>
              <w:rPr>
                <w:sz w:val="20"/>
                <w:szCs w:val="20"/>
                <w:color w:val="auto"/>
              </w:rPr>
            </w:pPr>
            <w:r>
              <w:rPr>
                <w:rFonts w:ascii="Arial" w:cs="Arial" w:eastAsia="Arial" w:hAnsi="Arial"/>
                <w:sz w:val="19"/>
                <w:szCs w:val="19"/>
                <w:b w:val="1"/>
                <w:bCs w:val="1"/>
                <w:color w:val="231F20"/>
                <w:w w:val="92"/>
              </w:rPr>
              <w:t>333-239490</w:t>
            </w:r>
          </w:p>
        </w:tc>
        <w:tc>
          <w:tcPr>
            <w:tcW w:w="940" w:type="dxa"/>
            <w:vAlign w:val="bottom"/>
            <w:gridSpan w:val="2"/>
          </w:tcPr>
          <w:p>
            <w:pPr>
              <w:jc w:val="center"/>
              <w:ind w:left="3"/>
              <w:spacing w:after="0"/>
              <w:rPr>
                <w:sz w:val="20"/>
                <w:szCs w:val="20"/>
                <w:color w:val="auto"/>
              </w:rPr>
            </w:pPr>
            <w:r>
              <w:rPr>
                <w:rFonts w:ascii="Arial" w:cs="Arial" w:eastAsia="Arial" w:hAnsi="Arial"/>
                <w:sz w:val="19"/>
                <w:szCs w:val="19"/>
                <w:b w:val="1"/>
                <w:bCs w:val="1"/>
                <w:color w:val="231F20"/>
                <w:w w:val="90"/>
              </w:rPr>
              <w:t>4.1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9"/>
                <w:szCs w:val="19"/>
                <w:b w:val="1"/>
                <w:bCs w:val="1"/>
                <w:color w:val="231F20"/>
                <w:w w:val="87"/>
              </w:rPr>
              <w:t>June 26, 2020</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w w:val="90"/>
              </w:rPr>
              <w:t>Agreement among the Registrant and certain</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rPr>
              <w:t>of its stockholders, dated April 1, 2020.</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58"/>
        </w:trPr>
        <w:tc>
          <w:tcPr>
            <w:tcW w:w="980" w:type="dxa"/>
            <w:vAlign w:val="bottom"/>
          </w:tcPr>
          <w:p>
            <w:pPr>
              <w:spacing w:after="0"/>
              <w:rPr>
                <w:sz w:val="20"/>
                <w:szCs w:val="20"/>
                <w:color w:val="auto"/>
              </w:rPr>
            </w:pPr>
            <w:r>
              <w:rPr>
                <w:rFonts w:ascii="Arial" w:cs="Arial" w:eastAsia="Arial" w:hAnsi="Arial"/>
                <w:sz w:val="19"/>
                <w:szCs w:val="19"/>
                <w:b w:val="1"/>
                <w:bCs w:val="1"/>
                <w:color w:val="231F20"/>
              </w:rPr>
              <w:t>4.2</w:t>
            </w:r>
          </w:p>
        </w:tc>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w w:val="96"/>
              </w:rPr>
              <w:t>Specimen common stock certificate of the</w:t>
            </w:r>
          </w:p>
        </w:tc>
        <w:tc>
          <w:tcPr>
            <w:tcW w:w="780" w:type="dxa"/>
            <w:vAlign w:val="bottom"/>
          </w:tcPr>
          <w:p>
            <w:pPr>
              <w:jc w:val="center"/>
              <w:spacing w:after="0"/>
              <w:rPr>
                <w:sz w:val="20"/>
                <w:szCs w:val="20"/>
                <w:color w:val="auto"/>
              </w:rPr>
            </w:pPr>
            <w:r>
              <w:rPr>
                <w:rFonts w:ascii="Arial" w:cs="Arial" w:eastAsia="Arial" w:hAnsi="Arial"/>
                <w:sz w:val="19"/>
                <w:szCs w:val="19"/>
                <w:b w:val="1"/>
                <w:bCs w:val="1"/>
                <w:color w:val="231F20"/>
                <w:w w:val="87"/>
              </w:rPr>
              <w:t>S-1</w:t>
            </w:r>
          </w:p>
        </w:tc>
        <w:tc>
          <w:tcPr>
            <w:tcW w:w="1280" w:type="dxa"/>
            <w:vAlign w:val="bottom"/>
            <w:gridSpan w:val="2"/>
          </w:tcPr>
          <w:p>
            <w:pPr>
              <w:jc w:val="center"/>
              <w:ind w:left="3"/>
              <w:spacing w:after="0"/>
              <w:rPr>
                <w:sz w:val="20"/>
                <w:szCs w:val="20"/>
                <w:color w:val="auto"/>
              </w:rPr>
            </w:pPr>
            <w:r>
              <w:rPr>
                <w:rFonts w:ascii="Arial" w:cs="Arial" w:eastAsia="Arial" w:hAnsi="Arial"/>
                <w:sz w:val="19"/>
                <w:szCs w:val="19"/>
                <w:b w:val="1"/>
                <w:bCs w:val="1"/>
                <w:color w:val="231F20"/>
                <w:w w:val="92"/>
              </w:rPr>
              <w:t>333-239490</w:t>
            </w:r>
          </w:p>
        </w:tc>
        <w:tc>
          <w:tcPr>
            <w:tcW w:w="940" w:type="dxa"/>
            <w:vAlign w:val="bottom"/>
            <w:gridSpan w:val="2"/>
          </w:tcPr>
          <w:p>
            <w:pPr>
              <w:jc w:val="center"/>
              <w:ind w:left="3"/>
              <w:spacing w:after="0"/>
              <w:rPr>
                <w:sz w:val="20"/>
                <w:szCs w:val="20"/>
                <w:color w:val="auto"/>
              </w:rPr>
            </w:pPr>
            <w:r>
              <w:rPr>
                <w:rFonts w:ascii="Arial" w:cs="Arial" w:eastAsia="Arial" w:hAnsi="Arial"/>
                <w:sz w:val="19"/>
                <w:szCs w:val="19"/>
                <w:b w:val="1"/>
                <w:bCs w:val="1"/>
                <w:color w:val="231F20"/>
                <w:w w:val="90"/>
              </w:rPr>
              <w:t>4.2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9"/>
                <w:szCs w:val="19"/>
                <w:b w:val="1"/>
                <w:bCs w:val="1"/>
                <w:color w:val="231F20"/>
                <w:w w:val="87"/>
              </w:rPr>
              <w:t>June 26, 2020</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rPr>
              <w:t>Registrant.</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55"/>
        </w:trPr>
        <w:tc>
          <w:tcPr>
            <w:tcW w:w="980" w:type="dxa"/>
            <w:vAlign w:val="bottom"/>
          </w:tcPr>
          <w:p>
            <w:pPr>
              <w:spacing w:after="0"/>
              <w:rPr>
                <w:sz w:val="20"/>
                <w:szCs w:val="20"/>
                <w:color w:val="auto"/>
              </w:rPr>
            </w:pPr>
            <w:r>
              <w:rPr>
                <w:rFonts w:ascii="Arial" w:cs="Arial" w:eastAsia="Arial" w:hAnsi="Arial"/>
                <w:sz w:val="19"/>
                <w:szCs w:val="19"/>
                <w:b w:val="1"/>
                <w:bCs w:val="1"/>
                <w:color w:val="231F20"/>
              </w:rPr>
              <w:t>4.3</w:t>
            </w:r>
          </w:p>
        </w:tc>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rPr>
              <w:t>Description of Securities.</w:t>
            </w:r>
          </w:p>
        </w:tc>
        <w:tc>
          <w:tcPr>
            <w:tcW w:w="780" w:type="dxa"/>
            <w:vAlign w:val="bottom"/>
          </w:tcPr>
          <w:p>
            <w:pPr>
              <w:jc w:val="center"/>
              <w:spacing w:after="0"/>
              <w:rPr>
                <w:sz w:val="20"/>
                <w:szCs w:val="20"/>
                <w:color w:val="auto"/>
              </w:rPr>
            </w:pPr>
            <w:r>
              <w:rPr>
                <w:rFonts w:ascii="Arial" w:cs="Arial" w:eastAsia="Arial" w:hAnsi="Arial"/>
                <w:sz w:val="19"/>
                <w:szCs w:val="19"/>
                <w:b w:val="1"/>
                <w:bCs w:val="1"/>
                <w:color w:val="231F20"/>
                <w:w w:val="97"/>
              </w:rPr>
              <w:t>10-K</w:t>
            </w:r>
          </w:p>
        </w:tc>
        <w:tc>
          <w:tcPr>
            <w:tcW w:w="1280" w:type="dxa"/>
            <w:vAlign w:val="bottom"/>
            <w:gridSpan w:val="2"/>
          </w:tcPr>
          <w:p>
            <w:pPr>
              <w:jc w:val="center"/>
              <w:ind w:left="23"/>
              <w:spacing w:after="0"/>
              <w:rPr>
                <w:sz w:val="20"/>
                <w:szCs w:val="20"/>
                <w:color w:val="auto"/>
              </w:rPr>
            </w:pPr>
            <w:r>
              <w:rPr>
                <w:rFonts w:ascii="Arial" w:cs="Arial" w:eastAsia="Arial" w:hAnsi="Arial"/>
                <w:sz w:val="19"/>
                <w:szCs w:val="19"/>
                <w:b w:val="1"/>
                <w:bCs w:val="1"/>
                <w:color w:val="231F20"/>
                <w:w w:val="92"/>
              </w:rPr>
              <w:t>001-39386</w:t>
            </w:r>
          </w:p>
        </w:tc>
        <w:tc>
          <w:tcPr>
            <w:tcW w:w="940" w:type="dxa"/>
            <w:vAlign w:val="bottom"/>
            <w:gridSpan w:val="2"/>
          </w:tcPr>
          <w:p>
            <w:pPr>
              <w:jc w:val="center"/>
              <w:ind w:left="3"/>
              <w:spacing w:after="0"/>
              <w:rPr>
                <w:sz w:val="20"/>
                <w:szCs w:val="20"/>
                <w:color w:val="auto"/>
              </w:rPr>
            </w:pPr>
            <w:r>
              <w:rPr>
                <w:rFonts w:ascii="Arial" w:cs="Arial" w:eastAsia="Arial" w:hAnsi="Arial"/>
                <w:sz w:val="19"/>
                <w:szCs w:val="19"/>
                <w:b w:val="1"/>
                <w:bCs w:val="1"/>
                <w:color w:val="231F20"/>
                <w:w w:val="90"/>
              </w:rPr>
              <w:t>4.3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9"/>
                <w:szCs w:val="19"/>
                <w:b w:val="1"/>
                <w:bCs w:val="1"/>
                <w:color w:val="231F20"/>
                <w:w w:val="89"/>
              </w:rPr>
              <w:t>March 7, 2024</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58"/>
        </w:trPr>
        <w:tc>
          <w:tcPr>
            <w:tcW w:w="980" w:type="dxa"/>
            <w:vAlign w:val="bottom"/>
          </w:tcPr>
          <w:p>
            <w:pPr>
              <w:spacing w:after="0"/>
              <w:rPr>
                <w:sz w:val="20"/>
                <w:szCs w:val="20"/>
                <w:color w:val="auto"/>
              </w:rPr>
            </w:pPr>
            <w:r>
              <w:rPr>
                <w:rFonts w:ascii="Arial" w:cs="Arial" w:eastAsia="Arial" w:hAnsi="Arial"/>
                <w:sz w:val="19"/>
                <w:szCs w:val="19"/>
                <w:b w:val="1"/>
                <w:bCs w:val="1"/>
                <w:color w:val="231F20"/>
              </w:rPr>
              <w:t>4.4</w:t>
            </w:r>
          </w:p>
        </w:tc>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rPr>
              <w:t>Form of Pre-Funded Warrant.</w:t>
            </w:r>
          </w:p>
        </w:tc>
        <w:tc>
          <w:tcPr>
            <w:tcW w:w="780" w:type="dxa"/>
            <w:vAlign w:val="bottom"/>
          </w:tcPr>
          <w:p>
            <w:pPr>
              <w:jc w:val="center"/>
              <w:spacing w:after="0"/>
              <w:rPr>
                <w:sz w:val="20"/>
                <w:szCs w:val="20"/>
                <w:color w:val="auto"/>
              </w:rPr>
            </w:pPr>
            <w:r>
              <w:rPr>
                <w:rFonts w:ascii="Arial" w:cs="Arial" w:eastAsia="Arial" w:hAnsi="Arial"/>
                <w:sz w:val="19"/>
                <w:szCs w:val="19"/>
                <w:b w:val="1"/>
                <w:bCs w:val="1"/>
                <w:color w:val="231F20"/>
                <w:w w:val="97"/>
              </w:rPr>
              <w:t>8-K</w:t>
            </w:r>
          </w:p>
        </w:tc>
        <w:tc>
          <w:tcPr>
            <w:tcW w:w="1280" w:type="dxa"/>
            <w:vAlign w:val="bottom"/>
            <w:gridSpan w:val="2"/>
          </w:tcPr>
          <w:p>
            <w:pPr>
              <w:jc w:val="center"/>
              <w:ind w:left="23"/>
              <w:spacing w:after="0"/>
              <w:rPr>
                <w:sz w:val="20"/>
                <w:szCs w:val="20"/>
                <w:color w:val="auto"/>
              </w:rPr>
            </w:pPr>
            <w:r>
              <w:rPr>
                <w:rFonts w:ascii="Arial" w:cs="Arial" w:eastAsia="Arial" w:hAnsi="Arial"/>
                <w:sz w:val="19"/>
                <w:szCs w:val="19"/>
                <w:b w:val="1"/>
                <w:bCs w:val="1"/>
                <w:color w:val="231F20"/>
                <w:w w:val="92"/>
              </w:rPr>
              <w:t>001-39386</w:t>
            </w:r>
          </w:p>
        </w:tc>
        <w:tc>
          <w:tcPr>
            <w:tcW w:w="940" w:type="dxa"/>
            <w:vAlign w:val="bottom"/>
            <w:gridSpan w:val="2"/>
          </w:tcPr>
          <w:p>
            <w:pPr>
              <w:jc w:val="center"/>
              <w:ind w:left="3"/>
              <w:spacing w:after="0"/>
              <w:rPr>
                <w:sz w:val="20"/>
                <w:szCs w:val="20"/>
                <w:color w:val="auto"/>
              </w:rPr>
            </w:pPr>
            <w:r>
              <w:rPr>
                <w:rFonts w:ascii="Arial" w:cs="Arial" w:eastAsia="Arial" w:hAnsi="Arial"/>
                <w:sz w:val="19"/>
                <w:szCs w:val="19"/>
                <w:b w:val="1"/>
                <w:bCs w:val="1"/>
                <w:color w:val="231F20"/>
                <w:w w:val="90"/>
              </w:rPr>
              <w:t>4.1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9"/>
                <w:szCs w:val="19"/>
                <w:b w:val="1"/>
                <w:bCs w:val="1"/>
                <w:color w:val="231F20"/>
                <w:w w:val="87"/>
              </w:rPr>
              <w:t>October 6, 2023</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58"/>
        </w:trPr>
        <w:tc>
          <w:tcPr>
            <w:tcW w:w="980" w:type="dxa"/>
            <w:vAlign w:val="bottom"/>
          </w:tcPr>
          <w:p>
            <w:pPr>
              <w:spacing w:after="0"/>
              <w:rPr>
                <w:sz w:val="20"/>
                <w:szCs w:val="20"/>
                <w:color w:val="auto"/>
              </w:rPr>
            </w:pPr>
            <w:r>
              <w:rPr>
                <w:rFonts w:ascii="Arial" w:cs="Arial" w:eastAsia="Arial" w:hAnsi="Arial"/>
                <w:sz w:val="19"/>
                <w:szCs w:val="19"/>
                <w:b w:val="1"/>
                <w:bCs w:val="1"/>
                <w:color w:val="231F20"/>
              </w:rPr>
              <w:t>10.1#</w:t>
            </w:r>
          </w:p>
        </w:tc>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w w:val="96"/>
              </w:rPr>
              <w:t>Loan and Security Agreement, dated as of</w:t>
            </w:r>
          </w:p>
        </w:tc>
        <w:tc>
          <w:tcPr>
            <w:tcW w:w="780" w:type="dxa"/>
            <w:vAlign w:val="bottom"/>
          </w:tcPr>
          <w:p>
            <w:pPr>
              <w:jc w:val="center"/>
              <w:spacing w:after="0"/>
              <w:rPr>
                <w:sz w:val="20"/>
                <w:szCs w:val="20"/>
                <w:color w:val="auto"/>
              </w:rPr>
            </w:pPr>
            <w:r>
              <w:rPr>
                <w:rFonts w:ascii="Arial" w:cs="Arial" w:eastAsia="Arial" w:hAnsi="Arial"/>
                <w:sz w:val="19"/>
                <w:szCs w:val="19"/>
                <w:b w:val="1"/>
                <w:bCs w:val="1"/>
                <w:color w:val="231F20"/>
                <w:w w:val="97"/>
              </w:rPr>
              <w:t>8-K</w:t>
            </w:r>
          </w:p>
        </w:tc>
        <w:tc>
          <w:tcPr>
            <w:tcW w:w="1280" w:type="dxa"/>
            <w:vAlign w:val="bottom"/>
            <w:gridSpan w:val="2"/>
          </w:tcPr>
          <w:p>
            <w:pPr>
              <w:jc w:val="center"/>
              <w:ind w:left="23"/>
              <w:spacing w:after="0"/>
              <w:rPr>
                <w:sz w:val="20"/>
                <w:szCs w:val="20"/>
                <w:color w:val="auto"/>
              </w:rPr>
            </w:pPr>
            <w:r>
              <w:rPr>
                <w:rFonts w:ascii="Arial" w:cs="Arial" w:eastAsia="Arial" w:hAnsi="Arial"/>
                <w:sz w:val="19"/>
                <w:szCs w:val="19"/>
                <w:b w:val="1"/>
                <w:bCs w:val="1"/>
                <w:color w:val="231F20"/>
                <w:w w:val="92"/>
              </w:rPr>
              <w:t>001-39386</w:t>
            </w:r>
          </w:p>
        </w:tc>
        <w:tc>
          <w:tcPr>
            <w:tcW w:w="940" w:type="dxa"/>
            <w:vAlign w:val="bottom"/>
            <w:gridSpan w:val="2"/>
          </w:tcPr>
          <w:p>
            <w:pPr>
              <w:jc w:val="center"/>
              <w:ind w:left="23"/>
              <w:spacing w:after="0"/>
              <w:rPr>
                <w:sz w:val="20"/>
                <w:szCs w:val="20"/>
                <w:color w:val="auto"/>
              </w:rPr>
            </w:pPr>
            <w:r>
              <w:rPr>
                <w:rFonts w:ascii="Arial" w:cs="Arial" w:eastAsia="Arial" w:hAnsi="Arial"/>
                <w:sz w:val="19"/>
                <w:szCs w:val="19"/>
                <w:b w:val="1"/>
                <w:bCs w:val="1"/>
                <w:color w:val="231F20"/>
                <w:w w:val="91"/>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9"/>
                <w:szCs w:val="19"/>
                <w:b w:val="1"/>
                <w:bCs w:val="1"/>
                <w:color w:val="231F20"/>
                <w:w w:val="89"/>
              </w:rPr>
              <w:t>October 31, 2022</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w w:val="99"/>
              </w:rPr>
              <w:t>October 27, 2022, among Oxford Finance</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w w:val="98"/>
              </w:rPr>
              <w:t>LLC, as collateral agent, the lenders from</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w w:val="99"/>
              </w:rPr>
              <w:t>time to time party thereto, ALX Oncology</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w w:val="95"/>
              </w:rPr>
              <w:t>Inc., Alexo Therapeutics International, and</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1"/>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w w:val="87"/>
              </w:rPr>
              <w:t>Sirpant Therapeutics, each as a borrower, and</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w w:val="94"/>
              </w:rPr>
              <w:t>ALX Oncology Holdings Inc., as guarantor.</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58"/>
        </w:trPr>
        <w:tc>
          <w:tcPr>
            <w:tcW w:w="980" w:type="dxa"/>
            <w:vAlign w:val="bottom"/>
          </w:tcPr>
          <w:p>
            <w:pPr>
              <w:spacing w:after="0"/>
              <w:rPr>
                <w:sz w:val="20"/>
                <w:szCs w:val="20"/>
                <w:color w:val="auto"/>
              </w:rPr>
            </w:pPr>
            <w:r>
              <w:rPr>
                <w:rFonts w:ascii="Arial" w:cs="Arial" w:eastAsia="Arial" w:hAnsi="Arial"/>
                <w:sz w:val="19"/>
                <w:szCs w:val="19"/>
                <w:b w:val="1"/>
                <w:bCs w:val="1"/>
                <w:color w:val="231F20"/>
              </w:rPr>
              <w:t>10.1.1</w:t>
            </w:r>
          </w:p>
        </w:tc>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w w:val="93"/>
              </w:rPr>
              <w:t>Consent and First Amendment to Loan and</w:t>
            </w:r>
          </w:p>
        </w:tc>
        <w:tc>
          <w:tcPr>
            <w:tcW w:w="780" w:type="dxa"/>
            <w:vAlign w:val="bottom"/>
          </w:tcPr>
          <w:p>
            <w:pPr>
              <w:jc w:val="center"/>
              <w:spacing w:after="0"/>
              <w:rPr>
                <w:sz w:val="20"/>
                <w:szCs w:val="20"/>
                <w:color w:val="auto"/>
              </w:rPr>
            </w:pPr>
            <w:r>
              <w:rPr>
                <w:rFonts w:ascii="Arial" w:cs="Arial" w:eastAsia="Arial" w:hAnsi="Arial"/>
                <w:sz w:val="19"/>
                <w:szCs w:val="19"/>
                <w:b w:val="1"/>
                <w:bCs w:val="1"/>
                <w:color w:val="231F20"/>
                <w:w w:val="97"/>
              </w:rPr>
              <w:t>10-K</w:t>
            </w:r>
          </w:p>
        </w:tc>
        <w:tc>
          <w:tcPr>
            <w:tcW w:w="1280" w:type="dxa"/>
            <w:vAlign w:val="bottom"/>
            <w:gridSpan w:val="2"/>
          </w:tcPr>
          <w:p>
            <w:pPr>
              <w:jc w:val="center"/>
              <w:ind w:left="23"/>
              <w:spacing w:after="0"/>
              <w:rPr>
                <w:sz w:val="20"/>
                <w:szCs w:val="20"/>
                <w:color w:val="auto"/>
              </w:rPr>
            </w:pPr>
            <w:r>
              <w:rPr>
                <w:rFonts w:ascii="Arial" w:cs="Arial" w:eastAsia="Arial" w:hAnsi="Arial"/>
                <w:sz w:val="19"/>
                <w:szCs w:val="19"/>
                <w:b w:val="1"/>
                <w:bCs w:val="1"/>
                <w:color w:val="231F20"/>
                <w:w w:val="92"/>
              </w:rPr>
              <w:t>001-39386</w:t>
            </w:r>
          </w:p>
        </w:tc>
        <w:tc>
          <w:tcPr>
            <w:tcW w:w="940" w:type="dxa"/>
            <w:vAlign w:val="bottom"/>
            <w:gridSpan w:val="2"/>
          </w:tcPr>
          <w:p>
            <w:pPr>
              <w:jc w:val="center"/>
              <w:ind w:left="3"/>
              <w:spacing w:after="0"/>
              <w:rPr>
                <w:sz w:val="20"/>
                <w:szCs w:val="20"/>
                <w:color w:val="auto"/>
              </w:rPr>
            </w:pPr>
            <w:r>
              <w:rPr>
                <w:rFonts w:ascii="Arial" w:cs="Arial" w:eastAsia="Arial" w:hAnsi="Arial"/>
                <w:sz w:val="19"/>
                <w:szCs w:val="19"/>
                <w:b w:val="1"/>
                <w:bCs w:val="1"/>
                <w:color w:val="231F20"/>
                <w:w w:val="90"/>
              </w:rPr>
              <w:t>10.1.1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9"/>
                <w:szCs w:val="19"/>
                <w:b w:val="1"/>
                <w:bCs w:val="1"/>
                <w:color w:val="231F20"/>
                <w:w w:val="89"/>
              </w:rPr>
              <w:t>March 9, 2023</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w w:val="94"/>
              </w:rPr>
              <w:t>Security Agreement, dated as of December</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980" w:type="dxa"/>
            <w:vAlign w:val="bottom"/>
          </w:tcPr>
          <w:p>
            <w:pPr>
              <w:spacing w:after="0"/>
              <w:rPr>
                <w:sz w:val="19"/>
                <w:szCs w:val="19"/>
                <w:color w:val="auto"/>
              </w:rPr>
            </w:pPr>
          </w:p>
        </w:tc>
        <w:tc>
          <w:tcPr>
            <w:tcW w:w="3660" w:type="dxa"/>
            <w:vAlign w:val="bottom"/>
            <w:gridSpan w:val="2"/>
          </w:tcPr>
          <w:p>
            <w:pPr>
              <w:ind w:left="100"/>
              <w:spacing w:after="0"/>
              <w:rPr>
                <w:sz w:val="20"/>
                <w:szCs w:val="20"/>
                <w:color w:val="auto"/>
              </w:rPr>
            </w:pPr>
            <w:r>
              <w:rPr>
                <w:rFonts w:ascii="Arial" w:cs="Arial" w:eastAsia="Arial" w:hAnsi="Arial"/>
                <w:sz w:val="19"/>
                <w:szCs w:val="19"/>
                <w:b w:val="1"/>
                <w:bCs w:val="1"/>
                <w:color w:val="231F20"/>
              </w:rPr>
              <w:t>22, 2022.</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58"/>
        </w:trPr>
        <w:tc>
          <w:tcPr>
            <w:tcW w:w="980" w:type="dxa"/>
            <w:vAlign w:val="bottom"/>
          </w:tcPr>
          <w:p>
            <w:pPr>
              <w:spacing w:after="0"/>
              <w:rPr>
                <w:sz w:val="20"/>
                <w:szCs w:val="20"/>
                <w:color w:val="auto"/>
              </w:rPr>
            </w:pPr>
            <w:r>
              <w:rPr>
                <w:rFonts w:ascii="Arial" w:cs="Arial" w:eastAsia="Arial" w:hAnsi="Arial"/>
                <w:sz w:val="19"/>
                <w:szCs w:val="19"/>
                <w:b w:val="1"/>
                <w:bCs w:val="1"/>
                <w:color w:val="231F20"/>
              </w:rPr>
              <w:t>10.1.2#</w:t>
            </w:r>
          </w:p>
        </w:tc>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w w:val="97"/>
              </w:rPr>
              <w:t>Second Amendment to Loan and Security</w:t>
            </w:r>
          </w:p>
        </w:tc>
        <w:tc>
          <w:tcPr>
            <w:tcW w:w="780" w:type="dxa"/>
            <w:vAlign w:val="bottom"/>
          </w:tcPr>
          <w:p>
            <w:pPr>
              <w:jc w:val="center"/>
              <w:spacing w:after="0"/>
              <w:rPr>
                <w:sz w:val="20"/>
                <w:szCs w:val="20"/>
                <w:color w:val="auto"/>
              </w:rPr>
            </w:pPr>
            <w:r>
              <w:rPr>
                <w:rFonts w:ascii="Arial" w:cs="Arial" w:eastAsia="Arial" w:hAnsi="Arial"/>
                <w:sz w:val="19"/>
                <w:szCs w:val="19"/>
                <w:b w:val="1"/>
                <w:bCs w:val="1"/>
                <w:color w:val="231F20"/>
                <w:w w:val="94"/>
              </w:rPr>
              <w:t>10-Q</w:t>
            </w:r>
          </w:p>
        </w:tc>
        <w:tc>
          <w:tcPr>
            <w:tcW w:w="1280" w:type="dxa"/>
            <w:vAlign w:val="bottom"/>
            <w:gridSpan w:val="2"/>
          </w:tcPr>
          <w:p>
            <w:pPr>
              <w:jc w:val="center"/>
              <w:ind w:left="23"/>
              <w:spacing w:after="0"/>
              <w:rPr>
                <w:sz w:val="20"/>
                <w:szCs w:val="20"/>
                <w:color w:val="auto"/>
              </w:rPr>
            </w:pPr>
            <w:r>
              <w:rPr>
                <w:rFonts w:ascii="Arial" w:cs="Arial" w:eastAsia="Arial" w:hAnsi="Arial"/>
                <w:sz w:val="19"/>
                <w:szCs w:val="19"/>
                <w:b w:val="1"/>
                <w:bCs w:val="1"/>
                <w:color w:val="231F20"/>
                <w:w w:val="92"/>
              </w:rPr>
              <w:t>001-39386</w:t>
            </w:r>
          </w:p>
        </w:tc>
        <w:tc>
          <w:tcPr>
            <w:tcW w:w="940" w:type="dxa"/>
            <w:vAlign w:val="bottom"/>
            <w:gridSpan w:val="2"/>
          </w:tcPr>
          <w:p>
            <w:pPr>
              <w:jc w:val="center"/>
              <w:ind w:left="23"/>
              <w:spacing w:after="0"/>
              <w:rPr>
                <w:sz w:val="20"/>
                <w:szCs w:val="20"/>
                <w:color w:val="auto"/>
              </w:rPr>
            </w:pPr>
            <w:r>
              <w:rPr>
                <w:rFonts w:ascii="Arial" w:cs="Arial" w:eastAsia="Arial" w:hAnsi="Arial"/>
                <w:sz w:val="19"/>
                <w:szCs w:val="19"/>
                <w:b w:val="1"/>
                <w:bCs w:val="1"/>
                <w:color w:val="231F20"/>
                <w:w w:val="91"/>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9"/>
                <w:szCs w:val="19"/>
                <w:b w:val="1"/>
                <w:bCs w:val="1"/>
                <w:color w:val="231F20"/>
                <w:w w:val="88"/>
              </w:rPr>
              <w:t>August 10, 2023</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rPr>
              <w:t>Agreement, dated as of May 31, 2023.</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55"/>
        </w:trPr>
        <w:tc>
          <w:tcPr>
            <w:tcW w:w="980" w:type="dxa"/>
            <w:vAlign w:val="bottom"/>
          </w:tcPr>
          <w:p>
            <w:pPr>
              <w:spacing w:after="0"/>
              <w:rPr>
                <w:sz w:val="20"/>
                <w:szCs w:val="20"/>
                <w:color w:val="auto"/>
              </w:rPr>
            </w:pPr>
            <w:r>
              <w:rPr>
                <w:rFonts w:ascii="Arial" w:cs="Arial" w:eastAsia="Arial" w:hAnsi="Arial"/>
                <w:sz w:val="19"/>
                <w:szCs w:val="19"/>
                <w:b w:val="1"/>
                <w:bCs w:val="1"/>
                <w:color w:val="231F20"/>
              </w:rPr>
              <w:t>10.1.3</w:t>
            </w:r>
          </w:p>
        </w:tc>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rPr>
              <w:t>Third Amendment to Loan and Security</w:t>
            </w:r>
          </w:p>
        </w:tc>
        <w:tc>
          <w:tcPr>
            <w:tcW w:w="780" w:type="dxa"/>
            <w:vAlign w:val="bottom"/>
          </w:tcPr>
          <w:p>
            <w:pPr>
              <w:jc w:val="center"/>
              <w:spacing w:after="0"/>
              <w:rPr>
                <w:sz w:val="20"/>
                <w:szCs w:val="20"/>
                <w:color w:val="auto"/>
              </w:rPr>
            </w:pPr>
            <w:r>
              <w:rPr>
                <w:rFonts w:ascii="Arial" w:cs="Arial" w:eastAsia="Arial" w:hAnsi="Arial"/>
                <w:sz w:val="19"/>
                <w:szCs w:val="19"/>
                <w:b w:val="1"/>
                <w:bCs w:val="1"/>
                <w:color w:val="231F20"/>
                <w:w w:val="97"/>
              </w:rPr>
              <w:t>8-K</w:t>
            </w:r>
          </w:p>
        </w:tc>
        <w:tc>
          <w:tcPr>
            <w:tcW w:w="1280" w:type="dxa"/>
            <w:vAlign w:val="bottom"/>
            <w:gridSpan w:val="2"/>
          </w:tcPr>
          <w:p>
            <w:pPr>
              <w:jc w:val="center"/>
              <w:ind w:left="23"/>
              <w:spacing w:after="0"/>
              <w:rPr>
                <w:sz w:val="20"/>
                <w:szCs w:val="20"/>
                <w:color w:val="auto"/>
              </w:rPr>
            </w:pPr>
            <w:r>
              <w:rPr>
                <w:rFonts w:ascii="Arial" w:cs="Arial" w:eastAsia="Arial" w:hAnsi="Arial"/>
                <w:sz w:val="19"/>
                <w:szCs w:val="19"/>
                <w:b w:val="1"/>
                <w:bCs w:val="1"/>
                <w:color w:val="231F20"/>
                <w:w w:val="92"/>
              </w:rPr>
              <w:t>001-39386</w:t>
            </w:r>
          </w:p>
        </w:tc>
        <w:tc>
          <w:tcPr>
            <w:tcW w:w="940" w:type="dxa"/>
            <w:vAlign w:val="bottom"/>
            <w:gridSpan w:val="2"/>
          </w:tcPr>
          <w:p>
            <w:pPr>
              <w:jc w:val="center"/>
              <w:ind w:left="23"/>
              <w:spacing w:after="0"/>
              <w:rPr>
                <w:sz w:val="20"/>
                <w:szCs w:val="20"/>
                <w:color w:val="auto"/>
              </w:rPr>
            </w:pPr>
            <w:r>
              <w:rPr>
                <w:rFonts w:ascii="Arial" w:cs="Arial" w:eastAsia="Arial" w:hAnsi="Arial"/>
                <w:sz w:val="19"/>
                <w:szCs w:val="19"/>
                <w:b w:val="1"/>
                <w:bCs w:val="1"/>
                <w:color w:val="231F20"/>
                <w:w w:val="91"/>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9"/>
                <w:szCs w:val="19"/>
                <w:b w:val="1"/>
                <w:bCs w:val="1"/>
                <w:color w:val="231F20"/>
                <w:w w:val="87"/>
              </w:rPr>
              <w:t>December 26,</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w w:val="93"/>
              </w:rPr>
              <w:t>Agreement, dated as of December 22, 2023,</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80" w:type="dxa"/>
            <w:vAlign w:val="bottom"/>
            <w:gridSpan w:val="2"/>
          </w:tcPr>
          <w:p>
            <w:pPr>
              <w:jc w:val="center"/>
              <w:ind w:left="3"/>
              <w:spacing w:after="0"/>
              <w:rPr>
                <w:sz w:val="20"/>
                <w:szCs w:val="20"/>
                <w:color w:val="auto"/>
              </w:rPr>
            </w:pPr>
            <w:r>
              <w:rPr>
                <w:rFonts w:ascii="Arial" w:cs="Arial" w:eastAsia="Arial" w:hAnsi="Arial"/>
                <w:sz w:val="19"/>
                <w:szCs w:val="19"/>
                <w:b w:val="1"/>
                <w:bCs w:val="1"/>
                <w:color w:val="231F20"/>
                <w:w w:val="94"/>
              </w:rPr>
              <w:t>2023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w w:val="99"/>
              </w:rPr>
              <w:t>among Oxford Finance LLC, as collateral</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bl>
    <w:p>
      <w:pPr>
        <w:spacing w:after="0" w:line="5" w:lineRule="exact"/>
        <w:rPr>
          <w:sz w:val="20"/>
          <w:szCs w:val="20"/>
          <w:color w:val="auto"/>
        </w:rPr>
      </w:pPr>
    </w:p>
    <w:p>
      <w:pPr>
        <w:ind w:left="1080"/>
        <w:spacing w:after="0"/>
        <w:rPr>
          <w:sz w:val="20"/>
          <w:szCs w:val="20"/>
          <w:color w:val="auto"/>
        </w:rPr>
      </w:pPr>
      <w:r>
        <w:rPr>
          <w:rFonts w:ascii="Arial" w:cs="Arial" w:eastAsia="Arial" w:hAnsi="Arial"/>
          <w:sz w:val="19"/>
          <w:szCs w:val="19"/>
          <w:b w:val="1"/>
          <w:bCs w:val="1"/>
          <w:color w:val="231F20"/>
        </w:rPr>
        <w:t>agent, the lenders party thereto, ALX</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9"/>
          <w:szCs w:val="19"/>
          <w:b w:val="1"/>
          <w:bCs w:val="1"/>
          <w:color w:val="231F20"/>
        </w:rPr>
        <w:t>Oncology Inc., as borrower, and ALX</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9"/>
          <w:szCs w:val="19"/>
          <w:b w:val="1"/>
          <w:bCs w:val="1"/>
          <w:color w:val="231F20"/>
        </w:rPr>
        <w:t>Oncology Holdings Inc., as guarantor.</w:t>
      </w:r>
    </w:p>
    <w:p>
      <w:pPr>
        <w:sectPr>
          <w:pgSz w:w="12240" w:h="15840" w:orient="portrait"/>
          <w:cols w:equalWidth="0" w:num="1">
            <w:col w:w="10480"/>
          </w:cols>
          <w:pgMar w:left="880" w:top="1160" w:right="880" w:bottom="4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31F20"/>
        </w:rPr>
        <w:t>127</w:t>
      </w:r>
    </w:p>
    <w:p>
      <w:pPr>
        <w:sectPr>
          <w:pgSz w:w="12240" w:h="15840" w:orient="portrait"/>
          <w:cols w:equalWidth="0" w:num="1">
            <w:col w:w="10480"/>
          </w:cols>
          <w:pgMar w:left="880" w:top="1160" w:right="880" w:bottom="401" w:gutter="0" w:footer="0" w:header="0"/>
          <w:type w:val="continuous"/>
        </w:sectPr>
      </w:pPr>
    </w:p>
    <w:bookmarkStart w:id="135" w:name="page136"/>
    <w:bookmarkEnd w:id="135"/>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231F20"/>
            </w:tcBorders>
          </w:tcPr>
          <w:p>
            <w:pPr>
              <w:spacing w:after="0"/>
              <w:rPr>
                <w:sz w:val="16"/>
                <w:szCs w:val="16"/>
                <w:color w:val="auto"/>
              </w:rPr>
            </w:pPr>
          </w:p>
        </w:tc>
        <w:tc>
          <w:tcPr>
            <w:tcW w:w="120" w:type="dxa"/>
            <w:vAlign w:val="bottom"/>
            <w:tcBorders>
              <w:bottom w:val="single" w:sz="8" w:color="231F20"/>
            </w:tcBorders>
          </w:tcPr>
          <w:p>
            <w:pPr>
              <w:spacing w:after="0"/>
              <w:rPr>
                <w:sz w:val="16"/>
                <w:szCs w:val="16"/>
                <w:color w:val="auto"/>
              </w:rPr>
            </w:pPr>
          </w:p>
        </w:tc>
        <w:tc>
          <w:tcPr>
            <w:tcW w:w="3680" w:type="dxa"/>
            <w:vAlign w:val="bottom"/>
            <w:tcBorders>
              <w:bottom w:val="single" w:sz="8" w:color="231F20"/>
            </w:tcBorders>
            <w:gridSpan w:val="5"/>
          </w:tcPr>
          <w:p>
            <w:pPr>
              <w:ind w:left="120"/>
              <w:spacing w:after="0"/>
              <w:rPr>
                <w:sz w:val="20"/>
                <w:szCs w:val="20"/>
                <w:color w:val="auto"/>
              </w:rPr>
            </w:pPr>
            <w:r>
              <w:rPr>
                <w:rFonts w:ascii="Arial" w:cs="Arial" w:eastAsia="Arial" w:hAnsi="Arial"/>
                <w:sz w:val="16"/>
                <w:szCs w:val="16"/>
                <w:b w:val="1"/>
                <w:bCs w:val="1"/>
                <w:color w:val="231F20"/>
              </w:rPr>
              <w:t>INCORPORATED BY REFERENCE</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69"/>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line="169" w:lineRule="exact"/>
              <w:rPr>
                <w:sz w:val="20"/>
                <w:szCs w:val="20"/>
                <w:color w:val="auto"/>
              </w:rPr>
            </w:pPr>
            <w:r>
              <w:rPr>
                <w:rFonts w:ascii="Arial" w:cs="Arial" w:eastAsia="Arial" w:hAnsi="Arial"/>
                <w:sz w:val="16"/>
                <w:szCs w:val="16"/>
                <w:b w:val="1"/>
                <w:bCs w:val="1"/>
                <w:color w:val="231F20"/>
              </w:rPr>
              <w:t>FILING</w:t>
            </w:r>
          </w:p>
        </w:tc>
        <w:tc>
          <w:tcPr>
            <w:tcW w:w="100" w:type="dxa"/>
            <w:vAlign w:val="bottom"/>
          </w:tcPr>
          <w:p>
            <w:pPr>
              <w:spacing w:after="0"/>
              <w:rPr>
                <w:sz w:val="14"/>
                <w:szCs w:val="14"/>
                <w:color w:val="auto"/>
              </w:rPr>
            </w:pPr>
          </w:p>
        </w:tc>
        <w:tc>
          <w:tcPr>
            <w:tcW w:w="1040" w:type="dxa"/>
            <w:vAlign w:val="bottom"/>
          </w:tcPr>
          <w:p>
            <w:pPr>
              <w:jc w:val="center"/>
              <w:spacing w:after="0" w:line="169" w:lineRule="exact"/>
              <w:rPr>
                <w:sz w:val="20"/>
                <w:szCs w:val="20"/>
                <w:color w:val="auto"/>
              </w:rPr>
            </w:pPr>
            <w:r>
              <w:rPr>
                <w:rFonts w:ascii="Arial" w:cs="Arial" w:eastAsia="Arial" w:hAnsi="Arial"/>
                <w:sz w:val="16"/>
                <w:szCs w:val="16"/>
                <w:b w:val="1"/>
                <w:bCs w:val="1"/>
                <w:color w:val="231F20"/>
              </w:rPr>
              <w:t>FILED</w:t>
            </w:r>
          </w:p>
        </w:tc>
      </w:tr>
      <w:tr>
        <w:trPr>
          <w:trHeight w:val="178"/>
        </w:trPr>
        <w:tc>
          <w:tcPr>
            <w:tcW w:w="980" w:type="dxa"/>
            <w:vAlign w:val="bottom"/>
            <w:tcBorders>
              <w:bottom w:val="single" w:sz="8" w:color="231F20"/>
            </w:tcBorders>
          </w:tcPr>
          <w:p>
            <w:pPr>
              <w:ind w:left="140"/>
              <w:spacing w:after="0" w:line="178" w:lineRule="exact"/>
              <w:rPr>
                <w:sz w:val="20"/>
                <w:szCs w:val="20"/>
                <w:color w:val="auto"/>
              </w:rPr>
            </w:pPr>
            <w:r>
              <w:rPr>
                <w:rFonts w:ascii="Arial" w:cs="Arial" w:eastAsia="Arial" w:hAnsi="Arial"/>
                <w:sz w:val="16"/>
                <w:szCs w:val="16"/>
                <w:b w:val="1"/>
                <w:bCs w:val="1"/>
                <w:color w:val="231F20"/>
              </w:rPr>
              <w:t>NUMBER</w:t>
            </w:r>
          </w:p>
        </w:tc>
        <w:tc>
          <w:tcPr>
            <w:tcW w:w="100" w:type="dxa"/>
            <w:vAlign w:val="bottom"/>
          </w:tcPr>
          <w:p>
            <w:pPr>
              <w:spacing w:after="0"/>
              <w:rPr>
                <w:sz w:val="15"/>
                <w:szCs w:val="15"/>
                <w:color w:val="auto"/>
              </w:rPr>
            </w:pPr>
          </w:p>
        </w:tc>
        <w:tc>
          <w:tcPr>
            <w:tcW w:w="3560" w:type="dxa"/>
            <w:vAlign w:val="bottom"/>
            <w:tcBorders>
              <w:bottom w:val="single" w:sz="8" w:color="231F20"/>
            </w:tcBorders>
          </w:tcPr>
          <w:p>
            <w:pPr>
              <w:ind w:left="1200"/>
              <w:spacing w:after="0" w:line="178" w:lineRule="exact"/>
              <w:rPr>
                <w:sz w:val="20"/>
                <w:szCs w:val="20"/>
                <w:color w:val="auto"/>
              </w:rPr>
            </w:pPr>
            <w:r>
              <w:rPr>
                <w:rFonts w:ascii="Arial" w:cs="Arial" w:eastAsia="Arial" w:hAnsi="Arial"/>
                <w:sz w:val="16"/>
                <w:szCs w:val="16"/>
                <w:b w:val="1"/>
                <w:bCs w:val="1"/>
                <w:color w:val="231F20"/>
              </w:rPr>
              <w:t>EXHIBIT TITLE</w:t>
            </w:r>
          </w:p>
        </w:tc>
        <w:tc>
          <w:tcPr>
            <w:tcW w:w="120" w:type="dxa"/>
            <w:vAlign w:val="bottom"/>
          </w:tcPr>
          <w:p>
            <w:pPr>
              <w:spacing w:after="0"/>
              <w:rPr>
                <w:sz w:val="15"/>
                <w:szCs w:val="15"/>
                <w:color w:val="auto"/>
              </w:rPr>
            </w:pPr>
          </w:p>
        </w:tc>
        <w:tc>
          <w:tcPr>
            <w:tcW w:w="780" w:type="dxa"/>
            <w:vAlign w:val="bottom"/>
            <w:tcBorders>
              <w:bottom w:val="single" w:sz="8" w:color="231F20"/>
            </w:tcBorders>
          </w:tcPr>
          <w:p>
            <w:pPr>
              <w:jc w:val="center"/>
              <w:spacing w:after="0" w:line="178" w:lineRule="exact"/>
              <w:rPr>
                <w:sz w:val="20"/>
                <w:szCs w:val="20"/>
                <w:color w:val="auto"/>
              </w:rPr>
            </w:pPr>
            <w:r>
              <w:rPr>
                <w:rFonts w:ascii="Arial" w:cs="Arial" w:eastAsia="Arial" w:hAnsi="Arial"/>
                <w:sz w:val="16"/>
                <w:szCs w:val="16"/>
                <w:b w:val="1"/>
                <w:bCs w:val="1"/>
                <w:color w:val="231F20"/>
                <w:w w:val="97"/>
              </w:rPr>
              <w:t>FORM</w:t>
            </w:r>
          </w:p>
        </w:tc>
        <w:tc>
          <w:tcPr>
            <w:tcW w:w="120" w:type="dxa"/>
            <w:vAlign w:val="bottom"/>
          </w:tcPr>
          <w:p>
            <w:pPr>
              <w:spacing w:after="0"/>
              <w:rPr>
                <w:sz w:val="15"/>
                <w:szCs w:val="15"/>
                <w:color w:val="auto"/>
              </w:rPr>
            </w:pPr>
          </w:p>
        </w:tc>
        <w:tc>
          <w:tcPr>
            <w:tcW w:w="1160" w:type="dxa"/>
            <w:vAlign w:val="bottom"/>
            <w:tcBorders>
              <w:bottom w:val="single" w:sz="8" w:color="231F20"/>
            </w:tcBorders>
          </w:tcPr>
          <w:p>
            <w:pPr>
              <w:ind w:left="240"/>
              <w:spacing w:after="0" w:line="178" w:lineRule="exact"/>
              <w:rPr>
                <w:sz w:val="20"/>
                <w:szCs w:val="20"/>
                <w:color w:val="auto"/>
              </w:rPr>
            </w:pPr>
            <w:r>
              <w:rPr>
                <w:rFonts w:ascii="Arial" w:cs="Arial" w:eastAsia="Arial" w:hAnsi="Arial"/>
                <w:sz w:val="16"/>
                <w:szCs w:val="16"/>
                <w:b w:val="1"/>
                <w:bCs w:val="1"/>
                <w:color w:val="231F20"/>
              </w:rPr>
              <w:t>FILE NO.</w:t>
            </w:r>
          </w:p>
        </w:tc>
        <w:tc>
          <w:tcPr>
            <w:tcW w:w="100" w:type="dxa"/>
            <w:vAlign w:val="bottom"/>
          </w:tcPr>
          <w:p>
            <w:pPr>
              <w:spacing w:after="0"/>
              <w:rPr>
                <w:sz w:val="15"/>
                <w:szCs w:val="15"/>
                <w:color w:val="auto"/>
              </w:rPr>
            </w:pPr>
          </w:p>
        </w:tc>
        <w:tc>
          <w:tcPr>
            <w:tcW w:w="840" w:type="dxa"/>
            <w:vAlign w:val="bottom"/>
            <w:tcBorders>
              <w:bottom w:val="single" w:sz="8" w:color="231F20"/>
            </w:tcBorders>
          </w:tcPr>
          <w:p>
            <w:pPr>
              <w:ind w:left="80"/>
              <w:spacing w:after="0" w:line="178" w:lineRule="exact"/>
              <w:rPr>
                <w:sz w:val="20"/>
                <w:szCs w:val="20"/>
                <w:color w:val="auto"/>
              </w:rPr>
            </w:pPr>
            <w:r>
              <w:rPr>
                <w:rFonts w:ascii="Arial" w:cs="Arial" w:eastAsia="Arial" w:hAnsi="Arial"/>
                <w:sz w:val="16"/>
                <w:szCs w:val="16"/>
                <w:b w:val="1"/>
                <w:bCs w:val="1"/>
                <w:color w:val="231F20"/>
              </w:rPr>
              <w:t>EXHIBIT</w:t>
            </w:r>
          </w:p>
        </w:tc>
        <w:tc>
          <w:tcPr>
            <w:tcW w:w="100" w:type="dxa"/>
            <w:vAlign w:val="bottom"/>
          </w:tcPr>
          <w:p>
            <w:pPr>
              <w:spacing w:after="0"/>
              <w:rPr>
                <w:sz w:val="15"/>
                <w:szCs w:val="15"/>
                <w:color w:val="auto"/>
              </w:rPr>
            </w:pPr>
          </w:p>
        </w:tc>
        <w:tc>
          <w:tcPr>
            <w:tcW w:w="1480" w:type="dxa"/>
            <w:vAlign w:val="bottom"/>
            <w:tcBorders>
              <w:bottom w:val="single" w:sz="8" w:color="231F20"/>
            </w:tcBorders>
          </w:tcPr>
          <w:p>
            <w:pPr>
              <w:jc w:val="center"/>
              <w:spacing w:after="0" w:line="178" w:lineRule="exact"/>
              <w:rPr>
                <w:sz w:val="20"/>
                <w:szCs w:val="20"/>
                <w:color w:val="auto"/>
              </w:rPr>
            </w:pPr>
            <w:r>
              <w:rPr>
                <w:rFonts w:ascii="Arial" w:cs="Arial" w:eastAsia="Arial" w:hAnsi="Arial"/>
                <w:sz w:val="16"/>
                <w:szCs w:val="16"/>
                <w:b w:val="1"/>
                <w:bCs w:val="1"/>
                <w:color w:val="231F20"/>
              </w:rPr>
              <w:t>DATE</w:t>
            </w:r>
          </w:p>
        </w:tc>
        <w:tc>
          <w:tcPr>
            <w:tcW w:w="100" w:type="dxa"/>
            <w:vAlign w:val="bottom"/>
          </w:tcPr>
          <w:p>
            <w:pPr>
              <w:spacing w:after="0"/>
              <w:rPr>
                <w:sz w:val="15"/>
                <w:szCs w:val="15"/>
                <w:color w:val="auto"/>
              </w:rPr>
            </w:pPr>
          </w:p>
        </w:tc>
        <w:tc>
          <w:tcPr>
            <w:tcW w:w="1040" w:type="dxa"/>
            <w:vAlign w:val="bottom"/>
            <w:tcBorders>
              <w:bottom w:val="single" w:sz="8" w:color="231F20"/>
            </w:tcBorders>
          </w:tcPr>
          <w:p>
            <w:pPr>
              <w:jc w:val="center"/>
              <w:spacing w:after="0" w:line="178" w:lineRule="exact"/>
              <w:rPr>
                <w:sz w:val="20"/>
                <w:szCs w:val="20"/>
                <w:color w:val="auto"/>
              </w:rPr>
            </w:pPr>
            <w:r>
              <w:rPr>
                <w:rFonts w:ascii="Arial" w:cs="Arial" w:eastAsia="Arial" w:hAnsi="Arial"/>
                <w:sz w:val="16"/>
                <w:szCs w:val="16"/>
                <w:b w:val="1"/>
                <w:bCs w:val="1"/>
                <w:color w:val="231F20"/>
              </w:rPr>
              <w:t>HEREWITH</w:t>
            </w:r>
          </w:p>
        </w:tc>
      </w:tr>
      <w:tr>
        <w:trPr>
          <w:trHeight w:val="345"/>
        </w:trPr>
        <w:tc>
          <w:tcPr>
            <w:tcW w:w="980" w:type="dxa"/>
            <w:vAlign w:val="bottom"/>
          </w:tcPr>
          <w:p>
            <w:pPr>
              <w:spacing w:after="0"/>
              <w:rPr>
                <w:sz w:val="20"/>
                <w:szCs w:val="20"/>
                <w:color w:val="auto"/>
              </w:rPr>
            </w:pPr>
            <w:r>
              <w:rPr>
                <w:rFonts w:ascii="Arial" w:cs="Arial" w:eastAsia="Arial" w:hAnsi="Arial"/>
                <w:sz w:val="19"/>
                <w:szCs w:val="19"/>
                <w:b w:val="1"/>
                <w:bCs w:val="1"/>
                <w:color w:val="231F20"/>
              </w:rPr>
              <w:t>10.2</w:t>
            </w:r>
          </w:p>
        </w:tc>
        <w:tc>
          <w:tcPr>
            <w:tcW w:w="3780" w:type="dxa"/>
            <w:vAlign w:val="bottom"/>
            <w:gridSpan w:val="3"/>
          </w:tcPr>
          <w:p>
            <w:pPr>
              <w:ind w:left="100"/>
              <w:spacing w:after="0"/>
              <w:rPr>
                <w:sz w:val="20"/>
                <w:szCs w:val="20"/>
                <w:color w:val="auto"/>
              </w:rPr>
            </w:pPr>
            <w:r>
              <w:rPr>
                <w:rFonts w:ascii="Arial" w:cs="Arial" w:eastAsia="Arial" w:hAnsi="Arial"/>
                <w:sz w:val="19"/>
                <w:szCs w:val="19"/>
                <w:b w:val="1"/>
                <w:bCs w:val="1"/>
                <w:color w:val="231F20"/>
                <w:w w:val="92"/>
              </w:rPr>
              <w:t>Sales Agreement, dated December 17, 2021,</w:t>
            </w:r>
          </w:p>
        </w:tc>
        <w:tc>
          <w:tcPr>
            <w:tcW w:w="780" w:type="dxa"/>
            <w:vAlign w:val="bottom"/>
          </w:tcPr>
          <w:p>
            <w:pPr>
              <w:jc w:val="center"/>
              <w:spacing w:after="0"/>
              <w:rPr>
                <w:sz w:val="20"/>
                <w:szCs w:val="20"/>
                <w:color w:val="auto"/>
              </w:rPr>
            </w:pPr>
            <w:r>
              <w:rPr>
                <w:rFonts w:ascii="Arial" w:cs="Arial" w:eastAsia="Arial" w:hAnsi="Arial"/>
                <w:sz w:val="19"/>
                <w:szCs w:val="19"/>
                <w:b w:val="1"/>
                <w:bCs w:val="1"/>
                <w:color w:val="231F20"/>
                <w:w w:val="97"/>
              </w:rPr>
              <w:t>8-K</w:t>
            </w:r>
          </w:p>
        </w:tc>
        <w:tc>
          <w:tcPr>
            <w:tcW w:w="1280" w:type="dxa"/>
            <w:vAlign w:val="bottom"/>
            <w:gridSpan w:val="2"/>
          </w:tcPr>
          <w:p>
            <w:pPr>
              <w:jc w:val="center"/>
              <w:ind w:left="23"/>
              <w:spacing w:after="0"/>
              <w:rPr>
                <w:sz w:val="20"/>
                <w:szCs w:val="20"/>
                <w:color w:val="auto"/>
              </w:rPr>
            </w:pPr>
            <w:r>
              <w:rPr>
                <w:rFonts w:ascii="Arial" w:cs="Arial" w:eastAsia="Arial" w:hAnsi="Arial"/>
                <w:sz w:val="19"/>
                <w:szCs w:val="19"/>
                <w:b w:val="1"/>
                <w:bCs w:val="1"/>
                <w:color w:val="231F20"/>
                <w:w w:val="92"/>
              </w:rPr>
              <w:t>001-39386</w:t>
            </w:r>
          </w:p>
        </w:tc>
        <w:tc>
          <w:tcPr>
            <w:tcW w:w="940" w:type="dxa"/>
            <w:vAlign w:val="bottom"/>
            <w:gridSpan w:val="2"/>
          </w:tcPr>
          <w:p>
            <w:pPr>
              <w:jc w:val="center"/>
              <w:ind w:left="3"/>
              <w:spacing w:after="0"/>
              <w:rPr>
                <w:sz w:val="20"/>
                <w:szCs w:val="20"/>
                <w:color w:val="auto"/>
              </w:rPr>
            </w:pPr>
            <w:r>
              <w:rPr>
                <w:rFonts w:ascii="Arial" w:cs="Arial" w:eastAsia="Arial" w:hAnsi="Arial"/>
                <w:sz w:val="19"/>
                <w:szCs w:val="19"/>
                <w:b w:val="1"/>
                <w:bCs w:val="1"/>
                <w:color w:val="231F20"/>
                <w:w w:val="90"/>
              </w:rPr>
              <w:t>1.1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9"/>
                <w:szCs w:val="19"/>
                <w:b w:val="1"/>
                <w:bCs w:val="1"/>
                <w:color w:val="231F20"/>
                <w:w w:val="87"/>
              </w:rPr>
              <w:t>December 17,</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w w:val="92"/>
              </w:rPr>
              <w:t>by and among ALX Oncology Holdings Inc.,</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80" w:type="dxa"/>
            <w:vAlign w:val="bottom"/>
            <w:gridSpan w:val="2"/>
          </w:tcPr>
          <w:p>
            <w:pPr>
              <w:jc w:val="center"/>
              <w:ind w:left="3"/>
              <w:spacing w:after="0"/>
              <w:rPr>
                <w:sz w:val="20"/>
                <w:szCs w:val="20"/>
                <w:color w:val="auto"/>
              </w:rPr>
            </w:pPr>
            <w:r>
              <w:rPr>
                <w:rFonts w:ascii="Arial" w:cs="Arial" w:eastAsia="Arial" w:hAnsi="Arial"/>
                <w:sz w:val="19"/>
                <w:szCs w:val="19"/>
                <w:b w:val="1"/>
                <w:bCs w:val="1"/>
                <w:color w:val="231F20"/>
                <w:w w:val="94"/>
              </w:rPr>
              <w:t>2021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w w:val="95"/>
              </w:rPr>
              <w:t>Cantor Fitzgerald &amp; Co., and Credit Suisse</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rPr>
              <w:t>Securities (USA) LLC.</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58"/>
        </w:trPr>
        <w:tc>
          <w:tcPr>
            <w:tcW w:w="980" w:type="dxa"/>
            <w:vAlign w:val="bottom"/>
          </w:tcPr>
          <w:p>
            <w:pPr>
              <w:spacing w:after="0"/>
              <w:rPr>
                <w:sz w:val="20"/>
                <w:szCs w:val="20"/>
                <w:color w:val="auto"/>
              </w:rPr>
            </w:pPr>
            <w:r>
              <w:rPr>
                <w:rFonts w:ascii="Arial" w:cs="Arial" w:eastAsia="Arial" w:hAnsi="Arial"/>
                <w:sz w:val="19"/>
                <w:szCs w:val="19"/>
                <w:b w:val="1"/>
                <w:bCs w:val="1"/>
                <w:color w:val="231F20"/>
              </w:rPr>
              <w:t>10.2.1#</w:t>
            </w:r>
          </w:p>
        </w:tc>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w w:val="96"/>
              </w:rPr>
              <w:t>Amendment No. 1 to the Sales Agreement</w:t>
            </w:r>
          </w:p>
        </w:tc>
        <w:tc>
          <w:tcPr>
            <w:tcW w:w="780" w:type="dxa"/>
            <w:vAlign w:val="bottom"/>
          </w:tcPr>
          <w:p>
            <w:pPr>
              <w:jc w:val="center"/>
              <w:spacing w:after="0"/>
              <w:rPr>
                <w:sz w:val="20"/>
                <w:szCs w:val="20"/>
                <w:color w:val="auto"/>
              </w:rPr>
            </w:pPr>
            <w:r>
              <w:rPr>
                <w:rFonts w:ascii="Arial" w:cs="Arial" w:eastAsia="Arial" w:hAnsi="Arial"/>
                <w:sz w:val="19"/>
                <w:szCs w:val="19"/>
                <w:b w:val="1"/>
                <w:bCs w:val="1"/>
                <w:color w:val="231F20"/>
                <w:w w:val="94"/>
              </w:rPr>
              <w:t>10-Q</w:t>
            </w:r>
          </w:p>
        </w:tc>
        <w:tc>
          <w:tcPr>
            <w:tcW w:w="1280" w:type="dxa"/>
            <w:vAlign w:val="bottom"/>
            <w:gridSpan w:val="2"/>
          </w:tcPr>
          <w:p>
            <w:pPr>
              <w:jc w:val="center"/>
              <w:ind w:left="23"/>
              <w:spacing w:after="0"/>
              <w:rPr>
                <w:sz w:val="20"/>
                <w:szCs w:val="20"/>
                <w:color w:val="auto"/>
              </w:rPr>
            </w:pPr>
            <w:r>
              <w:rPr>
                <w:rFonts w:ascii="Arial" w:cs="Arial" w:eastAsia="Arial" w:hAnsi="Arial"/>
                <w:sz w:val="19"/>
                <w:szCs w:val="19"/>
                <w:b w:val="1"/>
                <w:bCs w:val="1"/>
                <w:color w:val="231F20"/>
                <w:w w:val="92"/>
              </w:rPr>
              <w:t>001-39386</w:t>
            </w:r>
          </w:p>
        </w:tc>
        <w:tc>
          <w:tcPr>
            <w:tcW w:w="940" w:type="dxa"/>
            <w:vAlign w:val="bottom"/>
            <w:gridSpan w:val="2"/>
          </w:tcPr>
          <w:p>
            <w:pPr>
              <w:jc w:val="center"/>
              <w:ind w:left="23"/>
              <w:spacing w:after="0"/>
              <w:rPr>
                <w:sz w:val="20"/>
                <w:szCs w:val="20"/>
                <w:color w:val="auto"/>
              </w:rPr>
            </w:pPr>
            <w:r>
              <w:rPr>
                <w:rFonts w:ascii="Arial" w:cs="Arial" w:eastAsia="Arial" w:hAnsi="Arial"/>
                <w:sz w:val="19"/>
                <w:szCs w:val="19"/>
                <w:b w:val="1"/>
                <w:bCs w:val="1"/>
                <w:color w:val="231F20"/>
                <w:w w:val="91"/>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9"/>
                <w:szCs w:val="19"/>
                <w:b w:val="1"/>
                <w:bCs w:val="1"/>
                <w:color w:val="231F20"/>
                <w:w w:val="89"/>
              </w:rPr>
              <w:t>November 13,</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w w:val="90"/>
              </w:rPr>
              <w:t>with Cantor and Credit Suisse, dated August</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80" w:type="dxa"/>
            <w:vAlign w:val="bottom"/>
            <w:gridSpan w:val="2"/>
          </w:tcPr>
          <w:p>
            <w:pPr>
              <w:jc w:val="center"/>
              <w:ind w:left="3"/>
              <w:spacing w:after="0"/>
              <w:rPr>
                <w:sz w:val="20"/>
                <w:szCs w:val="20"/>
                <w:color w:val="auto"/>
              </w:rPr>
            </w:pPr>
            <w:r>
              <w:rPr>
                <w:rFonts w:ascii="Arial" w:cs="Arial" w:eastAsia="Arial" w:hAnsi="Arial"/>
                <w:sz w:val="19"/>
                <w:szCs w:val="19"/>
                <w:b w:val="1"/>
                <w:bCs w:val="1"/>
                <w:color w:val="231F20"/>
                <w:w w:val="94"/>
              </w:rPr>
              <w:t>2023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980" w:type="dxa"/>
            <w:vAlign w:val="bottom"/>
          </w:tcPr>
          <w:p>
            <w:pPr>
              <w:spacing w:after="0"/>
              <w:rPr>
                <w:sz w:val="19"/>
                <w:szCs w:val="19"/>
                <w:color w:val="auto"/>
              </w:rPr>
            </w:pPr>
          </w:p>
        </w:tc>
        <w:tc>
          <w:tcPr>
            <w:tcW w:w="3660" w:type="dxa"/>
            <w:vAlign w:val="bottom"/>
            <w:gridSpan w:val="2"/>
          </w:tcPr>
          <w:p>
            <w:pPr>
              <w:ind w:left="100"/>
              <w:spacing w:after="0"/>
              <w:rPr>
                <w:sz w:val="20"/>
                <w:szCs w:val="20"/>
                <w:color w:val="auto"/>
              </w:rPr>
            </w:pPr>
            <w:r>
              <w:rPr>
                <w:rFonts w:ascii="Arial" w:cs="Arial" w:eastAsia="Arial" w:hAnsi="Arial"/>
                <w:sz w:val="19"/>
                <w:szCs w:val="19"/>
                <w:b w:val="1"/>
                <w:bCs w:val="1"/>
                <w:color w:val="231F20"/>
              </w:rPr>
              <w:t>25, 2023.</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58"/>
        </w:trPr>
        <w:tc>
          <w:tcPr>
            <w:tcW w:w="980" w:type="dxa"/>
            <w:vAlign w:val="bottom"/>
          </w:tcPr>
          <w:p>
            <w:pPr>
              <w:spacing w:after="0"/>
              <w:rPr>
                <w:sz w:val="20"/>
                <w:szCs w:val="20"/>
                <w:color w:val="auto"/>
              </w:rPr>
            </w:pPr>
            <w:r>
              <w:rPr>
                <w:rFonts w:ascii="Arial" w:cs="Arial" w:eastAsia="Arial" w:hAnsi="Arial"/>
                <w:sz w:val="19"/>
                <w:szCs w:val="19"/>
                <w:b w:val="1"/>
                <w:bCs w:val="1"/>
                <w:color w:val="231F20"/>
              </w:rPr>
              <w:t>10.3+</w:t>
            </w:r>
          </w:p>
        </w:tc>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w w:val="90"/>
              </w:rPr>
              <w:t>Form of Indemnification Agreement between</w:t>
            </w:r>
          </w:p>
        </w:tc>
        <w:tc>
          <w:tcPr>
            <w:tcW w:w="780" w:type="dxa"/>
            <w:vAlign w:val="bottom"/>
          </w:tcPr>
          <w:p>
            <w:pPr>
              <w:jc w:val="center"/>
              <w:spacing w:after="0"/>
              <w:rPr>
                <w:sz w:val="20"/>
                <w:szCs w:val="20"/>
                <w:color w:val="auto"/>
              </w:rPr>
            </w:pPr>
            <w:r>
              <w:rPr>
                <w:rFonts w:ascii="Arial" w:cs="Arial" w:eastAsia="Arial" w:hAnsi="Arial"/>
                <w:sz w:val="19"/>
                <w:szCs w:val="19"/>
                <w:b w:val="1"/>
                <w:bCs w:val="1"/>
                <w:color w:val="231F20"/>
                <w:w w:val="87"/>
              </w:rPr>
              <w:t>S-1</w:t>
            </w:r>
          </w:p>
        </w:tc>
        <w:tc>
          <w:tcPr>
            <w:tcW w:w="1280" w:type="dxa"/>
            <w:vAlign w:val="bottom"/>
            <w:gridSpan w:val="2"/>
          </w:tcPr>
          <w:p>
            <w:pPr>
              <w:jc w:val="center"/>
              <w:ind w:left="3"/>
              <w:spacing w:after="0"/>
              <w:rPr>
                <w:sz w:val="20"/>
                <w:szCs w:val="20"/>
                <w:color w:val="auto"/>
              </w:rPr>
            </w:pPr>
            <w:r>
              <w:rPr>
                <w:rFonts w:ascii="Arial" w:cs="Arial" w:eastAsia="Arial" w:hAnsi="Arial"/>
                <w:sz w:val="19"/>
                <w:szCs w:val="19"/>
                <w:b w:val="1"/>
                <w:bCs w:val="1"/>
                <w:color w:val="231F20"/>
                <w:w w:val="92"/>
              </w:rPr>
              <w:t>333-239490</w:t>
            </w:r>
          </w:p>
        </w:tc>
        <w:tc>
          <w:tcPr>
            <w:tcW w:w="940" w:type="dxa"/>
            <w:vAlign w:val="bottom"/>
            <w:gridSpan w:val="2"/>
          </w:tcPr>
          <w:p>
            <w:pPr>
              <w:jc w:val="center"/>
              <w:ind w:left="3"/>
              <w:spacing w:after="0"/>
              <w:rPr>
                <w:sz w:val="20"/>
                <w:szCs w:val="20"/>
                <w:color w:val="auto"/>
              </w:rPr>
            </w:pPr>
            <w:r>
              <w:rPr>
                <w:rFonts w:ascii="Arial" w:cs="Arial" w:eastAsia="Arial" w:hAnsi="Arial"/>
                <w:sz w:val="19"/>
                <w:szCs w:val="19"/>
                <w:b w:val="1"/>
                <w:bCs w:val="1"/>
                <w:color w:val="231F20"/>
                <w:w w:val="86"/>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9"/>
                <w:szCs w:val="19"/>
                <w:b w:val="1"/>
                <w:bCs w:val="1"/>
                <w:color w:val="231F20"/>
                <w:w w:val="87"/>
              </w:rPr>
              <w:t>June 26, 2020</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1"/>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w w:val="93"/>
              </w:rPr>
              <w:t>the Registrant and each of its directors and</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rPr>
              <w:t>executive officers.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58"/>
        </w:trPr>
        <w:tc>
          <w:tcPr>
            <w:tcW w:w="980" w:type="dxa"/>
            <w:vAlign w:val="bottom"/>
          </w:tcPr>
          <w:p>
            <w:pPr>
              <w:spacing w:after="0"/>
              <w:rPr>
                <w:sz w:val="20"/>
                <w:szCs w:val="20"/>
                <w:color w:val="auto"/>
              </w:rPr>
            </w:pPr>
            <w:r>
              <w:rPr>
                <w:rFonts w:ascii="Arial" w:cs="Arial" w:eastAsia="Arial" w:hAnsi="Arial"/>
                <w:sz w:val="19"/>
                <w:szCs w:val="19"/>
                <w:b w:val="1"/>
                <w:bCs w:val="1"/>
                <w:color w:val="231F20"/>
              </w:rPr>
              <w:t>10.4+</w:t>
            </w:r>
          </w:p>
        </w:tc>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rPr>
              <w:t>Amended and Restated 2020 Equity</w:t>
            </w:r>
          </w:p>
        </w:tc>
        <w:tc>
          <w:tcPr>
            <w:tcW w:w="780" w:type="dxa"/>
            <w:vAlign w:val="bottom"/>
          </w:tcPr>
          <w:p>
            <w:pPr>
              <w:jc w:val="center"/>
              <w:spacing w:after="0"/>
              <w:rPr>
                <w:sz w:val="20"/>
                <w:szCs w:val="20"/>
                <w:color w:val="auto"/>
              </w:rPr>
            </w:pPr>
            <w:r>
              <w:rPr>
                <w:rFonts w:ascii="Arial" w:cs="Arial" w:eastAsia="Arial" w:hAnsi="Arial"/>
                <w:sz w:val="19"/>
                <w:szCs w:val="19"/>
                <w:b w:val="1"/>
                <w:bCs w:val="1"/>
                <w:color w:val="231F20"/>
                <w:w w:val="94"/>
              </w:rPr>
              <w:t>S-1/A</w:t>
            </w:r>
          </w:p>
        </w:tc>
        <w:tc>
          <w:tcPr>
            <w:tcW w:w="1280" w:type="dxa"/>
            <w:vAlign w:val="bottom"/>
            <w:gridSpan w:val="2"/>
          </w:tcPr>
          <w:p>
            <w:pPr>
              <w:jc w:val="center"/>
              <w:ind w:left="3"/>
              <w:spacing w:after="0"/>
              <w:rPr>
                <w:sz w:val="20"/>
                <w:szCs w:val="20"/>
                <w:color w:val="auto"/>
              </w:rPr>
            </w:pPr>
            <w:r>
              <w:rPr>
                <w:rFonts w:ascii="Arial" w:cs="Arial" w:eastAsia="Arial" w:hAnsi="Arial"/>
                <w:sz w:val="19"/>
                <w:szCs w:val="19"/>
                <w:b w:val="1"/>
                <w:bCs w:val="1"/>
                <w:color w:val="231F20"/>
                <w:w w:val="92"/>
              </w:rPr>
              <w:t>333-239490</w:t>
            </w:r>
          </w:p>
        </w:tc>
        <w:tc>
          <w:tcPr>
            <w:tcW w:w="940" w:type="dxa"/>
            <w:vAlign w:val="bottom"/>
            <w:gridSpan w:val="2"/>
          </w:tcPr>
          <w:p>
            <w:pPr>
              <w:jc w:val="center"/>
              <w:ind w:left="23"/>
              <w:spacing w:after="0"/>
              <w:rPr>
                <w:sz w:val="20"/>
                <w:szCs w:val="20"/>
                <w:color w:val="auto"/>
              </w:rPr>
            </w:pPr>
            <w:r>
              <w:rPr>
                <w:rFonts w:ascii="Arial" w:cs="Arial" w:eastAsia="Arial" w:hAnsi="Arial"/>
                <w:sz w:val="19"/>
                <w:szCs w:val="19"/>
                <w:b w:val="1"/>
                <w:bCs w:val="1"/>
                <w:color w:val="231F20"/>
                <w:w w:val="91"/>
              </w:rPr>
              <w:t>10.2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9"/>
                <w:szCs w:val="19"/>
                <w:b w:val="1"/>
                <w:bCs w:val="1"/>
                <w:color w:val="231F20"/>
                <w:w w:val="88"/>
              </w:rPr>
              <w:t>July 13, 2020</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rPr>
              <w:t>Incentive Plan and forms of agreements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rPr>
              <w:t>thereunder.</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58"/>
        </w:trPr>
        <w:tc>
          <w:tcPr>
            <w:tcW w:w="980" w:type="dxa"/>
            <w:vAlign w:val="bottom"/>
          </w:tcPr>
          <w:p>
            <w:pPr>
              <w:spacing w:after="0"/>
              <w:rPr>
                <w:sz w:val="20"/>
                <w:szCs w:val="20"/>
                <w:color w:val="auto"/>
              </w:rPr>
            </w:pPr>
            <w:r>
              <w:rPr>
                <w:rFonts w:ascii="Arial" w:cs="Arial" w:eastAsia="Arial" w:hAnsi="Arial"/>
                <w:sz w:val="19"/>
                <w:szCs w:val="19"/>
                <w:b w:val="1"/>
                <w:bCs w:val="1"/>
                <w:color w:val="231F20"/>
              </w:rPr>
              <w:t>10.5+</w:t>
            </w:r>
          </w:p>
        </w:tc>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rPr>
              <w:t>2020 Employee Stock Purchase Plan.</w:t>
            </w:r>
          </w:p>
        </w:tc>
        <w:tc>
          <w:tcPr>
            <w:tcW w:w="780" w:type="dxa"/>
            <w:vAlign w:val="bottom"/>
          </w:tcPr>
          <w:p>
            <w:pPr>
              <w:jc w:val="center"/>
              <w:spacing w:after="0"/>
              <w:rPr>
                <w:sz w:val="20"/>
                <w:szCs w:val="20"/>
                <w:color w:val="auto"/>
              </w:rPr>
            </w:pPr>
            <w:r>
              <w:rPr>
                <w:rFonts w:ascii="Arial" w:cs="Arial" w:eastAsia="Arial" w:hAnsi="Arial"/>
                <w:sz w:val="19"/>
                <w:szCs w:val="19"/>
                <w:b w:val="1"/>
                <w:bCs w:val="1"/>
                <w:color w:val="231F20"/>
                <w:w w:val="94"/>
              </w:rPr>
              <w:t>S-1/A</w:t>
            </w:r>
          </w:p>
        </w:tc>
        <w:tc>
          <w:tcPr>
            <w:tcW w:w="1280" w:type="dxa"/>
            <w:vAlign w:val="bottom"/>
            <w:gridSpan w:val="2"/>
          </w:tcPr>
          <w:p>
            <w:pPr>
              <w:jc w:val="center"/>
              <w:ind w:left="3"/>
              <w:spacing w:after="0"/>
              <w:rPr>
                <w:sz w:val="20"/>
                <w:szCs w:val="20"/>
                <w:color w:val="auto"/>
              </w:rPr>
            </w:pPr>
            <w:r>
              <w:rPr>
                <w:rFonts w:ascii="Arial" w:cs="Arial" w:eastAsia="Arial" w:hAnsi="Arial"/>
                <w:sz w:val="19"/>
                <w:szCs w:val="19"/>
                <w:b w:val="1"/>
                <w:bCs w:val="1"/>
                <w:color w:val="231F20"/>
                <w:w w:val="92"/>
              </w:rPr>
              <w:t>333-239490</w:t>
            </w:r>
          </w:p>
        </w:tc>
        <w:tc>
          <w:tcPr>
            <w:tcW w:w="940" w:type="dxa"/>
            <w:vAlign w:val="bottom"/>
            <w:gridSpan w:val="2"/>
          </w:tcPr>
          <w:p>
            <w:pPr>
              <w:jc w:val="center"/>
              <w:ind w:left="23"/>
              <w:spacing w:after="0"/>
              <w:rPr>
                <w:sz w:val="20"/>
                <w:szCs w:val="20"/>
                <w:color w:val="auto"/>
              </w:rPr>
            </w:pPr>
            <w:r>
              <w:rPr>
                <w:rFonts w:ascii="Arial" w:cs="Arial" w:eastAsia="Arial" w:hAnsi="Arial"/>
                <w:sz w:val="19"/>
                <w:szCs w:val="19"/>
                <w:b w:val="1"/>
                <w:bCs w:val="1"/>
                <w:color w:val="231F20"/>
                <w:w w:val="91"/>
              </w:rPr>
              <w:t>10.3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9"/>
                <w:szCs w:val="19"/>
                <w:b w:val="1"/>
                <w:bCs w:val="1"/>
                <w:color w:val="231F20"/>
                <w:w w:val="88"/>
              </w:rPr>
              <w:t>July 13, 2020</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55"/>
        </w:trPr>
        <w:tc>
          <w:tcPr>
            <w:tcW w:w="980" w:type="dxa"/>
            <w:vAlign w:val="bottom"/>
          </w:tcPr>
          <w:p>
            <w:pPr>
              <w:spacing w:after="0"/>
              <w:rPr>
                <w:sz w:val="20"/>
                <w:szCs w:val="20"/>
                <w:color w:val="auto"/>
              </w:rPr>
            </w:pPr>
            <w:r>
              <w:rPr>
                <w:rFonts w:ascii="Arial" w:cs="Arial" w:eastAsia="Arial" w:hAnsi="Arial"/>
                <w:sz w:val="19"/>
                <w:szCs w:val="19"/>
                <w:b w:val="1"/>
                <w:bCs w:val="1"/>
                <w:color w:val="231F20"/>
              </w:rPr>
              <w:t>10.6+^</w:t>
            </w:r>
          </w:p>
        </w:tc>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w w:val="96"/>
              </w:rPr>
              <w:t>Confirmatory Employment Letter between</w:t>
            </w:r>
          </w:p>
        </w:tc>
        <w:tc>
          <w:tcPr>
            <w:tcW w:w="780" w:type="dxa"/>
            <w:vAlign w:val="bottom"/>
          </w:tcPr>
          <w:p>
            <w:pPr>
              <w:jc w:val="center"/>
              <w:spacing w:after="0"/>
              <w:rPr>
                <w:sz w:val="20"/>
                <w:szCs w:val="20"/>
                <w:color w:val="auto"/>
              </w:rPr>
            </w:pPr>
            <w:r>
              <w:rPr>
                <w:rFonts w:ascii="Arial" w:cs="Arial" w:eastAsia="Arial" w:hAnsi="Arial"/>
                <w:sz w:val="19"/>
                <w:szCs w:val="19"/>
                <w:b w:val="1"/>
                <w:bCs w:val="1"/>
                <w:color w:val="231F20"/>
                <w:w w:val="97"/>
              </w:rPr>
              <w:t>8-K</w:t>
            </w:r>
          </w:p>
        </w:tc>
        <w:tc>
          <w:tcPr>
            <w:tcW w:w="1280" w:type="dxa"/>
            <w:vAlign w:val="bottom"/>
            <w:gridSpan w:val="2"/>
          </w:tcPr>
          <w:p>
            <w:pPr>
              <w:jc w:val="center"/>
              <w:ind w:left="23"/>
              <w:spacing w:after="0"/>
              <w:rPr>
                <w:sz w:val="20"/>
                <w:szCs w:val="20"/>
                <w:color w:val="auto"/>
              </w:rPr>
            </w:pPr>
            <w:r>
              <w:rPr>
                <w:rFonts w:ascii="Arial" w:cs="Arial" w:eastAsia="Arial" w:hAnsi="Arial"/>
                <w:sz w:val="19"/>
                <w:szCs w:val="19"/>
                <w:b w:val="1"/>
                <w:bCs w:val="1"/>
                <w:color w:val="231F20"/>
                <w:w w:val="92"/>
              </w:rPr>
              <w:t>001-39386</w:t>
            </w:r>
          </w:p>
        </w:tc>
        <w:tc>
          <w:tcPr>
            <w:tcW w:w="940" w:type="dxa"/>
            <w:vAlign w:val="bottom"/>
            <w:gridSpan w:val="2"/>
          </w:tcPr>
          <w:p>
            <w:pPr>
              <w:jc w:val="center"/>
              <w:ind w:left="23"/>
              <w:spacing w:after="0"/>
              <w:rPr>
                <w:sz w:val="20"/>
                <w:szCs w:val="20"/>
                <w:color w:val="auto"/>
              </w:rPr>
            </w:pPr>
            <w:r>
              <w:rPr>
                <w:rFonts w:ascii="Arial" w:cs="Arial" w:eastAsia="Arial" w:hAnsi="Arial"/>
                <w:sz w:val="19"/>
                <w:szCs w:val="19"/>
                <w:b w:val="1"/>
                <w:bCs w:val="1"/>
                <w:color w:val="231F20"/>
                <w:w w:val="91"/>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9"/>
                <w:szCs w:val="19"/>
                <w:b w:val="1"/>
                <w:bCs w:val="1"/>
                <w:color w:val="231F20"/>
                <w:w w:val="87"/>
              </w:rPr>
              <w:t>September 6, 2023</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rPr>
              <w:t>the Registrant and Jason Lettmann.</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58"/>
        </w:trPr>
        <w:tc>
          <w:tcPr>
            <w:tcW w:w="980" w:type="dxa"/>
            <w:vAlign w:val="bottom"/>
          </w:tcPr>
          <w:p>
            <w:pPr>
              <w:spacing w:after="0"/>
              <w:rPr>
                <w:sz w:val="20"/>
                <w:szCs w:val="20"/>
                <w:color w:val="auto"/>
              </w:rPr>
            </w:pPr>
            <w:r>
              <w:rPr>
                <w:rFonts w:ascii="Arial" w:cs="Arial" w:eastAsia="Arial" w:hAnsi="Arial"/>
                <w:sz w:val="19"/>
                <w:szCs w:val="19"/>
                <w:b w:val="1"/>
                <w:bCs w:val="1"/>
                <w:color w:val="231F20"/>
              </w:rPr>
              <w:t>10.7+^</w:t>
            </w:r>
          </w:p>
        </w:tc>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w w:val="96"/>
              </w:rPr>
              <w:t>Confirmatory Employment Letter between</w:t>
            </w:r>
          </w:p>
        </w:tc>
        <w:tc>
          <w:tcPr>
            <w:tcW w:w="780" w:type="dxa"/>
            <w:vAlign w:val="bottom"/>
          </w:tcPr>
          <w:p>
            <w:pPr>
              <w:jc w:val="center"/>
              <w:spacing w:after="0"/>
              <w:rPr>
                <w:sz w:val="20"/>
                <w:szCs w:val="20"/>
                <w:color w:val="auto"/>
              </w:rPr>
            </w:pPr>
            <w:r>
              <w:rPr>
                <w:rFonts w:ascii="Arial" w:cs="Arial" w:eastAsia="Arial" w:hAnsi="Arial"/>
                <w:sz w:val="19"/>
                <w:szCs w:val="19"/>
                <w:b w:val="1"/>
                <w:bCs w:val="1"/>
                <w:color w:val="231F20"/>
                <w:w w:val="97"/>
              </w:rPr>
              <w:t>8-K</w:t>
            </w:r>
          </w:p>
        </w:tc>
        <w:tc>
          <w:tcPr>
            <w:tcW w:w="1280" w:type="dxa"/>
            <w:vAlign w:val="bottom"/>
            <w:gridSpan w:val="2"/>
          </w:tcPr>
          <w:p>
            <w:pPr>
              <w:jc w:val="center"/>
              <w:ind w:left="23"/>
              <w:spacing w:after="0"/>
              <w:rPr>
                <w:sz w:val="20"/>
                <w:szCs w:val="20"/>
                <w:color w:val="auto"/>
              </w:rPr>
            </w:pPr>
            <w:r>
              <w:rPr>
                <w:rFonts w:ascii="Arial" w:cs="Arial" w:eastAsia="Arial" w:hAnsi="Arial"/>
                <w:sz w:val="19"/>
                <w:szCs w:val="19"/>
                <w:b w:val="1"/>
                <w:bCs w:val="1"/>
                <w:color w:val="231F20"/>
                <w:w w:val="92"/>
              </w:rPr>
              <w:t>001-39386</w:t>
            </w:r>
          </w:p>
        </w:tc>
        <w:tc>
          <w:tcPr>
            <w:tcW w:w="940" w:type="dxa"/>
            <w:vAlign w:val="bottom"/>
            <w:gridSpan w:val="2"/>
          </w:tcPr>
          <w:p>
            <w:pPr>
              <w:jc w:val="center"/>
              <w:ind w:left="23"/>
              <w:spacing w:after="0"/>
              <w:rPr>
                <w:sz w:val="20"/>
                <w:szCs w:val="20"/>
                <w:color w:val="auto"/>
              </w:rPr>
            </w:pPr>
            <w:r>
              <w:rPr>
                <w:rFonts w:ascii="Arial" w:cs="Arial" w:eastAsia="Arial" w:hAnsi="Arial"/>
                <w:sz w:val="19"/>
                <w:szCs w:val="19"/>
                <w:b w:val="1"/>
                <w:bCs w:val="1"/>
                <w:color w:val="231F20"/>
                <w:w w:val="91"/>
              </w:rPr>
              <w:t>10.2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9"/>
                <w:szCs w:val="19"/>
                <w:b w:val="1"/>
                <w:bCs w:val="1"/>
                <w:color w:val="231F20"/>
                <w:w w:val="87"/>
              </w:rPr>
              <w:t>September 6, 2023</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rPr>
              <w:t>the Registrant and Jaume Pons, Ph.D.</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58"/>
        </w:trPr>
        <w:tc>
          <w:tcPr>
            <w:tcW w:w="980" w:type="dxa"/>
            <w:vAlign w:val="bottom"/>
          </w:tcPr>
          <w:p>
            <w:pPr>
              <w:spacing w:after="0"/>
              <w:rPr>
                <w:sz w:val="20"/>
                <w:szCs w:val="20"/>
                <w:color w:val="auto"/>
              </w:rPr>
            </w:pPr>
            <w:r>
              <w:rPr>
                <w:rFonts w:ascii="Arial" w:cs="Arial" w:eastAsia="Arial" w:hAnsi="Arial"/>
                <w:sz w:val="19"/>
                <w:szCs w:val="19"/>
                <w:b w:val="1"/>
                <w:bCs w:val="1"/>
                <w:color w:val="231F20"/>
              </w:rPr>
              <w:t>10.8+</w:t>
            </w:r>
          </w:p>
        </w:tc>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rPr>
              <w:t>Confirmatory Offer Letter between the</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9"/>
                <w:szCs w:val="19"/>
                <w:b w:val="1"/>
                <w:bCs w:val="1"/>
                <w:color w:val="231F20"/>
              </w:rPr>
              <w:t>X</w:t>
            </w: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rPr>
              <w:t>Registrant and Harish Shantharam.</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55"/>
        </w:trPr>
        <w:tc>
          <w:tcPr>
            <w:tcW w:w="980" w:type="dxa"/>
            <w:vAlign w:val="bottom"/>
          </w:tcPr>
          <w:p>
            <w:pPr>
              <w:spacing w:after="0"/>
              <w:rPr>
                <w:sz w:val="20"/>
                <w:szCs w:val="20"/>
                <w:color w:val="auto"/>
              </w:rPr>
            </w:pPr>
            <w:r>
              <w:rPr>
                <w:rFonts w:ascii="Arial" w:cs="Arial" w:eastAsia="Arial" w:hAnsi="Arial"/>
                <w:sz w:val="19"/>
                <w:szCs w:val="19"/>
                <w:b w:val="1"/>
                <w:bCs w:val="1"/>
                <w:color w:val="231F20"/>
              </w:rPr>
              <w:t>10.9+^</w:t>
            </w:r>
          </w:p>
        </w:tc>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rPr>
              <w:t>Confirmatory Offer Letter between the</w:t>
            </w:r>
          </w:p>
        </w:tc>
        <w:tc>
          <w:tcPr>
            <w:tcW w:w="780" w:type="dxa"/>
            <w:vAlign w:val="bottom"/>
          </w:tcPr>
          <w:p>
            <w:pPr>
              <w:jc w:val="center"/>
              <w:spacing w:after="0"/>
              <w:rPr>
                <w:sz w:val="20"/>
                <w:szCs w:val="20"/>
                <w:color w:val="auto"/>
              </w:rPr>
            </w:pPr>
            <w:r>
              <w:rPr>
                <w:rFonts w:ascii="Arial" w:cs="Arial" w:eastAsia="Arial" w:hAnsi="Arial"/>
                <w:sz w:val="19"/>
                <w:szCs w:val="19"/>
                <w:b w:val="1"/>
                <w:bCs w:val="1"/>
                <w:color w:val="231F20"/>
                <w:w w:val="94"/>
              </w:rPr>
              <w:t>S-1/A</w:t>
            </w:r>
          </w:p>
        </w:tc>
        <w:tc>
          <w:tcPr>
            <w:tcW w:w="1280" w:type="dxa"/>
            <w:vAlign w:val="bottom"/>
            <w:gridSpan w:val="2"/>
          </w:tcPr>
          <w:p>
            <w:pPr>
              <w:jc w:val="center"/>
              <w:ind w:left="3"/>
              <w:spacing w:after="0"/>
              <w:rPr>
                <w:sz w:val="20"/>
                <w:szCs w:val="20"/>
                <w:color w:val="auto"/>
              </w:rPr>
            </w:pPr>
            <w:r>
              <w:rPr>
                <w:rFonts w:ascii="Arial" w:cs="Arial" w:eastAsia="Arial" w:hAnsi="Arial"/>
                <w:sz w:val="19"/>
                <w:szCs w:val="19"/>
                <w:b w:val="1"/>
                <w:bCs w:val="1"/>
                <w:color w:val="231F20"/>
                <w:w w:val="92"/>
              </w:rPr>
              <w:t>333-239490</w:t>
            </w:r>
          </w:p>
        </w:tc>
        <w:tc>
          <w:tcPr>
            <w:tcW w:w="940" w:type="dxa"/>
            <w:vAlign w:val="bottom"/>
            <w:gridSpan w:val="2"/>
          </w:tcPr>
          <w:p>
            <w:pPr>
              <w:jc w:val="center"/>
              <w:ind w:left="23"/>
              <w:spacing w:after="0"/>
              <w:rPr>
                <w:sz w:val="20"/>
                <w:szCs w:val="20"/>
                <w:color w:val="auto"/>
              </w:rPr>
            </w:pPr>
            <w:r>
              <w:rPr>
                <w:rFonts w:ascii="Arial" w:cs="Arial" w:eastAsia="Arial" w:hAnsi="Arial"/>
                <w:sz w:val="19"/>
                <w:szCs w:val="19"/>
                <w:b w:val="1"/>
                <w:bCs w:val="1"/>
                <w:color w:val="231F20"/>
                <w:w w:val="91"/>
              </w:rPr>
              <w:t>10.6</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9"/>
                <w:szCs w:val="19"/>
                <w:b w:val="1"/>
                <w:bCs w:val="1"/>
                <w:color w:val="231F20"/>
                <w:w w:val="88"/>
              </w:rPr>
              <w:t>July 13, 2020</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rPr>
              <w:t>Registrant and Peter García.</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58"/>
        </w:trPr>
        <w:tc>
          <w:tcPr>
            <w:tcW w:w="980" w:type="dxa"/>
            <w:vAlign w:val="bottom"/>
          </w:tcPr>
          <w:p>
            <w:pPr>
              <w:spacing w:after="0"/>
              <w:rPr>
                <w:sz w:val="20"/>
                <w:szCs w:val="20"/>
                <w:color w:val="auto"/>
              </w:rPr>
            </w:pPr>
            <w:r>
              <w:rPr>
                <w:rFonts w:ascii="Arial" w:cs="Arial" w:eastAsia="Arial" w:hAnsi="Arial"/>
                <w:sz w:val="19"/>
                <w:szCs w:val="19"/>
                <w:b w:val="1"/>
                <w:bCs w:val="1"/>
                <w:color w:val="231F20"/>
              </w:rPr>
              <w:t>10.10+^</w:t>
            </w:r>
          </w:p>
        </w:tc>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rPr>
              <w:t>Confirmatory Offer Letter between the</w:t>
            </w:r>
          </w:p>
        </w:tc>
        <w:tc>
          <w:tcPr>
            <w:tcW w:w="780" w:type="dxa"/>
            <w:vAlign w:val="bottom"/>
          </w:tcPr>
          <w:p>
            <w:pPr>
              <w:jc w:val="center"/>
              <w:spacing w:after="0"/>
              <w:rPr>
                <w:sz w:val="20"/>
                <w:szCs w:val="20"/>
                <w:color w:val="auto"/>
              </w:rPr>
            </w:pPr>
            <w:r>
              <w:rPr>
                <w:rFonts w:ascii="Arial" w:cs="Arial" w:eastAsia="Arial" w:hAnsi="Arial"/>
                <w:sz w:val="19"/>
                <w:szCs w:val="19"/>
                <w:b w:val="1"/>
                <w:bCs w:val="1"/>
                <w:color w:val="231F20"/>
                <w:w w:val="97"/>
              </w:rPr>
              <w:t>10-K</w:t>
            </w:r>
          </w:p>
        </w:tc>
        <w:tc>
          <w:tcPr>
            <w:tcW w:w="1280" w:type="dxa"/>
            <w:vAlign w:val="bottom"/>
            <w:gridSpan w:val="2"/>
          </w:tcPr>
          <w:p>
            <w:pPr>
              <w:jc w:val="center"/>
              <w:ind w:left="23"/>
              <w:spacing w:after="0"/>
              <w:rPr>
                <w:sz w:val="20"/>
                <w:szCs w:val="20"/>
                <w:color w:val="auto"/>
              </w:rPr>
            </w:pPr>
            <w:r>
              <w:rPr>
                <w:rFonts w:ascii="Arial" w:cs="Arial" w:eastAsia="Arial" w:hAnsi="Arial"/>
                <w:sz w:val="19"/>
                <w:szCs w:val="19"/>
                <w:b w:val="1"/>
                <w:bCs w:val="1"/>
                <w:color w:val="231F20"/>
                <w:w w:val="92"/>
              </w:rPr>
              <w:t>001-39386</w:t>
            </w:r>
          </w:p>
        </w:tc>
        <w:tc>
          <w:tcPr>
            <w:tcW w:w="940" w:type="dxa"/>
            <w:vAlign w:val="bottom"/>
            <w:gridSpan w:val="2"/>
          </w:tcPr>
          <w:p>
            <w:pPr>
              <w:jc w:val="center"/>
              <w:ind w:left="23"/>
              <w:spacing w:after="0"/>
              <w:rPr>
                <w:sz w:val="20"/>
                <w:szCs w:val="20"/>
                <w:color w:val="auto"/>
              </w:rPr>
            </w:pPr>
            <w:r>
              <w:rPr>
                <w:rFonts w:ascii="Arial" w:cs="Arial" w:eastAsia="Arial" w:hAnsi="Arial"/>
                <w:sz w:val="19"/>
                <w:szCs w:val="19"/>
                <w:b w:val="1"/>
                <w:bCs w:val="1"/>
                <w:color w:val="231F20"/>
                <w:w w:val="91"/>
              </w:rPr>
              <w:t>10.6</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9"/>
                <w:szCs w:val="19"/>
                <w:b w:val="1"/>
                <w:bCs w:val="1"/>
                <w:color w:val="231F20"/>
                <w:w w:val="89"/>
              </w:rPr>
              <w:t>February 28, 2022</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rPr>
              <w:t>Registrant and Shelly Pinto.</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58"/>
        </w:trPr>
        <w:tc>
          <w:tcPr>
            <w:tcW w:w="980" w:type="dxa"/>
            <w:vAlign w:val="bottom"/>
          </w:tcPr>
          <w:p>
            <w:pPr>
              <w:spacing w:after="0"/>
              <w:rPr>
                <w:sz w:val="20"/>
                <w:szCs w:val="20"/>
                <w:color w:val="auto"/>
              </w:rPr>
            </w:pPr>
            <w:r>
              <w:rPr>
                <w:rFonts w:ascii="Arial" w:cs="Arial" w:eastAsia="Arial" w:hAnsi="Arial"/>
                <w:sz w:val="19"/>
                <w:szCs w:val="19"/>
                <w:b w:val="1"/>
                <w:bCs w:val="1"/>
                <w:color w:val="231F20"/>
              </w:rPr>
              <w:t>10.11+^</w:t>
            </w:r>
          </w:p>
        </w:tc>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rPr>
              <w:t>Confirmatory Offer Letter between the</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9"/>
                <w:szCs w:val="19"/>
                <w:b w:val="1"/>
                <w:bCs w:val="1"/>
                <w:color w:val="231F20"/>
              </w:rPr>
              <w:t>X</w:t>
            </w: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rPr>
              <w:t>Registrant and Alan Sandler, M.D.</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55"/>
        </w:trPr>
        <w:tc>
          <w:tcPr>
            <w:tcW w:w="980" w:type="dxa"/>
            <w:vAlign w:val="bottom"/>
          </w:tcPr>
          <w:p>
            <w:pPr>
              <w:spacing w:after="0"/>
              <w:rPr>
                <w:sz w:val="20"/>
                <w:szCs w:val="20"/>
                <w:color w:val="auto"/>
              </w:rPr>
            </w:pPr>
            <w:r>
              <w:rPr>
                <w:rFonts w:ascii="Arial" w:cs="Arial" w:eastAsia="Arial" w:hAnsi="Arial"/>
                <w:sz w:val="19"/>
                <w:szCs w:val="19"/>
                <w:b w:val="1"/>
                <w:bCs w:val="1"/>
                <w:color w:val="231F20"/>
              </w:rPr>
              <w:t>10.12+^</w:t>
            </w:r>
          </w:p>
        </w:tc>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rPr>
              <w:t>Confirmatory Offer Letter between the</w:t>
            </w:r>
          </w:p>
        </w:tc>
        <w:tc>
          <w:tcPr>
            <w:tcW w:w="780" w:type="dxa"/>
            <w:vAlign w:val="bottom"/>
          </w:tcPr>
          <w:p>
            <w:pPr>
              <w:jc w:val="center"/>
              <w:spacing w:after="0"/>
              <w:rPr>
                <w:sz w:val="20"/>
                <w:szCs w:val="20"/>
                <w:color w:val="auto"/>
              </w:rPr>
            </w:pPr>
            <w:r>
              <w:rPr>
                <w:rFonts w:ascii="Arial" w:cs="Arial" w:eastAsia="Arial" w:hAnsi="Arial"/>
                <w:sz w:val="19"/>
                <w:szCs w:val="19"/>
                <w:b w:val="1"/>
                <w:bCs w:val="1"/>
                <w:color w:val="231F20"/>
                <w:w w:val="94"/>
              </w:rPr>
              <w:t>S-1/A</w:t>
            </w:r>
          </w:p>
        </w:tc>
        <w:tc>
          <w:tcPr>
            <w:tcW w:w="1280" w:type="dxa"/>
            <w:vAlign w:val="bottom"/>
            <w:gridSpan w:val="2"/>
          </w:tcPr>
          <w:p>
            <w:pPr>
              <w:jc w:val="center"/>
              <w:ind w:left="3"/>
              <w:spacing w:after="0"/>
              <w:rPr>
                <w:sz w:val="20"/>
                <w:szCs w:val="20"/>
                <w:color w:val="auto"/>
              </w:rPr>
            </w:pPr>
            <w:r>
              <w:rPr>
                <w:rFonts w:ascii="Arial" w:cs="Arial" w:eastAsia="Arial" w:hAnsi="Arial"/>
                <w:sz w:val="19"/>
                <w:szCs w:val="19"/>
                <w:b w:val="1"/>
                <w:bCs w:val="1"/>
                <w:color w:val="231F20"/>
                <w:w w:val="92"/>
              </w:rPr>
              <w:t>333-239490</w:t>
            </w:r>
          </w:p>
        </w:tc>
        <w:tc>
          <w:tcPr>
            <w:tcW w:w="940" w:type="dxa"/>
            <w:vAlign w:val="bottom"/>
            <w:gridSpan w:val="2"/>
          </w:tcPr>
          <w:p>
            <w:pPr>
              <w:jc w:val="center"/>
              <w:ind w:left="23"/>
              <w:spacing w:after="0"/>
              <w:rPr>
                <w:sz w:val="20"/>
                <w:szCs w:val="20"/>
                <w:color w:val="auto"/>
              </w:rPr>
            </w:pPr>
            <w:r>
              <w:rPr>
                <w:rFonts w:ascii="Arial" w:cs="Arial" w:eastAsia="Arial" w:hAnsi="Arial"/>
                <w:sz w:val="19"/>
                <w:szCs w:val="19"/>
                <w:b w:val="1"/>
                <w:bCs w:val="1"/>
                <w:color w:val="231F20"/>
                <w:w w:val="91"/>
              </w:rPr>
              <w:t>10.8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9"/>
                <w:szCs w:val="19"/>
                <w:b w:val="1"/>
                <w:bCs w:val="1"/>
                <w:color w:val="231F20"/>
                <w:w w:val="88"/>
              </w:rPr>
              <w:t>July 13, 2020</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rPr>
              <w:t>Registrant and Sophia Randolph, M.D.,</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rPr>
              <w:t>Ph.D.</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58"/>
        </w:trPr>
        <w:tc>
          <w:tcPr>
            <w:tcW w:w="980" w:type="dxa"/>
            <w:vAlign w:val="bottom"/>
          </w:tcPr>
          <w:p>
            <w:pPr>
              <w:spacing w:after="0"/>
              <w:rPr>
                <w:sz w:val="20"/>
                <w:szCs w:val="20"/>
                <w:color w:val="auto"/>
              </w:rPr>
            </w:pPr>
            <w:r>
              <w:rPr>
                <w:rFonts w:ascii="Arial" w:cs="Arial" w:eastAsia="Arial" w:hAnsi="Arial"/>
                <w:sz w:val="19"/>
                <w:szCs w:val="19"/>
                <w:b w:val="1"/>
                <w:bCs w:val="1"/>
                <w:color w:val="231F20"/>
              </w:rPr>
              <w:t>10.13+^</w:t>
            </w:r>
          </w:p>
        </w:tc>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w w:val="91"/>
              </w:rPr>
              <w:t>Separation Agreement and Release between</w:t>
            </w:r>
          </w:p>
        </w:tc>
        <w:tc>
          <w:tcPr>
            <w:tcW w:w="780" w:type="dxa"/>
            <w:vAlign w:val="bottom"/>
          </w:tcPr>
          <w:p>
            <w:pPr>
              <w:jc w:val="center"/>
              <w:spacing w:after="0"/>
              <w:rPr>
                <w:sz w:val="20"/>
                <w:szCs w:val="20"/>
                <w:color w:val="auto"/>
              </w:rPr>
            </w:pPr>
            <w:r>
              <w:rPr>
                <w:rFonts w:ascii="Arial" w:cs="Arial" w:eastAsia="Arial" w:hAnsi="Arial"/>
                <w:sz w:val="19"/>
                <w:szCs w:val="19"/>
                <w:b w:val="1"/>
                <w:bCs w:val="1"/>
                <w:color w:val="231F20"/>
                <w:w w:val="94"/>
              </w:rPr>
              <w:t>10-Q</w:t>
            </w:r>
          </w:p>
        </w:tc>
        <w:tc>
          <w:tcPr>
            <w:tcW w:w="1280" w:type="dxa"/>
            <w:vAlign w:val="bottom"/>
            <w:gridSpan w:val="2"/>
          </w:tcPr>
          <w:p>
            <w:pPr>
              <w:jc w:val="center"/>
              <w:ind w:left="23"/>
              <w:spacing w:after="0"/>
              <w:rPr>
                <w:sz w:val="20"/>
                <w:szCs w:val="20"/>
                <w:color w:val="auto"/>
              </w:rPr>
            </w:pPr>
            <w:r>
              <w:rPr>
                <w:rFonts w:ascii="Arial" w:cs="Arial" w:eastAsia="Arial" w:hAnsi="Arial"/>
                <w:sz w:val="19"/>
                <w:szCs w:val="19"/>
                <w:b w:val="1"/>
                <w:bCs w:val="1"/>
                <w:color w:val="231F20"/>
                <w:w w:val="92"/>
              </w:rPr>
              <w:t>001-39386</w:t>
            </w:r>
          </w:p>
        </w:tc>
        <w:tc>
          <w:tcPr>
            <w:tcW w:w="940" w:type="dxa"/>
            <w:vAlign w:val="bottom"/>
            <w:gridSpan w:val="2"/>
          </w:tcPr>
          <w:p>
            <w:pPr>
              <w:jc w:val="center"/>
              <w:ind w:left="23"/>
              <w:spacing w:after="0"/>
              <w:rPr>
                <w:sz w:val="20"/>
                <w:szCs w:val="20"/>
                <w:color w:val="auto"/>
              </w:rPr>
            </w:pPr>
            <w:r>
              <w:rPr>
                <w:rFonts w:ascii="Arial" w:cs="Arial" w:eastAsia="Arial" w:hAnsi="Arial"/>
                <w:sz w:val="19"/>
                <w:szCs w:val="19"/>
                <w:b w:val="1"/>
                <w:bCs w:val="1"/>
                <w:color w:val="231F20"/>
                <w:w w:val="91"/>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9"/>
                <w:szCs w:val="19"/>
                <w:b w:val="1"/>
                <w:bCs w:val="1"/>
                <w:color w:val="231F20"/>
                <w:w w:val="89"/>
              </w:rPr>
              <w:t>November 7, 2024</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w w:val="95"/>
              </w:rPr>
              <w:t>the Registrant and Sophia Randolph, M.D.,</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rPr>
              <w:t>Ph.D.</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58"/>
        </w:trPr>
        <w:tc>
          <w:tcPr>
            <w:tcW w:w="980" w:type="dxa"/>
            <w:vAlign w:val="bottom"/>
          </w:tcPr>
          <w:p>
            <w:pPr>
              <w:spacing w:after="0"/>
              <w:rPr>
                <w:sz w:val="20"/>
                <w:szCs w:val="20"/>
                <w:color w:val="auto"/>
              </w:rPr>
            </w:pPr>
            <w:r>
              <w:rPr>
                <w:rFonts w:ascii="Arial" w:cs="Arial" w:eastAsia="Arial" w:hAnsi="Arial"/>
                <w:sz w:val="19"/>
                <w:szCs w:val="19"/>
                <w:b w:val="1"/>
                <w:bCs w:val="1"/>
                <w:color w:val="231F20"/>
              </w:rPr>
              <w:t>10.14+^</w:t>
            </w:r>
          </w:p>
        </w:tc>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w w:val="91"/>
              </w:rPr>
              <w:t>Separation Agreement and Release between</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9"/>
                <w:szCs w:val="19"/>
                <w:b w:val="1"/>
                <w:bCs w:val="1"/>
                <w:color w:val="231F20"/>
              </w:rPr>
              <w:t>X</w:t>
            </w: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rPr>
              <w:t>the Registrant and Peter García.</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55"/>
        </w:trPr>
        <w:tc>
          <w:tcPr>
            <w:tcW w:w="980" w:type="dxa"/>
            <w:vAlign w:val="bottom"/>
          </w:tcPr>
          <w:p>
            <w:pPr>
              <w:spacing w:after="0"/>
              <w:rPr>
                <w:sz w:val="20"/>
                <w:szCs w:val="20"/>
                <w:color w:val="auto"/>
              </w:rPr>
            </w:pPr>
            <w:r>
              <w:rPr>
                <w:rFonts w:ascii="Arial" w:cs="Arial" w:eastAsia="Arial" w:hAnsi="Arial"/>
                <w:sz w:val="19"/>
                <w:szCs w:val="19"/>
                <w:b w:val="1"/>
                <w:bCs w:val="1"/>
                <w:color w:val="231F20"/>
              </w:rPr>
              <w:t>10.15+</w:t>
            </w:r>
          </w:p>
        </w:tc>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rPr>
              <w:t>Executive Incentive Compensation Plan.</w:t>
            </w:r>
          </w:p>
        </w:tc>
        <w:tc>
          <w:tcPr>
            <w:tcW w:w="780" w:type="dxa"/>
            <w:vAlign w:val="bottom"/>
          </w:tcPr>
          <w:p>
            <w:pPr>
              <w:jc w:val="center"/>
              <w:spacing w:after="0"/>
              <w:rPr>
                <w:sz w:val="20"/>
                <w:szCs w:val="20"/>
                <w:color w:val="auto"/>
              </w:rPr>
            </w:pPr>
            <w:r>
              <w:rPr>
                <w:rFonts w:ascii="Arial" w:cs="Arial" w:eastAsia="Arial" w:hAnsi="Arial"/>
                <w:sz w:val="19"/>
                <w:szCs w:val="19"/>
                <w:b w:val="1"/>
                <w:bCs w:val="1"/>
                <w:color w:val="231F20"/>
                <w:w w:val="94"/>
              </w:rPr>
              <w:t>S-1/A</w:t>
            </w:r>
          </w:p>
        </w:tc>
        <w:tc>
          <w:tcPr>
            <w:tcW w:w="1280" w:type="dxa"/>
            <w:vAlign w:val="bottom"/>
            <w:gridSpan w:val="2"/>
          </w:tcPr>
          <w:p>
            <w:pPr>
              <w:jc w:val="center"/>
              <w:ind w:left="3"/>
              <w:spacing w:after="0"/>
              <w:rPr>
                <w:sz w:val="20"/>
                <w:szCs w:val="20"/>
                <w:color w:val="auto"/>
              </w:rPr>
            </w:pPr>
            <w:r>
              <w:rPr>
                <w:rFonts w:ascii="Arial" w:cs="Arial" w:eastAsia="Arial" w:hAnsi="Arial"/>
                <w:sz w:val="19"/>
                <w:szCs w:val="19"/>
                <w:b w:val="1"/>
                <w:bCs w:val="1"/>
                <w:color w:val="231F20"/>
                <w:w w:val="92"/>
              </w:rPr>
              <w:t>333-239490</w:t>
            </w:r>
          </w:p>
        </w:tc>
        <w:tc>
          <w:tcPr>
            <w:tcW w:w="940" w:type="dxa"/>
            <w:vAlign w:val="bottom"/>
            <w:gridSpan w:val="2"/>
          </w:tcPr>
          <w:p>
            <w:pPr>
              <w:jc w:val="center"/>
              <w:ind w:left="23"/>
              <w:spacing w:after="0"/>
              <w:rPr>
                <w:sz w:val="20"/>
                <w:szCs w:val="20"/>
                <w:color w:val="auto"/>
              </w:rPr>
            </w:pPr>
            <w:r>
              <w:rPr>
                <w:rFonts w:ascii="Arial" w:cs="Arial" w:eastAsia="Arial" w:hAnsi="Arial"/>
                <w:sz w:val="19"/>
                <w:szCs w:val="19"/>
                <w:b w:val="1"/>
                <w:bCs w:val="1"/>
                <w:color w:val="231F20"/>
                <w:w w:val="91"/>
              </w:rPr>
              <w:t>10.9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9"/>
                <w:szCs w:val="19"/>
                <w:b w:val="1"/>
                <w:bCs w:val="1"/>
                <w:color w:val="231F20"/>
                <w:w w:val="88"/>
              </w:rPr>
              <w:t>July 13, 2020</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58"/>
        </w:trPr>
        <w:tc>
          <w:tcPr>
            <w:tcW w:w="980" w:type="dxa"/>
            <w:vAlign w:val="bottom"/>
          </w:tcPr>
          <w:p>
            <w:pPr>
              <w:spacing w:after="0"/>
              <w:rPr>
                <w:sz w:val="20"/>
                <w:szCs w:val="20"/>
                <w:color w:val="auto"/>
              </w:rPr>
            </w:pPr>
            <w:r>
              <w:rPr>
                <w:rFonts w:ascii="Arial" w:cs="Arial" w:eastAsia="Arial" w:hAnsi="Arial"/>
                <w:sz w:val="19"/>
                <w:szCs w:val="19"/>
                <w:b w:val="1"/>
                <w:bCs w:val="1"/>
                <w:color w:val="231F20"/>
              </w:rPr>
              <w:t>10.16+</w:t>
            </w:r>
          </w:p>
        </w:tc>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w w:val="96"/>
              </w:rPr>
              <w:t>Form of Change in Control and Severance</w:t>
            </w:r>
          </w:p>
        </w:tc>
        <w:tc>
          <w:tcPr>
            <w:tcW w:w="780" w:type="dxa"/>
            <w:vAlign w:val="bottom"/>
          </w:tcPr>
          <w:p>
            <w:pPr>
              <w:jc w:val="center"/>
              <w:spacing w:after="0"/>
              <w:rPr>
                <w:sz w:val="20"/>
                <w:szCs w:val="20"/>
                <w:color w:val="auto"/>
              </w:rPr>
            </w:pPr>
            <w:r>
              <w:rPr>
                <w:rFonts w:ascii="Arial" w:cs="Arial" w:eastAsia="Arial" w:hAnsi="Arial"/>
                <w:sz w:val="19"/>
                <w:szCs w:val="19"/>
                <w:b w:val="1"/>
                <w:bCs w:val="1"/>
                <w:color w:val="231F20"/>
                <w:w w:val="94"/>
              </w:rPr>
              <w:t>S-1/A</w:t>
            </w:r>
          </w:p>
        </w:tc>
        <w:tc>
          <w:tcPr>
            <w:tcW w:w="1280" w:type="dxa"/>
            <w:vAlign w:val="bottom"/>
            <w:gridSpan w:val="2"/>
          </w:tcPr>
          <w:p>
            <w:pPr>
              <w:jc w:val="center"/>
              <w:ind w:left="3"/>
              <w:spacing w:after="0"/>
              <w:rPr>
                <w:sz w:val="20"/>
                <w:szCs w:val="20"/>
                <w:color w:val="auto"/>
              </w:rPr>
            </w:pPr>
            <w:r>
              <w:rPr>
                <w:rFonts w:ascii="Arial" w:cs="Arial" w:eastAsia="Arial" w:hAnsi="Arial"/>
                <w:sz w:val="19"/>
                <w:szCs w:val="19"/>
                <w:b w:val="1"/>
                <w:bCs w:val="1"/>
                <w:color w:val="231F20"/>
                <w:w w:val="92"/>
              </w:rPr>
              <w:t>333-239490</w:t>
            </w:r>
          </w:p>
        </w:tc>
        <w:tc>
          <w:tcPr>
            <w:tcW w:w="940" w:type="dxa"/>
            <w:vAlign w:val="bottom"/>
            <w:gridSpan w:val="2"/>
          </w:tcPr>
          <w:p>
            <w:pPr>
              <w:jc w:val="center"/>
              <w:ind w:left="3"/>
              <w:spacing w:after="0"/>
              <w:rPr>
                <w:sz w:val="20"/>
                <w:szCs w:val="20"/>
                <w:color w:val="auto"/>
              </w:rPr>
            </w:pPr>
            <w:r>
              <w:rPr>
                <w:rFonts w:ascii="Arial" w:cs="Arial" w:eastAsia="Arial" w:hAnsi="Arial"/>
                <w:sz w:val="19"/>
                <w:szCs w:val="19"/>
                <w:b w:val="1"/>
                <w:bCs w:val="1"/>
                <w:color w:val="231F20"/>
                <w:w w:val="92"/>
              </w:rPr>
              <w:t>10.11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9"/>
                <w:szCs w:val="19"/>
                <w:b w:val="1"/>
                <w:bCs w:val="1"/>
                <w:color w:val="231F20"/>
                <w:w w:val="88"/>
              </w:rPr>
              <w:t>July 13, 2020</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rPr>
              <w:t>Agreement.</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58"/>
        </w:trPr>
        <w:tc>
          <w:tcPr>
            <w:tcW w:w="980" w:type="dxa"/>
            <w:vAlign w:val="bottom"/>
          </w:tcPr>
          <w:p>
            <w:pPr>
              <w:spacing w:after="0"/>
              <w:rPr>
                <w:sz w:val="20"/>
                <w:szCs w:val="20"/>
                <w:color w:val="auto"/>
              </w:rPr>
            </w:pPr>
            <w:r>
              <w:rPr>
                <w:rFonts w:ascii="Arial" w:cs="Arial" w:eastAsia="Arial" w:hAnsi="Arial"/>
                <w:sz w:val="19"/>
                <w:szCs w:val="19"/>
                <w:b w:val="1"/>
                <w:bCs w:val="1"/>
                <w:color w:val="231F20"/>
              </w:rPr>
              <w:t>10.17</w:t>
            </w:r>
          </w:p>
        </w:tc>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w w:val="95"/>
              </w:rPr>
              <w:t>Exclusive (Equity) Agreement between the</w:t>
            </w:r>
          </w:p>
        </w:tc>
        <w:tc>
          <w:tcPr>
            <w:tcW w:w="780" w:type="dxa"/>
            <w:vAlign w:val="bottom"/>
          </w:tcPr>
          <w:p>
            <w:pPr>
              <w:jc w:val="center"/>
              <w:spacing w:after="0"/>
              <w:rPr>
                <w:sz w:val="20"/>
                <w:szCs w:val="20"/>
                <w:color w:val="auto"/>
              </w:rPr>
            </w:pPr>
            <w:r>
              <w:rPr>
                <w:rFonts w:ascii="Arial" w:cs="Arial" w:eastAsia="Arial" w:hAnsi="Arial"/>
                <w:sz w:val="19"/>
                <w:szCs w:val="19"/>
                <w:b w:val="1"/>
                <w:bCs w:val="1"/>
                <w:color w:val="231F20"/>
                <w:w w:val="87"/>
              </w:rPr>
              <w:t>S-1</w:t>
            </w:r>
          </w:p>
        </w:tc>
        <w:tc>
          <w:tcPr>
            <w:tcW w:w="1280" w:type="dxa"/>
            <w:vAlign w:val="bottom"/>
            <w:gridSpan w:val="2"/>
          </w:tcPr>
          <w:p>
            <w:pPr>
              <w:jc w:val="center"/>
              <w:ind w:left="3"/>
              <w:spacing w:after="0"/>
              <w:rPr>
                <w:sz w:val="20"/>
                <w:szCs w:val="20"/>
                <w:color w:val="auto"/>
              </w:rPr>
            </w:pPr>
            <w:r>
              <w:rPr>
                <w:rFonts w:ascii="Arial" w:cs="Arial" w:eastAsia="Arial" w:hAnsi="Arial"/>
                <w:sz w:val="19"/>
                <w:szCs w:val="19"/>
                <w:b w:val="1"/>
                <w:bCs w:val="1"/>
                <w:color w:val="231F20"/>
                <w:w w:val="92"/>
              </w:rPr>
              <w:t>333-239490</w:t>
            </w:r>
          </w:p>
        </w:tc>
        <w:tc>
          <w:tcPr>
            <w:tcW w:w="940" w:type="dxa"/>
            <w:vAlign w:val="bottom"/>
            <w:gridSpan w:val="2"/>
          </w:tcPr>
          <w:p>
            <w:pPr>
              <w:jc w:val="center"/>
              <w:ind w:left="3"/>
              <w:spacing w:after="0"/>
              <w:rPr>
                <w:sz w:val="20"/>
                <w:szCs w:val="20"/>
                <w:color w:val="auto"/>
              </w:rPr>
            </w:pPr>
            <w:r>
              <w:rPr>
                <w:rFonts w:ascii="Arial" w:cs="Arial" w:eastAsia="Arial" w:hAnsi="Arial"/>
                <w:sz w:val="19"/>
                <w:szCs w:val="19"/>
                <w:b w:val="1"/>
                <w:bCs w:val="1"/>
                <w:color w:val="231F20"/>
                <w:w w:val="92"/>
              </w:rPr>
              <w:t>10.12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9"/>
                <w:szCs w:val="19"/>
                <w:b w:val="1"/>
                <w:bCs w:val="1"/>
                <w:color w:val="231F20"/>
                <w:w w:val="87"/>
              </w:rPr>
              <w:t>June 26, 2020</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w w:val="92"/>
              </w:rPr>
              <w:t>Registrant and The Board of Trustees of the</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bl>
    <w:p>
      <w:pPr>
        <w:spacing w:after="0" w:line="5" w:lineRule="exact"/>
        <w:rPr>
          <w:sz w:val="20"/>
          <w:szCs w:val="20"/>
          <w:color w:val="auto"/>
        </w:rPr>
      </w:pPr>
    </w:p>
    <w:p>
      <w:pPr>
        <w:ind w:left="1080"/>
        <w:spacing w:after="0"/>
        <w:rPr>
          <w:sz w:val="20"/>
          <w:szCs w:val="20"/>
          <w:color w:val="auto"/>
        </w:rPr>
      </w:pPr>
      <w:r>
        <w:rPr>
          <w:rFonts w:ascii="Arial" w:cs="Arial" w:eastAsia="Arial" w:hAnsi="Arial"/>
          <w:sz w:val="19"/>
          <w:szCs w:val="19"/>
          <w:b w:val="1"/>
          <w:bCs w:val="1"/>
          <w:color w:val="auto"/>
        </w:rPr>
        <w:t>Leland Stanford Junior University, effective</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9"/>
          <w:szCs w:val="19"/>
          <w:b w:val="1"/>
          <w:bCs w:val="1"/>
          <w:color w:val="auto"/>
        </w:rPr>
        <w:t>as of March 24, 2015, as amended on April</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9"/>
          <w:szCs w:val="19"/>
          <w:b w:val="1"/>
          <w:bCs w:val="1"/>
          <w:color w:val="auto"/>
        </w:rPr>
        <w:t>24, 2015 and May 15, 2015.</w:t>
      </w:r>
    </w:p>
    <w:p>
      <w:pPr>
        <w:sectPr>
          <w:pgSz w:w="12240" w:h="15840" w:orient="portrait"/>
          <w:cols w:equalWidth="0" w:num="1">
            <w:col w:w="10480"/>
          </w:cols>
          <w:pgMar w:left="880" w:top="1151" w:right="880" w:bottom="4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31F20"/>
        </w:rPr>
        <w:t>128</w:t>
      </w:r>
    </w:p>
    <w:p>
      <w:pPr>
        <w:sectPr>
          <w:pgSz w:w="12240" w:h="15840" w:orient="portrait"/>
          <w:cols w:equalWidth="0" w:num="1">
            <w:col w:w="10480"/>
          </w:cols>
          <w:pgMar w:left="880" w:top="1151" w:right="880" w:bottom="401" w:gutter="0" w:footer="0" w:header="0"/>
          <w:type w:val="continuous"/>
        </w:sectPr>
      </w:pPr>
    </w:p>
    <w:bookmarkStart w:id="136" w:name="page137"/>
    <w:bookmarkEnd w:id="136"/>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231F20"/>
            </w:tcBorders>
          </w:tcPr>
          <w:p>
            <w:pPr>
              <w:spacing w:after="0"/>
              <w:rPr>
                <w:sz w:val="16"/>
                <w:szCs w:val="16"/>
                <w:color w:val="auto"/>
              </w:rPr>
            </w:pPr>
          </w:p>
        </w:tc>
        <w:tc>
          <w:tcPr>
            <w:tcW w:w="120" w:type="dxa"/>
            <w:vAlign w:val="bottom"/>
            <w:tcBorders>
              <w:bottom w:val="single" w:sz="8" w:color="231F20"/>
            </w:tcBorders>
          </w:tcPr>
          <w:p>
            <w:pPr>
              <w:spacing w:after="0"/>
              <w:rPr>
                <w:sz w:val="16"/>
                <w:szCs w:val="16"/>
                <w:color w:val="auto"/>
              </w:rPr>
            </w:pPr>
          </w:p>
        </w:tc>
        <w:tc>
          <w:tcPr>
            <w:tcW w:w="3680" w:type="dxa"/>
            <w:vAlign w:val="bottom"/>
            <w:tcBorders>
              <w:bottom w:val="single" w:sz="8" w:color="231F20"/>
            </w:tcBorders>
            <w:gridSpan w:val="5"/>
          </w:tcPr>
          <w:p>
            <w:pPr>
              <w:ind w:left="120"/>
              <w:spacing w:after="0"/>
              <w:rPr>
                <w:sz w:val="20"/>
                <w:szCs w:val="20"/>
                <w:color w:val="auto"/>
              </w:rPr>
            </w:pPr>
            <w:r>
              <w:rPr>
                <w:rFonts w:ascii="Arial" w:cs="Arial" w:eastAsia="Arial" w:hAnsi="Arial"/>
                <w:sz w:val="16"/>
                <w:szCs w:val="16"/>
                <w:b w:val="1"/>
                <w:bCs w:val="1"/>
                <w:color w:val="231F20"/>
              </w:rPr>
              <w:t>INCORPORATED BY REFERENCE</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69"/>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line="169" w:lineRule="exact"/>
              <w:rPr>
                <w:sz w:val="20"/>
                <w:szCs w:val="20"/>
                <w:color w:val="auto"/>
              </w:rPr>
            </w:pPr>
            <w:r>
              <w:rPr>
                <w:rFonts w:ascii="Arial" w:cs="Arial" w:eastAsia="Arial" w:hAnsi="Arial"/>
                <w:sz w:val="16"/>
                <w:szCs w:val="16"/>
                <w:b w:val="1"/>
                <w:bCs w:val="1"/>
                <w:color w:val="231F20"/>
              </w:rPr>
              <w:t>FILING</w:t>
            </w:r>
          </w:p>
        </w:tc>
        <w:tc>
          <w:tcPr>
            <w:tcW w:w="100" w:type="dxa"/>
            <w:vAlign w:val="bottom"/>
          </w:tcPr>
          <w:p>
            <w:pPr>
              <w:spacing w:after="0"/>
              <w:rPr>
                <w:sz w:val="14"/>
                <w:szCs w:val="14"/>
                <w:color w:val="auto"/>
              </w:rPr>
            </w:pPr>
          </w:p>
        </w:tc>
        <w:tc>
          <w:tcPr>
            <w:tcW w:w="1040" w:type="dxa"/>
            <w:vAlign w:val="bottom"/>
          </w:tcPr>
          <w:p>
            <w:pPr>
              <w:jc w:val="center"/>
              <w:spacing w:after="0" w:line="169" w:lineRule="exact"/>
              <w:rPr>
                <w:sz w:val="20"/>
                <w:szCs w:val="20"/>
                <w:color w:val="auto"/>
              </w:rPr>
            </w:pPr>
            <w:r>
              <w:rPr>
                <w:rFonts w:ascii="Arial" w:cs="Arial" w:eastAsia="Arial" w:hAnsi="Arial"/>
                <w:sz w:val="16"/>
                <w:szCs w:val="16"/>
                <w:b w:val="1"/>
                <w:bCs w:val="1"/>
                <w:color w:val="231F20"/>
              </w:rPr>
              <w:t>FILED</w:t>
            </w:r>
          </w:p>
        </w:tc>
      </w:tr>
      <w:tr>
        <w:trPr>
          <w:trHeight w:val="178"/>
        </w:trPr>
        <w:tc>
          <w:tcPr>
            <w:tcW w:w="980" w:type="dxa"/>
            <w:vAlign w:val="bottom"/>
            <w:tcBorders>
              <w:bottom w:val="single" w:sz="8" w:color="231F20"/>
            </w:tcBorders>
          </w:tcPr>
          <w:p>
            <w:pPr>
              <w:ind w:left="140"/>
              <w:spacing w:after="0" w:line="178" w:lineRule="exact"/>
              <w:rPr>
                <w:sz w:val="20"/>
                <w:szCs w:val="20"/>
                <w:color w:val="auto"/>
              </w:rPr>
            </w:pPr>
            <w:r>
              <w:rPr>
                <w:rFonts w:ascii="Arial" w:cs="Arial" w:eastAsia="Arial" w:hAnsi="Arial"/>
                <w:sz w:val="16"/>
                <w:szCs w:val="16"/>
                <w:b w:val="1"/>
                <w:bCs w:val="1"/>
                <w:color w:val="231F20"/>
              </w:rPr>
              <w:t>NUMBER</w:t>
            </w:r>
          </w:p>
        </w:tc>
        <w:tc>
          <w:tcPr>
            <w:tcW w:w="100" w:type="dxa"/>
            <w:vAlign w:val="bottom"/>
          </w:tcPr>
          <w:p>
            <w:pPr>
              <w:spacing w:after="0"/>
              <w:rPr>
                <w:sz w:val="15"/>
                <w:szCs w:val="15"/>
                <w:color w:val="auto"/>
              </w:rPr>
            </w:pPr>
          </w:p>
        </w:tc>
        <w:tc>
          <w:tcPr>
            <w:tcW w:w="3560" w:type="dxa"/>
            <w:vAlign w:val="bottom"/>
            <w:tcBorders>
              <w:bottom w:val="single" w:sz="8" w:color="231F20"/>
            </w:tcBorders>
          </w:tcPr>
          <w:p>
            <w:pPr>
              <w:ind w:left="1200"/>
              <w:spacing w:after="0" w:line="178" w:lineRule="exact"/>
              <w:rPr>
                <w:sz w:val="20"/>
                <w:szCs w:val="20"/>
                <w:color w:val="auto"/>
              </w:rPr>
            </w:pPr>
            <w:r>
              <w:rPr>
                <w:rFonts w:ascii="Arial" w:cs="Arial" w:eastAsia="Arial" w:hAnsi="Arial"/>
                <w:sz w:val="16"/>
                <w:szCs w:val="16"/>
                <w:b w:val="1"/>
                <w:bCs w:val="1"/>
                <w:color w:val="231F20"/>
              </w:rPr>
              <w:t>EXHIBIT TITLE</w:t>
            </w:r>
          </w:p>
        </w:tc>
        <w:tc>
          <w:tcPr>
            <w:tcW w:w="120" w:type="dxa"/>
            <w:vAlign w:val="bottom"/>
          </w:tcPr>
          <w:p>
            <w:pPr>
              <w:spacing w:after="0"/>
              <w:rPr>
                <w:sz w:val="15"/>
                <w:szCs w:val="15"/>
                <w:color w:val="auto"/>
              </w:rPr>
            </w:pPr>
          </w:p>
        </w:tc>
        <w:tc>
          <w:tcPr>
            <w:tcW w:w="780" w:type="dxa"/>
            <w:vAlign w:val="bottom"/>
            <w:tcBorders>
              <w:bottom w:val="single" w:sz="8" w:color="231F20"/>
            </w:tcBorders>
          </w:tcPr>
          <w:p>
            <w:pPr>
              <w:jc w:val="center"/>
              <w:spacing w:after="0" w:line="178" w:lineRule="exact"/>
              <w:rPr>
                <w:sz w:val="20"/>
                <w:szCs w:val="20"/>
                <w:color w:val="auto"/>
              </w:rPr>
            </w:pPr>
            <w:r>
              <w:rPr>
                <w:rFonts w:ascii="Arial" w:cs="Arial" w:eastAsia="Arial" w:hAnsi="Arial"/>
                <w:sz w:val="16"/>
                <w:szCs w:val="16"/>
                <w:b w:val="1"/>
                <w:bCs w:val="1"/>
                <w:color w:val="231F20"/>
                <w:w w:val="97"/>
              </w:rPr>
              <w:t>FORM</w:t>
            </w:r>
          </w:p>
        </w:tc>
        <w:tc>
          <w:tcPr>
            <w:tcW w:w="120" w:type="dxa"/>
            <w:vAlign w:val="bottom"/>
          </w:tcPr>
          <w:p>
            <w:pPr>
              <w:spacing w:after="0"/>
              <w:rPr>
                <w:sz w:val="15"/>
                <w:szCs w:val="15"/>
                <w:color w:val="auto"/>
              </w:rPr>
            </w:pPr>
          </w:p>
        </w:tc>
        <w:tc>
          <w:tcPr>
            <w:tcW w:w="1160" w:type="dxa"/>
            <w:vAlign w:val="bottom"/>
            <w:tcBorders>
              <w:bottom w:val="single" w:sz="8" w:color="231F20"/>
            </w:tcBorders>
          </w:tcPr>
          <w:p>
            <w:pPr>
              <w:ind w:left="240"/>
              <w:spacing w:after="0" w:line="178" w:lineRule="exact"/>
              <w:rPr>
                <w:sz w:val="20"/>
                <w:szCs w:val="20"/>
                <w:color w:val="auto"/>
              </w:rPr>
            </w:pPr>
            <w:r>
              <w:rPr>
                <w:rFonts w:ascii="Arial" w:cs="Arial" w:eastAsia="Arial" w:hAnsi="Arial"/>
                <w:sz w:val="16"/>
                <w:szCs w:val="16"/>
                <w:b w:val="1"/>
                <w:bCs w:val="1"/>
                <w:color w:val="231F20"/>
              </w:rPr>
              <w:t>FILE NO.</w:t>
            </w:r>
          </w:p>
        </w:tc>
        <w:tc>
          <w:tcPr>
            <w:tcW w:w="100" w:type="dxa"/>
            <w:vAlign w:val="bottom"/>
          </w:tcPr>
          <w:p>
            <w:pPr>
              <w:spacing w:after="0"/>
              <w:rPr>
                <w:sz w:val="15"/>
                <w:szCs w:val="15"/>
                <w:color w:val="auto"/>
              </w:rPr>
            </w:pPr>
          </w:p>
        </w:tc>
        <w:tc>
          <w:tcPr>
            <w:tcW w:w="840" w:type="dxa"/>
            <w:vAlign w:val="bottom"/>
            <w:tcBorders>
              <w:bottom w:val="single" w:sz="8" w:color="231F20"/>
            </w:tcBorders>
          </w:tcPr>
          <w:p>
            <w:pPr>
              <w:ind w:left="80"/>
              <w:spacing w:after="0" w:line="178" w:lineRule="exact"/>
              <w:rPr>
                <w:sz w:val="20"/>
                <w:szCs w:val="20"/>
                <w:color w:val="auto"/>
              </w:rPr>
            </w:pPr>
            <w:r>
              <w:rPr>
                <w:rFonts w:ascii="Arial" w:cs="Arial" w:eastAsia="Arial" w:hAnsi="Arial"/>
                <w:sz w:val="16"/>
                <w:szCs w:val="16"/>
                <w:b w:val="1"/>
                <w:bCs w:val="1"/>
                <w:color w:val="231F20"/>
              </w:rPr>
              <w:t>EXHIBIT</w:t>
            </w:r>
          </w:p>
        </w:tc>
        <w:tc>
          <w:tcPr>
            <w:tcW w:w="100" w:type="dxa"/>
            <w:vAlign w:val="bottom"/>
          </w:tcPr>
          <w:p>
            <w:pPr>
              <w:spacing w:after="0"/>
              <w:rPr>
                <w:sz w:val="15"/>
                <w:szCs w:val="15"/>
                <w:color w:val="auto"/>
              </w:rPr>
            </w:pPr>
          </w:p>
        </w:tc>
        <w:tc>
          <w:tcPr>
            <w:tcW w:w="1480" w:type="dxa"/>
            <w:vAlign w:val="bottom"/>
            <w:tcBorders>
              <w:bottom w:val="single" w:sz="8" w:color="231F20"/>
            </w:tcBorders>
          </w:tcPr>
          <w:p>
            <w:pPr>
              <w:jc w:val="center"/>
              <w:spacing w:after="0" w:line="178" w:lineRule="exact"/>
              <w:rPr>
                <w:sz w:val="20"/>
                <w:szCs w:val="20"/>
                <w:color w:val="auto"/>
              </w:rPr>
            </w:pPr>
            <w:r>
              <w:rPr>
                <w:rFonts w:ascii="Arial" w:cs="Arial" w:eastAsia="Arial" w:hAnsi="Arial"/>
                <w:sz w:val="16"/>
                <w:szCs w:val="16"/>
                <w:b w:val="1"/>
                <w:bCs w:val="1"/>
                <w:color w:val="231F20"/>
              </w:rPr>
              <w:t>DATE</w:t>
            </w:r>
          </w:p>
        </w:tc>
        <w:tc>
          <w:tcPr>
            <w:tcW w:w="100" w:type="dxa"/>
            <w:vAlign w:val="bottom"/>
          </w:tcPr>
          <w:p>
            <w:pPr>
              <w:spacing w:after="0"/>
              <w:rPr>
                <w:sz w:val="15"/>
                <w:szCs w:val="15"/>
                <w:color w:val="auto"/>
              </w:rPr>
            </w:pPr>
          </w:p>
        </w:tc>
        <w:tc>
          <w:tcPr>
            <w:tcW w:w="1040" w:type="dxa"/>
            <w:vAlign w:val="bottom"/>
            <w:tcBorders>
              <w:bottom w:val="single" w:sz="8" w:color="231F20"/>
            </w:tcBorders>
          </w:tcPr>
          <w:p>
            <w:pPr>
              <w:jc w:val="center"/>
              <w:spacing w:after="0" w:line="178" w:lineRule="exact"/>
              <w:rPr>
                <w:sz w:val="20"/>
                <w:szCs w:val="20"/>
                <w:color w:val="auto"/>
              </w:rPr>
            </w:pPr>
            <w:r>
              <w:rPr>
                <w:rFonts w:ascii="Arial" w:cs="Arial" w:eastAsia="Arial" w:hAnsi="Arial"/>
                <w:sz w:val="16"/>
                <w:szCs w:val="16"/>
                <w:b w:val="1"/>
                <w:bCs w:val="1"/>
                <w:color w:val="231F20"/>
              </w:rPr>
              <w:t>HEREWITH</w:t>
            </w:r>
          </w:p>
        </w:tc>
      </w:tr>
      <w:tr>
        <w:trPr>
          <w:trHeight w:val="345"/>
        </w:trPr>
        <w:tc>
          <w:tcPr>
            <w:tcW w:w="980" w:type="dxa"/>
            <w:vAlign w:val="bottom"/>
          </w:tcPr>
          <w:p>
            <w:pPr>
              <w:spacing w:after="0"/>
              <w:rPr>
                <w:sz w:val="20"/>
                <w:szCs w:val="20"/>
                <w:color w:val="auto"/>
              </w:rPr>
            </w:pPr>
            <w:r>
              <w:rPr>
                <w:rFonts w:ascii="Arial" w:cs="Arial" w:eastAsia="Arial" w:hAnsi="Arial"/>
                <w:sz w:val="19"/>
                <w:szCs w:val="19"/>
                <w:b w:val="1"/>
                <w:bCs w:val="1"/>
                <w:color w:val="231F20"/>
              </w:rPr>
              <w:t>10.18</w:t>
            </w:r>
          </w:p>
        </w:tc>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rPr>
              <w:t>Research and Development Services</w:t>
            </w:r>
          </w:p>
        </w:tc>
        <w:tc>
          <w:tcPr>
            <w:tcW w:w="780" w:type="dxa"/>
            <w:vAlign w:val="bottom"/>
          </w:tcPr>
          <w:p>
            <w:pPr>
              <w:jc w:val="center"/>
              <w:spacing w:after="0"/>
              <w:rPr>
                <w:sz w:val="20"/>
                <w:szCs w:val="20"/>
                <w:color w:val="auto"/>
              </w:rPr>
            </w:pPr>
            <w:r>
              <w:rPr>
                <w:rFonts w:ascii="Arial" w:cs="Arial" w:eastAsia="Arial" w:hAnsi="Arial"/>
                <w:sz w:val="19"/>
                <w:szCs w:val="19"/>
                <w:b w:val="1"/>
                <w:bCs w:val="1"/>
                <w:color w:val="231F20"/>
                <w:w w:val="87"/>
              </w:rPr>
              <w:t>S-1</w:t>
            </w:r>
          </w:p>
        </w:tc>
        <w:tc>
          <w:tcPr>
            <w:tcW w:w="1280" w:type="dxa"/>
            <w:vAlign w:val="bottom"/>
            <w:gridSpan w:val="2"/>
          </w:tcPr>
          <w:p>
            <w:pPr>
              <w:jc w:val="center"/>
              <w:ind w:left="3"/>
              <w:spacing w:after="0"/>
              <w:rPr>
                <w:sz w:val="20"/>
                <w:szCs w:val="20"/>
                <w:color w:val="auto"/>
              </w:rPr>
            </w:pPr>
            <w:r>
              <w:rPr>
                <w:rFonts w:ascii="Arial" w:cs="Arial" w:eastAsia="Arial" w:hAnsi="Arial"/>
                <w:sz w:val="19"/>
                <w:szCs w:val="19"/>
                <w:b w:val="1"/>
                <w:bCs w:val="1"/>
                <w:color w:val="231F20"/>
                <w:w w:val="92"/>
              </w:rPr>
              <w:t>333-239490</w:t>
            </w:r>
          </w:p>
        </w:tc>
        <w:tc>
          <w:tcPr>
            <w:tcW w:w="940" w:type="dxa"/>
            <w:vAlign w:val="bottom"/>
            <w:gridSpan w:val="2"/>
          </w:tcPr>
          <w:p>
            <w:pPr>
              <w:jc w:val="center"/>
              <w:ind w:left="3"/>
              <w:spacing w:after="0"/>
              <w:rPr>
                <w:sz w:val="20"/>
                <w:szCs w:val="20"/>
                <w:color w:val="auto"/>
              </w:rPr>
            </w:pPr>
            <w:r>
              <w:rPr>
                <w:rFonts w:ascii="Arial" w:cs="Arial" w:eastAsia="Arial" w:hAnsi="Arial"/>
                <w:sz w:val="19"/>
                <w:szCs w:val="19"/>
                <w:b w:val="1"/>
                <w:bCs w:val="1"/>
                <w:color w:val="231F20"/>
                <w:w w:val="92"/>
              </w:rPr>
              <w:t>10.15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9"/>
                <w:szCs w:val="19"/>
                <w:b w:val="1"/>
                <w:bCs w:val="1"/>
                <w:color w:val="231F20"/>
                <w:w w:val="87"/>
              </w:rPr>
              <w:t>June 26, 2020</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rPr>
              <w:t>Agreement, dated as of June 25, 2020,</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rPr>
              <w:t>between the Registrant and Tallac</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rPr>
              <w:t>Therapeutics, Inc. (formerly known as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rPr>
              <w:t>Tollnine, Inc.).</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58"/>
        </w:trPr>
        <w:tc>
          <w:tcPr>
            <w:tcW w:w="980" w:type="dxa"/>
            <w:vAlign w:val="bottom"/>
          </w:tcPr>
          <w:p>
            <w:pPr>
              <w:spacing w:after="0"/>
              <w:rPr>
                <w:sz w:val="20"/>
                <w:szCs w:val="20"/>
                <w:color w:val="auto"/>
              </w:rPr>
            </w:pPr>
            <w:r>
              <w:rPr>
                <w:rFonts w:ascii="Arial" w:cs="Arial" w:eastAsia="Arial" w:hAnsi="Arial"/>
                <w:sz w:val="19"/>
                <w:szCs w:val="19"/>
                <w:b w:val="1"/>
                <w:bCs w:val="1"/>
                <w:color w:val="231F20"/>
              </w:rPr>
              <w:t>10.19+</w:t>
            </w:r>
          </w:p>
        </w:tc>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rPr>
              <w:t>Outside Director Compensation Policy.</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9"/>
                <w:szCs w:val="19"/>
                <w:b w:val="1"/>
                <w:bCs w:val="1"/>
                <w:color w:val="231F20"/>
              </w:rPr>
              <w:t>X</w:t>
            </w:r>
          </w:p>
        </w:tc>
      </w:tr>
      <w:tr>
        <w:trPr>
          <w:trHeight w:val="358"/>
        </w:trPr>
        <w:tc>
          <w:tcPr>
            <w:tcW w:w="980" w:type="dxa"/>
            <w:vAlign w:val="bottom"/>
          </w:tcPr>
          <w:p>
            <w:pPr>
              <w:spacing w:after="0"/>
              <w:rPr>
                <w:sz w:val="20"/>
                <w:szCs w:val="20"/>
                <w:color w:val="auto"/>
              </w:rPr>
            </w:pPr>
            <w:r>
              <w:rPr>
                <w:rFonts w:ascii="Arial" w:cs="Arial" w:eastAsia="Arial" w:hAnsi="Arial"/>
                <w:sz w:val="19"/>
                <w:szCs w:val="19"/>
                <w:b w:val="1"/>
                <w:bCs w:val="1"/>
                <w:color w:val="231F20"/>
              </w:rPr>
              <w:t>10.20</w:t>
            </w:r>
          </w:p>
        </w:tc>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w w:val="93"/>
              </w:rPr>
              <w:t>2025 Inducement Equity Incentive Plan and</w:t>
            </w:r>
          </w:p>
        </w:tc>
        <w:tc>
          <w:tcPr>
            <w:tcW w:w="780" w:type="dxa"/>
            <w:vAlign w:val="bottom"/>
          </w:tcPr>
          <w:p>
            <w:pPr>
              <w:jc w:val="center"/>
              <w:spacing w:after="0"/>
              <w:rPr>
                <w:sz w:val="20"/>
                <w:szCs w:val="20"/>
                <w:color w:val="auto"/>
              </w:rPr>
            </w:pPr>
            <w:r>
              <w:rPr>
                <w:rFonts w:ascii="Arial" w:cs="Arial" w:eastAsia="Arial" w:hAnsi="Arial"/>
                <w:sz w:val="19"/>
                <w:szCs w:val="19"/>
                <w:b w:val="1"/>
                <w:bCs w:val="1"/>
                <w:color w:val="231F20"/>
                <w:w w:val="97"/>
              </w:rPr>
              <w:t>8-K</w:t>
            </w:r>
          </w:p>
        </w:tc>
        <w:tc>
          <w:tcPr>
            <w:tcW w:w="1280" w:type="dxa"/>
            <w:vAlign w:val="bottom"/>
            <w:gridSpan w:val="2"/>
          </w:tcPr>
          <w:p>
            <w:pPr>
              <w:jc w:val="center"/>
              <w:ind w:left="23"/>
              <w:spacing w:after="0"/>
              <w:rPr>
                <w:sz w:val="20"/>
                <w:szCs w:val="20"/>
                <w:color w:val="auto"/>
              </w:rPr>
            </w:pPr>
            <w:r>
              <w:rPr>
                <w:rFonts w:ascii="Arial" w:cs="Arial" w:eastAsia="Arial" w:hAnsi="Arial"/>
                <w:sz w:val="19"/>
                <w:szCs w:val="19"/>
                <w:b w:val="1"/>
                <w:bCs w:val="1"/>
                <w:color w:val="231F20"/>
                <w:w w:val="92"/>
              </w:rPr>
              <w:t>001-39386</w:t>
            </w:r>
          </w:p>
        </w:tc>
        <w:tc>
          <w:tcPr>
            <w:tcW w:w="940" w:type="dxa"/>
            <w:vAlign w:val="bottom"/>
            <w:gridSpan w:val="2"/>
          </w:tcPr>
          <w:p>
            <w:pPr>
              <w:jc w:val="center"/>
              <w:ind w:left="23"/>
              <w:spacing w:after="0"/>
              <w:rPr>
                <w:sz w:val="20"/>
                <w:szCs w:val="20"/>
                <w:color w:val="auto"/>
              </w:rPr>
            </w:pPr>
            <w:r>
              <w:rPr>
                <w:rFonts w:ascii="Arial" w:cs="Arial" w:eastAsia="Arial" w:hAnsi="Arial"/>
                <w:sz w:val="19"/>
                <w:szCs w:val="19"/>
                <w:b w:val="1"/>
                <w:bCs w:val="1"/>
                <w:color w:val="231F20"/>
                <w:w w:val="91"/>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9"/>
                <w:szCs w:val="19"/>
                <w:b w:val="1"/>
                <w:bCs w:val="1"/>
                <w:color w:val="231F20"/>
                <w:w w:val="86"/>
              </w:rPr>
              <w:t>January 17, 2025</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rPr>
              <w:t>forms of agreement thereunder.</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55"/>
        </w:trPr>
        <w:tc>
          <w:tcPr>
            <w:tcW w:w="980" w:type="dxa"/>
            <w:vAlign w:val="bottom"/>
          </w:tcPr>
          <w:p>
            <w:pPr>
              <w:spacing w:after="0"/>
              <w:rPr>
                <w:sz w:val="20"/>
                <w:szCs w:val="20"/>
                <w:color w:val="auto"/>
              </w:rPr>
            </w:pPr>
            <w:r>
              <w:rPr>
                <w:rFonts w:ascii="Arial" w:cs="Arial" w:eastAsia="Arial" w:hAnsi="Arial"/>
                <w:sz w:val="19"/>
                <w:szCs w:val="19"/>
                <w:b w:val="1"/>
                <w:bCs w:val="1"/>
                <w:color w:val="231F20"/>
              </w:rPr>
              <w:t>19.1</w:t>
            </w:r>
          </w:p>
        </w:tc>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rPr>
              <w:t>Insider Trading Policy.</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9"/>
                <w:szCs w:val="19"/>
                <w:b w:val="1"/>
                <w:bCs w:val="1"/>
                <w:color w:val="231F20"/>
              </w:rPr>
              <w:t>X</w:t>
            </w:r>
          </w:p>
        </w:tc>
      </w:tr>
      <w:tr>
        <w:trPr>
          <w:trHeight w:val="358"/>
        </w:trPr>
        <w:tc>
          <w:tcPr>
            <w:tcW w:w="980" w:type="dxa"/>
            <w:vAlign w:val="bottom"/>
          </w:tcPr>
          <w:p>
            <w:pPr>
              <w:spacing w:after="0"/>
              <w:rPr>
                <w:sz w:val="20"/>
                <w:szCs w:val="20"/>
                <w:color w:val="auto"/>
              </w:rPr>
            </w:pPr>
            <w:r>
              <w:rPr>
                <w:rFonts w:ascii="Arial" w:cs="Arial" w:eastAsia="Arial" w:hAnsi="Arial"/>
                <w:sz w:val="19"/>
                <w:szCs w:val="19"/>
                <w:b w:val="1"/>
                <w:bCs w:val="1"/>
                <w:color w:val="231F20"/>
              </w:rPr>
              <w:t>21.1</w:t>
            </w:r>
          </w:p>
        </w:tc>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rPr>
              <w:t>List of subsidiaries of Registrant.</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9"/>
                <w:szCs w:val="19"/>
                <w:b w:val="1"/>
                <w:bCs w:val="1"/>
                <w:color w:val="231F20"/>
              </w:rPr>
              <w:t>X</w:t>
            </w:r>
          </w:p>
        </w:tc>
      </w:tr>
      <w:tr>
        <w:trPr>
          <w:trHeight w:val="358"/>
        </w:trPr>
        <w:tc>
          <w:tcPr>
            <w:tcW w:w="980" w:type="dxa"/>
            <w:vAlign w:val="bottom"/>
          </w:tcPr>
          <w:p>
            <w:pPr>
              <w:spacing w:after="0"/>
              <w:rPr>
                <w:sz w:val="20"/>
                <w:szCs w:val="20"/>
                <w:color w:val="auto"/>
              </w:rPr>
            </w:pPr>
            <w:r>
              <w:rPr>
                <w:rFonts w:ascii="Arial" w:cs="Arial" w:eastAsia="Arial" w:hAnsi="Arial"/>
                <w:sz w:val="19"/>
                <w:szCs w:val="19"/>
                <w:b w:val="1"/>
                <w:bCs w:val="1"/>
                <w:color w:val="231F20"/>
              </w:rPr>
              <w:t>23.1</w:t>
            </w:r>
          </w:p>
        </w:tc>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rPr>
              <w:t>Consent of KPMG LLP, Independent</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9"/>
                <w:szCs w:val="19"/>
                <w:b w:val="1"/>
                <w:bCs w:val="1"/>
                <w:color w:val="231F20"/>
              </w:rPr>
              <w:t>X</w:t>
            </w: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rPr>
              <w:t>Registered Public Accounting Firm.</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55"/>
        </w:trPr>
        <w:tc>
          <w:tcPr>
            <w:tcW w:w="980" w:type="dxa"/>
            <w:vAlign w:val="bottom"/>
          </w:tcPr>
          <w:p>
            <w:pPr>
              <w:spacing w:after="0"/>
              <w:rPr>
                <w:sz w:val="20"/>
                <w:szCs w:val="20"/>
                <w:color w:val="auto"/>
              </w:rPr>
            </w:pPr>
            <w:r>
              <w:rPr>
                <w:rFonts w:ascii="Arial" w:cs="Arial" w:eastAsia="Arial" w:hAnsi="Arial"/>
                <w:sz w:val="19"/>
                <w:szCs w:val="19"/>
                <w:b w:val="1"/>
                <w:bCs w:val="1"/>
                <w:color w:val="231F20"/>
              </w:rPr>
              <w:t>24.1</w:t>
            </w:r>
          </w:p>
        </w:tc>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rPr>
              <w:t>Power of Attorney.</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9"/>
                <w:szCs w:val="19"/>
                <w:b w:val="1"/>
                <w:bCs w:val="1"/>
                <w:color w:val="231F20"/>
              </w:rPr>
              <w:t>X</w:t>
            </w:r>
          </w:p>
        </w:tc>
      </w:tr>
      <w:tr>
        <w:trPr>
          <w:trHeight w:val="358"/>
        </w:trPr>
        <w:tc>
          <w:tcPr>
            <w:tcW w:w="980" w:type="dxa"/>
            <w:vAlign w:val="bottom"/>
          </w:tcPr>
          <w:p>
            <w:pPr>
              <w:spacing w:after="0"/>
              <w:rPr>
                <w:sz w:val="20"/>
                <w:szCs w:val="20"/>
                <w:color w:val="auto"/>
              </w:rPr>
            </w:pPr>
            <w:r>
              <w:rPr>
                <w:rFonts w:ascii="Arial" w:cs="Arial" w:eastAsia="Arial" w:hAnsi="Arial"/>
                <w:sz w:val="19"/>
                <w:szCs w:val="19"/>
                <w:b w:val="1"/>
                <w:bCs w:val="1"/>
                <w:color w:val="231F20"/>
              </w:rPr>
              <w:t>31.1</w:t>
            </w:r>
          </w:p>
        </w:tc>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w w:val="96"/>
              </w:rPr>
              <w:t>Certification of Principal Executive Officer</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9"/>
                <w:szCs w:val="19"/>
                <w:b w:val="1"/>
                <w:bCs w:val="1"/>
                <w:color w:val="231F20"/>
              </w:rPr>
              <w:t>X</w:t>
            </w: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w w:val="96"/>
              </w:rPr>
              <w:t>Pursuant to Rules 13a-14(a) and 15d-14(a)</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w w:val="93"/>
              </w:rPr>
              <w:t>under the Securities Exchange Act of 1934,</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w w:val="95"/>
              </w:rPr>
              <w:t>as Adopted Pursuant to Section 302 of the</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rPr>
              <w:t>Sarbanes-Oxley Act of 2002.</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58"/>
        </w:trPr>
        <w:tc>
          <w:tcPr>
            <w:tcW w:w="980" w:type="dxa"/>
            <w:vAlign w:val="bottom"/>
          </w:tcPr>
          <w:p>
            <w:pPr>
              <w:spacing w:after="0"/>
              <w:rPr>
                <w:sz w:val="20"/>
                <w:szCs w:val="20"/>
                <w:color w:val="auto"/>
              </w:rPr>
            </w:pPr>
            <w:r>
              <w:rPr>
                <w:rFonts w:ascii="Arial" w:cs="Arial" w:eastAsia="Arial" w:hAnsi="Arial"/>
                <w:sz w:val="19"/>
                <w:szCs w:val="19"/>
                <w:b w:val="1"/>
                <w:bCs w:val="1"/>
                <w:color w:val="231F20"/>
              </w:rPr>
              <w:t>31.2</w:t>
            </w:r>
          </w:p>
        </w:tc>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w w:val="97"/>
              </w:rPr>
              <w:t>Certification of Principal Financial Officer</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9"/>
                <w:szCs w:val="19"/>
                <w:b w:val="1"/>
                <w:bCs w:val="1"/>
                <w:color w:val="231F20"/>
              </w:rPr>
              <w:t>X</w:t>
            </w: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w w:val="96"/>
              </w:rPr>
              <w:t>Pursuant to Rules 13a-14(a) and 15d-14(a)</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1"/>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w w:val="93"/>
              </w:rPr>
              <w:t>under the Securities Exchange Act of 1934,</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w w:val="95"/>
              </w:rPr>
              <w:t>as Adopted Pursuant to Section 302 of the</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rPr>
              <w:t>Sarbanes-Oxley Act of 2002.</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58"/>
        </w:trPr>
        <w:tc>
          <w:tcPr>
            <w:tcW w:w="980" w:type="dxa"/>
            <w:vAlign w:val="bottom"/>
          </w:tcPr>
          <w:p>
            <w:pPr>
              <w:spacing w:after="0"/>
              <w:rPr>
                <w:sz w:val="20"/>
                <w:szCs w:val="20"/>
                <w:color w:val="auto"/>
              </w:rPr>
            </w:pPr>
            <w:r>
              <w:rPr>
                <w:rFonts w:ascii="Arial" w:cs="Arial" w:eastAsia="Arial" w:hAnsi="Arial"/>
                <w:sz w:val="19"/>
                <w:szCs w:val="19"/>
                <w:b w:val="1"/>
                <w:bCs w:val="1"/>
                <w:color w:val="231F20"/>
              </w:rPr>
              <w:t>32.1*</w:t>
            </w:r>
          </w:p>
        </w:tc>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w w:val="96"/>
              </w:rPr>
              <w:t>Certification of Principal Executive Officer</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9"/>
                <w:szCs w:val="19"/>
                <w:b w:val="1"/>
                <w:bCs w:val="1"/>
                <w:color w:val="231F20"/>
              </w:rPr>
              <w:t>X</w:t>
            </w: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rPr>
              <w:t>Pursuant to 18 U.S.C. Section 1350, as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rPr>
              <w:t>Adopted Pursuant to Section 906 of the</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rPr>
              <w:t>Sarbanes-Oxley Act of 2002.</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58"/>
        </w:trPr>
        <w:tc>
          <w:tcPr>
            <w:tcW w:w="980" w:type="dxa"/>
            <w:vAlign w:val="bottom"/>
          </w:tcPr>
          <w:p>
            <w:pPr>
              <w:spacing w:after="0"/>
              <w:rPr>
                <w:sz w:val="20"/>
                <w:szCs w:val="20"/>
                <w:color w:val="auto"/>
              </w:rPr>
            </w:pPr>
            <w:r>
              <w:rPr>
                <w:rFonts w:ascii="Arial" w:cs="Arial" w:eastAsia="Arial" w:hAnsi="Arial"/>
                <w:sz w:val="19"/>
                <w:szCs w:val="19"/>
                <w:b w:val="1"/>
                <w:bCs w:val="1"/>
                <w:color w:val="231F20"/>
              </w:rPr>
              <w:t>32.2*</w:t>
            </w:r>
          </w:p>
        </w:tc>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w w:val="97"/>
              </w:rPr>
              <w:t>Certification of Principal Financial Officer</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9"/>
                <w:szCs w:val="19"/>
                <w:b w:val="1"/>
                <w:bCs w:val="1"/>
                <w:color w:val="231F20"/>
              </w:rPr>
              <w:t>X</w:t>
            </w: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rPr>
              <w:t>Pursuant to 18 U.S.C. Section 1350, as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rPr>
              <w:t>Adopted Pursuant to Section 906 of the</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auto"/>
              </w:rPr>
              <w:t>Sarbanes-Oxley Act of 2002.</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55"/>
        </w:trPr>
        <w:tc>
          <w:tcPr>
            <w:tcW w:w="980" w:type="dxa"/>
            <w:vAlign w:val="bottom"/>
          </w:tcPr>
          <w:p>
            <w:pPr>
              <w:spacing w:after="0"/>
              <w:rPr>
                <w:sz w:val="20"/>
                <w:szCs w:val="20"/>
                <w:color w:val="auto"/>
              </w:rPr>
            </w:pPr>
            <w:r>
              <w:rPr>
                <w:rFonts w:ascii="Arial" w:cs="Arial" w:eastAsia="Arial" w:hAnsi="Arial"/>
                <w:sz w:val="19"/>
                <w:szCs w:val="19"/>
                <w:b w:val="1"/>
                <w:bCs w:val="1"/>
                <w:color w:val="231F20"/>
              </w:rPr>
              <w:t>97.1</w:t>
            </w:r>
          </w:p>
        </w:tc>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rPr>
              <w:t>Compensation Recovery Policy.</w:t>
            </w:r>
          </w:p>
        </w:tc>
        <w:tc>
          <w:tcPr>
            <w:tcW w:w="780" w:type="dxa"/>
            <w:vAlign w:val="bottom"/>
          </w:tcPr>
          <w:p>
            <w:pPr>
              <w:jc w:val="center"/>
              <w:spacing w:after="0"/>
              <w:rPr>
                <w:sz w:val="20"/>
                <w:szCs w:val="20"/>
                <w:color w:val="auto"/>
              </w:rPr>
            </w:pPr>
            <w:r>
              <w:rPr>
                <w:rFonts w:ascii="Arial" w:cs="Arial" w:eastAsia="Arial" w:hAnsi="Arial"/>
                <w:sz w:val="19"/>
                <w:szCs w:val="19"/>
                <w:b w:val="1"/>
                <w:bCs w:val="1"/>
                <w:color w:val="231F20"/>
                <w:w w:val="97"/>
              </w:rPr>
              <w:t>10-K</w:t>
            </w:r>
          </w:p>
        </w:tc>
        <w:tc>
          <w:tcPr>
            <w:tcW w:w="1280" w:type="dxa"/>
            <w:vAlign w:val="bottom"/>
            <w:gridSpan w:val="2"/>
          </w:tcPr>
          <w:p>
            <w:pPr>
              <w:jc w:val="center"/>
              <w:ind w:left="23"/>
              <w:spacing w:after="0"/>
              <w:rPr>
                <w:sz w:val="20"/>
                <w:szCs w:val="20"/>
                <w:color w:val="auto"/>
              </w:rPr>
            </w:pPr>
            <w:r>
              <w:rPr>
                <w:rFonts w:ascii="Arial" w:cs="Arial" w:eastAsia="Arial" w:hAnsi="Arial"/>
                <w:sz w:val="19"/>
                <w:szCs w:val="19"/>
                <w:b w:val="1"/>
                <w:bCs w:val="1"/>
                <w:color w:val="231F20"/>
                <w:w w:val="92"/>
              </w:rPr>
              <w:t>001-39386</w:t>
            </w:r>
          </w:p>
        </w:tc>
        <w:tc>
          <w:tcPr>
            <w:tcW w:w="940" w:type="dxa"/>
            <w:vAlign w:val="bottom"/>
            <w:gridSpan w:val="2"/>
          </w:tcPr>
          <w:p>
            <w:pPr>
              <w:jc w:val="center"/>
              <w:ind w:left="23"/>
              <w:spacing w:after="0"/>
              <w:rPr>
                <w:sz w:val="20"/>
                <w:szCs w:val="20"/>
                <w:color w:val="auto"/>
              </w:rPr>
            </w:pPr>
            <w:r>
              <w:rPr>
                <w:rFonts w:ascii="Arial" w:cs="Arial" w:eastAsia="Arial" w:hAnsi="Arial"/>
                <w:sz w:val="19"/>
                <w:szCs w:val="19"/>
                <w:b w:val="1"/>
                <w:bCs w:val="1"/>
                <w:color w:val="231F20"/>
                <w:w w:val="91"/>
              </w:rPr>
              <w:t>97.1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9"/>
                <w:szCs w:val="19"/>
                <w:b w:val="1"/>
                <w:bCs w:val="1"/>
                <w:color w:val="231F20"/>
                <w:w w:val="89"/>
              </w:rPr>
              <w:t>March 7, 2024</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58"/>
        </w:trPr>
        <w:tc>
          <w:tcPr>
            <w:tcW w:w="980" w:type="dxa"/>
            <w:vAlign w:val="bottom"/>
          </w:tcPr>
          <w:p>
            <w:pPr>
              <w:spacing w:after="0"/>
              <w:rPr>
                <w:sz w:val="20"/>
                <w:szCs w:val="20"/>
                <w:color w:val="auto"/>
              </w:rPr>
            </w:pPr>
            <w:r>
              <w:rPr>
                <w:rFonts w:ascii="Arial" w:cs="Arial" w:eastAsia="Arial" w:hAnsi="Arial"/>
                <w:sz w:val="19"/>
                <w:szCs w:val="19"/>
                <w:b w:val="1"/>
                <w:bCs w:val="1"/>
                <w:color w:val="231F20"/>
              </w:rPr>
              <w:t>101.INS</w:t>
            </w:r>
          </w:p>
        </w:tc>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rPr>
              <w:t>Inline XBRL Instance Document. - the</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9"/>
                <w:szCs w:val="19"/>
                <w:b w:val="1"/>
                <w:bCs w:val="1"/>
                <w:color w:val="231F20"/>
              </w:rPr>
              <w:t>X</w:t>
            </w: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w w:val="95"/>
              </w:rPr>
              <w:t>Instance Document does not appear in the</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w w:val="93"/>
              </w:rPr>
              <w:t>Interactive Data File because its XBRL tags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rPr>
              <w:t>are embedded within the Inline XBRL</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rPr>
              <w:t>document</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55"/>
        </w:trPr>
        <w:tc>
          <w:tcPr>
            <w:tcW w:w="980" w:type="dxa"/>
            <w:vAlign w:val="bottom"/>
          </w:tcPr>
          <w:p>
            <w:pPr>
              <w:spacing w:after="0"/>
              <w:rPr>
                <w:sz w:val="20"/>
                <w:szCs w:val="20"/>
                <w:color w:val="auto"/>
              </w:rPr>
            </w:pPr>
            <w:r>
              <w:rPr>
                <w:rFonts w:ascii="Arial" w:cs="Arial" w:eastAsia="Arial" w:hAnsi="Arial"/>
                <w:sz w:val="19"/>
                <w:szCs w:val="19"/>
                <w:b w:val="1"/>
                <w:bCs w:val="1"/>
                <w:color w:val="231F20"/>
              </w:rPr>
              <w:t>101.SCH</w:t>
            </w:r>
          </w:p>
        </w:tc>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w w:val="96"/>
              </w:rPr>
              <w:t>Inline XBRL Taxonomy Extension Schema</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9"/>
                <w:szCs w:val="19"/>
                <w:b w:val="1"/>
                <w:bCs w:val="1"/>
                <w:color w:val="231F20"/>
              </w:rPr>
              <w:t>X</w:t>
            </w: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rPr>
              <w:t>Document With Embedded Linkbase</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rPr>
              <w:t>Documents.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58"/>
        </w:trPr>
        <w:tc>
          <w:tcPr>
            <w:tcW w:w="980" w:type="dxa"/>
            <w:vAlign w:val="bottom"/>
          </w:tcPr>
          <w:p>
            <w:pPr>
              <w:spacing w:after="0"/>
              <w:rPr>
                <w:sz w:val="20"/>
                <w:szCs w:val="20"/>
                <w:color w:val="auto"/>
              </w:rPr>
            </w:pPr>
            <w:r>
              <w:rPr>
                <w:rFonts w:ascii="Arial" w:cs="Arial" w:eastAsia="Arial" w:hAnsi="Arial"/>
                <w:sz w:val="19"/>
                <w:szCs w:val="19"/>
                <w:b w:val="1"/>
                <w:bCs w:val="1"/>
                <w:color w:val="231F20"/>
              </w:rPr>
              <w:t>104</w:t>
            </w:r>
          </w:p>
        </w:tc>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w w:val="94"/>
              </w:rPr>
              <w:t>Cover Page Interactive Data File (formatted</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9"/>
                <w:szCs w:val="19"/>
                <w:b w:val="1"/>
                <w:bCs w:val="1"/>
                <w:color w:val="231F20"/>
              </w:rPr>
              <w:t>X</w:t>
            </w: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9"/>
                <w:szCs w:val="19"/>
                <w:b w:val="1"/>
                <w:bCs w:val="1"/>
                <w:color w:val="231F20"/>
                <w:w w:val="94"/>
              </w:rPr>
              <w:t>as Inline XBRL and included in exhibit 101)</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297180</wp:posOffset>
            </wp:positionV>
            <wp:extent cx="922020" cy="762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922020" cy="762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right="180" w:firstLine="1"/>
        <w:spacing w:after="0" w:line="268" w:lineRule="auto"/>
        <w:tabs>
          <w:tab w:leader="none" w:pos="143" w:val="left"/>
        </w:tabs>
        <w:numPr>
          <w:ilvl w:val="0"/>
          <w:numId w:val="23"/>
        </w:numPr>
        <w:rPr>
          <w:rFonts w:ascii="Arial" w:cs="Arial" w:eastAsia="Arial" w:hAnsi="Arial"/>
          <w:sz w:val="17"/>
          <w:szCs w:val="17"/>
          <w:b w:val="1"/>
          <w:bCs w:val="1"/>
          <w:color w:val="231F20"/>
        </w:rPr>
      </w:pPr>
      <w:r>
        <w:rPr>
          <w:rFonts w:ascii="Arial" w:cs="Arial" w:eastAsia="Arial" w:hAnsi="Arial"/>
          <w:sz w:val="17"/>
          <w:szCs w:val="17"/>
          <w:b w:val="1"/>
          <w:bCs w:val="1"/>
          <w:color w:val="231F20"/>
        </w:rPr>
        <w:t>Certain confidential information contained in this document, marked by [***], has been omitted pursuant to Item 601(b)(10)(iv) of Regulation S-K because it is both (i) not material and (ii) the type of information that the registrant treats as private or confidential. ^ Certain exhibits and schedules have been omitted in accordance with Item 601(a)(5) of Regulation S-K. The registrant agrees to furnish supplementally a copy of any omitted exhibit or schedule to the SEC upon its request.</w:t>
      </w:r>
    </w:p>
    <w:p>
      <w:pPr>
        <w:sectPr>
          <w:pgSz w:w="12240" w:h="15840" w:orient="portrait"/>
          <w:cols w:equalWidth="0" w:num="1">
            <w:col w:w="10480"/>
          </w:cols>
          <w:pgMar w:left="880" w:top="1151" w:right="880" w:bottom="401" w:gutter="0" w:footer="0" w:header="0"/>
        </w:sect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31F20"/>
        </w:rPr>
        <w:t>129</w:t>
      </w:r>
    </w:p>
    <w:p>
      <w:pPr>
        <w:sectPr>
          <w:pgSz w:w="12240" w:h="15840" w:orient="portrait"/>
          <w:cols w:equalWidth="0" w:num="1">
            <w:col w:w="10480"/>
          </w:cols>
          <w:pgMar w:left="880" w:top="1151" w:right="880" w:bottom="401" w:gutter="0" w:footer="0" w:header="0"/>
          <w:type w:val="continuous"/>
        </w:sectPr>
      </w:pPr>
    </w:p>
    <w:bookmarkStart w:id="137" w:name="page138"/>
    <w:bookmarkEnd w:id="137"/>
    <w:p>
      <w:pPr>
        <w:spacing w:after="0"/>
        <w:rPr>
          <w:sz w:val="20"/>
          <w:szCs w:val="20"/>
          <w:color w:val="auto"/>
        </w:rPr>
      </w:pPr>
      <w:r>
        <w:rPr>
          <w:rFonts w:ascii="Arial" w:cs="Arial" w:eastAsia="Arial" w:hAnsi="Arial"/>
          <w:sz w:val="19"/>
          <w:szCs w:val="19"/>
          <w:b w:val="1"/>
          <w:bCs w:val="1"/>
          <w:color w:val="231F20"/>
        </w:rPr>
        <w:t>+ Indicates management contract or compensatory plan.</w:t>
      </w:r>
    </w:p>
    <w:p>
      <w:pPr>
        <w:spacing w:after="0" w:line="101" w:lineRule="exact"/>
        <w:rPr>
          <w:sz w:val="20"/>
          <w:szCs w:val="20"/>
          <w:color w:val="auto"/>
        </w:rPr>
      </w:pPr>
    </w:p>
    <w:p>
      <w:pPr>
        <w:ind w:firstLine="3"/>
        <w:spacing w:after="0" w:line="268" w:lineRule="auto"/>
        <w:tabs>
          <w:tab w:leader="none" w:pos="146" w:val="left"/>
        </w:tabs>
        <w:numPr>
          <w:ilvl w:val="0"/>
          <w:numId w:val="24"/>
        </w:numPr>
        <w:rPr>
          <w:rFonts w:ascii="Arial" w:cs="Arial" w:eastAsia="Arial" w:hAnsi="Arial"/>
          <w:sz w:val="16"/>
          <w:szCs w:val="16"/>
          <w:b w:val="1"/>
          <w:bCs w:val="1"/>
          <w:color w:val="231F20"/>
        </w:rPr>
      </w:pPr>
      <w:r>
        <w:rPr>
          <w:rFonts w:ascii="Arial" w:cs="Arial" w:eastAsia="Arial" w:hAnsi="Arial"/>
          <w:sz w:val="16"/>
          <w:szCs w:val="16"/>
          <w:b w:val="1"/>
          <w:bCs w:val="1"/>
          <w:color w:val="231F20"/>
        </w:rPr>
        <w:t>The certifications attached as Exhibit 32.1 and 32.2 that accompany this Annual Report on Form 10-K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327"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Item 16. Form 10-K Summary</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None.</w:t>
      </w:r>
    </w:p>
    <w:p>
      <w:pPr>
        <w:sectPr>
          <w:pgSz w:w="12240" w:h="15840" w:orient="portrait"/>
          <w:cols w:equalWidth="0" w:num="1">
            <w:col w:w="10440"/>
          </w:cols>
          <w:pgMar w:left="880" w:top="1139" w:right="920" w:bottom="4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231F20"/>
        </w:rPr>
        <w:t>130</w:t>
      </w:r>
    </w:p>
    <w:p>
      <w:pPr>
        <w:sectPr>
          <w:pgSz w:w="12240" w:h="15840" w:orient="portrait"/>
          <w:cols w:equalWidth="0" w:num="1">
            <w:col w:w="10440"/>
          </w:cols>
          <w:pgMar w:left="880" w:top="1139" w:right="920" w:bottom="401" w:gutter="0" w:footer="0" w:header="0"/>
          <w:type w:val="continuous"/>
        </w:sectPr>
      </w:pPr>
    </w:p>
    <w:bookmarkStart w:id="138" w:name="page139"/>
    <w:bookmarkEnd w:id="138"/>
    <w:p>
      <w:pPr>
        <w:jc w:val="center"/>
        <w:spacing w:after="0"/>
        <w:rPr>
          <w:sz w:val="20"/>
          <w:szCs w:val="20"/>
          <w:color w:val="auto"/>
        </w:rPr>
      </w:pPr>
      <w:r>
        <w:rPr>
          <w:rFonts w:ascii="Arial" w:cs="Arial" w:eastAsia="Arial" w:hAnsi="Arial"/>
          <w:sz w:val="19"/>
          <w:szCs w:val="19"/>
          <w:b w:val="1"/>
          <w:bCs w:val="1"/>
          <w:color w:val="231F20"/>
        </w:rPr>
        <w:t>SIGNATURES</w:t>
      </w:r>
    </w:p>
    <w:p>
      <w:pPr>
        <w:spacing w:after="0" w:line="243" w:lineRule="exact"/>
        <w:rPr>
          <w:sz w:val="20"/>
          <w:szCs w:val="20"/>
          <w:color w:val="auto"/>
        </w:rPr>
      </w:pPr>
    </w:p>
    <w:p>
      <w:pPr>
        <w:ind w:right="200" w:firstLine="475"/>
        <w:spacing w:after="0" w:line="239" w:lineRule="auto"/>
        <w:rPr>
          <w:sz w:val="20"/>
          <w:szCs w:val="20"/>
          <w:color w:val="auto"/>
        </w:rPr>
      </w:pPr>
      <w:r>
        <w:rPr>
          <w:rFonts w:ascii="Arial" w:cs="Arial" w:eastAsia="Arial" w:hAnsi="Arial"/>
          <w:sz w:val="19"/>
          <w:szCs w:val="19"/>
          <w:b w:val="1"/>
          <w:bCs w:val="1"/>
          <w:color w:val="231F20"/>
        </w:rPr>
        <w:t>Pursuant to the requirements of Section 13 or 15(d) of the Securities Exchange Act of 1934, the registrant has duly caused this report to be signed on its behalf by the undersigned, thereunto duly authorized.</w:t>
      </w:r>
    </w:p>
    <w:p>
      <w:pPr>
        <w:spacing w:after="0" w:line="244" w:lineRule="exact"/>
        <w:rPr>
          <w:sz w:val="20"/>
          <w:szCs w:val="20"/>
          <w:color w:val="auto"/>
        </w:rPr>
      </w:pPr>
    </w:p>
    <w:p>
      <w:pPr>
        <w:ind w:left="6700"/>
        <w:spacing w:after="0"/>
        <w:rPr>
          <w:sz w:val="20"/>
          <w:szCs w:val="20"/>
          <w:color w:val="auto"/>
        </w:rPr>
      </w:pPr>
      <w:r>
        <w:rPr>
          <w:rFonts w:ascii="Arial" w:cs="Arial" w:eastAsia="Arial" w:hAnsi="Arial"/>
          <w:sz w:val="19"/>
          <w:szCs w:val="19"/>
          <w:b w:val="1"/>
          <w:bCs w:val="1"/>
          <w:color w:val="231F20"/>
        </w:rPr>
        <w:t>ALX ONCOLOGY HOLDINGS INC.</w:t>
      </w:r>
    </w:p>
    <w:p>
      <w:pPr>
        <w:spacing w:after="0" w:line="257" w:lineRule="exact"/>
        <w:rPr>
          <w:sz w:val="20"/>
          <w:szCs w:val="20"/>
          <w:color w:val="auto"/>
        </w:rPr>
      </w:pPr>
    </w:p>
    <w:p>
      <w:pPr>
        <w:spacing w:after="0"/>
        <w:tabs>
          <w:tab w:leader="none" w:pos="6260" w:val="left"/>
          <w:tab w:leader="none" w:pos="7840" w:val="left"/>
        </w:tabs>
        <w:rPr>
          <w:sz w:val="20"/>
          <w:szCs w:val="20"/>
          <w:color w:val="auto"/>
        </w:rPr>
      </w:pPr>
      <w:r>
        <w:rPr>
          <w:rFonts w:ascii="Arial" w:cs="Arial" w:eastAsia="Arial" w:hAnsi="Arial"/>
          <w:sz w:val="19"/>
          <w:szCs w:val="19"/>
          <w:b w:val="1"/>
          <w:bCs w:val="1"/>
          <w:color w:val="231F20"/>
        </w:rPr>
        <w:t>Date: March 6, 2025</w:t>
      </w:r>
      <w:r>
        <w:rPr>
          <w:sz w:val="20"/>
          <w:szCs w:val="20"/>
          <w:color w:val="auto"/>
        </w:rPr>
        <w:tab/>
      </w:r>
      <w:r>
        <w:rPr>
          <w:rFonts w:ascii="Arial" w:cs="Arial" w:eastAsia="Arial" w:hAnsi="Arial"/>
          <w:sz w:val="19"/>
          <w:szCs w:val="19"/>
          <w:b w:val="1"/>
          <w:bCs w:val="1"/>
          <w:color w:val="231F20"/>
        </w:rPr>
        <w:t>By:</w:t>
      </w:r>
      <w:r>
        <w:rPr>
          <w:sz w:val="20"/>
          <w:szCs w:val="20"/>
          <w:color w:val="auto"/>
        </w:rPr>
        <w:tab/>
      </w:r>
      <w:r>
        <w:rPr>
          <w:rFonts w:ascii="Arial" w:cs="Arial" w:eastAsia="Arial" w:hAnsi="Arial"/>
          <w:sz w:val="16"/>
          <w:szCs w:val="16"/>
          <w:b w:val="1"/>
          <w:bCs w:val="1"/>
          <w:color w:val="231F20"/>
        </w:rPr>
        <w:t>/s/ Jason Lettmann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4258310</wp:posOffset>
            </wp:positionH>
            <wp:positionV relativeFrom="paragraph">
              <wp:posOffset>1270</wp:posOffset>
            </wp:positionV>
            <wp:extent cx="2395855" cy="4763"/>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395855" cy="4763"/>
                    </a:xfrm>
                    <a:prstGeom prst="rect">
                      <a:avLst/>
                    </a:prstGeom>
                    <a:noFill/>
                  </pic:spPr>
                </pic:pic>
              </a:graphicData>
            </a:graphic>
          </wp:anchor>
        </w:drawing>
      </w:r>
    </w:p>
    <w:p>
      <w:pPr>
        <w:spacing w:after="0" w:line="4" w:lineRule="exact"/>
        <w:rPr>
          <w:sz w:val="20"/>
          <w:szCs w:val="20"/>
          <w:color w:val="auto"/>
        </w:rPr>
      </w:pPr>
    </w:p>
    <w:p>
      <w:pPr>
        <w:ind w:left="7920"/>
        <w:spacing w:after="0"/>
        <w:rPr>
          <w:sz w:val="20"/>
          <w:szCs w:val="20"/>
          <w:color w:val="auto"/>
        </w:rPr>
      </w:pPr>
      <w:r>
        <w:rPr>
          <w:rFonts w:ascii="Arial" w:cs="Arial" w:eastAsia="Arial" w:hAnsi="Arial"/>
          <w:sz w:val="19"/>
          <w:szCs w:val="19"/>
          <w:b w:val="1"/>
          <w:bCs w:val="1"/>
          <w:color w:val="231F20"/>
        </w:rPr>
        <w:t>Jason Lettmann</w:t>
      </w:r>
    </w:p>
    <w:p>
      <w:pPr>
        <w:spacing w:after="0" w:line="19" w:lineRule="exact"/>
        <w:rPr>
          <w:sz w:val="20"/>
          <w:szCs w:val="20"/>
          <w:color w:val="auto"/>
        </w:rPr>
      </w:pPr>
    </w:p>
    <w:p>
      <w:pPr>
        <w:ind w:left="7620"/>
        <w:spacing w:after="0"/>
        <w:rPr>
          <w:sz w:val="20"/>
          <w:szCs w:val="20"/>
          <w:color w:val="auto"/>
        </w:rPr>
      </w:pPr>
      <w:r>
        <w:rPr>
          <w:rFonts w:ascii="Arial" w:cs="Arial" w:eastAsia="Arial" w:hAnsi="Arial"/>
          <w:sz w:val="19"/>
          <w:szCs w:val="19"/>
          <w:b w:val="1"/>
          <w:bCs w:val="1"/>
          <w:color w:val="231F20"/>
        </w:rPr>
        <w:t>Chief Executive Officer</w:t>
      </w:r>
    </w:p>
    <w:p>
      <w:pPr>
        <w:spacing w:after="0" w:line="5" w:lineRule="exact"/>
        <w:rPr>
          <w:sz w:val="20"/>
          <w:szCs w:val="20"/>
          <w:color w:val="auto"/>
        </w:rPr>
      </w:pPr>
    </w:p>
    <w:p>
      <w:pPr>
        <w:ind w:left="7380"/>
        <w:spacing w:after="0"/>
        <w:rPr>
          <w:sz w:val="20"/>
          <w:szCs w:val="20"/>
          <w:color w:val="auto"/>
        </w:rPr>
      </w:pPr>
      <w:r>
        <w:rPr>
          <w:rFonts w:ascii="Arial" w:cs="Arial" w:eastAsia="Arial" w:hAnsi="Arial"/>
          <w:sz w:val="19"/>
          <w:szCs w:val="19"/>
          <w:b w:val="1"/>
          <w:bCs w:val="1"/>
          <w:color w:val="231F20"/>
        </w:rPr>
        <w:t>(Principal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POWER OF ATTORNEY</w:t>
      </w:r>
    </w:p>
    <w:p>
      <w:pPr>
        <w:spacing w:after="0" w:line="219" w:lineRule="exact"/>
        <w:rPr>
          <w:sz w:val="20"/>
          <w:szCs w:val="20"/>
          <w:color w:val="auto"/>
        </w:rPr>
      </w:pPr>
    </w:p>
    <w:p>
      <w:pPr>
        <w:ind w:right="160" w:firstLine="475"/>
        <w:spacing w:after="0" w:line="234" w:lineRule="auto"/>
        <w:rPr>
          <w:sz w:val="20"/>
          <w:szCs w:val="20"/>
          <w:color w:val="auto"/>
        </w:rPr>
      </w:pPr>
      <w:r>
        <w:rPr>
          <w:rFonts w:ascii="Arial" w:cs="Arial" w:eastAsia="Arial" w:hAnsi="Arial"/>
          <w:sz w:val="18"/>
          <w:szCs w:val="18"/>
          <w:b w:val="1"/>
          <w:bCs w:val="1"/>
          <w:color w:val="231F20"/>
        </w:rPr>
        <w:t>KNOW ALL PERSONS BY THESE PRESENTS, that each person whose signature appears below constitutes and appoints Jason Lettmann and Harish Shantharam, jointly and severally,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or their substitute or substitutes, may lawfully do or cause to be done by virtue hereof.</w:t>
      </w:r>
    </w:p>
    <w:p>
      <w:pPr>
        <w:spacing w:after="0" w:line="231" w:lineRule="exact"/>
        <w:rPr>
          <w:sz w:val="20"/>
          <w:szCs w:val="20"/>
          <w:color w:val="auto"/>
        </w:rPr>
      </w:pPr>
    </w:p>
    <w:p>
      <w:pPr>
        <w:ind w:right="600" w:firstLine="475"/>
        <w:spacing w:after="0" w:line="227" w:lineRule="auto"/>
        <w:rPr>
          <w:sz w:val="20"/>
          <w:szCs w:val="20"/>
          <w:color w:val="auto"/>
        </w:rPr>
      </w:pPr>
      <w:r>
        <w:rPr>
          <w:rFonts w:ascii="Arial" w:cs="Arial" w:eastAsia="Arial" w:hAnsi="Arial"/>
          <w:sz w:val="19"/>
          <w:szCs w:val="19"/>
          <w:b w:val="1"/>
          <w:bCs w:val="1"/>
          <w:color w:val="231F20"/>
        </w:rPr>
        <w:t>Pursuant to the requirements of the Securities Exchange Act of 1934, this Report has been signed below by the following persons on behalf of the registrant in the capacities and on the dates indicated.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tcBorders>
              <w:bottom w:val="single" w:sz="8" w:color="231F20"/>
            </w:tcBorders>
          </w:tcPr>
          <w:p>
            <w:pPr>
              <w:jc w:val="center"/>
              <w:spacing w:after="0"/>
              <w:rPr>
                <w:sz w:val="20"/>
                <w:szCs w:val="20"/>
                <w:color w:val="auto"/>
              </w:rPr>
            </w:pPr>
            <w:r>
              <w:rPr>
                <w:rFonts w:ascii="Arial" w:cs="Arial" w:eastAsia="Arial" w:hAnsi="Arial"/>
                <w:sz w:val="16"/>
                <w:szCs w:val="16"/>
                <w:b w:val="1"/>
                <w:bCs w:val="1"/>
                <w:color w:val="231F20"/>
                <w:w w:val="86"/>
              </w:rPr>
              <w:t>Signature</w:t>
            </w:r>
          </w:p>
        </w:tc>
        <w:tc>
          <w:tcPr>
            <w:tcW w:w="120" w:type="dxa"/>
            <w:vAlign w:val="bottom"/>
          </w:tcPr>
          <w:p>
            <w:pPr>
              <w:spacing w:after="0"/>
              <w:rPr>
                <w:sz w:val="16"/>
                <w:szCs w:val="16"/>
                <w:color w:val="auto"/>
              </w:rPr>
            </w:pPr>
          </w:p>
        </w:tc>
        <w:tc>
          <w:tcPr>
            <w:tcW w:w="4980" w:type="dxa"/>
            <w:vAlign w:val="bottom"/>
            <w:tcBorders>
              <w:bottom w:val="single" w:sz="8" w:color="231F20"/>
            </w:tcBorders>
          </w:tcPr>
          <w:p>
            <w:pPr>
              <w:jc w:val="center"/>
              <w:spacing w:after="0"/>
              <w:rPr>
                <w:sz w:val="20"/>
                <w:szCs w:val="20"/>
                <w:color w:val="auto"/>
              </w:rPr>
            </w:pPr>
            <w:r>
              <w:rPr>
                <w:rFonts w:ascii="Arial" w:cs="Arial" w:eastAsia="Arial" w:hAnsi="Arial"/>
                <w:sz w:val="16"/>
                <w:szCs w:val="16"/>
                <w:b w:val="1"/>
                <w:bCs w:val="1"/>
                <w:color w:val="231F20"/>
                <w:w w:val="97"/>
              </w:rPr>
              <w:t>Title</w:t>
            </w:r>
          </w:p>
        </w:tc>
        <w:tc>
          <w:tcPr>
            <w:tcW w:w="100" w:type="dxa"/>
            <w:vAlign w:val="bottom"/>
          </w:tcPr>
          <w:p>
            <w:pPr>
              <w:spacing w:after="0"/>
              <w:rPr>
                <w:sz w:val="16"/>
                <w:szCs w:val="16"/>
                <w:color w:val="auto"/>
              </w:rPr>
            </w:pPr>
          </w:p>
        </w:tc>
        <w:tc>
          <w:tcPr>
            <w:tcW w:w="1840" w:type="dxa"/>
            <w:vAlign w:val="bottom"/>
            <w:tcBorders>
              <w:bottom w:val="single" w:sz="8" w:color="231F20"/>
            </w:tcBorders>
          </w:tcPr>
          <w:p>
            <w:pPr>
              <w:jc w:val="center"/>
              <w:spacing w:after="0"/>
              <w:rPr>
                <w:sz w:val="20"/>
                <w:szCs w:val="20"/>
                <w:color w:val="auto"/>
              </w:rPr>
            </w:pPr>
            <w:r>
              <w:rPr>
                <w:rFonts w:ascii="Arial" w:cs="Arial" w:eastAsia="Arial" w:hAnsi="Arial"/>
                <w:sz w:val="16"/>
                <w:szCs w:val="16"/>
                <w:b w:val="1"/>
                <w:bCs w:val="1"/>
                <w:color w:val="231F20"/>
                <w:w w:val="92"/>
              </w:rPr>
              <w:t>Date</w:t>
            </w:r>
          </w:p>
        </w:tc>
      </w:tr>
      <w:tr>
        <w:trPr>
          <w:trHeight w:val="319"/>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80" w:type="dxa"/>
            <w:vAlign w:val="bottom"/>
          </w:tcPr>
          <w:p>
            <w:pPr>
              <w:jc w:val="center"/>
              <w:spacing w:after="0"/>
              <w:rPr>
                <w:sz w:val="20"/>
                <w:szCs w:val="20"/>
                <w:color w:val="auto"/>
              </w:rPr>
            </w:pPr>
            <w:r>
              <w:rPr>
                <w:rFonts w:ascii="Arial" w:cs="Arial" w:eastAsia="Arial" w:hAnsi="Arial"/>
                <w:sz w:val="19"/>
                <w:szCs w:val="19"/>
                <w:b w:val="1"/>
                <w:bCs w:val="1"/>
                <w:color w:val="231F20"/>
                <w:w w:val="88"/>
              </w:rPr>
              <w:t>Chief Executive Officer and Director</w:t>
            </w: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4"/>
        </w:trPr>
        <w:tc>
          <w:tcPr>
            <w:tcW w:w="3440" w:type="dxa"/>
            <w:vAlign w:val="bottom"/>
            <w:tcBorders>
              <w:bottom w:val="single" w:sz="8" w:color="231F20"/>
            </w:tcBorders>
          </w:tcPr>
          <w:p>
            <w:pPr>
              <w:jc w:val="center"/>
              <w:spacing w:after="0"/>
              <w:rPr>
                <w:sz w:val="20"/>
                <w:szCs w:val="20"/>
                <w:color w:val="auto"/>
              </w:rPr>
            </w:pPr>
            <w:r>
              <w:rPr>
                <w:rFonts w:ascii="Arial" w:cs="Arial" w:eastAsia="Arial" w:hAnsi="Arial"/>
                <w:sz w:val="19"/>
                <w:szCs w:val="19"/>
                <w:b w:val="1"/>
                <w:bCs w:val="1"/>
                <w:color w:val="231F20"/>
                <w:w w:val="84"/>
              </w:rPr>
              <w:t>/s/ Jason Lettmann</w:t>
            </w:r>
          </w:p>
        </w:tc>
        <w:tc>
          <w:tcPr>
            <w:tcW w:w="120" w:type="dxa"/>
            <w:vAlign w:val="bottom"/>
          </w:tcPr>
          <w:p>
            <w:pPr>
              <w:spacing w:after="0"/>
              <w:rPr>
                <w:sz w:val="19"/>
                <w:szCs w:val="19"/>
                <w:color w:val="auto"/>
              </w:rPr>
            </w:pPr>
          </w:p>
        </w:tc>
        <w:tc>
          <w:tcPr>
            <w:tcW w:w="4980" w:type="dxa"/>
            <w:vAlign w:val="bottom"/>
          </w:tcPr>
          <w:p>
            <w:pPr>
              <w:jc w:val="center"/>
              <w:spacing w:after="0"/>
              <w:rPr>
                <w:sz w:val="20"/>
                <w:szCs w:val="20"/>
                <w:color w:val="auto"/>
              </w:rPr>
            </w:pPr>
            <w:r>
              <w:rPr>
                <w:rFonts w:ascii="Arial" w:cs="Arial" w:eastAsia="Arial" w:hAnsi="Arial"/>
                <w:sz w:val="19"/>
                <w:szCs w:val="19"/>
                <w:b w:val="1"/>
                <w:bCs w:val="1"/>
                <w:color w:val="231F20"/>
                <w:w w:val="89"/>
              </w:rPr>
              <w:t>(Principal Executive Officer)</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9"/>
                <w:szCs w:val="19"/>
                <w:b w:val="1"/>
                <w:bCs w:val="1"/>
                <w:color w:val="231F20"/>
                <w:w w:val="91"/>
              </w:rPr>
              <w:t>March 6, 2025</w:t>
            </w:r>
          </w:p>
        </w:tc>
      </w:tr>
      <w:tr>
        <w:trPr>
          <w:trHeight w:val="207"/>
        </w:trPr>
        <w:tc>
          <w:tcPr>
            <w:tcW w:w="3440" w:type="dxa"/>
            <w:vAlign w:val="bottom"/>
          </w:tcPr>
          <w:p>
            <w:pPr>
              <w:jc w:val="center"/>
              <w:spacing w:after="0" w:line="207" w:lineRule="exact"/>
              <w:rPr>
                <w:sz w:val="20"/>
                <w:szCs w:val="20"/>
                <w:color w:val="auto"/>
              </w:rPr>
            </w:pPr>
            <w:r>
              <w:rPr>
                <w:rFonts w:ascii="Arial" w:cs="Arial" w:eastAsia="Arial" w:hAnsi="Arial"/>
                <w:sz w:val="19"/>
                <w:szCs w:val="19"/>
                <w:b w:val="1"/>
                <w:bCs w:val="1"/>
                <w:color w:val="231F20"/>
                <w:w w:val="91"/>
              </w:rPr>
              <w:t>Jason Lettmann</w:t>
            </w:r>
          </w:p>
        </w:tc>
        <w:tc>
          <w:tcPr>
            <w:tcW w:w="1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33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80" w:type="dxa"/>
            <w:vAlign w:val="bottom"/>
          </w:tcPr>
          <w:p>
            <w:pPr>
              <w:jc w:val="center"/>
              <w:spacing w:after="0"/>
              <w:rPr>
                <w:sz w:val="20"/>
                <w:szCs w:val="20"/>
                <w:color w:val="auto"/>
              </w:rPr>
            </w:pPr>
            <w:r>
              <w:rPr>
                <w:rFonts w:ascii="Arial" w:cs="Arial" w:eastAsia="Arial" w:hAnsi="Arial"/>
                <w:sz w:val="19"/>
                <w:szCs w:val="19"/>
                <w:b w:val="1"/>
                <w:bCs w:val="1"/>
                <w:color w:val="231F20"/>
                <w:w w:val="89"/>
              </w:rPr>
              <w:t>Chief Financial Officer</w:t>
            </w: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4"/>
        </w:trPr>
        <w:tc>
          <w:tcPr>
            <w:tcW w:w="3440" w:type="dxa"/>
            <w:vAlign w:val="bottom"/>
            <w:tcBorders>
              <w:bottom w:val="single" w:sz="8" w:color="231F20"/>
            </w:tcBorders>
          </w:tcPr>
          <w:p>
            <w:pPr>
              <w:jc w:val="center"/>
              <w:spacing w:after="0"/>
              <w:rPr>
                <w:sz w:val="20"/>
                <w:szCs w:val="20"/>
                <w:color w:val="auto"/>
              </w:rPr>
            </w:pPr>
            <w:r>
              <w:rPr>
                <w:rFonts w:ascii="Arial" w:cs="Arial" w:eastAsia="Arial" w:hAnsi="Arial"/>
                <w:sz w:val="19"/>
                <w:szCs w:val="19"/>
                <w:b w:val="1"/>
                <w:bCs w:val="1"/>
                <w:color w:val="231F20"/>
                <w:w w:val="85"/>
              </w:rPr>
              <w:t>/s/ Harish Shantharam</w:t>
            </w:r>
          </w:p>
        </w:tc>
        <w:tc>
          <w:tcPr>
            <w:tcW w:w="120" w:type="dxa"/>
            <w:vAlign w:val="bottom"/>
          </w:tcPr>
          <w:p>
            <w:pPr>
              <w:spacing w:after="0"/>
              <w:rPr>
                <w:sz w:val="19"/>
                <w:szCs w:val="19"/>
                <w:color w:val="auto"/>
              </w:rPr>
            </w:pPr>
          </w:p>
        </w:tc>
        <w:tc>
          <w:tcPr>
            <w:tcW w:w="4980" w:type="dxa"/>
            <w:vAlign w:val="bottom"/>
          </w:tcPr>
          <w:p>
            <w:pPr>
              <w:jc w:val="center"/>
              <w:spacing w:after="0"/>
              <w:rPr>
                <w:sz w:val="20"/>
                <w:szCs w:val="20"/>
                <w:color w:val="auto"/>
              </w:rPr>
            </w:pPr>
            <w:r>
              <w:rPr>
                <w:rFonts w:ascii="Arial" w:cs="Arial" w:eastAsia="Arial" w:hAnsi="Arial"/>
                <w:sz w:val="19"/>
                <w:szCs w:val="19"/>
                <w:b w:val="1"/>
                <w:bCs w:val="1"/>
                <w:color w:val="231F20"/>
                <w:w w:val="92"/>
              </w:rPr>
              <w:t>(Principal Financial Officer)</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9"/>
                <w:szCs w:val="19"/>
                <w:b w:val="1"/>
                <w:bCs w:val="1"/>
                <w:color w:val="231F20"/>
                <w:w w:val="91"/>
              </w:rPr>
              <w:t>March 6, 2025</w:t>
            </w:r>
          </w:p>
        </w:tc>
      </w:tr>
      <w:tr>
        <w:trPr>
          <w:trHeight w:val="207"/>
        </w:trPr>
        <w:tc>
          <w:tcPr>
            <w:tcW w:w="3440" w:type="dxa"/>
            <w:vAlign w:val="bottom"/>
          </w:tcPr>
          <w:p>
            <w:pPr>
              <w:jc w:val="center"/>
              <w:spacing w:after="0" w:line="207" w:lineRule="exact"/>
              <w:rPr>
                <w:sz w:val="20"/>
                <w:szCs w:val="20"/>
                <w:color w:val="auto"/>
              </w:rPr>
            </w:pPr>
            <w:r>
              <w:rPr>
                <w:rFonts w:ascii="Arial" w:cs="Arial" w:eastAsia="Arial" w:hAnsi="Arial"/>
                <w:sz w:val="19"/>
                <w:szCs w:val="19"/>
                <w:b w:val="1"/>
                <w:bCs w:val="1"/>
                <w:color w:val="231F20"/>
                <w:w w:val="95"/>
              </w:rPr>
              <w:t>Harish Shantharam</w:t>
            </w:r>
          </w:p>
        </w:tc>
        <w:tc>
          <w:tcPr>
            <w:tcW w:w="1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336"/>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80" w:type="dxa"/>
            <w:vAlign w:val="bottom"/>
          </w:tcPr>
          <w:p>
            <w:pPr>
              <w:jc w:val="center"/>
              <w:spacing w:after="0"/>
              <w:rPr>
                <w:sz w:val="20"/>
                <w:szCs w:val="20"/>
                <w:color w:val="auto"/>
              </w:rPr>
            </w:pPr>
            <w:r>
              <w:rPr>
                <w:rFonts w:ascii="Arial" w:cs="Arial" w:eastAsia="Arial" w:hAnsi="Arial"/>
                <w:sz w:val="19"/>
                <w:szCs w:val="19"/>
                <w:b w:val="1"/>
                <w:bCs w:val="1"/>
                <w:color w:val="231F20"/>
                <w:w w:val="87"/>
              </w:rPr>
              <w:t>Senior Vice President, Finance and Chief Accounting Officer</w:t>
            </w: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3"/>
        </w:trPr>
        <w:tc>
          <w:tcPr>
            <w:tcW w:w="3440" w:type="dxa"/>
            <w:vAlign w:val="bottom"/>
            <w:tcBorders>
              <w:bottom w:val="single" w:sz="8" w:color="231F20"/>
            </w:tcBorders>
          </w:tcPr>
          <w:p>
            <w:pPr>
              <w:jc w:val="center"/>
              <w:spacing w:after="0"/>
              <w:rPr>
                <w:sz w:val="20"/>
                <w:szCs w:val="20"/>
                <w:color w:val="auto"/>
              </w:rPr>
            </w:pPr>
            <w:r>
              <w:rPr>
                <w:rFonts w:ascii="Arial" w:cs="Arial" w:eastAsia="Arial" w:hAnsi="Arial"/>
                <w:sz w:val="19"/>
                <w:szCs w:val="19"/>
                <w:b w:val="1"/>
                <w:bCs w:val="1"/>
                <w:color w:val="231F20"/>
                <w:w w:val="88"/>
              </w:rPr>
              <w:t>/s/ Shelly Pinto</w:t>
            </w:r>
          </w:p>
        </w:tc>
        <w:tc>
          <w:tcPr>
            <w:tcW w:w="120" w:type="dxa"/>
            <w:vAlign w:val="bottom"/>
          </w:tcPr>
          <w:p>
            <w:pPr>
              <w:spacing w:after="0"/>
              <w:rPr>
                <w:sz w:val="19"/>
                <w:szCs w:val="19"/>
                <w:color w:val="auto"/>
              </w:rPr>
            </w:pPr>
          </w:p>
        </w:tc>
        <w:tc>
          <w:tcPr>
            <w:tcW w:w="4980" w:type="dxa"/>
            <w:vAlign w:val="bottom"/>
          </w:tcPr>
          <w:p>
            <w:pPr>
              <w:jc w:val="center"/>
              <w:spacing w:after="0"/>
              <w:rPr>
                <w:sz w:val="20"/>
                <w:szCs w:val="20"/>
                <w:color w:val="auto"/>
              </w:rPr>
            </w:pPr>
            <w:r>
              <w:rPr>
                <w:rFonts w:ascii="Arial" w:cs="Arial" w:eastAsia="Arial" w:hAnsi="Arial"/>
                <w:sz w:val="19"/>
                <w:szCs w:val="19"/>
                <w:b w:val="1"/>
                <w:bCs w:val="1"/>
                <w:color w:val="231F20"/>
                <w:w w:val="89"/>
              </w:rPr>
              <w:t>(Principal Accounting Officer)</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9"/>
                <w:szCs w:val="19"/>
                <w:b w:val="1"/>
                <w:bCs w:val="1"/>
                <w:color w:val="231F20"/>
                <w:w w:val="91"/>
              </w:rPr>
              <w:t>March 6, 2025</w:t>
            </w:r>
          </w:p>
        </w:tc>
      </w:tr>
      <w:tr>
        <w:trPr>
          <w:trHeight w:val="208"/>
        </w:trPr>
        <w:tc>
          <w:tcPr>
            <w:tcW w:w="3440" w:type="dxa"/>
            <w:vAlign w:val="bottom"/>
          </w:tcPr>
          <w:p>
            <w:pPr>
              <w:jc w:val="center"/>
              <w:spacing w:after="0" w:line="208" w:lineRule="exact"/>
              <w:rPr>
                <w:sz w:val="20"/>
                <w:szCs w:val="20"/>
                <w:color w:val="auto"/>
              </w:rPr>
            </w:pPr>
            <w:r>
              <w:rPr>
                <w:rFonts w:ascii="Arial" w:cs="Arial" w:eastAsia="Arial" w:hAnsi="Arial"/>
                <w:sz w:val="19"/>
                <w:szCs w:val="19"/>
                <w:b w:val="1"/>
                <w:bCs w:val="1"/>
                <w:color w:val="231F20"/>
                <w:w w:val="91"/>
              </w:rPr>
              <w:t>Shelly Pinto</w:t>
            </w:r>
          </w:p>
        </w:tc>
        <w:tc>
          <w:tcPr>
            <w:tcW w:w="1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335"/>
        </w:trPr>
        <w:tc>
          <w:tcPr>
            <w:tcW w:w="3440" w:type="dxa"/>
            <w:vAlign w:val="bottom"/>
            <w:tcBorders>
              <w:bottom w:val="single" w:sz="8" w:color="231F20"/>
            </w:tcBorders>
          </w:tcPr>
          <w:p>
            <w:pPr>
              <w:jc w:val="center"/>
              <w:spacing w:after="0"/>
              <w:rPr>
                <w:sz w:val="20"/>
                <w:szCs w:val="20"/>
                <w:color w:val="auto"/>
              </w:rPr>
            </w:pPr>
            <w:r>
              <w:rPr>
                <w:rFonts w:ascii="Arial" w:cs="Arial" w:eastAsia="Arial" w:hAnsi="Arial"/>
                <w:sz w:val="19"/>
                <w:szCs w:val="19"/>
                <w:b w:val="1"/>
                <w:bCs w:val="1"/>
                <w:color w:val="231F20"/>
                <w:w w:val="87"/>
              </w:rPr>
              <w:t>/s/ Corey Goodman</w:t>
            </w:r>
          </w:p>
        </w:tc>
        <w:tc>
          <w:tcPr>
            <w:tcW w:w="120" w:type="dxa"/>
            <w:vAlign w:val="bottom"/>
          </w:tcPr>
          <w:p>
            <w:pPr>
              <w:spacing w:after="0"/>
              <w:rPr>
                <w:sz w:val="24"/>
                <w:szCs w:val="24"/>
                <w:color w:val="auto"/>
              </w:rPr>
            </w:pPr>
          </w:p>
        </w:tc>
        <w:tc>
          <w:tcPr>
            <w:tcW w:w="4980" w:type="dxa"/>
            <w:vAlign w:val="bottom"/>
          </w:tcPr>
          <w:p>
            <w:pPr>
              <w:jc w:val="center"/>
              <w:spacing w:after="0"/>
              <w:rPr>
                <w:sz w:val="20"/>
                <w:szCs w:val="20"/>
                <w:color w:val="auto"/>
              </w:rPr>
            </w:pPr>
            <w:r>
              <w:rPr>
                <w:rFonts w:ascii="Arial" w:cs="Arial" w:eastAsia="Arial" w:hAnsi="Arial"/>
                <w:sz w:val="19"/>
                <w:szCs w:val="19"/>
                <w:b w:val="1"/>
                <w:bCs w:val="1"/>
                <w:color w:val="231F20"/>
                <w:w w:val="87"/>
              </w:rPr>
              <w:t>Chairman of the Board of Directors</w:t>
            </w:r>
          </w:p>
        </w:tc>
        <w:tc>
          <w:tcPr>
            <w:tcW w:w="10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9"/>
                <w:szCs w:val="19"/>
                <w:b w:val="1"/>
                <w:bCs w:val="1"/>
                <w:color w:val="231F20"/>
                <w:w w:val="91"/>
              </w:rPr>
              <w:t>March 6, 2025</w:t>
            </w:r>
          </w:p>
        </w:tc>
      </w:tr>
      <w:tr>
        <w:trPr>
          <w:trHeight w:val="207"/>
        </w:trPr>
        <w:tc>
          <w:tcPr>
            <w:tcW w:w="3440" w:type="dxa"/>
            <w:vAlign w:val="bottom"/>
          </w:tcPr>
          <w:p>
            <w:pPr>
              <w:jc w:val="center"/>
              <w:spacing w:after="0" w:line="207" w:lineRule="exact"/>
              <w:rPr>
                <w:sz w:val="20"/>
                <w:szCs w:val="20"/>
                <w:color w:val="auto"/>
              </w:rPr>
            </w:pPr>
            <w:r>
              <w:rPr>
                <w:rFonts w:ascii="Arial" w:cs="Arial" w:eastAsia="Arial" w:hAnsi="Arial"/>
                <w:sz w:val="19"/>
                <w:szCs w:val="19"/>
                <w:b w:val="1"/>
                <w:bCs w:val="1"/>
                <w:color w:val="231F20"/>
                <w:w w:val="92"/>
              </w:rPr>
              <w:t>Corey Goodman, Ph.D.</w:t>
            </w:r>
          </w:p>
        </w:tc>
        <w:tc>
          <w:tcPr>
            <w:tcW w:w="1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336"/>
        </w:trPr>
        <w:tc>
          <w:tcPr>
            <w:tcW w:w="3440" w:type="dxa"/>
            <w:vAlign w:val="bottom"/>
            <w:tcBorders>
              <w:bottom w:val="single" w:sz="8" w:color="231F20"/>
            </w:tcBorders>
          </w:tcPr>
          <w:p>
            <w:pPr>
              <w:jc w:val="center"/>
              <w:spacing w:after="0"/>
              <w:rPr>
                <w:sz w:val="20"/>
                <w:szCs w:val="20"/>
                <w:color w:val="auto"/>
              </w:rPr>
            </w:pPr>
            <w:r>
              <w:rPr>
                <w:rFonts w:ascii="Arial" w:cs="Arial" w:eastAsia="Arial" w:hAnsi="Arial"/>
                <w:sz w:val="19"/>
                <w:szCs w:val="19"/>
                <w:b w:val="1"/>
                <w:bCs w:val="1"/>
                <w:color w:val="231F20"/>
                <w:w w:val="88"/>
              </w:rPr>
              <w:t>/s/ Rekha Hemrajani</w:t>
            </w:r>
          </w:p>
        </w:tc>
        <w:tc>
          <w:tcPr>
            <w:tcW w:w="120" w:type="dxa"/>
            <w:vAlign w:val="bottom"/>
          </w:tcPr>
          <w:p>
            <w:pPr>
              <w:spacing w:after="0"/>
              <w:rPr>
                <w:sz w:val="24"/>
                <w:szCs w:val="24"/>
                <w:color w:val="auto"/>
              </w:rPr>
            </w:pPr>
          </w:p>
        </w:tc>
        <w:tc>
          <w:tcPr>
            <w:tcW w:w="4980" w:type="dxa"/>
            <w:vAlign w:val="bottom"/>
          </w:tcPr>
          <w:p>
            <w:pPr>
              <w:jc w:val="center"/>
              <w:spacing w:after="0"/>
              <w:rPr>
                <w:sz w:val="20"/>
                <w:szCs w:val="20"/>
                <w:color w:val="auto"/>
              </w:rPr>
            </w:pPr>
            <w:r>
              <w:rPr>
                <w:rFonts w:ascii="Arial" w:cs="Arial" w:eastAsia="Arial" w:hAnsi="Arial"/>
                <w:sz w:val="19"/>
                <w:szCs w:val="19"/>
                <w:b w:val="1"/>
                <w:bCs w:val="1"/>
                <w:color w:val="231F20"/>
                <w:w w:val="87"/>
              </w:rPr>
              <w:t>Director</w:t>
            </w:r>
          </w:p>
        </w:tc>
        <w:tc>
          <w:tcPr>
            <w:tcW w:w="10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9"/>
                <w:szCs w:val="19"/>
                <w:b w:val="1"/>
                <w:bCs w:val="1"/>
                <w:color w:val="231F20"/>
                <w:w w:val="91"/>
              </w:rPr>
              <w:t>March 6, 2025</w:t>
            </w:r>
          </w:p>
        </w:tc>
      </w:tr>
      <w:tr>
        <w:trPr>
          <w:trHeight w:val="208"/>
        </w:trPr>
        <w:tc>
          <w:tcPr>
            <w:tcW w:w="3440" w:type="dxa"/>
            <w:vAlign w:val="bottom"/>
          </w:tcPr>
          <w:p>
            <w:pPr>
              <w:jc w:val="center"/>
              <w:spacing w:after="0" w:line="209" w:lineRule="exact"/>
              <w:rPr>
                <w:sz w:val="20"/>
                <w:szCs w:val="20"/>
                <w:color w:val="auto"/>
              </w:rPr>
            </w:pPr>
            <w:r>
              <w:rPr>
                <w:rFonts w:ascii="Arial" w:cs="Arial" w:eastAsia="Arial" w:hAnsi="Arial"/>
                <w:sz w:val="19"/>
                <w:szCs w:val="19"/>
                <w:b w:val="1"/>
                <w:bCs w:val="1"/>
                <w:color w:val="231F20"/>
                <w:w w:val="95"/>
              </w:rPr>
              <w:t>Rekha Hemrajani</w:t>
            </w:r>
          </w:p>
        </w:tc>
        <w:tc>
          <w:tcPr>
            <w:tcW w:w="1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333"/>
        </w:trPr>
        <w:tc>
          <w:tcPr>
            <w:tcW w:w="3440" w:type="dxa"/>
            <w:vAlign w:val="bottom"/>
            <w:tcBorders>
              <w:bottom w:val="single" w:sz="8" w:color="231F20"/>
            </w:tcBorders>
          </w:tcPr>
          <w:p>
            <w:pPr>
              <w:jc w:val="center"/>
              <w:spacing w:after="0"/>
              <w:rPr>
                <w:sz w:val="20"/>
                <w:szCs w:val="20"/>
                <w:color w:val="auto"/>
              </w:rPr>
            </w:pPr>
            <w:r>
              <w:rPr>
                <w:rFonts w:ascii="Arial" w:cs="Arial" w:eastAsia="Arial" w:hAnsi="Arial"/>
                <w:sz w:val="19"/>
                <w:szCs w:val="19"/>
                <w:b w:val="1"/>
                <w:bCs w:val="1"/>
                <w:color w:val="231F20"/>
                <w:w w:val="87"/>
              </w:rPr>
              <w:t>/s/ Barbara Klencke</w:t>
            </w:r>
          </w:p>
        </w:tc>
        <w:tc>
          <w:tcPr>
            <w:tcW w:w="120" w:type="dxa"/>
            <w:vAlign w:val="bottom"/>
          </w:tcPr>
          <w:p>
            <w:pPr>
              <w:spacing w:after="0"/>
              <w:rPr>
                <w:sz w:val="24"/>
                <w:szCs w:val="24"/>
                <w:color w:val="auto"/>
              </w:rPr>
            </w:pPr>
          </w:p>
        </w:tc>
        <w:tc>
          <w:tcPr>
            <w:tcW w:w="4980" w:type="dxa"/>
            <w:vAlign w:val="bottom"/>
          </w:tcPr>
          <w:p>
            <w:pPr>
              <w:jc w:val="center"/>
              <w:spacing w:after="0"/>
              <w:rPr>
                <w:sz w:val="20"/>
                <w:szCs w:val="20"/>
                <w:color w:val="auto"/>
              </w:rPr>
            </w:pPr>
            <w:r>
              <w:rPr>
                <w:rFonts w:ascii="Arial" w:cs="Arial" w:eastAsia="Arial" w:hAnsi="Arial"/>
                <w:sz w:val="19"/>
                <w:szCs w:val="19"/>
                <w:b w:val="1"/>
                <w:bCs w:val="1"/>
                <w:color w:val="231F20"/>
                <w:w w:val="87"/>
              </w:rPr>
              <w:t>Director</w:t>
            </w:r>
          </w:p>
        </w:tc>
        <w:tc>
          <w:tcPr>
            <w:tcW w:w="10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9"/>
                <w:szCs w:val="19"/>
                <w:b w:val="1"/>
                <w:bCs w:val="1"/>
                <w:color w:val="231F20"/>
                <w:w w:val="91"/>
              </w:rPr>
              <w:t>March 6, 2025</w:t>
            </w:r>
          </w:p>
        </w:tc>
      </w:tr>
      <w:tr>
        <w:trPr>
          <w:trHeight w:val="213"/>
        </w:trPr>
        <w:tc>
          <w:tcPr>
            <w:tcW w:w="3440" w:type="dxa"/>
            <w:vAlign w:val="bottom"/>
          </w:tcPr>
          <w:p>
            <w:pPr>
              <w:jc w:val="center"/>
              <w:spacing w:after="0" w:line="214" w:lineRule="exact"/>
              <w:rPr>
                <w:sz w:val="20"/>
                <w:szCs w:val="20"/>
                <w:color w:val="auto"/>
              </w:rPr>
            </w:pPr>
            <w:r>
              <w:rPr>
                <w:rFonts w:ascii="Arial" w:cs="Arial" w:eastAsia="Arial" w:hAnsi="Arial"/>
                <w:sz w:val="19"/>
                <w:szCs w:val="19"/>
                <w:b w:val="1"/>
                <w:bCs w:val="1"/>
                <w:color w:val="231F20"/>
                <w:w w:val="97"/>
              </w:rPr>
              <w:t>Barbara Klencke, M.D.</w:t>
            </w:r>
          </w:p>
        </w:tc>
        <w:tc>
          <w:tcPr>
            <w:tcW w:w="1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334"/>
        </w:trPr>
        <w:tc>
          <w:tcPr>
            <w:tcW w:w="3440" w:type="dxa"/>
            <w:vAlign w:val="bottom"/>
            <w:tcBorders>
              <w:bottom w:val="single" w:sz="8" w:color="231F20"/>
            </w:tcBorders>
          </w:tcPr>
          <w:p>
            <w:pPr>
              <w:jc w:val="center"/>
              <w:spacing w:after="0"/>
              <w:rPr>
                <w:sz w:val="20"/>
                <w:szCs w:val="20"/>
                <w:color w:val="auto"/>
              </w:rPr>
            </w:pPr>
            <w:r>
              <w:rPr>
                <w:rFonts w:ascii="Arial" w:cs="Arial" w:eastAsia="Arial" w:hAnsi="Arial"/>
                <w:sz w:val="19"/>
                <w:szCs w:val="19"/>
                <w:b w:val="1"/>
                <w:bCs w:val="1"/>
                <w:color w:val="231F20"/>
                <w:w w:val="88"/>
              </w:rPr>
              <w:t>/s/ Chris Takimoto</w:t>
            </w:r>
          </w:p>
        </w:tc>
        <w:tc>
          <w:tcPr>
            <w:tcW w:w="120" w:type="dxa"/>
            <w:vAlign w:val="bottom"/>
          </w:tcPr>
          <w:p>
            <w:pPr>
              <w:spacing w:after="0"/>
              <w:rPr>
                <w:sz w:val="24"/>
                <w:szCs w:val="24"/>
                <w:color w:val="auto"/>
              </w:rPr>
            </w:pPr>
          </w:p>
        </w:tc>
        <w:tc>
          <w:tcPr>
            <w:tcW w:w="4980" w:type="dxa"/>
            <w:vAlign w:val="bottom"/>
          </w:tcPr>
          <w:p>
            <w:pPr>
              <w:jc w:val="center"/>
              <w:spacing w:after="0"/>
              <w:rPr>
                <w:sz w:val="20"/>
                <w:szCs w:val="20"/>
                <w:color w:val="auto"/>
              </w:rPr>
            </w:pPr>
            <w:r>
              <w:rPr>
                <w:rFonts w:ascii="Arial" w:cs="Arial" w:eastAsia="Arial" w:hAnsi="Arial"/>
                <w:sz w:val="19"/>
                <w:szCs w:val="19"/>
                <w:b w:val="1"/>
                <w:bCs w:val="1"/>
                <w:color w:val="231F20"/>
                <w:w w:val="87"/>
              </w:rPr>
              <w:t>Director</w:t>
            </w:r>
          </w:p>
        </w:tc>
        <w:tc>
          <w:tcPr>
            <w:tcW w:w="10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9"/>
                <w:szCs w:val="19"/>
                <w:b w:val="1"/>
                <w:bCs w:val="1"/>
                <w:color w:val="231F20"/>
                <w:w w:val="91"/>
              </w:rPr>
              <w:t>March 6, 2025</w:t>
            </w:r>
          </w:p>
        </w:tc>
      </w:tr>
      <w:tr>
        <w:trPr>
          <w:trHeight w:val="217"/>
        </w:trPr>
        <w:tc>
          <w:tcPr>
            <w:tcW w:w="3440" w:type="dxa"/>
            <w:vAlign w:val="bottom"/>
          </w:tcPr>
          <w:p>
            <w:pPr>
              <w:jc w:val="center"/>
              <w:spacing w:after="0" w:line="217" w:lineRule="exact"/>
              <w:rPr>
                <w:sz w:val="20"/>
                <w:szCs w:val="20"/>
                <w:color w:val="auto"/>
              </w:rPr>
            </w:pPr>
            <w:r>
              <w:rPr>
                <w:rFonts w:ascii="Arial" w:cs="Arial" w:eastAsia="Arial" w:hAnsi="Arial"/>
                <w:sz w:val="19"/>
                <w:szCs w:val="19"/>
                <w:b w:val="1"/>
                <w:bCs w:val="1"/>
                <w:color w:val="231F20"/>
                <w:w w:val="97"/>
              </w:rPr>
              <w:t>Chris Takimoto, M.D., Ph.D., FACP</w:t>
            </w:r>
          </w:p>
        </w:tc>
        <w:tc>
          <w:tcPr>
            <w:tcW w:w="1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r>
    </w:tbl>
    <w:p>
      <w:pPr>
        <w:spacing w:after="0" w:line="200" w:lineRule="exact"/>
        <w:rPr>
          <w:sz w:val="20"/>
          <w:szCs w:val="20"/>
          <w:color w:val="auto"/>
        </w:rPr>
      </w:pPr>
    </w:p>
    <w:p>
      <w:pPr>
        <w:sectPr>
          <w:pgSz w:w="12240" w:h="15840" w:orient="portrait"/>
          <w:cols w:equalWidth="0" w:num="1">
            <w:col w:w="10480"/>
          </w:cols>
          <w:pgMar w:left="880" w:top="1160" w:right="880" w:bottom="4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31F20"/>
        </w:rPr>
        <w:t>131</w:t>
      </w:r>
    </w:p>
    <w:p>
      <w:pPr>
        <w:sectPr>
          <w:pgSz w:w="12240" w:h="15840" w:orient="portrait"/>
          <w:cols w:equalWidth="0" w:num="1">
            <w:col w:w="10480"/>
          </w:cols>
          <w:pgMar w:left="880" w:top="1160" w:right="880" w:bottom="401" w:gutter="0" w:footer="0" w:header="0"/>
          <w:type w:val="continuous"/>
        </w:sectPr>
      </w:pPr>
    </w:p>
    <w:bookmarkStart w:id="139" w:name="page140"/>
    <w:bookmarkEnd w:id="1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[This page intentionally left blank]</w:t>
      </w:r>
    </w:p>
    <w:p>
      <w:pPr>
        <w:sectPr>
          <w:pgSz w:w="12240" w:h="15840" w:orient="portrait"/>
          <w:cols w:equalWidth="0" w:num="1">
            <w:col w:w="9360"/>
          </w:cols>
          <w:pgMar w:left="1440" w:top="1440" w:right="1440" w:bottom="1440" w:gutter="0" w:footer="0" w:header="0"/>
        </w:sectPr>
      </w:pPr>
    </w:p>
    <w:bookmarkStart w:id="140" w:name="page141"/>
    <w:bookmarkEnd w:id="140"/>
    <w:p>
      <w:pPr>
        <w:jc w:val="right"/>
        <w:spacing w:after="0"/>
        <w:rPr>
          <w:sz w:val="20"/>
          <w:szCs w:val="20"/>
          <w:color w:val="auto"/>
        </w:rPr>
      </w:pPr>
      <w:r>
        <w:rPr>
          <w:rFonts w:ascii="Arial" w:cs="Arial" w:eastAsia="Arial" w:hAnsi="Arial"/>
          <w:sz w:val="19"/>
          <w:szCs w:val="19"/>
          <w:b w:val="1"/>
          <w:bCs w:val="1"/>
          <w:color w:val="231F20"/>
        </w:rPr>
        <w:t>Exhibit 10.8</w:t>
      </w:r>
    </w:p>
    <w:p>
      <w:pPr>
        <w:spacing w:after="0" w:line="290" w:lineRule="exact"/>
        <w:rPr>
          <w:sz w:val="20"/>
          <w:szCs w:val="20"/>
          <w:color w:val="auto"/>
        </w:rPr>
      </w:pPr>
    </w:p>
    <w:p>
      <w:pPr>
        <w:ind w:left="80"/>
        <w:spacing w:after="0"/>
        <w:rPr>
          <w:sz w:val="20"/>
          <w:szCs w:val="20"/>
          <w:color w:val="auto"/>
        </w:rPr>
      </w:pPr>
      <w:r>
        <w:rPr>
          <w:rFonts w:ascii="Arial" w:cs="Arial" w:eastAsia="Arial" w:hAnsi="Arial"/>
          <w:sz w:val="23"/>
          <w:szCs w:val="23"/>
          <w:b w:val="1"/>
          <w:bCs w:val="1"/>
          <w:color w:val="231F20"/>
        </w:rPr>
        <w:t>January 17, 2025</w:t>
      </w:r>
    </w:p>
    <w:p>
      <w:pPr>
        <w:spacing w:after="0" w:line="273" w:lineRule="exact"/>
        <w:rPr>
          <w:sz w:val="20"/>
          <w:szCs w:val="20"/>
          <w:color w:val="auto"/>
        </w:rPr>
      </w:pPr>
    </w:p>
    <w:p>
      <w:pPr>
        <w:ind w:left="80"/>
        <w:spacing w:after="0"/>
        <w:rPr>
          <w:sz w:val="20"/>
          <w:szCs w:val="20"/>
          <w:color w:val="auto"/>
        </w:rPr>
      </w:pPr>
      <w:r>
        <w:rPr>
          <w:rFonts w:ascii="Arial" w:cs="Arial" w:eastAsia="Arial" w:hAnsi="Arial"/>
          <w:sz w:val="23"/>
          <w:szCs w:val="23"/>
          <w:b w:val="1"/>
          <w:bCs w:val="1"/>
          <w:color w:val="231F20"/>
        </w:rPr>
        <w:t>Harish Shantharam</w:t>
      </w:r>
    </w:p>
    <w:p>
      <w:pPr>
        <w:spacing w:after="0" w:line="2" w:lineRule="exact"/>
        <w:rPr>
          <w:sz w:val="20"/>
          <w:szCs w:val="20"/>
          <w:color w:val="auto"/>
        </w:rPr>
      </w:pPr>
    </w:p>
    <w:p>
      <w:pPr>
        <w:ind w:left="80"/>
        <w:spacing w:after="0"/>
        <w:rPr>
          <w:sz w:val="20"/>
          <w:szCs w:val="20"/>
          <w:color w:val="auto"/>
        </w:rPr>
      </w:pPr>
      <w:r>
        <w:rPr>
          <w:rFonts w:ascii="Arial" w:cs="Arial" w:eastAsia="Arial" w:hAnsi="Arial"/>
          <w:sz w:val="23"/>
          <w:szCs w:val="23"/>
          <w:b w:val="1"/>
          <w:bCs w:val="1"/>
          <w:color w:val="231F20"/>
        </w:rPr>
        <w:t>Via Email</w:t>
      </w:r>
    </w:p>
    <w:p>
      <w:pPr>
        <w:spacing w:after="0" w:line="200" w:lineRule="exact"/>
        <w:rPr>
          <w:sz w:val="20"/>
          <w:szCs w:val="20"/>
          <w:color w:val="auto"/>
        </w:rPr>
      </w:pPr>
    </w:p>
    <w:p>
      <w:pPr>
        <w:spacing w:after="0" w:line="349" w:lineRule="exact"/>
        <w:rPr>
          <w:sz w:val="20"/>
          <w:szCs w:val="20"/>
          <w:color w:val="auto"/>
        </w:rPr>
      </w:pPr>
    </w:p>
    <w:p>
      <w:pPr>
        <w:ind w:left="80"/>
        <w:spacing w:after="0"/>
        <w:rPr>
          <w:sz w:val="20"/>
          <w:szCs w:val="20"/>
          <w:color w:val="auto"/>
        </w:rPr>
      </w:pPr>
      <w:r>
        <w:rPr>
          <w:rFonts w:ascii="Arial" w:cs="Arial" w:eastAsia="Arial" w:hAnsi="Arial"/>
          <w:sz w:val="23"/>
          <w:szCs w:val="23"/>
          <w:b w:val="1"/>
          <w:bCs w:val="1"/>
          <w:color w:val="231F20"/>
        </w:rPr>
        <w:t>Re: Offer of Employment</w:t>
      </w:r>
    </w:p>
    <w:p>
      <w:pPr>
        <w:spacing w:after="0" w:line="232" w:lineRule="exact"/>
        <w:rPr>
          <w:sz w:val="20"/>
          <w:szCs w:val="20"/>
          <w:color w:val="auto"/>
        </w:rPr>
      </w:pPr>
    </w:p>
    <w:p>
      <w:pPr>
        <w:ind w:left="80"/>
        <w:spacing w:after="0"/>
        <w:rPr>
          <w:sz w:val="20"/>
          <w:szCs w:val="20"/>
          <w:color w:val="auto"/>
        </w:rPr>
      </w:pPr>
      <w:r>
        <w:rPr>
          <w:rFonts w:ascii="Arial" w:cs="Arial" w:eastAsia="Arial" w:hAnsi="Arial"/>
          <w:sz w:val="23"/>
          <w:szCs w:val="23"/>
          <w:b w:val="1"/>
          <w:bCs w:val="1"/>
          <w:color w:val="231F20"/>
        </w:rPr>
        <w:t>Dear Harish:</w:t>
      </w:r>
    </w:p>
    <w:p>
      <w:pPr>
        <w:spacing w:after="0" w:line="278" w:lineRule="exact"/>
        <w:rPr>
          <w:sz w:val="20"/>
          <w:szCs w:val="20"/>
          <w:color w:val="auto"/>
        </w:rPr>
      </w:pPr>
    </w:p>
    <w:p>
      <w:pPr>
        <w:ind w:left="80" w:right="160" w:firstLine="698"/>
        <w:spacing w:after="0" w:line="262" w:lineRule="exact"/>
        <w:rPr>
          <w:sz w:val="20"/>
          <w:szCs w:val="20"/>
          <w:color w:val="auto"/>
        </w:rPr>
      </w:pPr>
      <w:r>
        <w:rPr>
          <w:rFonts w:ascii="Arial" w:cs="Arial" w:eastAsia="Arial" w:hAnsi="Arial"/>
          <w:sz w:val="20"/>
          <w:szCs w:val="20"/>
          <w:b w:val="1"/>
          <w:bCs w:val="1"/>
          <w:color w:val="231F20"/>
        </w:rPr>
        <w:t xml:space="preserve">I am pleased to offer you a position with ALX Oncology Holdings Inc. (the </w:t>
      </w:r>
      <w:r>
        <w:rPr>
          <w:rFonts w:ascii="PMingLiU" w:cs="PMingLiU" w:eastAsia="PMingLiU" w:hAnsi="PMingLiU"/>
          <w:sz w:val="20"/>
          <w:szCs w:val="20"/>
          <w:b w:val="1"/>
          <w:bCs w:val="1"/>
          <w:color w:val="231F20"/>
        </w:rPr>
        <w:t></w:t>
      </w:r>
      <w:r>
        <w:rPr>
          <w:rFonts w:ascii="Arial" w:cs="Arial" w:eastAsia="Arial" w:hAnsi="Arial"/>
          <w:sz w:val="20"/>
          <w:szCs w:val="20"/>
          <w:b w:val="1"/>
          <w:bCs w:val="1"/>
          <w:u w:val="single" w:color="auto"/>
          <w:color w:val="231F20"/>
        </w:rPr>
        <w:t>Company</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 xml:space="preserve">) in accordance with the terms of this Offer of Employment letter agreement (the </w:t>
      </w:r>
      <w:r>
        <w:rPr>
          <w:rFonts w:ascii="PMingLiU" w:cs="PMingLiU" w:eastAsia="PMingLiU" w:hAnsi="PMingLiU"/>
          <w:sz w:val="20"/>
          <w:szCs w:val="20"/>
          <w:b w:val="1"/>
          <w:bCs w:val="1"/>
          <w:color w:val="231F20"/>
        </w:rPr>
        <w:t></w:t>
      </w:r>
      <w:r>
        <w:rPr>
          <w:rFonts w:ascii="Arial" w:cs="Arial" w:eastAsia="Arial" w:hAnsi="Arial"/>
          <w:sz w:val="20"/>
          <w:szCs w:val="20"/>
          <w:b w:val="1"/>
          <w:bCs w:val="1"/>
          <w:u w:val="single" w:color="auto"/>
          <w:color w:val="231F20"/>
        </w:rPr>
        <w:t>Agreement</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w:t>
      </w:r>
    </w:p>
    <w:p>
      <w:pPr>
        <w:spacing w:after="0" w:line="245" w:lineRule="exact"/>
        <w:rPr>
          <w:sz w:val="20"/>
          <w:szCs w:val="20"/>
          <w:color w:val="auto"/>
        </w:rPr>
      </w:pPr>
    </w:p>
    <w:p>
      <w:pPr>
        <w:jc w:val="both"/>
        <w:ind w:left="80" w:right="160" w:firstLine="702"/>
        <w:spacing w:after="0" w:line="266" w:lineRule="exact"/>
        <w:tabs>
          <w:tab w:leader="none" w:pos="1379" w:val="left"/>
        </w:tabs>
        <w:numPr>
          <w:ilvl w:val="0"/>
          <w:numId w:val="25"/>
        </w:numPr>
        <w:rPr>
          <w:rFonts w:ascii="Arial" w:cs="Arial" w:eastAsia="Arial" w:hAnsi="Arial"/>
          <w:sz w:val="21"/>
          <w:szCs w:val="21"/>
          <w:b w:val="1"/>
          <w:bCs w:val="1"/>
          <w:color w:val="231F20"/>
        </w:rPr>
      </w:pPr>
      <w:r>
        <w:rPr>
          <w:rFonts w:ascii="Arial" w:cs="Arial" w:eastAsia="Arial" w:hAnsi="Arial"/>
          <w:sz w:val="21"/>
          <w:szCs w:val="21"/>
          <w:b w:val="1"/>
          <w:bCs w:val="1"/>
          <w:u w:val="single" w:color="auto"/>
          <w:color w:val="231F20"/>
        </w:rPr>
        <w:t>Title; Position; Location</w:t>
      </w:r>
      <w:r>
        <w:rPr>
          <w:rFonts w:ascii="Arial" w:cs="Arial" w:eastAsia="Arial" w:hAnsi="Arial"/>
          <w:sz w:val="21"/>
          <w:szCs w:val="21"/>
          <w:b w:val="1"/>
          <w:bCs w:val="1"/>
          <w:color w:val="231F20"/>
        </w:rPr>
        <w:t>. If you accept this offer of employment, you will serve as the Company</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s Chief Financial Officer (</w:t>
      </w:r>
      <w:r>
        <w:rPr>
          <w:rFonts w:ascii="PMingLiU" w:cs="PMingLiU" w:eastAsia="PMingLiU" w:hAnsi="PMingLiU"/>
          <w:sz w:val="21"/>
          <w:szCs w:val="21"/>
          <w:b w:val="1"/>
          <w:bCs w:val="1"/>
          <w:color w:val="231F20"/>
        </w:rPr>
        <w:t></w:t>
      </w:r>
      <w:r>
        <w:rPr>
          <w:rFonts w:ascii="Arial" w:cs="Arial" w:eastAsia="Arial" w:hAnsi="Arial"/>
          <w:sz w:val="21"/>
          <w:szCs w:val="21"/>
          <w:b w:val="1"/>
          <w:bCs w:val="1"/>
          <w:u w:val="single" w:color="auto"/>
          <w:color w:val="231F20"/>
        </w:rPr>
        <w:t>CFO</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 In your role as CFO, you will report to the Company</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s Chief Executive Officer (</w:t>
      </w:r>
      <w:r>
        <w:rPr>
          <w:rFonts w:ascii="PMingLiU" w:cs="PMingLiU" w:eastAsia="PMingLiU" w:hAnsi="PMingLiU"/>
          <w:sz w:val="21"/>
          <w:szCs w:val="21"/>
          <w:b w:val="1"/>
          <w:bCs w:val="1"/>
          <w:color w:val="231F20"/>
        </w:rPr>
        <w:t></w:t>
      </w:r>
      <w:r>
        <w:rPr>
          <w:rFonts w:ascii="Arial" w:cs="Arial" w:eastAsia="Arial" w:hAnsi="Arial"/>
          <w:sz w:val="21"/>
          <w:szCs w:val="21"/>
          <w:b w:val="1"/>
          <w:bCs w:val="1"/>
          <w:u w:val="single" w:color="auto"/>
          <w:color w:val="231F20"/>
        </w:rPr>
        <w:t>CEO</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 and will perform the duties and responsibilities customary for such position and such other related duties as are lawfully assigned by the CEO. You will perform your duties from the Company</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s corporate offices located in South San Francisco, California, subject to customary travel as reasonably required by the Company and necessary to perform your job duties.</w:t>
      </w:r>
    </w:p>
    <w:p>
      <w:pPr>
        <w:spacing w:after="0" w:line="248" w:lineRule="exact"/>
        <w:rPr>
          <w:rFonts w:ascii="Arial" w:cs="Arial" w:eastAsia="Arial" w:hAnsi="Arial"/>
          <w:sz w:val="21"/>
          <w:szCs w:val="21"/>
          <w:b w:val="1"/>
          <w:bCs w:val="1"/>
          <w:color w:val="231F20"/>
        </w:rPr>
      </w:pPr>
    </w:p>
    <w:p>
      <w:pPr>
        <w:jc w:val="both"/>
        <w:ind w:left="80" w:right="160" w:firstLine="702"/>
        <w:spacing w:after="0" w:line="265" w:lineRule="exact"/>
        <w:tabs>
          <w:tab w:leader="none" w:pos="1379" w:val="left"/>
        </w:tabs>
        <w:numPr>
          <w:ilvl w:val="0"/>
          <w:numId w:val="25"/>
        </w:numPr>
        <w:rPr>
          <w:rFonts w:ascii="Arial" w:cs="Arial" w:eastAsia="Arial" w:hAnsi="Arial"/>
          <w:sz w:val="22"/>
          <w:szCs w:val="22"/>
          <w:b w:val="1"/>
          <w:bCs w:val="1"/>
          <w:color w:val="231F20"/>
        </w:rPr>
      </w:pPr>
      <w:r>
        <w:rPr>
          <w:rFonts w:ascii="Arial" w:cs="Arial" w:eastAsia="Arial" w:hAnsi="Arial"/>
          <w:sz w:val="22"/>
          <w:szCs w:val="22"/>
          <w:b w:val="1"/>
          <w:bCs w:val="1"/>
          <w:u w:val="single" w:color="auto"/>
          <w:color w:val="231F20"/>
        </w:rPr>
        <w:t>Base Salary</w:t>
      </w:r>
      <w:r>
        <w:rPr>
          <w:rFonts w:ascii="Arial" w:cs="Arial" w:eastAsia="Arial" w:hAnsi="Arial"/>
          <w:sz w:val="22"/>
          <w:szCs w:val="22"/>
          <w:b w:val="1"/>
          <w:bCs w:val="1"/>
          <w:color w:val="231F20"/>
        </w:rPr>
        <w:t>. Your annual base salary will be $490,000 (</w:t>
      </w:r>
      <w:r>
        <w:rPr>
          <w:rFonts w:ascii="PMingLiU" w:cs="PMingLiU" w:eastAsia="PMingLiU" w:hAnsi="PMingLiU"/>
          <w:sz w:val="22"/>
          <w:szCs w:val="22"/>
          <w:b w:val="1"/>
          <w:bCs w:val="1"/>
          <w:color w:val="231F20"/>
        </w:rPr>
        <w:t></w:t>
      </w:r>
      <w:r>
        <w:rPr>
          <w:rFonts w:ascii="Arial" w:cs="Arial" w:eastAsia="Arial" w:hAnsi="Arial"/>
          <w:sz w:val="22"/>
          <w:szCs w:val="22"/>
          <w:b w:val="1"/>
          <w:bCs w:val="1"/>
          <w:u w:val="single" w:color="auto"/>
          <w:color w:val="231F20"/>
        </w:rPr>
        <w:t>Salary</w:t>
      </w:r>
      <w:r>
        <w:rPr>
          <w:rFonts w:ascii="PMingLiU" w:cs="PMingLiU" w:eastAsia="PMingLiU" w:hAnsi="PMingLiU"/>
          <w:sz w:val="22"/>
          <w:szCs w:val="22"/>
          <w:b w:val="1"/>
          <w:bCs w:val="1"/>
          <w:color w:val="231F20"/>
        </w:rPr>
        <w:t></w:t>
      </w:r>
      <w:r>
        <w:rPr>
          <w:rFonts w:ascii="Arial" w:cs="Arial" w:eastAsia="Arial" w:hAnsi="Arial"/>
          <w:sz w:val="22"/>
          <w:szCs w:val="22"/>
          <w:b w:val="1"/>
          <w:bCs w:val="1"/>
          <w:color w:val="231F20"/>
        </w:rPr>
        <w:t>), which will be payable, less any applicable withholdings, in accordance with the Company</w:t>
      </w:r>
      <w:r>
        <w:rPr>
          <w:rFonts w:ascii="PMingLiU" w:cs="PMingLiU" w:eastAsia="PMingLiU" w:hAnsi="PMingLiU"/>
          <w:sz w:val="22"/>
          <w:szCs w:val="22"/>
          <w:b w:val="1"/>
          <w:bCs w:val="1"/>
          <w:color w:val="231F20"/>
        </w:rPr>
        <w:t></w:t>
      </w:r>
      <w:r>
        <w:rPr>
          <w:rFonts w:ascii="Arial" w:cs="Arial" w:eastAsia="Arial" w:hAnsi="Arial"/>
          <w:sz w:val="22"/>
          <w:szCs w:val="22"/>
          <w:b w:val="1"/>
          <w:bCs w:val="1"/>
          <w:color w:val="231F20"/>
        </w:rPr>
        <w:t>s normal payroll practices. Your Salary will be subject to review and adjustment from time to time by the Company</w:t>
      </w:r>
      <w:r>
        <w:rPr>
          <w:rFonts w:ascii="PMingLiU" w:cs="PMingLiU" w:eastAsia="PMingLiU" w:hAnsi="PMingLiU"/>
          <w:sz w:val="22"/>
          <w:szCs w:val="22"/>
          <w:b w:val="1"/>
          <w:bCs w:val="1"/>
          <w:color w:val="231F20"/>
        </w:rPr>
        <w:t></w:t>
      </w:r>
      <w:r>
        <w:rPr>
          <w:rFonts w:ascii="Arial" w:cs="Arial" w:eastAsia="Arial" w:hAnsi="Arial"/>
          <w:sz w:val="22"/>
          <w:szCs w:val="22"/>
          <w:b w:val="1"/>
          <w:bCs w:val="1"/>
          <w:color w:val="231F20"/>
        </w:rPr>
        <w:t xml:space="preserve">s Board of Directors (the </w:t>
      </w:r>
      <w:r>
        <w:rPr>
          <w:rFonts w:ascii="PMingLiU" w:cs="PMingLiU" w:eastAsia="PMingLiU" w:hAnsi="PMingLiU"/>
          <w:sz w:val="22"/>
          <w:szCs w:val="22"/>
          <w:b w:val="1"/>
          <w:bCs w:val="1"/>
          <w:color w:val="231F20"/>
        </w:rPr>
        <w:t></w:t>
      </w:r>
      <w:r>
        <w:rPr>
          <w:rFonts w:ascii="Arial" w:cs="Arial" w:eastAsia="Arial" w:hAnsi="Arial"/>
          <w:sz w:val="22"/>
          <w:szCs w:val="22"/>
          <w:b w:val="1"/>
          <w:bCs w:val="1"/>
          <w:u w:val="single" w:color="auto"/>
          <w:color w:val="231F20"/>
        </w:rPr>
        <w:t>Board</w:t>
      </w:r>
      <w:r>
        <w:rPr>
          <w:rFonts w:ascii="PMingLiU" w:cs="PMingLiU" w:eastAsia="PMingLiU" w:hAnsi="PMingLiU"/>
          <w:sz w:val="22"/>
          <w:szCs w:val="22"/>
          <w:b w:val="1"/>
          <w:bCs w:val="1"/>
          <w:color w:val="231F20"/>
        </w:rPr>
        <w:t></w:t>
      </w:r>
      <w:r>
        <w:rPr>
          <w:rFonts w:ascii="Arial" w:cs="Arial" w:eastAsia="Arial" w:hAnsi="Arial"/>
          <w:sz w:val="22"/>
          <w:szCs w:val="22"/>
          <w:b w:val="1"/>
          <w:bCs w:val="1"/>
          <w:color w:val="231F20"/>
        </w:rPr>
        <w:t xml:space="preserve">) or its Compensation Committee (the </w:t>
      </w:r>
      <w:r>
        <w:rPr>
          <w:rFonts w:ascii="PMingLiU" w:cs="PMingLiU" w:eastAsia="PMingLiU" w:hAnsi="PMingLiU"/>
          <w:sz w:val="22"/>
          <w:szCs w:val="22"/>
          <w:b w:val="1"/>
          <w:bCs w:val="1"/>
          <w:color w:val="231F20"/>
        </w:rPr>
        <w:t></w:t>
      </w:r>
      <w:r>
        <w:rPr>
          <w:rFonts w:ascii="Arial" w:cs="Arial" w:eastAsia="Arial" w:hAnsi="Arial"/>
          <w:sz w:val="22"/>
          <w:szCs w:val="22"/>
          <w:b w:val="1"/>
          <w:bCs w:val="1"/>
          <w:u w:val="single" w:color="auto"/>
          <w:color w:val="231F20"/>
        </w:rPr>
        <w:t>Committee</w:t>
      </w:r>
      <w:r>
        <w:rPr>
          <w:rFonts w:ascii="PMingLiU" w:cs="PMingLiU" w:eastAsia="PMingLiU" w:hAnsi="PMingLiU"/>
          <w:sz w:val="22"/>
          <w:szCs w:val="22"/>
          <w:b w:val="1"/>
          <w:bCs w:val="1"/>
          <w:color w:val="231F20"/>
        </w:rPr>
        <w:t></w:t>
      </w:r>
      <w:r>
        <w:rPr>
          <w:rFonts w:ascii="Arial" w:cs="Arial" w:eastAsia="Arial" w:hAnsi="Arial"/>
          <w:sz w:val="22"/>
          <w:szCs w:val="22"/>
          <w:b w:val="1"/>
          <w:bCs w:val="1"/>
          <w:color w:val="231F20"/>
        </w:rPr>
        <w:t>), as applicable, in its sole discretion.</w:t>
      </w:r>
    </w:p>
    <w:p>
      <w:pPr>
        <w:spacing w:after="0" w:line="246" w:lineRule="exact"/>
        <w:rPr>
          <w:rFonts w:ascii="Arial" w:cs="Arial" w:eastAsia="Arial" w:hAnsi="Arial"/>
          <w:sz w:val="22"/>
          <w:szCs w:val="22"/>
          <w:b w:val="1"/>
          <w:bCs w:val="1"/>
          <w:color w:val="231F20"/>
        </w:rPr>
      </w:pPr>
    </w:p>
    <w:p>
      <w:pPr>
        <w:jc w:val="both"/>
        <w:ind w:left="80" w:right="160" w:firstLine="702"/>
        <w:spacing w:after="0" w:line="267" w:lineRule="exact"/>
        <w:tabs>
          <w:tab w:leader="none" w:pos="1379" w:val="left"/>
        </w:tabs>
        <w:numPr>
          <w:ilvl w:val="0"/>
          <w:numId w:val="25"/>
        </w:numPr>
        <w:rPr>
          <w:rFonts w:ascii="Arial" w:cs="Arial" w:eastAsia="Arial" w:hAnsi="Arial"/>
          <w:sz w:val="19"/>
          <w:szCs w:val="19"/>
          <w:b w:val="1"/>
          <w:bCs w:val="1"/>
          <w:color w:val="231F20"/>
        </w:rPr>
      </w:pPr>
      <w:r>
        <w:rPr>
          <w:rFonts w:ascii="Arial" w:cs="Arial" w:eastAsia="Arial" w:hAnsi="Arial"/>
          <w:sz w:val="19"/>
          <w:szCs w:val="19"/>
          <w:b w:val="1"/>
          <w:bCs w:val="1"/>
          <w:u w:val="single" w:color="auto"/>
          <w:color w:val="231F20"/>
        </w:rPr>
        <w:t>Annual Bonus</w:t>
      </w:r>
      <w:r>
        <w:rPr>
          <w:rFonts w:ascii="Arial" w:cs="Arial" w:eastAsia="Arial" w:hAnsi="Arial"/>
          <w:sz w:val="19"/>
          <w:szCs w:val="19"/>
          <w:b w:val="1"/>
          <w:bCs w:val="1"/>
          <w:color w:val="231F20"/>
        </w:rPr>
        <w:t>. For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2025 fiscal year, you will have the opportunity to earn a target annual cash bonus equal to forty percent (40%) of your annual base salary earned during the fiscal year, based on achieving performance objectives established by the Board or Committee, as applicable, in its sole discretion and payable upon achievement of those objectives as determined by the Committee. Unless determined otherwise by the Board or Committee, as applicable, any such bonus will be subject to your continued employment through and until the date of payment, and any such bonus amounts paid will be subject to any applicable withholdings. Your annual bonus opportunity and the applicable terms and conditions may be adjusted from time to time by our Board or the Committee, as applicable, in its sole discretion. In addition, the Board or the Committee, as applicable and in its sole discretion, may approve that the Company grant additional discretionary bonus amounts to you.</w:t>
      </w:r>
    </w:p>
    <w:p>
      <w:pPr>
        <w:spacing w:after="0" w:line="249" w:lineRule="exact"/>
        <w:rPr>
          <w:rFonts w:ascii="Arial" w:cs="Arial" w:eastAsia="Arial" w:hAnsi="Arial"/>
          <w:sz w:val="19"/>
          <w:szCs w:val="19"/>
          <w:b w:val="1"/>
          <w:bCs w:val="1"/>
          <w:color w:val="231F20"/>
        </w:rPr>
      </w:pPr>
    </w:p>
    <w:p>
      <w:pPr>
        <w:jc w:val="both"/>
        <w:ind w:left="80" w:right="160" w:firstLine="702"/>
        <w:spacing w:after="0" w:line="266" w:lineRule="exact"/>
        <w:tabs>
          <w:tab w:leader="none" w:pos="1379" w:val="left"/>
        </w:tabs>
        <w:numPr>
          <w:ilvl w:val="0"/>
          <w:numId w:val="25"/>
        </w:numPr>
        <w:rPr>
          <w:rFonts w:ascii="Arial" w:cs="Arial" w:eastAsia="Arial" w:hAnsi="Arial"/>
          <w:sz w:val="19"/>
          <w:szCs w:val="19"/>
          <w:b w:val="1"/>
          <w:bCs w:val="1"/>
          <w:color w:val="231F20"/>
        </w:rPr>
      </w:pPr>
      <w:r>
        <w:rPr>
          <w:rFonts w:ascii="Arial" w:cs="Arial" w:eastAsia="Arial" w:hAnsi="Arial"/>
          <w:sz w:val="19"/>
          <w:szCs w:val="19"/>
          <w:b w:val="1"/>
          <w:bCs w:val="1"/>
          <w:u w:val="single" w:color="auto"/>
          <w:color w:val="231F20"/>
        </w:rPr>
        <w:t>Equity Awards</w:t>
      </w:r>
      <w:r>
        <w:rPr>
          <w:rFonts w:ascii="Arial" w:cs="Arial" w:eastAsia="Arial" w:hAnsi="Arial"/>
          <w:sz w:val="19"/>
          <w:szCs w:val="19"/>
          <w:b w:val="1"/>
          <w:bCs w:val="1"/>
          <w:color w:val="231F20"/>
        </w:rPr>
        <w:t xml:space="preserve">. It will be recommended that, subject to the approval of the Board or the Committee, as applicable, in its sole discretion, the Company grant you an award of stock options (the </w:t>
      </w:r>
      <w:r>
        <w:rPr>
          <w:rFonts w:ascii="PMingLiU" w:cs="PMingLiU" w:eastAsia="PMingLiU" w:hAnsi="PMingLiU"/>
          <w:sz w:val="19"/>
          <w:szCs w:val="19"/>
          <w:b w:val="1"/>
          <w:bCs w:val="1"/>
          <w:color w:val="231F20"/>
        </w:rPr>
        <w:t></w:t>
      </w:r>
      <w:r>
        <w:rPr>
          <w:rFonts w:ascii="Arial" w:cs="Arial" w:eastAsia="Arial" w:hAnsi="Arial"/>
          <w:sz w:val="19"/>
          <w:szCs w:val="19"/>
          <w:b w:val="1"/>
          <w:bCs w:val="1"/>
          <w:u w:val="single" w:color="auto"/>
          <w:color w:val="231F20"/>
        </w:rPr>
        <w:t>Option</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to purchase 600,000 shares of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common stock (</w:t>
      </w:r>
      <w:r>
        <w:rPr>
          <w:rFonts w:ascii="PMingLiU" w:cs="PMingLiU" w:eastAsia="PMingLiU" w:hAnsi="PMingLiU"/>
          <w:sz w:val="19"/>
          <w:szCs w:val="19"/>
          <w:b w:val="1"/>
          <w:bCs w:val="1"/>
          <w:color w:val="231F20"/>
        </w:rPr>
        <w:t></w:t>
      </w:r>
      <w:r>
        <w:rPr>
          <w:rFonts w:ascii="Arial" w:cs="Arial" w:eastAsia="Arial" w:hAnsi="Arial"/>
          <w:sz w:val="19"/>
          <w:szCs w:val="19"/>
          <w:b w:val="1"/>
          <w:bCs w:val="1"/>
          <w:u w:val="single" w:color="auto"/>
          <w:color w:val="231F20"/>
        </w:rPr>
        <w:t>Shares</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under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2025 Inducement Equity Incentive Plan (or other applicable Company equity plan) and applicable non-qualified stock option agreement thereunder, with an exercise price per Share equal to the fair market value per Share on the Option</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date of grant, which date will be the same as your Start Date. The Company will recommend that the Option be scheduled to vest and become exercisable as to one-fourth (1/4th) of the Shares subject to the Option on the one-year anniversary of the vesting commencement date (which shall be the same date as the date the Board</w:t>
      </w:r>
    </w:p>
    <w:p>
      <w:pPr>
        <w:sectPr>
          <w:pgSz w:w="12240" w:h="15840" w:orient="portrait"/>
          <w:cols w:equalWidth="0" w:num="1">
            <w:col w:w="9380"/>
          </w:cols>
          <w:pgMar w:left="1440" w:top="1381" w:right="1420" w:bottom="710" w:gutter="0" w:footer="0" w:header="0"/>
        </w:sectPr>
      </w:pPr>
    </w:p>
    <w:bookmarkStart w:id="141" w:name="page142"/>
    <w:bookmarkEnd w:id="141"/>
    <w:p>
      <w:pPr>
        <w:spacing w:after="0" w:line="191" w:lineRule="exact"/>
        <w:rPr>
          <w:sz w:val="20"/>
          <w:szCs w:val="20"/>
          <w:color w:val="auto"/>
        </w:rPr>
      </w:pPr>
    </w:p>
    <w:p>
      <w:pPr>
        <w:jc w:val="both"/>
        <w:ind w:left="80" w:right="140"/>
        <w:spacing w:after="0" w:line="308" w:lineRule="auto"/>
        <w:rPr>
          <w:sz w:val="20"/>
          <w:szCs w:val="20"/>
          <w:color w:val="auto"/>
        </w:rPr>
      </w:pPr>
      <w:r>
        <w:rPr>
          <w:rFonts w:ascii="Arial" w:cs="Arial" w:eastAsia="Arial" w:hAnsi="Arial"/>
          <w:sz w:val="19"/>
          <w:szCs w:val="19"/>
          <w:b w:val="1"/>
          <w:bCs w:val="1"/>
          <w:color w:val="231F20"/>
        </w:rPr>
        <w:t>or Committee approves the grant), and as to one forty-eighth (1/48th) of the Shares subject to the Option on a monthly basis thereafter on the same day of the month as the vesting commencement date (or the last day of the month, if a particular month does not have a corresponding day), subject to your continued service with the Company or its subsidiaries through the applicable vesting date.</w:t>
      </w:r>
    </w:p>
    <w:p>
      <w:pPr>
        <w:spacing w:after="0" w:line="182" w:lineRule="exact"/>
        <w:rPr>
          <w:sz w:val="20"/>
          <w:szCs w:val="20"/>
          <w:color w:val="auto"/>
        </w:rPr>
      </w:pPr>
    </w:p>
    <w:p>
      <w:pPr>
        <w:jc w:val="both"/>
        <w:ind w:left="80" w:right="140" w:firstLine="702"/>
        <w:spacing w:after="0" w:line="267" w:lineRule="exact"/>
        <w:tabs>
          <w:tab w:leader="none" w:pos="1379" w:val="left"/>
        </w:tabs>
        <w:numPr>
          <w:ilvl w:val="0"/>
          <w:numId w:val="26"/>
        </w:numPr>
        <w:rPr>
          <w:rFonts w:ascii="Arial" w:cs="Arial" w:eastAsia="Arial" w:hAnsi="Arial"/>
          <w:sz w:val="20"/>
          <w:szCs w:val="20"/>
          <w:b w:val="1"/>
          <w:bCs w:val="1"/>
          <w:color w:val="231F20"/>
        </w:rPr>
      </w:pPr>
      <w:r>
        <w:rPr>
          <w:rFonts w:ascii="Arial" w:cs="Arial" w:eastAsia="Arial" w:hAnsi="Arial"/>
          <w:sz w:val="20"/>
          <w:szCs w:val="20"/>
          <w:b w:val="1"/>
          <w:bCs w:val="1"/>
          <w:u w:val="single" w:color="auto"/>
          <w:color w:val="231F20"/>
        </w:rPr>
        <w:t>Employee Benefits</w:t>
      </w:r>
      <w:r>
        <w:rPr>
          <w:rFonts w:ascii="Arial" w:cs="Arial" w:eastAsia="Arial" w:hAnsi="Arial"/>
          <w:sz w:val="20"/>
          <w:szCs w:val="20"/>
          <w:b w:val="1"/>
          <w:bCs w:val="1"/>
          <w:color w:val="231F20"/>
        </w:rPr>
        <w:t>. You will be eligible to participate in the benefit plans and programs established by the Company for its employees from time to time, subject to their applicable terms and conditions, including without limitation any eligibility requirements. The Company will reimburse you for reasonable travel or other expenses incurred by you in the furtherance of or in connection with the performance of your duties under this Agreement, pursuant to the terms of the Company</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s expense reimbursement policy as may be in effect from time to time. The Company reserves the right to modify, amend, suspend or terminate the benefit plans, programs, and arrangements it offers to its employees at any time.</w:t>
      </w:r>
    </w:p>
    <w:p>
      <w:pPr>
        <w:spacing w:after="0" w:line="243" w:lineRule="exact"/>
        <w:rPr>
          <w:rFonts w:ascii="Arial" w:cs="Arial" w:eastAsia="Arial" w:hAnsi="Arial"/>
          <w:sz w:val="20"/>
          <w:szCs w:val="20"/>
          <w:b w:val="1"/>
          <w:bCs w:val="1"/>
          <w:color w:val="231F20"/>
        </w:rPr>
      </w:pPr>
    </w:p>
    <w:p>
      <w:pPr>
        <w:jc w:val="both"/>
        <w:ind w:left="80" w:right="140" w:firstLine="702"/>
        <w:spacing w:after="0" w:line="266" w:lineRule="exact"/>
        <w:tabs>
          <w:tab w:leader="none" w:pos="1379" w:val="left"/>
        </w:tabs>
        <w:numPr>
          <w:ilvl w:val="0"/>
          <w:numId w:val="26"/>
        </w:numPr>
        <w:rPr>
          <w:rFonts w:ascii="Arial" w:cs="Arial" w:eastAsia="Arial" w:hAnsi="Arial"/>
          <w:sz w:val="20"/>
          <w:szCs w:val="20"/>
          <w:b w:val="1"/>
          <w:bCs w:val="1"/>
          <w:color w:val="231F20"/>
        </w:rPr>
      </w:pPr>
      <w:r>
        <w:rPr>
          <w:rFonts w:ascii="Arial" w:cs="Arial" w:eastAsia="Arial" w:hAnsi="Arial"/>
          <w:sz w:val="20"/>
          <w:szCs w:val="20"/>
          <w:b w:val="1"/>
          <w:bCs w:val="1"/>
          <w:u w:val="single" w:color="auto"/>
          <w:color w:val="231F20"/>
        </w:rPr>
        <w:t>Severance</w:t>
      </w:r>
      <w:r>
        <w:rPr>
          <w:rFonts w:ascii="Arial" w:cs="Arial" w:eastAsia="Arial" w:hAnsi="Arial"/>
          <w:sz w:val="20"/>
          <w:szCs w:val="20"/>
          <w:b w:val="1"/>
          <w:bCs w:val="1"/>
          <w:color w:val="231F20"/>
        </w:rPr>
        <w:t xml:space="preserve">. You will be eligible to enter into a Change in Control and Severance Agreement (the </w:t>
      </w:r>
      <w:r>
        <w:rPr>
          <w:rFonts w:ascii="PMingLiU" w:cs="PMingLiU" w:eastAsia="PMingLiU" w:hAnsi="PMingLiU"/>
          <w:sz w:val="20"/>
          <w:szCs w:val="20"/>
          <w:b w:val="1"/>
          <w:bCs w:val="1"/>
          <w:color w:val="231F20"/>
        </w:rPr>
        <w:t></w:t>
      </w:r>
      <w:r>
        <w:rPr>
          <w:rFonts w:ascii="Arial" w:cs="Arial" w:eastAsia="Arial" w:hAnsi="Arial"/>
          <w:sz w:val="20"/>
          <w:szCs w:val="20"/>
          <w:b w:val="1"/>
          <w:bCs w:val="1"/>
          <w:u w:val="single" w:color="auto"/>
          <w:color w:val="231F20"/>
        </w:rPr>
        <w:t>Severance Agreement</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 applicable to you based on your position within the Company. The Severance Agreement will specify the severance payments and benefits you may become entitled to receive upon certain qualifying terminations of your employment with the Company including in connection with a change in control of the Company.</w:t>
      </w:r>
    </w:p>
    <w:p>
      <w:pPr>
        <w:spacing w:after="0" w:line="357" w:lineRule="exact"/>
        <w:rPr>
          <w:rFonts w:ascii="Arial" w:cs="Arial" w:eastAsia="Arial" w:hAnsi="Arial"/>
          <w:sz w:val="20"/>
          <w:szCs w:val="20"/>
          <w:b w:val="1"/>
          <w:bCs w:val="1"/>
          <w:color w:val="231F20"/>
        </w:rPr>
      </w:pPr>
    </w:p>
    <w:p>
      <w:pPr>
        <w:jc w:val="both"/>
        <w:ind w:left="80" w:right="140" w:firstLine="702"/>
        <w:spacing w:after="0" w:line="266" w:lineRule="exact"/>
        <w:tabs>
          <w:tab w:leader="none" w:pos="1379" w:val="left"/>
        </w:tabs>
        <w:numPr>
          <w:ilvl w:val="0"/>
          <w:numId w:val="26"/>
        </w:numPr>
        <w:rPr>
          <w:rFonts w:ascii="Arial" w:cs="Arial" w:eastAsia="Arial" w:hAnsi="Arial"/>
          <w:sz w:val="21"/>
          <w:szCs w:val="21"/>
          <w:b w:val="1"/>
          <w:bCs w:val="1"/>
          <w:color w:val="231F20"/>
        </w:rPr>
      </w:pPr>
      <w:r>
        <w:rPr>
          <w:rFonts w:ascii="Arial" w:cs="Arial" w:eastAsia="Arial" w:hAnsi="Arial"/>
          <w:sz w:val="21"/>
          <w:szCs w:val="21"/>
          <w:b w:val="1"/>
          <w:bCs w:val="1"/>
          <w:u w:val="single" w:color="auto"/>
          <w:color w:val="231F20"/>
        </w:rPr>
        <w:t>Confidentiality Agreement</w:t>
      </w:r>
      <w:r>
        <w:rPr>
          <w:rFonts w:ascii="Arial" w:cs="Arial" w:eastAsia="Arial" w:hAnsi="Arial"/>
          <w:sz w:val="21"/>
          <w:szCs w:val="21"/>
          <w:b w:val="1"/>
          <w:bCs w:val="1"/>
          <w:color w:val="231F20"/>
        </w:rPr>
        <w:t>. As an employee of the Company, you will have access to certain confidential information of the Company and you may, during the course of your employment, develop certain information or inventions that will be the property of the Company. To protect the interests of the Company, you agree to sign and comply with the terms of the Company</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 xml:space="preserve">s Employee Confidentiality, Inventions and Non-Interference Agreement (the </w:t>
      </w:r>
      <w:r>
        <w:rPr>
          <w:rFonts w:ascii="PMingLiU" w:cs="PMingLiU" w:eastAsia="PMingLiU" w:hAnsi="PMingLiU"/>
          <w:sz w:val="21"/>
          <w:szCs w:val="21"/>
          <w:b w:val="1"/>
          <w:bCs w:val="1"/>
          <w:color w:val="231F20"/>
        </w:rPr>
        <w:t></w:t>
      </w:r>
      <w:r>
        <w:rPr>
          <w:rFonts w:ascii="Arial" w:cs="Arial" w:eastAsia="Arial" w:hAnsi="Arial"/>
          <w:sz w:val="21"/>
          <w:szCs w:val="21"/>
          <w:b w:val="1"/>
          <w:bCs w:val="1"/>
          <w:u w:val="single" w:color="auto"/>
          <w:color w:val="231F20"/>
        </w:rPr>
        <w:t>Confidentiality Agreement</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 Please note that we must receive your signed Confidentiality Agreement before your first day of employment.</w:t>
      </w:r>
    </w:p>
    <w:p>
      <w:pPr>
        <w:spacing w:after="0" w:line="247" w:lineRule="exact"/>
        <w:rPr>
          <w:rFonts w:ascii="Arial" w:cs="Arial" w:eastAsia="Arial" w:hAnsi="Arial"/>
          <w:sz w:val="21"/>
          <w:szCs w:val="21"/>
          <w:b w:val="1"/>
          <w:bCs w:val="1"/>
          <w:color w:val="231F20"/>
        </w:rPr>
      </w:pPr>
    </w:p>
    <w:p>
      <w:pPr>
        <w:jc w:val="both"/>
        <w:ind w:left="80" w:right="140" w:firstLine="702"/>
        <w:spacing w:after="0" w:line="265" w:lineRule="exact"/>
        <w:tabs>
          <w:tab w:leader="none" w:pos="1379" w:val="left"/>
        </w:tabs>
        <w:numPr>
          <w:ilvl w:val="0"/>
          <w:numId w:val="26"/>
        </w:numPr>
        <w:rPr>
          <w:rFonts w:ascii="Arial" w:cs="Arial" w:eastAsia="Arial" w:hAnsi="Arial"/>
          <w:sz w:val="20"/>
          <w:szCs w:val="20"/>
          <w:b w:val="1"/>
          <w:bCs w:val="1"/>
          <w:color w:val="231F20"/>
        </w:rPr>
      </w:pPr>
      <w:r>
        <w:rPr>
          <w:rFonts w:ascii="Arial" w:cs="Arial" w:eastAsia="Arial" w:hAnsi="Arial"/>
          <w:sz w:val="20"/>
          <w:szCs w:val="20"/>
          <w:b w:val="1"/>
          <w:bCs w:val="1"/>
          <w:u w:val="single" w:color="auto"/>
          <w:color w:val="231F20"/>
        </w:rPr>
        <w:t>At-Will Employment</w:t>
      </w:r>
      <w:r>
        <w:rPr>
          <w:rFonts w:ascii="Arial" w:cs="Arial" w:eastAsia="Arial" w:hAnsi="Arial"/>
          <w:sz w:val="20"/>
          <w:szCs w:val="20"/>
          <w:b w:val="1"/>
          <w:bCs w:val="1"/>
          <w:color w:val="231F20"/>
        </w:rPr>
        <w:t>. This Agreement does not imply any right to your continued employment for any period with the Company or any parent, subsidiary, or affiliate of the Company. Your employment with the Company constitutes at-will employment, as defined under applicable law. This Agreement and any provisions under it will not interfere with or limit in any way your or the Company</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s right to terminate your employment relationship with the Company at any time, with or without cause, to the extent permitted by applicable laws.</w:t>
      </w:r>
    </w:p>
    <w:p>
      <w:pPr>
        <w:spacing w:after="0" w:line="248" w:lineRule="exact"/>
        <w:rPr>
          <w:rFonts w:ascii="Arial" w:cs="Arial" w:eastAsia="Arial" w:hAnsi="Arial"/>
          <w:sz w:val="20"/>
          <w:szCs w:val="20"/>
          <w:b w:val="1"/>
          <w:bCs w:val="1"/>
          <w:color w:val="231F20"/>
        </w:rPr>
      </w:pPr>
    </w:p>
    <w:p>
      <w:pPr>
        <w:jc w:val="both"/>
        <w:ind w:left="80" w:right="140" w:firstLine="702"/>
        <w:spacing w:after="0" w:line="267" w:lineRule="exact"/>
        <w:tabs>
          <w:tab w:leader="none" w:pos="1379" w:val="left"/>
        </w:tabs>
        <w:numPr>
          <w:ilvl w:val="0"/>
          <w:numId w:val="26"/>
        </w:numPr>
        <w:rPr>
          <w:rFonts w:ascii="Arial" w:cs="Arial" w:eastAsia="Arial" w:hAnsi="Arial"/>
          <w:sz w:val="19"/>
          <w:szCs w:val="19"/>
          <w:b w:val="1"/>
          <w:bCs w:val="1"/>
          <w:color w:val="231F20"/>
        </w:rPr>
      </w:pPr>
      <w:r>
        <w:rPr>
          <w:rFonts w:ascii="Arial" w:cs="Arial" w:eastAsia="Arial" w:hAnsi="Arial"/>
          <w:sz w:val="19"/>
          <w:szCs w:val="19"/>
          <w:b w:val="1"/>
          <w:bCs w:val="1"/>
          <w:u w:val="single" w:color="auto"/>
          <w:color w:val="231F20"/>
        </w:rPr>
        <w:t>Protected Activity Not Prohibited</w:t>
      </w:r>
      <w:r>
        <w:rPr>
          <w:rFonts w:ascii="Arial" w:cs="Arial" w:eastAsia="Arial" w:hAnsi="Arial"/>
          <w:sz w:val="19"/>
          <w:szCs w:val="19"/>
          <w:b w:val="1"/>
          <w:bCs w:val="1"/>
          <w:color w:val="231F20"/>
        </w:rPr>
        <w:t>. The Company and you acknowledge and agree that nothing in this Agreement limits or prohibits you from filing and/or pursuing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PMingLiU" w:cs="PMingLiU" w:eastAsia="PMingLiU" w:hAnsi="PMingLiU"/>
          <w:sz w:val="19"/>
          <w:szCs w:val="19"/>
          <w:b w:val="1"/>
          <w:bCs w:val="1"/>
          <w:color w:val="231F20"/>
        </w:rPr>
        <w:t></w:t>
      </w:r>
      <w:r>
        <w:rPr>
          <w:rFonts w:ascii="Arial" w:cs="Arial" w:eastAsia="Arial" w:hAnsi="Arial"/>
          <w:sz w:val="19"/>
          <w:szCs w:val="19"/>
          <w:b w:val="1"/>
          <w:bCs w:val="1"/>
          <w:u w:val="single" w:color="auto"/>
          <w:color w:val="231F20"/>
        </w:rPr>
        <w:t>Government Agencies</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including disclosing documents or other information as permitted by law, without giving notice to, or receiving authorization from, the Company. Nothing in this Agreement (i) limits employees</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rights to discuss or disclose wages, benefits, or terms and conditions of employment as protected by applicable law, including any rights under Section 7 of the National Labor Relations Act, or (ii) otherwise impairs employees from assisting other Company employees and/or former employees in the exercise of their rights under Section 7 of the National Labor Relations Act. In addition, nothing in this Agreement</w:t>
      </w:r>
    </w:p>
    <w:p>
      <w:pPr>
        <w:sectPr>
          <w:pgSz w:w="12240" w:h="15840" w:orient="portrait"/>
          <w:cols w:equalWidth="0" w:num="1">
            <w:col w:w="9360"/>
          </w:cols>
          <w:pgMar w:left="1440" w:top="1440" w:right="1440" w:bottom="419" w:gutter="0" w:footer="0" w:header="0"/>
        </w:sect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231F20"/>
        </w:rPr>
        <w:t>2</w:t>
      </w:r>
    </w:p>
    <w:p>
      <w:pPr>
        <w:sectPr>
          <w:pgSz w:w="12240" w:h="15840" w:orient="portrait"/>
          <w:cols w:equalWidth="0" w:num="1">
            <w:col w:w="9360"/>
          </w:cols>
          <w:pgMar w:left="1440" w:top="1440" w:right="1440" w:bottom="419" w:gutter="0" w:footer="0" w:header="0"/>
          <w:type w:val="continuous"/>
        </w:sectPr>
      </w:pPr>
    </w:p>
    <w:bookmarkStart w:id="142" w:name="page143"/>
    <w:bookmarkEnd w:id="142"/>
    <w:p>
      <w:pPr>
        <w:spacing w:after="0" w:line="191" w:lineRule="exact"/>
        <w:rPr>
          <w:sz w:val="20"/>
          <w:szCs w:val="20"/>
          <w:color w:val="auto"/>
        </w:rPr>
      </w:pPr>
    </w:p>
    <w:p>
      <w:pPr>
        <w:jc w:val="both"/>
        <w:ind w:left="80" w:right="140"/>
        <w:spacing w:after="0" w:line="266" w:lineRule="exact"/>
        <w:rPr>
          <w:sz w:val="20"/>
          <w:szCs w:val="20"/>
          <w:color w:val="auto"/>
        </w:rPr>
      </w:pPr>
      <w:r>
        <w:rPr>
          <w:rFonts w:ascii="Arial" w:cs="Arial" w:eastAsia="Arial" w:hAnsi="Arial"/>
          <w:sz w:val="21"/>
          <w:szCs w:val="21"/>
          <w:b w:val="1"/>
          <w:bCs w:val="1"/>
          <w:color w:val="231F20"/>
        </w:rPr>
        <w:t>prevents you from discussing or disclosing information about unlawful acts in the workplace, such as harassment or discrimination or any other conduct that you have reason to believe is unlawful. You further understand that you are not permitted to disclose the Company</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 xml:space="preserve">s attorney-client privileged communications or attorney work product. In addition, you acknowledge that the Company has provided you with notice in compliance with the Defend Trade Secrets Act of 2016 regarding immunity from liability for limited disclosures of trade secrets. The full text of the notice is attached in </w:t>
      </w:r>
      <w:r>
        <w:rPr>
          <w:rFonts w:ascii="Arial" w:cs="Arial" w:eastAsia="Arial" w:hAnsi="Arial"/>
          <w:sz w:val="21"/>
          <w:szCs w:val="21"/>
          <w:b w:val="1"/>
          <w:bCs w:val="1"/>
          <w:u w:val="single" w:color="auto"/>
          <w:color w:val="231F20"/>
        </w:rPr>
        <w:t>Appendix A</w:t>
      </w:r>
      <w:r>
        <w:rPr>
          <w:rFonts w:ascii="Arial" w:cs="Arial" w:eastAsia="Arial" w:hAnsi="Arial"/>
          <w:sz w:val="21"/>
          <w:szCs w:val="21"/>
          <w:b w:val="1"/>
          <w:bCs w:val="1"/>
          <w:color w:val="231F20"/>
        </w:rPr>
        <w:t>.</w:t>
      </w:r>
    </w:p>
    <w:p>
      <w:pPr>
        <w:spacing w:after="0" w:line="248" w:lineRule="exact"/>
        <w:rPr>
          <w:sz w:val="20"/>
          <w:szCs w:val="20"/>
          <w:color w:val="auto"/>
        </w:rPr>
      </w:pPr>
    </w:p>
    <w:p>
      <w:pPr>
        <w:jc w:val="both"/>
        <w:ind w:left="80" w:right="140" w:firstLine="702"/>
        <w:spacing w:after="0" w:line="267" w:lineRule="exact"/>
        <w:tabs>
          <w:tab w:leader="none" w:pos="1379" w:val="left"/>
        </w:tabs>
        <w:numPr>
          <w:ilvl w:val="0"/>
          <w:numId w:val="27"/>
        </w:numPr>
        <w:rPr>
          <w:rFonts w:ascii="Arial" w:cs="Arial" w:eastAsia="Arial" w:hAnsi="Arial"/>
          <w:sz w:val="21"/>
          <w:szCs w:val="21"/>
          <w:b w:val="1"/>
          <w:bCs w:val="1"/>
          <w:color w:val="231F20"/>
        </w:rPr>
      </w:pPr>
      <w:r>
        <w:rPr>
          <w:rFonts w:ascii="Arial" w:cs="Arial" w:eastAsia="Arial" w:hAnsi="Arial"/>
          <w:sz w:val="21"/>
          <w:szCs w:val="21"/>
          <w:b w:val="1"/>
          <w:bCs w:val="1"/>
          <w:u w:val="single" w:color="auto"/>
          <w:color w:val="231F20"/>
        </w:rPr>
        <w:t>Additional Employment Provisions</w:t>
      </w:r>
      <w:r>
        <w:rPr>
          <w:rFonts w:ascii="Arial" w:cs="Arial" w:eastAsia="Arial" w:hAnsi="Arial"/>
          <w:sz w:val="21"/>
          <w:szCs w:val="21"/>
          <w:b w:val="1"/>
          <w:bCs w:val="1"/>
          <w:color w:val="231F20"/>
        </w:rPr>
        <w:t>. For purposes of federal immigration law, you will be required to provide to the Company documentary evidence of your identity and eligibility for employment in the United States. Such documentation must be provided to us within three (3) business days of your date of hire, or our employment relationship with you may be terminated. We also ask that, if you have not already done so, you disclose to the Company any and all agreements relating to your prior employment that may affect your eligibility to be employed by the Company or limit the manner in which you may be employed. It is the Company</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s understanding that any such agreements will not prevent you from performing the duties of your position and you represent that such is the case.</w:t>
      </w:r>
    </w:p>
    <w:p>
      <w:pPr>
        <w:spacing w:after="0" w:line="247" w:lineRule="exact"/>
        <w:rPr>
          <w:sz w:val="20"/>
          <w:szCs w:val="20"/>
          <w:color w:val="auto"/>
        </w:rPr>
      </w:pPr>
    </w:p>
    <w:p>
      <w:pPr>
        <w:jc w:val="both"/>
        <w:ind w:left="80" w:right="140" w:firstLine="602"/>
        <w:spacing w:after="0" w:line="281" w:lineRule="auto"/>
        <w:rPr>
          <w:sz w:val="20"/>
          <w:szCs w:val="20"/>
          <w:color w:val="auto"/>
        </w:rPr>
      </w:pPr>
      <w:r>
        <w:rPr>
          <w:rFonts w:ascii="Arial" w:cs="Arial" w:eastAsia="Arial" w:hAnsi="Arial"/>
          <w:sz w:val="20"/>
          <w:szCs w:val="20"/>
          <w:b w:val="1"/>
          <w:bCs w:val="1"/>
          <w:color w:val="231F20"/>
        </w:rPr>
        <w:t>You will devote your full business time and best efforts to the faithful and loyal performance of your duties to the Company (except for permitted vacation periods and reasonable periods of illness or other incapacity). While you render services to the Company, you will not engage in any other employment, consulting or other business activity (whether full-time or part-time) that would create a conflict of interest with the Company, and any engagement or participation in any outside business activity or business affairs by you will be subject to full disclosure and prior written approval from the Board or the Committee, as applicable. You may engage in charitable and community activities as well as own, as a passive investment, less than two percent (2%) of the capital stock of any corporation listed on the national securities exchange or publicly traded in the over-the-counter market, provided that such activities do not interfere with the performance of your duties under this Agreement. By signing this Agreement, you confirm that you have no contractual commitments or other legal obligations that would prohibit you from continuing to perform your duties for the Company.</w:t>
      </w:r>
    </w:p>
    <w:p>
      <w:pPr>
        <w:spacing w:after="0" w:line="215" w:lineRule="exact"/>
        <w:rPr>
          <w:sz w:val="20"/>
          <w:szCs w:val="20"/>
          <w:color w:val="auto"/>
        </w:rPr>
      </w:pPr>
    </w:p>
    <w:p>
      <w:pPr>
        <w:jc w:val="both"/>
        <w:ind w:left="80" w:right="140" w:firstLine="602"/>
        <w:spacing w:after="0" w:line="266" w:lineRule="exact"/>
        <w:rPr>
          <w:sz w:val="20"/>
          <w:szCs w:val="20"/>
          <w:color w:val="auto"/>
        </w:rPr>
      </w:pPr>
      <w:r>
        <w:rPr>
          <w:rFonts w:ascii="Arial" w:cs="Arial" w:eastAsia="Arial" w:hAnsi="Arial"/>
          <w:sz w:val="19"/>
          <w:szCs w:val="19"/>
          <w:b w:val="1"/>
          <w:bCs w:val="1"/>
          <w:color w:val="231F20"/>
        </w:rPr>
        <w:t>You agree not to bring any third-party confidential information to the Company, including that of any of your former employers, and that in performing your duties for the Company you will not in any way utilize any such information. As a Company employee, you will be expected to abide by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rules and standards. You agree that in the rendering of all services to the Company and in all aspects of employment with the Company, you will comply in all material respects with all lawful directives, policies, standards and regulations from time to time established by the Company. You will be required to sign an acknowledgment that you have read and that you understand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rules of conduct which are included in the Company Handbook.</w:t>
      </w:r>
    </w:p>
    <w:p>
      <w:pPr>
        <w:sectPr>
          <w:pgSz w:w="12240" w:h="15840" w:orient="portrait"/>
          <w:cols w:equalWidth="0" w:num="1">
            <w:col w:w="9360"/>
          </w:cols>
          <w:pgMar w:left="1440" w:top="1440" w:right="1440" w:bottom="4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231F20"/>
        </w:rPr>
        <w:t>3</w:t>
      </w:r>
    </w:p>
    <w:p>
      <w:pPr>
        <w:sectPr>
          <w:pgSz w:w="12240" w:h="15840" w:orient="portrait"/>
          <w:cols w:equalWidth="0" w:num="1">
            <w:col w:w="9360"/>
          </w:cols>
          <w:pgMar w:left="1440" w:top="1440" w:right="1440" w:bottom="419" w:gutter="0" w:footer="0" w:header="0"/>
          <w:type w:val="continuous"/>
        </w:sectPr>
      </w:pPr>
    </w:p>
    <w:bookmarkStart w:id="143" w:name="page144"/>
    <w:bookmarkEnd w:id="143"/>
    <w:p>
      <w:pPr>
        <w:spacing w:after="0" w:line="191" w:lineRule="exact"/>
        <w:rPr>
          <w:sz w:val="20"/>
          <w:szCs w:val="20"/>
          <w:color w:val="auto"/>
        </w:rPr>
      </w:pPr>
    </w:p>
    <w:p>
      <w:pPr>
        <w:jc w:val="both"/>
        <w:ind w:left="80" w:right="140" w:firstLine="600"/>
        <w:spacing w:after="0" w:line="266" w:lineRule="exact"/>
        <w:rPr>
          <w:sz w:val="20"/>
          <w:szCs w:val="20"/>
          <w:color w:val="auto"/>
        </w:rPr>
      </w:pPr>
      <w:r>
        <w:rPr>
          <w:rFonts w:ascii="Arial" w:cs="Arial" w:eastAsia="Arial" w:hAnsi="Arial"/>
          <w:sz w:val="22"/>
          <w:szCs w:val="22"/>
          <w:b w:val="1"/>
          <w:bCs w:val="1"/>
          <w:color w:val="231F20"/>
        </w:rPr>
        <w:t>This Agreement and its terms are intended to be exempt from, or otherwise comply with, the requirements of Section 409A of the Internal Revenue Code of 1986, as amended, and the Treasury Regulations and any formal guidance promulgated thereunder (</w:t>
      </w:r>
      <w:r>
        <w:rPr>
          <w:rFonts w:ascii="PMingLiU" w:cs="PMingLiU" w:eastAsia="PMingLiU" w:hAnsi="PMingLiU"/>
          <w:sz w:val="22"/>
          <w:szCs w:val="22"/>
          <w:b w:val="1"/>
          <w:bCs w:val="1"/>
          <w:color w:val="231F20"/>
        </w:rPr>
        <w:t></w:t>
      </w:r>
      <w:r>
        <w:rPr>
          <w:rFonts w:ascii="Arial" w:cs="Arial" w:eastAsia="Arial" w:hAnsi="Arial"/>
          <w:sz w:val="22"/>
          <w:szCs w:val="22"/>
          <w:b w:val="1"/>
          <w:bCs w:val="1"/>
          <w:u w:val="single" w:color="auto"/>
          <w:color w:val="231F20"/>
        </w:rPr>
        <w:t>Section 409A</w:t>
      </w:r>
      <w:r>
        <w:rPr>
          <w:rFonts w:ascii="PMingLiU" w:cs="PMingLiU" w:eastAsia="PMingLiU" w:hAnsi="PMingLiU"/>
          <w:sz w:val="22"/>
          <w:szCs w:val="22"/>
          <w:b w:val="1"/>
          <w:bCs w:val="1"/>
          <w:color w:val="231F20"/>
        </w:rPr>
        <w:t></w:t>
      </w:r>
      <w:r>
        <w:rPr>
          <w:rFonts w:ascii="Arial" w:cs="Arial" w:eastAsia="Arial" w:hAnsi="Arial"/>
          <w:sz w:val="22"/>
          <w:szCs w:val="22"/>
          <w:b w:val="1"/>
          <w:bCs w:val="1"/>
          <w:color w:val="231F20"/>
        </w:rPr>
        <w:t>), so that none of the payments and benefits to be provided hereunder will be subject to the additional tax imposed by Section 409A, and any ambiguities or ambiguous terms herein will be interpreted to so be exempt or comply.</w:t>
      </w:r>
    </w:p>
    <w:p>
      <w:pPr>
        <w:spacing w:after="0" w:line="246" w:lineRule="exact"/>
        <w:rPr>
          <w:sz w:val="20"/>
          <w:szCs w:val="20"/>
          <w:color w:val="auto"/>
        </w:rPr>
      </w:pPr>
    </w:p>
    <w:p>
      <w:pPr>
        <w:jc w:val="both"/>
        <w:ind w:left="80" w:right="140" w:firstLine="698"/>
        <w:spacing w:after="0" w:line="267" w:lineRule="exact"/>
        <w:rPr>
          <w:sz w:val="20"/>
          <w:szCs w:val="20"/>
          <w:color w:val="auto"/>
        </w:rPr>
      </w:pPr>
      <w:r>
        <w:rPr>
          <w:rFonts w:ascii="Arial" w:cs="Arial" w:eastAsia="Arial" w:hAnsi="Arial"/>
          <w:sz w:val="19"/>
          <w:szCs w:val="19"/>
          <w:b w:val="1"/>
          <w:bCs w:val="1"/>
          <w:color w:val="231F20"/>
        </w:rPr>
        <w:t>To accept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s offer, please sign and date in the spaces indicated below and return this Agreement to me. A duplicate original is enclosed for your records. If you accept our offer, your first day of employment will be January 21, 2025, or such other date as you and the Company mutually agree in writing (the </w:t>
      </w:r>
      <w:r>
        <w:rPr>
          <w:rFonts w:ascii="PMingLiU" w:cs="PMingLiU" w:eastAsia="PMingLiU" w:hAnsi="PMingLiU"/>
          <w:sz w:val="19"/>
          <w:szCs w:val="19"/>
          <w:b w:val="1"/>
          <w:bCs w:val="1"/>
          <w:color w:val="231F20"/>
        </w:rPr>
        <w:t></w:t>
      </w:r>
      <w:r>
        <w:rPr>
          <w:rFonts w:ascii="Arial" w:cs="Arial" w:eastAsia="Arial" w:hAnsi="Arial"/>
          <w:sz w:val="19"/>
          <w:szCs w:val="19"/>
          <w:b w:val="1"/>
          <w:bCs w:val="1"/>
          <w:u w:val="single" w:color="auto"/>
          <w:color w:val="231F20"/>
        </w:rPr>
        <w:t>Start Date</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This Agreement, along with the Confidentiality Agreement and Severance Agreement, set forth the terms of your employment with the Company and supersede any prior representations or agreements including, but not limited to, any representations made during your recruitment, interviews or pre-employment negotiations, whether written or oral. This Agreement, including, but not limited to, its at-will employment provision, may not be modified or amended except by a written agreement signed by a duly authorized officer of the Company (excluding yourself). This Agreement will be governed by the laws of the State of California but without regard to the conflict of law provision. This offer of employment will terminate if it is not accepted, signed and returned by January 17, 2025.</w:t>
      </w:r>
    </w:p>
    <w:p>
      <w:pPr>
        <w:spacing w:after="0" w:line="283"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231F20"/>
        </w:rPr>
        <w:t>We look forward to your favorable reply and to working with you at ALX Oncology.</w:t>
      </w:r>
    </w:p>
    <w:p>
      <w:pPr>
        <w:spacing w:after="0" w:line="275" w:lineRule="exact"/>
        <w:rPr>
          <w:sz w:val="20"/>
          <w:szCs w:val="20"/>
          <w:color w:val="auto"/>
        </w:rPr>
      </w:pPr>
    </w:p>
    <w:p>
      <w:pPr>
        <w:jc w:val="center"/>
        <w:ind w:right="60"/>
        <w:spacing w:after="0"/>
        <w:rPr>
          <w:sz w:val="20"/>
          <w:szCs w:val="20"/>
          <w:color w:val="auto"/>
        </w:rPr>
      </w:pPr>
      <w:r>
        <w:rPr>
          <w:rFonts w:ascii="Arial" w:cs="Arial" w:eastAsia="Arial" w:hAnsi="Arial"/>
          <w:sz w:val="23"/>
          <w:szCs w:val="23"/>
          <w:b w:val="1"/>
          <w:bCs w:val="1"/>
          <w:color w:val="231F20"/>
        </w:rPr>
        <w:t>[Signature page follows]</w:t>
      </w:r>
    </w:p>
    <w:p>
      <w:pPr>
        <w:sectPr>
          <w:pgSz w:w="12240" w:h="15840" w:orient="portrait"/>
          <w:cols w:equalWidth="0" w:num="1">
            <w:col w:w="9360"/>
          </w:cols>
          <w:pgMar w:left="1440" w:top="1440" w:right="1440" w:bottom="4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231F20"/>
        </w:rPr>
        <w:t>4</w:t>
      </w:r>
    </w:p>
    <w:p>
      <w:pPr>
        <w:sectPr>
          <w:pgSz w:w="12240" w:h="15840" w:orient="portrait"/>
          <w:cols w:equalWidth="0" w:num="1">
            <w:col w:w="9360"/>
          </w:cols>
          <w:pgMar w:left="1440" w:top="1440" w:right="1440" w:bottom="419" w:gutter="0" w:footer="0" w:header="0"/>
          <w:type w:val="continuous"/>
        </w:sectPr>
      </w:pPr>
    </w:p>
    <w:bookmarkStart w:id="144" w:name="page145"/>
    <w:bookmarkEnd w:id="144"/>
    <w:p>
      <w:pPr>
        <w:jc w:val="right"/>
        <w:spacing w:after="0"/>
        <w:rPr>
          <w:sz w:val="20"/>
          <w:szCs w:val="20"/>
          <w:color w:val="auto"/>
        </w:rPr>
      </w:pPr>
      <w:r>
        <w:rPr>
          <w:rFonts w:ascii="Arial" w:cs="Arial" w:eastAsia="Arial" w:hAnsi="Arial"/>
          <w:sz w:val="19"/>
          <w:szCs w:val="19"/>
          <w:b w:val="1"/>
          <w:bCs w:val="1"/>
          <w:color w:val="231F20"/>
        </w:rPr>
        <w:t>Exhibit 10.8</w:t>
      </w:r>
    </w:p>
    <w:p>
      <w:pPr>
        <w:spacing w:after="0" w:line="101" w:lineRule="exact"/>
        <w:rPr>
          <w:sz w:val="20"/>
          <w:szCs w:val="20"/>
          <w:color w:val="auto"/>
        </w:rPr>
      </w:pPr>
    </w:p>
    <w:p>
      <w:pPr>
        <w:ind w:left="5040"/>
        <w:spacing w:after="0"/>
        <w:rPr>
          <w:sz w:val="20"/>
          <w:szCs w:val="20"/>
          <w:color w:val="auto"/>
        </w:rPr>
      </w:pPr>
      <w:r>
        <w:rPr>
          <w:rFonts w:ascii="Arial" w:cs="Arial" w:eastAsia="Arial" w:hAnsi="Arial"/>
          <w:sz w:val="23"/>
          <w:szCs w:val="23"/>
          <w:b w:val="1"/>
          <w:bCs w:val="1"/>
          <w:color w:val="231F20"/>
        </w:rPr>
        <w:t>Sincerely,</w:t>
      </w:r>
    </w:p>
    <w:p>
      <w:pPr>
        <w:spacing w:after="0" w:line="237" w:lineRule="exact"/>
        <w:rPr>
          <w:sz w:val="20"/>
          <w:szCs w:val="20"/>
          <w:color w:val="auto"/>
        </w:rPr>
      </w:pPr>
    </w:p>
    <w:p>
      <w:pPr>
        <w:ind w:left="5040"/>
        <w:spacing w:after="0"/>
        <w:rPr>
          <w:sz w:val="20"/>
          <w:szCs w:val="20"/>
          <w:color w:val="auto"/>
        </w:rPr>
      </w:pPr>
      <w:r>
        <w:rPr>
          <w:rFonts w:ascii="Arial" w:cs="Arial" w:eastAsia="Arial" w:hAnsi="Arial"/>
          <w:sz w:val="23"/>
          <w:szCs w:val="23"/>
          <w:b w:val="1"/>
          <w:bCs w:val="1"/>
          <w:color w:val="231F20"/>
        </w:rPr>
        <w:t>ALX Oncology Holdings Inc.</w:t>
      </w:r>
    </w:p>
    <w:p>
      <w:pPr>
        <w:spacing w:after="0" w:line="271" w:lineRule="exact"/>
        <w:rPr>
          <w:sz w:val="20"/>
          <w:szCs w:val="20"/>
          <w:color w:val="auto"/>
        </w:rPr>
      </w:pPr>
    </w:p>
    <w:p>
      <w:pPr>
        <w:ind w:left="5040"/>
        <w:spacing w:after="0"/>
        <w:rPr>
          <w:sz w:val="20"/>
          <w:szCs w:val="20"/>
          <w:color w:val="auto"/>
        </w:rPr>
      </w:pPr>
      <w:r>
        <w:rPr>
          <w:rFonts w:ascii="Arial" w:cs="Arial" w:eastAsia="Arial" w:hAnsi="Arial"/>
          <w:sz w:val="23"/>
          <w:szCs w:val="23"/>
          <w:b w:val="1"/>
          <w:bCs w:val="1"/>
          <w:color w:val="231F20"/>
        </w:rPr>
        <w:t>By: /s/ Jason Lettmann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-15240</wp:posOffset>
            </wp:positionV>
            <wp:extent cx="2348230" cy="762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348230" cy="7620"/>
                    </a:xfrm>
                    <a:prstGeom prst="rect">
                      <a:avLst/>
                    </a:prstGeom>
                    <a:noFill/>
                  </pic:spPr>
                </pic:pic>
              </a:graphicData>
            </a:graphic>
          </wp:anchor>
        </w:drawing>
      </w:r>
    </w:p>
    <w:p>
      <w:pPr>
        <w:ind w:left="5420"/>
        <w:spacing w:after="0"/>
        <w:rPr>
          <w:sz w:val="20"/>
          <w:szCs w:val="20"/>
          <w:color w:val="auto"/>
        </w:rPr>
      </w:pPr>
      <w:r>
        <w:rPr>
          <w:rFonts w:ascii="Arial" w:cs="Arial" w:eastAsia="Arial" w:hAnsi="Arial"/>
          <w:sz w:val="23"/>
          <w:szCs w:val="23"/>
          <w:b w:val="1"/>
          <w:bCs w:val="1"/>
          <w:color w:val="231F20"/>
        </w:rPr>
        <w:t>Jason Lettmann</w:t>
      </w:r>
    </w:p>
    <w:p>
      <w:pPr>
        <w:spacing w:after="0" w:line="2" w:lineRule="exact"/>
        <w:rPr>
          <w:sz w:val="20"/>
          <w:szCs w:val="20"/>
          <w:color w:val="auto"/>
        </w:rPr>
      </w:pPr>
    </w:p>
    <w:p>
      <w:pPr>
        <w:ind w:left="5420"/>
        <w:spacing w:after="0"/>
        <w:rPr>
          <w:sz w:val="20"/>
          <w:szCs w:val="20"/>
          <w:color w:val="auto"/>
        </w:rPr>
      </w:pPr>
      <w:r>
        <w:rPr>
          <w:rFonts w:ascii="Arial" w:cs="Arial" w:eastAsia="Arial" w:hAnsi="Arial"/>
          <w:sz w:val="23"/>
          <w:szCs w:val="23"/>
          <w:b w:val="1"/>
          <w:bCs w:val="1"/>
          <w:color w:val="231F20"/>
        </w:rPr>
        <w:t>Chief Executive Officer</w:t>
      </w:r>
    </w:p>
    <w:p>
      <w:pPr>
        <w:spacing w:after="0" w:line="200" w:lineRule="exact"/>
        <w:rPr>
          <w:sz w:val="20"/>
          <w:szCs w:val="20"/>
          <w:color w:val="auto"/>
        </w:rPr>
      </w:pPr>
    </w:p>
    <w:p>
      <w:pPr>
        <w:spacing w:after="0" w:line="340"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231F20"/>
        </w:rPr>
        <w:t>Agreed to and accepted:</w:t>
      </w:r>
    </w:p>
    <w:p>
      <w:pPr>
        <w:spacing w:after="0" w:line="264"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231F20"/>
        </w:rPr>
        <w:t>/s/ Harish Shantharam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-15240</wp:posOffset>
            </wp:positionV>
            <wp:extent cx="2156460" cy="762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156460" cy="7620"/>
                    </a:xfrm>
                    <a:prstGeom prst="rect">
                      <a:avLst/>
                    </a:prstGeom>
                    <a:noFill/>
                  </pic:spPr>
                </pic:pic>
              </a:graphicData>
            </a:graphic>
          </wp:anchor>
        </w:drawing>
      </w:r>
    </w:p>
    <w:p>
      <w:pPr>
        <w:ind w:left="140"/>
        <w:spacing w:after="0"/>
        <w:rPr>
          <w:sz w:val="20"/>
          <w:szCs w:val="20"/>
          <w:color w:val="auto"/>
        </w:rPr>
      </w:pPr>
      <w:r>
        <w:rPr>
          <w:rFonts w:ascii="Arial" w:cs="Arial" w:eastAsia="Arial" w:hAnsi="Arial"/>
          <w:sz w:val="23"/>
          <w:szCs w:val="23"/>
          <w:b w:val="1"/>
          <w:bCs w:val="1"/>
          <w:color w:val="231F20"/>
        </w:rPr>
        <w:t>Harish Shantharam</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231F20"/>
        </w:rPr>
        <w:t>Dated: January 17, 2025</w:t>
      </w:r>
    </w:p>
    <w:p>
      <w:pPr>
        <w:spacing w:after="0" w:line="200" w:lineRule="exact"/>
        <w:rPr>
          <w:sz w:val="20"/>
          <w:szCs w:val="20"/>
          <w:color w:val="auto"/>
        </w:rPr>
      </w:pPr>
    </w:p>
    <w:p>
      <w:pPr>
        <w:spacing w:after="0" w:line="340"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231F20"/>
        </w:rPr>
        <w:t>Enclosures</w:t>
      </w:r>
    </w:p>
    <w:p>
      <w:pPr>
        <w:spacing w:after="0" w:line="26" w:lineRule="exact"/>
        <w:rPr>
          <w:sz w:val="20"/>
          <w:szCs w:val="20"/>
          <w:color w:val="auto"/>
        </w:rPr>
      </w:pPr>
    </w:p>
    <w:p>
      <w:pPr>
        <w:ind w:left="840" w:hanging="350"/>
        <w:spacing w:after="0"/>
        <w:tabs>
          <w:tab w:leader="none" w:pos="840" w:val="left"/>
        </w:tabs>
        <w:numPr>
          <w:ilvl w:val="0"/>
          <w:numId w:val="28"/>
        </w:numPr>
        <w:rPr>
          <w:rFonts w:ascii="PMingLiU" w:cs="PMingLiU" w:eastAsia="PMingLiU" w:hAnsi="PMingLiU"/>
          <w:sz w:val="23"/>
          <w:szCs w:val="23"/>
          <w:b w:val="1"/>
          <w:bCs w:val="1"/>
          <w:color w:val="231F20"/>
        </w:rPr>
      </w:pPr>
      <w:r>
        <w:rPr>
          <w:rFonts w:ascii="Arial" w:cs="Arial" w:eastAsia="Arial" w:hAnsi="Arial"/>
          <w:sz w:val="23"/>
          <w:szCs w:val="23"/>
          <w:b w:val="1"/>
          <w:bCs w:val="1"/>
          <w:color w:val="231F20"/>
        </w:rPr>
        <w:t>Duplicate Original Letter</w:t>
      </w:r>
    </w:p>
    <w:p>
      <w:pPr>
        <w:spacing w:after="0" w:line="23" w:lineRule="exact"/>
        <w:rPr>
          <w:rFonts w:ascii="PMingLiU" w:cs="PMingLiU" w:eastAsia="PMingLiU" w:hAnsi="PMingLiU"/>
          <w:sz w:val="23"/>
          <w:szCs w:val="23"/>
          <w:b w:val="1"/>
          <w:bCs w:val="1"/>
          <w:color w:val="231F20"/>
        </w:rPr>
      </w:pPr>
    </w:p>
    <w:p>
      <w:pPr>
        <w:ind w:left="840" w:hanging="350"/>
        <w:spacing w:after="0"/>
        <w:tabs>
          <w:tab w:leader="none" w:pos="840" w:val="left"/>
        </w:tabs>
        <w:numPr>
          <w:ilvl w:val="0"/>
          <w:numId w:val="28"/>
        </w:numPr>
        <w:rPr>
          <w:rFonts w:ascii="PMingLiU" w:cs="PMingLiU" w:eastAsia="PMingLiU" w:hAnsi="PMingLiU"/>
          <w:sz w:val="23"/>
          <w:szCs w:val="23"/>
          <w:b w:val="1"/>
          <w:bCs w:val="1"/>
          <w:color w:val="231F20"/>
        </w:rPr>
      </w:pPr>
      <w:r>
        <w:rPr>
          <w:rFonts w:ascii="Arial" w:cs="Arial" w:eastAsia="Arial" w:hAnsi="Arial"/>
          <w:sz w:val="23"/>
          <w:szCs w:val="23"/>
          <w:b w:val="1"/>
          <w:bCs w:val="1"/>
          <w:color w:val="231F20"/>
        </w:rPr>
        <w:t>Employee Confidentiality, Inventions and Non-Interference Agreement</w:t>
      </w:r>
    </w:p>
    <w:p>
      <w:pPr>
        <w:sectPr>
          <w:pgSz w:w="12240" w:h="15840" w:orient="portrait"/>
          <w:cols w:equalWidth="0" w:num="1">
            <w:col w:w="9380"/>
          </w:cols>
          <w:pgMar w:left="1440" w:top="1381" w:right="1420" w:bottom="1440" w:gutter="0" w:footer="0" w:header="0"/>
        </w:sectPr>
      </w:pPr>
    </w:p>
    <w:bookmarkStart w:id="145" w:name="page146"/>
    <w:bookmarkEnd w:id="145"/>
    <w:p>
      <w:pPr>
        <w:spacing w:after="0" w:line="266" w:lineRule="exact"/>
        <w:rPr>
          <w:sz w:val="20"/>
          <w:szCs w:val="20"/>
          <w:color w:val="auto"/>
        </w:rPr>
      </w:pPr>
    </w:p>
    <w:p>
      <w:pPr>
        <w:jc w:val="center"/>
        <w:spacing w:after="0"/>
        <w:rPr>
          <w:sz w:val="20"/>
          <w:szCs w:val="20"/>
          <w:color w:val="auto"/>
        </w:rPr>
      </w:pPr>
      <w:r>
        <w:rPr>
          <w:rFonts w:ascii="Arial" w:cs="Arial" w:eastAsia="Arial" w:hAnsi="Arial"/>
          <w:sz w:val="23"/>
          <w:szCs w:val="23"/>
          <w:b w:val="1"/>
          <w:bCs w:val="1"/>
          <w:u w:val="single" w:color="auto"/>
          <w:color w:val="231F20"/>
        </w:rPr>
        <w:t>Appendix A</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231F20"/>
        </w:rPr>
        <w:t>Section 7 of the Defend Trade Secrets Act of 2016</w:t>
      </w:r>
    </w:p>
    <w:p>
      <w:pPr>
        <w:spacing w:after="0" w:line="200" w:lineRule="exact"/>
        <w:rPr>
          <w:sz w:val="20"/>
          <w:szCs w:val="20"/>
          <w:color w:val="auto"/>
        </w:rPr>
      </w:pPr>
    </w:p>
    <w:p>
      <w:pPr>
        <w:spacing w:after="0" w:line="306" w:lineRule="exact"/>
        <w:rPr>
          <w:sz w:val="20"/>
          <w:szCs w:val="20"/>
          <w:color w:val="auto"/>
        </w:rPr>
      </w:pPr>
    </w:p>
    <w:p>
      <w:pPr>
        <w:jc w:val="both"/>
        <w:ind w:left="140" w:right="140" w:hanging="1"/>
        <w:spacing w:after="0" w:line="267" w:lineRule="exact"/>
        <w:tabs>
          <w:tab w:leader="none" w:pos="310" w:val="left"/>
        </w:tabs>
        <w:numPr>
          <w:ilvl w:val="0"/>
          <w:numId w:val="29"/>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 . . An individual shall not be held criminally or civilly liable under any Federal or State trade secret law for the disclosure of a trade secret that</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(A) is made</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(A) files any document containing the trade secret under seal; and (B) does not disclose the trade secret, except pursuant to court order.</w:t>
      </w:r>
      <w:r>
        <w:rPr>
          <w:rFonts w:ascii="PMingLiU" w:cs="PMingLiU" w:eastAsia="PMingLiU" w:hAnsi="PMingLiU"/>
          <w:sz w:val="19"/>
          <w:szCs w:val="19"/>
          <w:b w:val="1"/>
          <w:bCs w:val="1"/>
          <w:color w:val="231F20"/>
        </w:rPr>
        <w:t></w:t>
      </w:r>
    </w:p>
    <w:p>
      <w:pPr>
        <w:sectPr>
          <w:pgSz w:w="12240" w:h="15840" w:orient="portrait"/>
          <w:cols w:equalWidth="0" w:num="1">
            <w:col w:w="9360"/>
          </w:cols>
          <w:pgMar w:left="1440" w:top="1440" w:right="1440" w:bottom="37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21"/>
          <w:szCs w:val="21"/>
          <w:b w:val="1"/>
          <w:bCs w:val="1"/>
          <w:color w:val="231F20"/>
        </w:rPr>
        <w:t>6</w:t>
      </w:r>
    </w:p>
    <w:p>
      <w:pPr>
        <w:sectPr>
          <w:pgSz w:w="12240" w:h="15840" w:orient="portrait"/>
          <w:cols w:equalWidth="0" w:num="1">
            <w:col w:w="9360"/>
          </w:cols>
          <w:pgMar w:left="1440" w:top="1440" w:right="1440" w:bottom="373" w:gutter="0" w:footer="0" w:header="0"/>
          <w:type w:val="continuous"/>
        </w:sectPr>
      </w:pPr>
    </w:p>
    <w:bookmarkStart w:id="146" w:name="page147"/>
    <w:bookmarkEnd w:id="146"/>
    <w:p>
      <w:pPr>
        <w:ind w:left="8300"/>
        <w:spacing w:after="0"/>
        <w:rPr>
          <w:sz w:val="20"/>
          <w:szCs w:val="20"/>
          <w:color w:val="auto"/>
        </w:rPr>
      </w:pPr>
      <w:r>
        <w:rPr>
          <w:rFonts w:ascii="Arial" w:cs="Arial" w:eastAsia="Arial" w:hAnsi="Arial"/>
          <w:sz w:val="17"/>
          <w:szCs w:val="17"/>
          <w:b w:val="1"/>
          <w:bCs w:val="1"/>
          <w:color w:val="231F20"/>
        </w:rPr>
        <w:t>Exhibit 10.11</w:t>
      </w:r>
    </w:p>
    <w:p>
      <w:pPr>
        <w:spacing w:after="0" w:line="153" w:lineRule="exact"/>
        <w:rPr>
          <w:sz w:val="20"/>
          <w:szCs w:val="20"/>
          <w:color w:val="auto"/>
        </w:rPr>
      </w:pPr>
    </w:p>
    <w:p>
      <w:pPr>
        <w:ind w:right="20"/>
        <w:spacing w:after="0" w:line="242" w:lineRule="auto"/>
        <w:rPr>
          <w:sz w:val="20"/>
          <w:szCs w:val="20"/>
          <w:color w:val="auto"/>
        </w:rPr>
      </w:pPr>
      <w:r>
        <w:rPr>
          <w:rFonts w:ascii="Arial" w:cs="Arial" w:eastAsia="Arial" w:hAnsi="Arial"/>
          <w:sz w:val="19"/>
          <w:szCs w:val="19"/>
          <w:b w:val="1"/>
          <w:bCs w:val="1"/>
          <w:color w:val="231F20"/>
        </w:rPr>
        <w:t>Certain exhibits and schedules have been omitted in accordance with Regulation S-K Item 601(a)(5). The registrant agrees to furnish supplementally a copy of any omitted exhibit or schedule to the SEC upon its request, however the registrant may request confidential treatment of omitted items</w:t>
      </w:r>
    </w:p>
    <w:p>
      <w:pPr>
        <w:spacing w:after="0" w:line="227" w:lineRule="exact"/>
        <w:rPr>
          <w:sz w:val="20"/>
          <w:szCs w:val="20"/>
          <w:color w:val="auto"/>
        </w:rPr>
      </w:pPr>
    </w:p>
    <w:p>
      <w:pPr>
        <w:spacing w:after="0"/>
        <w:rPr>
          <w:sz w:val="20"/>
          <w:szCs w:val="20"/>
          <w:color w:val="auto"/>
        </w:rPr>
      </w:pPr>
      <w:r>
        <w:rPr>
          <w:rFonts w:ascii="Arial" w:cs="Arial" w:eastAsia="Arial" w:hAnsi="Arial"/>
          <w:sz w:val="23"/>
          <w:szCs w:val="23"/>
          <w:b w:val="1"/>
          <w:bCs w:val="1"/>
          <w:color w:val="231F20"/>
        </w:rPr>
        <w:t>October 11, 2024</w:t>
      </w:r>
    </w:p>
    <w:p>
      <w:pPr>
        <w:spacing w:after="0" w:line="271" w:lineRule="exact"/>
        <w:rPr>
          <w:sz w:val="20"/>
          <w:szCs w:val="20"/>
          <w:color w:val="auto"/>
        </w:rPr>
      </w:pPr>
    </w:p>
    <w:p>
      <w:pPr>
        <w:spacing w:after="0"/>
        <w:rPr>
          <w:sz w:val="20"/>
          <w:szCs w:val="20"/>
          <w:color w:val="auto"/>
        </w:rPr>
      </w:pPr>
      <w:r>
        <w:rPr>
          <w:rFonts w:ascii="Arial" w:cs="Arial" w:eastAsia="Arial" w:hAnsi="Arial"/>
          <w:sz w:val="23"/>
          <w:szCs w:val="23"/>
          <w:b w:val="1"/>
          <w:bCs w:val="1"/>
          <w:color w:val="231F20"/>
        </w:rPr>
        <w:t>Alan Sandler, M.D.</w:t>
      </w:r>
    </w:p>
    <w:p>
      <w:pPr>
        <w:spacing w:after="0" w:line="4" w:lineRule="exact"/>
        <w:rPr>
          <w:sz w:val="20"/>
          <w:szCs w:val="20"/>
          <w:color w:val="auto"/>
        </w:rPr>
      </w:pPr>
    </w:p>
    <w:p>
      <w:pPr>
        <w:spacing w:after="0"/>
        <w:rPr>
          <w:sz w:val="20"/>
          <w:szCs w:val="20"/>
          <w:color w:val="auto"/>
        </w:rPr>
      </w:pPr>
      <w:r>
        <w:rPr>
          <w:rFonts w:ascii="Arial" w:cs="Arial" w:eastAsia="Arial" w:hAnsi="Arial"/>
          <w:sz w:val="23"/>
          <w:szCs w:val="23"/>
          <w:b w:val="1"/>
          <w:bCs w:val="1"/>
          <w:color w:val="231F20"/>
        </w:rPr>
        <w:t>Via Email</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3"/>
          <w:szCs w:val="23"/>
          <w:b w:val="1"/>
          <w:bCs w:val="1"/>
          <w:color w:val="231F20"/>
        </w:rPr>
        <w:t>Re: Offer of Employment</w:t>
      </w:r>
    </w:p>
    <w:p>
      <w:pPr>
        <w:spacing w:after="0" w:line="232" w:lineRule="exact"/>
        <w:rPr>
          <w:sz w:val="20"/>
          <w:szCs w:val="20"/>
          <w:color w:val="auto"/>
        </w:rPr>
      </w:pPr>
    </w:p>
    <w:p>
      <w:pPr>
        <w:spacing w:after="0"/>
        <w:rPr>
          <w:sz w:val="20"/>
          <w:szCs w:val="20"/>
          <w:color w:val="auto"/>
        </w:rPr>
      </w:pPr>
      <w:r>
        <w:rPr>
          <w:rFonts w:ascii="Arial" w:cs="Arial" w:eastAsia="Arial" w:hAnsi="Arial"/>
          <w:sz w:val="23"/>
          <w:szCs w:val="23"/>
          <w:b w:val="1"/>
          <w:bCs w:val="1"/>
          <w:color w:val="231F20"/>
        </w:rPr>
        <w:t>Dear Alan:</w:t>
      </w:r>
    </w:p>
    <w:p>
      <w:pPr>
        <w:spacing w:after="0" w:line="278" w:lineRule="exact"/>
        <w:rPr>
          <w:sz w:val="20"/>
          <w:szCs w:val="20"/>
          <w:color w:val="auto"/>
        </w:rPr>
      </w:pPr>
    </w:p>
    <w:p>
      <w:pPr>
        <w:ind w:right="180"/>
        <w:spacing w:after="0" w:line="261" w:lineRule="exact"/>
        <w:rPr>
          <w:sz w:val="20"/>
          <w:szCs w:val="20"/>
          <w:color w:val="auto"/>
        </w:rPr>
      </w:pPr>
      <w:r>
        <w:rPr>
          <w:rFonts w:ascii="Arial" w:cs="Arial" w:eastAsia="Arial" w:hAnsi="Arial"/>
          <w:sz w:val="21"/>
          <w:szCs w:val="21"/>
          <w:b w:val="1"/>
          <w:bCs w:val="1"/>
          <w:color w:val="231F20"/>
        </w:rPr>
        <w:t xml:space="preserve">I am pleased to offer you a position with ALX Oncology Holdings Inc. (the </w:t>
      </w:r>
      <w:r>
        <w:rPr>
          <w:rFonts w:ascii="PMingLiU" w:cs="PMingLiU" w:eastAsia="PMingLiU" w:hAnsi="PMingLiU"/>
          <w:sz w:val="21"/>
          <w:szCs w:val="21"/>
          <w:b w:val="1"/>
          <w:bCs w:val="1"/>
          <w:color w:val="231F20"/>
        </w:rPr>
        <w:t></w:t>
      </w:r>
      <w:r>
        <w:rPr>
          <w:rFonts w:ascii="Arial" w:cs="Arial" w:eastAsia="Arial" w:hAnsi="Arial"/>
          <w:sz w:val="21"/>
          <w:szCs w:val="21"/>
          <w:b w:val="1"/>
          <w:bCs w:val="1"/>
          <w:u w:val="single" w:color="auto"/>
          <w:color w:val="231F20"/>
        </w:rPr>
        <w:t>Company</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 xml:space="preserve">) in accordance with the terms of this Offer of Employment letter agreement (the </w:t>
      </w:r>
      <w:r>
        <w:rPr>
          <w:rFonts w:ascii="PMingLiU" w:cs="PMingLiU" w:eastAsia="PMingLiU" w:hAnsi="PMingLiU"/>
          <w:sz w:val="21"/>
          <w:szCs w:val="21"/>
          <w:b w:val="1"/>
          <w:bCs w:val="1"/>
          <w:color w:val="231F20"/>
        </w:rPr>
        <w:t></w:t>
      </w:r>
      <w:r>
        <w:rPr>
          <w:rFonts w:ascii="Arial" w:cs="Arial" w:eastAsia="Arial" w:hAnsi="Arial"/>
          <w:sz w:val="21"/>
          <w:szCs w:val="21"/>
          <w:b w:val="1"/>
          <w:bCs w:val="1"/>
          <w:u w:val="single" w:color="auto"/>
          <w:color w:val="231F20"/>
        </w:rPr>
        <w:t>Agreement</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w:t>
      </w:r>
    </w:p>
    <w:p>
      <w:pPr>
        <w:spacing w:after="0" w:line="246" w:lineRule="exact"/>
        <w:rPr>
          <w:sz w:val="20"/>
          <w:szCs w:val="20"/>
          <w:color w:val="auto"/>
        </w:rPr>
      </w:pPr>
    </w:p>
    <w:p>
      <w:pPr>
        <w:ind w:right="120" w:firstLine="706"/>
        <w:spacing w:after="0" w:line="266" w:lineRule="exact"/>
        <w:tabs>
          <w:tab w:leader="none" w:pos="1397" w:val="left"/>
        </w:tabs>
        <w:numPr>
          <w:ilvl w:val="0"/>
          <w:numId w:val="30"/>
        </w:numPr>
        <w:rPr>
          <w:rFonts w:ascii="Arial" w:cs="Arial" w:eastAsia="Arial" w:hAnsi="Arial"/>
          <w:sz w:val="22"/>
          <w:szCs w:val="22"/>
          <w:b w:val="1"/>
          <w:bCs w:val="1"/>
          <w:color w:val="231F20"/>
        </w:rPr>
      </w:pPr>
      <w:r>
        <w:rPr>
          <w:rFonts w:ascii="Arial" w:cs="Arial" w:eastAsia="Arial" w:hAnsi="Arial"/>
          <w:sz w:val="22"/>
          <w:szCs w:val="22"/>
          <w:b w:val="1"/>
          <w:bCs w:val="1"/>
          <w:u w:val="single" w:color="auto"/>
          <w:color w:val="231F20"/>
        </w:rPr>
        <w:t>Title; Position; Location</w:t>
      </w:r>
      <w:r>
        <w:rPr>
          <w:rFonts w:ascii="Arial" w:cs="Arial" w:eastAsia="Arial" w:hAnsi="Arial"/>
          <w:sz w:val="22"/>
          <w:szCs w:val="22"/>
          <w:b w:val="1"/>
          <w:bCs w:val="1"/>
          <w:color w:val="231F20"/>
        </w:rPr>
        <w:t>. If you accept this offer of employment, you will serve as the Company</w:t>
      </w:r>
      <w:r>
        <w:rPr>
          <w:rFonts w:ascii="PMingLiU" w:cs="PMingLiU" w:eastAsia="PMingLiU" w:hAnsi="PMingLiU"/>
          <w:sz w:val="22"/>
          <w:szCs w:val="22"/>
          <w:b w:val="1"/>
          <w:bCs w:val="1"/>
          <w:color w:val="231F20"/>
        </w:rPr>
        <w:t></w:t>
      </w:r>
      <w:r>
        <w:rPr>
          <w:rFonts w:ascii="Arial" w:cs="Arial" w:eastAsia="Arial" w:hAnsi="Arial"/>
          <w:sz w:val="22"/>
          <w:szCs w:val="22"/>
          <w:b w:val="1"/>
          <w:bCs w:val="1"/>
          <w:color w:val="231F20"/>
        </w:rPr>
        <w:t>s Chief Medical Officer (</w:t>
      </w:r>
      <w:r>
        <w:rPr>
          <w:rFonts w:ascii="PMingLiU" w:cs="PMingLiU" w:eastAsia="PMingLiU" w:hAnsi="PMingLiU"/>
          <w:sz w:val="22"/>
          <w:szCs w:val="22"/>
          <w:b w:val="1"/>
          <w:bCs w:val="1"/>
          <w:color w:val="231F20"/>
        </w:rPr>
        <w:t></w:t>
      </w:r>
      <w:r>
        <w:rPr>
          <w:rFonts w:ascii="Arial" w:cs="Arial" w:eastAsia="Arial" w:hAnsi="Arial"/>
          <w:sz w:val="22"/>
          <w:szCs w:val="22"/>
          <w:b w:val="1"/>
          <w:bCs w:val="1"/>
          <w:u w:val="single" w:color="auto"/>
          <w:color w:val="231F20"/>
        </w:rPr>
        <w:t>CMO</w:t>
      </w:r>
      <w:r>
        <w:rPr>
          <w:rFonts w:ascii="PMingLiU" w:cs="PMingLiU" w:eastAsia="PMingLiU" w:hAnsi="PMingLiU"/>
          <w:sz w:val="22"/>
          <w:szCs w:val="22"/>
          <w:b w:val="1"/>
          <w:bCs w:val="1"/>
          <w:color w:val="231F20"/>
        </w:rPr>
        <w:t></w:t>
      </w:r>
      <w:r>
        <w:rPr>
          <w:rFonts w:ascii="Arial" w:cs="Arial" w:eastAsia="Arial" w:hAnsi="Arial"/>
          <w:sz w:val="22"/>
          <w:szCs w:val="22"/>
          <w:b w:val="1"/>
          <w:bCs w:val="1"/>
          <w:color w:val="231F20"/>
        </w:rPr>
        <w:t>). In your role as CMO, you will report to the Company</w:t>
      </w:r>
      <w:r>
        <w:rPr>
          <w:rFonts w:ascii="PMingLiU" w:cs="PMingLiU" w:eastAsia="PMingLiU" w:hAnsi="PMingLiU"/>
          <w:sz w:val="22"/>
          <w:szCs w:val="22"/>
          <w:b w:val="1"/>
          <w:bCs w:val="1"/>
          <w:color w:val="231F20"/>
        </w:rPr>
        <w:t></w:t>
      </w:r>
      <w:r>
        <w:rPr>
          <w:rFonts w:ascii="Arial" w:cs="Arial" w:eastAsia="Arial" w:hAnsi="Arial"/>
          <w:sz w:val="22"/>
          <w:szCs w:val="22"/>
          <w:b w:val="1"/>
          <w:bCs w:val="1"/>
          <w:color w:val="231F20"/>
        </w:rPr>
        <w:t>s Chief Executive Officer (</w:t>
      </w:r>
      <w:r>
        <w:rPr>
          <w:rFonts w:ascii="PMingLiU" w:cs="PMingLiU" w:eastAsia="PMingLiU" w:hAnsi="PMingLiU"/>
          <w:sz w:val="22"/>
          <w:szCs w:val="22"/>
          <w:b w:val="1"/>
          <w:bCs w:val="1"/>
          <w:color w:val="231F20"/>
        </w:rPr>
        <w:t></w:t>
      </w:r>
      <w:r>
        <w:rPr>
          <w:rFonts w:ascii="Arial" w:cs="Arial" w:eastAsia="Arial" w:hAnsi="Arial"/>
          <w:sz w:val="22"/>
          <w:szCs w:val="22"/>
          <w:b w:val="1"/>
          <w:bCs w:val="1"/>
          <w:u w:val="single" w:color="auto"/>
          <w:color w:val="231F20"/>
        </w:rPr>
        <w:t>CEO</w:t>
      </w:r>
      <w:r>
        <w:rPr>
          <w:rFonts w:ascii="PMingLiU" w:cs="PMingLiU" w:eastAsia="PMingLiU" w:hAnsi="PMingLiU"/>
          <w:sz w:val="22"/>
          <w:szCs w:val="22"/>
          <w:b w:val="1"/>
          <w:bCs w:val="1"/>
          <w:color w:val="231F20"/>
        </w:rPr>
        <w:t></w:t>
      </w:r>
      <w:r>
        <w:rPr>
          <w:rFonts w:ascii="Arial" w:cs="Arial" w:eastAsia="Arial" w:hAnsi="Arial"/>
          <w:sz w:val="22"/>
          <w:szCs w:val="22"/>
          <w:b w:val="1"/>
          <w:bCs w:val="1"/>
          <w:color w:val="231F20"/>
        </w:rPr>
        <w:t>) and will perform the duties and responsibilities customary for such position and such other related duties as are lawfully assigned by the CEO. You will perform your duties from the Company</w:t>
      </w:r>
      <w:r>
        <w:rPr>
          <w:rFonts w:ascii="PMingLiU" w:cs="PMingLiU" w:eastAsia="PMingLiU" w:hAnsi="PMingLiU"/>
          <w:sz w:val="22"/>
          <w:szCs w:val="22"/>
          <w:b w:val="1"/>
          <w:bCs w:val="1"/>
          <w:color w:val="231F20"/>
        </w:rPr>
        <w:t></w:t>
      </w:r>
      <w:r>
        <w:rPr>
          <w:rFonts w:ascii="Arial" w:cs="Arial" w:eastAsia="Arial" w:hAnsi="Arial"/>
          <w:sz w:val="22"/>
          <w:szCs w:val="22"/>
          <w:b w:val="1"/>
          <w:bCs w:val="1"/>
          <w:color w:val="231F20"/>
        </w:rPr>
        <w:t>s corporate offices located in South San Francisco, California, subject to customary travel as reasonably required by the Company and necessary to perform your job duties.</w:t>
      </w:r>
    </w:p>
    <w:p>
      <w:pPr>
        <w:spacing w:after="0" w:line="250" w:lineRule="exact"/>
        <w:rPr>
          <w:rFonts w:ascii="Arial" w:cs="Arial" w:eastAsia="Arial" w:hAnsi="Arial"/>
          <w:sz w:val="22"/>
          <w:szCs w:val="22"/>
          <w:b w:val="1"/>
          <w:bCs w:val="1"/>
          <w:color w:val="231F20"/>
        </w:rPr>
      </w:pPr>
    </w:p>
    <w:p>
      <w:pPr>
        <w:ind w:right="40" w:firstLine="706"/>
        <w:spacing w:after="0" w:line="266" w:lineRule="exact"/>
        <w:tabs>
          <w:tab w:leader="none" w:pos="1397" w:val="left"/>
        </w:tabs>
        <w:numPr>
          <w:ilvl w:val="0"/>
          <w:numId w:val="30"/>
        </w:numPr>
        <w:rPr>
          <w:rFonts w:ascii="Arial" w:cs="Arial" w:eastAsia="Arial" w:hAnsi="Arial"/>
          <w:sz w:val="23"/>
          <w:szCs w:val="23"/>
          <w:b w:val="1"/>
          <w:bCs w:val="1"/>
          <w:color w:val="231F20"/>
        </w:rPr>
      </w:pPr>
      <w:r>
        <w:rPr>
          <w:rFonts w:ascii="Arial" w:cs="Arial" w:eastAsia="Arial" w:hAnsi="Arial"/>
          <w:sz w:val="23"/>
          <w:szCs w:val="23"/>
          <w:b w:val="1"/>
          <w:bCs w:val="1"/>
          <w:u w:val="single" w:color="auto"/>
          <w:color w:val="231F20"/>
        </w:rPr>
        <w:t>Base Salary</w:t>
      </w:r>
      <w:r>
        <w:rPr>
          <w:rFonts w:ascii="Arial" w:cs="Arial" w:eastAsia="Arial" w:hAnsi="Arial"/>
          <w:sz w:val="23"/>
          <w:szCs w:val="23"/>
          <w:b w:val="1"/>
          <w:bCs w:val="1"/>
          <w:color w:val="231F20"/>
        </w:rPr>
        <w:t>. Your annual base salary will be $575,000 (</w:t>
      </w:r>
      <w:r>
        <w:rPr>
          <w:rFonts w:ascii="PMingLiU" w:cs="PMingLiU" w:eastAsia="PMingLiU" w:hAnsi="PMingLiU"/>
          <w:sz w:val="23"/>
          <w:szCs w:val="23"/>
          <w:b w:val="1"/>
          <w:bCs w:val="1"/>
          <w:color w:val="231F20"/>
        </w:rPr>
        <w:t></w:t>
      </w:r>
      <w:r>
        <w:rPr>
          <w:rFonts w:ascii="Arial" w:cs="Arial" w:eastAsia="Arial" w:hAnsi="Arial"/>
          <w:sz w:val="23"/>
          <w:szCs w:val="23"/>
          <w:b w:val="1"/>
          <w:bCs w:val="1"/>
          <w:u w:val="single" w:color="auto"/>
          <w:color w:val="231F20"/>
        </w:rPr>
        <w:t>Salary</w:t>
      </w:r>
      <w:r>
        <w:rPr>
          <w:rFonts w:ascii="PMingLiU" w:cs="PMingLiU" w:eastAsia="PMingLiU" w:hAnsi="PMingLiU"/>
          <w:sz w:val="23"/>
          <w:szCs w:val="23"/>
          <w:b w:val="1"/>
          <w:bCs w:val="1"/>
          <w:color w:val="231F20"/>
        </w:rPr>
        <w:t></w:t>
      </w:r>
      <w:r>
        <w:rPr>
          <w:rFonts w:ascii="Arial" w:cs="Arial" w:eastAsia="Arial" w:hAnsi="Arial"/>
          <w:sz w:val="23"/>
          <w:szCs w:val="23"/>
          <w:b w:val="1"/>
          <w:bCs w:val="1"/>
          <w:color w:val="231F20"/>
        </w:rPr>
        <w:t>), which will be payable, less any applicable withholdings, in accordance with the Company</w:t>
      </w:r>
      <w:r>
        <w:rPr>
          <w:rFonts w:ascii="PMingLiU" w:cs="PMingLiU" w:eastAsia="PMingLiU" w:hAnsi="PMingLiU"/>
          <w:sz w:val="23"/>
          <w:szCs w:val="23"/>
          <w:b w:val="1"/>
          <w:bCs w:val="1"/>
          <w:color w:val="231F20"/>
        </w:rPr>
        <w:t></w:t>
      </w:r>
      <w:r>
        <w:rPr>
          <w:rFonts w:ascii="Arial" w:cs="Arial" w:eastAsia="Arial" w:hAnsi="Arial"/>
          <w:sz w:val="23"/>
          <w:szCs w:val="23"/>
          <w:b w:val="1"/>
          <w:bCs w:val="1"/>
          <w:color w:val="231F20"/>
        </w:rPr>
        <w:t>s normal payroll practices. Your Salary will be subject to review and adjustment from time to time by the Company</w:t>
      </w:r>
      <w:r>
        <w:rPr>
          <w:rFonts w:ascii="PMingLiU" w:cs="PMingLiU" w:eastAsia="PMingLiU" w:hAnsi="PMingLiU"/>
          <w:sz w:val="23"/>
          <w:szCs w:val="23"/>
          <w:b w:val="1"/>
          <w:bCs w:val="1"/>
          <w:color w:val="231F20"/>
        </w:rPr>
        <w:t></w:t>
      </w:r>
      <w:r>
        <w:rPr>
          <w:rFonts w:ascii="Arial" w:cs="Arial" w:eastAsia="Arial" w:hAnsi="Arial"/>
          <w:sz w:val="23"/>
          <w:szCs w:val="23"/>
          <w:b w:val="1"/>
          <w:bCs w:val="1"/>
          <w:color w:val="231F20"/>
        </w:rPr>
        <w:t xml:space="preserve">s Board of Directors (the </w:t>
      </w:r>
      <w:r>
        <w:rPr>
          <w:rFonts w:ascii="PMingLiU" w:cs="PMingLiU" w:eastAsia="PMingLiU" w:hAnsi="PMingLiU"/>
          <w:sz w:val="23"/>
          <w:szCs w:val="23"/>
          <w:b w:val="1"/>
          <w:bCs w:val="1"/>
          <w:color w:val="231F20"/>
        </w:rPr>
        <w:t></w:t>
      </w:r>
      <w:r>
        <w:rPr>
          <w:rFonts w:ascii="Arial" w:cs="Arial" w:eastAsia="Arial" w:hAnsi="Arial"/>
          <w:sz w:val="23"/>
          <w:szCs w:val="23"/>
          <w:b w:val="1"/>
          <w:bCs w:val="1"/>
          <w:u w:val="single" w:color="auto"/>
          <w:color w:val="231F20"/>
        </w:rPr>
        <w:t>Board</w:t>
      </w:r>
      <w:r>
        <w:rPr>
          <w:rFonts w:ascii="PMingLiU" w:cs="PMingLiU" w:eastAsia="PMingLiU" w:hAnsi="PMingLiU"/>
          <w:sz w:val="23"/>
          <w:szCs w:val="23"/>
          <w:b w:val="1"/>
          <w:bCs w:val="1"/>
          <w:color w:val="231F20"/>
        </w:rPr>
        <w:t></w:t>
      </w:r>
      <w:r>
        <w:rPr>
          <w:rFonts w:ascii="Arial" w:cs="Arial" w:eastAsia="Arial" w:hAnsi="Arial"/>
          <w:sz w:val="23"/>
          <w:szCs w:val="23"/>
          <w:b w:val="1"/>
          <w:bCs w:val="1"/>
          <w:color w:val="231F20"/>
        </w:rPr>
        <w:t xml:space="preserve">) or its Compensation Committee (the </w:t>
      </w:r>
      <w:r>
        <w:rPr>
          <w:rFonts w:ascii="PMingLiU" w:cs="PMingLiU" w:eastAsia="PMingLiU" w:hAnsi="PMingLiU"/>
          <w:sz w:val="23"/>
          <w:szCs w:val="23"/>
          <w:b w:val="1"/>
          <w:bCs w:val="1"/>
          <w:color w:val="231F20"/>
        </w:rPr>
        <w:t></w:t>
      </w:r>
      <w:r>
        <w:rPr>
          <w:rFonts w:ascii="Arial" w:cs="Arial" w:eastAsia="Arial" w:hAnsi="Arial"/>
          <w:sz w:val="23"/>
          <w:szCs w:val="23"/>
          <w:b w:val="1"/>
          <w:bCs w:val="1"/>
          <w:u w:val="single" w:color="auto"/>
          <w:color w:val="231F20"/>
        </w:rPr>
        <w:t>Committee</w:t>
      </w:r>
      <w:r>
        <w:rPr>
          <w:rFonts w:ascii="PMingLiU" w:cs="PMingLiU" w:eastAsia="PMingLiU" w:hAnsi="PMingLiU"/>
          <w:sz w:val="23"/>
          <w:szCs w:val="23"/>
          <w:b w:val="1"/>
          <w:bCs w:val="1"/>
          <w:color w:val="231F20"/>
        </w:rPr>
        <w:t></w:t>
      </w:r>
      <w:r>
        <w:rPr>
          <w:rFonts w:ascii="Arial" w:cs="Arial" w:eastAsia="Arial" w:hAnsi="Arial"/>
          <w:sz w:val="23"/>
          <w:szCs w:val="23"/>
          <w:b w:val="1"/>
          <w:bCs w:val="1"/>
          <w:color w:val="231F20"/>
        </w:rPr>
        <w:t>), as applicable, in its sole discretion.</w:t>
      </w:r>
    </w:p>
    <w:p>
      <w:pPr>
        <w:spacing w:after="0" w:line="244" w:lineRule="exact"/>
        <w:rPr>
          <w:rFonts w:ascii="Arial" w:cs="Arial" w:eastAsia="Arial" w:hAnsi="Arial"/>
          <w:sz w:val="23"/>
          <w:szCs w:val="23"/>
          <w:b w:val="1"/>
          <w:bCs w:val="1"/>
          <w:color w:val="231F20"/>
        </w:rPr>
      </w:pPr>
    </w:p>
    <w:p>
      <w:pPr>
        <w:ind w:right="40" w:firstLine="706"/>
        <w:spacing w:after="0" w:line="267" w:lineRule="exact"/>
        <w:tabs>
          <w:tab w:leader="none" w:pos="1397" w:val="left"/>
        </w:tabs>
        <w:numPr>
          <w:ilvl w:val="0"/>
          <w:numId w:val="30"/>
        </w:numPr>
        <w:rPr>
          <w:rFonts w:ascii="Arial" w:cs="Arial" w:eastAsia="Arial" w:hAnsi="Arial"/>
          <w:sz w:val="20"/>
          <w:szCs w:val="20"/>
          <w:b w:val="1"/>
          <w:bCs w:val="1"/>
          <w:color w:val="231F20"/>
        </w:rPr>
      </w:pPr>
      <w:r>
        <w:rPr>
          <w:rFonts w:ascii="Arial" w:cs="Arial" w:eastAsia="Arial" w:hAnsi="Arial"/>
          <w:sz w:val="20"/>
          <w:szCs w:val="20"/>
          <w:b w:val="1"/>
          <w:bCs w:val="1"/>
          <w:u w:val="single" w:color="auto"/>
          <w:color w:val="231F20"/>
        </w:rPr>
        <w:t>Annual Bonus</w:t>
      </w:r>
      <w:r>
        <w:rPr>
          <w:rFonts w:ascii="Arial" w:cs="Arial" w:eastAsia="Arial" w:hAnsi="Arial"/>
          <w:sz w:val="20"/>
          <w:szCs w:val="20"/>
          <w:b w:val="1"/>
          <w:bCs w:val="1"/>
          <w:color w:val="231F20"/>
        </w:rPr>
        <w:t>. For the portion of the Company</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s 2024 fiscal year that you serve as CMO, you will not be eligible to participate in the Company</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s Executive Incentive Compensation Plan. For the Company</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s 2025 fiscal year, you will have the opportunity to earn a target annual cash bonus equal to forty-five percent (45%) of your annual base salary earned during the fiscal year, based on achieving performance objectives established by the Board or Committee, as applicable, in its sole discretion and payable upon achievement of those objectives as determined by the Committee. Unless determined otherwise by the Board or Committee, as applicable, any such bonus will be subject to your continued employment through and until the date of payment, and any such bonus amounts paid will be subject to any applicable withholdings. Your annual bonus opportunity and the applicable terms and conditions may be adjusted from time to time by our Board or the Committee, as applicable, in its sole discretion.</w:t>
      </w:r>
    </w:p>
    <w:p>
      <w:pPr>
        <w:spacing w:after="0" w:line="246" w:lineRule="exact"/>
        <w:rPr>
          <w:rFonts w:ascii="Arial" w:cs="Arial" w:eastAsia="Arial" w:hAnsi="Arial"/>
          <w:sz w:val="20"/>
          <w:szCs w:val="20"/>
          <w:b w:val="1"/>
          <w:bCs w:val="1"/>
          <w:color w:val="231F20"/>
        </w:rPr>
      </w:pPr>
    </w:p>
    <w:p>
      <w:pPr>
        <w:ind w:right="140" w:firstLine="706"/>
        <w:spacing w:after="0" w:line="266" w:lineRule="exact"/>
        <w:tabs>
          <w:tab w:leader="none" w:pos="1397" w:val="left"/>
        </w:tabs>
        <w:numPr>
          <w:ilvl w:val="0"/>
          <w:numId w:val="30"/>
        </w:numPr>
        <w:rPr>
          <w:rFonts w:ascii="Arial" w:cs="Arial" w:eastAsia="Arial" w:hAnsi="Arial"/>
          <w:sz w:val="20"/>
          <w:szCs w:val="20"/>
          <w:b w:val="1"/>
          <w:bCs w:val="1"/>
          <w:color w:val="231F20"/>
        </w:rPr>
      </w:pPr>
      <w:r>
        <w:rPr>
          <w:rFonts w:ascii="Arial" w:cs="Arial" w:eastAsia="Arial" w:hAnsi="Arial"/>
          <w:sz w:val="20"/>
          <w:szCs w:val="20"/>
          <w:b w:val="1"/>
          <w:bCs w:val="1"/>
          <w:u w:val="single" w:color="auto"/>
          <w:color w:val="231F20"/>
        </w:rPr>
        <w:t>Equity Awards</w:t>
      </w:r>
      <w:r>
        <w:rPr>
          <w:rFonts w:ascii="Arial" w:cs="Arial" w:eastAsia="Arial" w:hAnsi="Arial"/>
          <w:sz w:val="20"/>
          <w:szCs w:val="20"/>
          <w:b w:val="1"/>
          <w:bCs w:val="1"/>
          <w:color w:val="231F20"/>
        </w:rPr>
        <w:t xml:space="preserve">. It will be recommended that, subject to the approval of the Board or the Committee, as applicable, in its sole discretion, the Company grant you an award of stock options (the </w:t>
      </w:r>
      <w:r>
        <w:rPr>
          <w:rFonts w:ascii="PMingLiU" w:cs="PMingLiU" w:eastAsia="PMingLiU" w:hAnsi="PMingLiU"/>
          <w:sz w:val="20"/>
          <w:szCs w:val="20"/>
          <w:b w:val="1"/>
          <w:bCs w:val="1"/>
          <w:color w:val="231F20"/>
        </w:rPr>
        <w:t></w:t>
      </w:r>
      <w:r>
        <w:rPr>
          <w:rFonts w:ascii="Arial" w:cs="Arial" w:eastAsia="Arial" w:hAnsi="Arial"/>
          <w:sz w:val="20"/>
          <w:szCs w:val="20"/>
          <w:b w:val="1"/>
          <w:bCs w:val="1"/>
          <w:u w:val="single" w:color="auto"/>
          <w:color w:val="231F20"/>
        </w:rPr>
        <w:t>Option</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 to purchase 600,000 shares of the Company</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s common stock (</w:t>
      </w:r>
      <w:r>
        <w:rPr>
          <w:rFonts w:ascii="PMingLiU" w:cs="PMingLiU" w:eastAsia="PMingLiU" w:hAnsi="PMingLiU"/>
          <w:sz w:val="20"/>
          <w:szCs w:val="20"/>
          <w:b w:val="1"/>
          <w:bCs w:val="1"/>
          <w:color w:val="231F20"/>
        </w:rPr>
        <w:t></w:t>
      </w:r>
      <w:r>
        <w:rPr>
          <w:rFonts w:ascii="Arial" w:cs="Arial" w:eastAsia="Arial" w:hAnsi="Arial"/>
          <w:sz w:val="20"/>
          <w:szCs w:val="20"/>
          <w:b w:val="1"/>
          <w:bCs w:val="1"/>
          <w:u w:val="single" w:color="auto"/>
          <w:color w:val="231F20"/>
        </w:rPr>
        <w:t>Shares</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 under the Company</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s 2020 Equity Incentive Plan (or any successor plan, as applicable) and applicable option agreement thereunder, with an exercise price per Share equal to the fair market</w:t>
      </w:r>
    </w:p>
    <w:p>
      <w:pPr>
        <w:sectPr>
          <w:pgSz w:w="12240" w:h="15840" w:orient="portrait"/>
          <w:cols w:equalWidth="0" w:num="1">
            <w:col w:w="9400"/>
          </w:cols>
          <w:pgMar w:left="1420" w:top="1293" w:right="1420" w:bottom="1144" w:gutter="0" w:footer="0" w:header="0"/>
        </w:sectPr>
      </w:pPr>
    </w:p>
    <w:bookmarkStart w:id="147" w:name="page148"/>
    <w:bookmarkEnd w:id="147"/>
    <w:p>
      <w:pPr>
        <w:spacing w:after="0" w:line="205" w:lineRule="exact"/>
        <w:rPr>
          <w:sz w:val="20"/>
          <w:szCs w:val="20"/>
          <w:color w:val="auto"/>
        </w:rPr>
      </w:pPr>
    </w:p>
    <w:p>
      <w:pPr>
        <w:ind w:right="140"/>
        <w:spacing w:after="0" w:line="266" w:lineRule="exact"/>
        <w:rPr>
          <w:sz w:val="20"/>
          <w:szCs w:val="20"/>
          <w:color w:val="auto"/>
        </w:rPr>
      </w:pPr>
      <w:r>
        <w:rPr>
          <w:rFonts w:ascii="Arial" w:cs="Arial" w:eastAsia="Arial" w:hAnsi="Arial"/>
          <w:sz w:val="19"/>
          <w:szCs w:val="19"/>
          <w:b w:val="1"/>
          <w:bCs w:val="1"/>
          <w:color w:val="231F20"/>
        </w:rPr>
        <w:t>value per Share on the Option</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date of grant, as determined by the Board or Committee (as applicable). The Company will recommend that the Option be scheduled to vest and become exercisable as to one-fourth (1/4th) of the Shares subject to the Option on the one-year anniversary of the vesting commencement date (which shall be the same date as the date the Board or Committee approves the grant), and as to one forty-eighth (1/48th) of the Shares subject to the Option on a monthly basis thereafter on the same day of the month as the vesting commencement date (or the last day of the month, if a particular month does not have a corresponding day), subject to your continued service with the Company or its subsidiaries through the applicable vesting date.</w:t>
      </w:r>
    </w:p>
    <w:p>
      <w:pPr>
        <w:spacing w:after="0" w:line="247" w:lineRule="exact"/>
        <w:rPr>
          <w:sz w:val="20"/>
          <w:szCs w:val="20"/>
          <w:color w:val="auto"/>
        </w:rPr>
      </w:pPr>
    </w:p>
    <w:p>
      <w:pPr>
        <w:jc w:val="both"/>
        <w:spacing w:after="0" w:line="241" w:lineRule="auto"/>
        <w:rPr>
          <w:sz w:val="20"/>
          <w:szCs w:val="20"/>
          <w:color w:val="auto"/>
        </w:rPr>
      </w:pPr>
      <w:r>
        <w:rPr>
          <w:rFonts w:ascii="Arial" w:cs="Arial" w:eastAsia="Arial" w:hAnsi="Arial"/>
          <w:sz w:val="23"/>
          <w:szCs w:val="23"/>
          <w:b w:val="1"/>
          <w:bCs w:val="1"/>
          <w:color w:val="231F20"/>
        </w:rPr>
        <w:t>For purposes of clarity, outstanding Company equity awards previously granted to you as a Board member will continue to be subject to, and vest according to, the terms of the applicable Company equity plan under which such equity awards were granted and the applicable award agreements thereunder.</w:t>
      </w:r>
    </w:p>
    <w:p>
      <w:pPr>
        <w:spacing w:after="0" w:line="241" w:lineRule="exact"/>
        <w:rPr>
          <w:sz w:val="20"/>
          <w:szCs w:val="20"/>
          <w:color w:val="auto"/>
        </w:rPr>
      </w:pPr>
    </w:p>
    <w:p>
      <w:pPr>
        <w:ind w:right="100" w:firstLine="706"/>
        <w:spacing w:after="0" w:line="267" w:lineRule="exact"/>
        <w:tabs>
          <w:tab w:leader="none" w:pos="1397" w:val="left"/>
        </w:tabs>
        <w:numPr>
          <w:ilvl w:val="0"/>
          <w:numId w:val="31"/>
        </w:numPr>
        <w:rPr>
          <w:rFonts w:ascii="Arial" w:cs="Arial" w:eastAsia="Arial" w:hAnsi="Arial"/>
          <w:sz w:val="20"/>
          <w:szCs w:val="20"/>
          <w:b w:val="1"/>
          <w:bCs w:val="1"/>
          <w:color w:val="231F20"/>
        </w:rPr>
      </w:pPr>
      <w:r>
        <w:rPr>
          <w:rFonts w:ascii="Arial" w:cs="Arial" w:eastAsia="Arial" w:hAnsi="Arial"/>
          <w:sz w:val="20"/>
          <w:szCs w:val="20"/>
          <w:b w:val="1"/>
          <w:bCs w:val="1"/>
          <w:u w:val="single" w:color="auto"/>
          <w:color w:val="231F20"/>
        </w:rPr>
        <w:t>Employee Benefits</w:t>
      </w:r>
      <w:r>
        <w:rPr>
          <w:rFonts w:ascii="Arial" w:cs="Arial" w:eastAsia="Arial" w:hAnsi="Arial"/>
          <w:sz w:val="20"/>
          <w:szCs w:val="20"/>
          <w:b w:val="1"/>
          <w:bCs w:val="1"/>
          <w:color w:val="231F20"/>
        </w:rPr>
        <w:t>. You will be eligible to participate in the benefit plans and programs established by the Company for its employees from time to time, subject to their applicable terms and conditions, including without limitation any eligibility requirements. The Company will reimburse you for reasonable travel or other expenses incurred by you in the furtherance of or in connection with the performance of your duties under this Agreement, pursuant to the terms of the Company</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s expense reimbursement policy as may be in effect from time to time. The Company reserves the right to modify, amend, suspend or terminate the benefit plans, programs, and arrangements it offers to its employees at any time.</w:t>
      </w:r>
    </w:p>
    <w:p>
      <w:pPr>
        <w:spacing w:after="0" w:line="246" w:lineRule="exact"/>
        <w:rPr>
          <w:rFonts w:ascii="Arial" w:cs="Arial" w:eastAsia="Arial" w:hAnsi="Arial"/>
          <w:sz w:val="20"/>
          <w:szCs w:val="20"/>
          <w:b w:val="1"/>
          <w:bCs w:val="1"/>
          <w:color w:val="231F20"/>
        </w:rPr>
      </w:pPr>
    </w:p>
    <w:p>
      <w:pPr>
        <w:ind w:right="80" w:firstLine="706"/>
        <w:spacing w:after="0" w:line="267" w:lineRule="exact"/>
        <w:tabs>
          <w:tab w:leader="none" w:pos="1397" w:val="left"/>
        </w:tabs>
        <w:numPr>
          <w:ilvl w:val="0"/>
          <w:numId w:val="31"/>
        </w:numPr>
        <w:rPr>
          <w:rFonts w:ascii="Arial" w:cs="Arial" w:eastAsia="Arial" w:hAnsi="Arial"/>
          <w:sz w:val="19"/>
          <w:szCs w:val="19"/>
          <w:b w:val="1"/>
          <w:bCs w:val="1"/>
          <w:color w:val="231F20"/>
        </w:rPr>
      </w:pPr>
      <w:r>
        <w:rPr>
          <w:rFonts w:ascii="Arial" w:cs="Arial" w:eastAsia="Arial" w:hAnsi="Arial"/>
          <w:sz w:val="19"/>
          <w:szCs w:val="19"/>
          <w:b w:val="1"/>
          <w:bCs w:val="1"/>
          <w:u w:val="single" w:color="auto"/>
          <w:color w:val="231F20"/>
        </w:rPr>
        <w:t>Severance</w:t>
      </w:r>
      <w:r>
        <w:rPr>
          <w:rFonts w:ascii="Arial" w:cs="Arial" w:eastAsia="Arial" w:hAnsi="Arial"/>
          <w:sz w:val="19"/>
          <w:szCs w:val="19"/>
          <w:b w:val="1"/>
          <w:bCs w:val="1"/>
          <w:color w:val="231F20"/>
        </w:rPr>
        <w:t xml:space="preserve">. You will be eligible to enter into a Change in Control and Severance Agreement (the </w:t>
      </w:r>
      <w:r>
        <w:rPr>
          <w:rFonts w:ascii="PMingLiU" w:cs="PMingLiU" w:eastAsia="PMingLiU" w:hAnsi="PMingLiU"/>
          <w:sz w:val="19"/>
          <w:szCs w:val="19"/>
          <w:b w:val="1"/>
          <w:bCs w:val="1"/>
          <w:color w:val="231F20"/>
        </w:rPr>
        <w:t></w:t>
      </w:r>
      <w:r>
        <w:rPr>
          <w:rFonts w:ascii="Arial" w:cs="Arial" w:eastAsia="Arial" w:hAnsi="Arial"/>
          <w:sz w:val="19"/>
          <w:szCs w:val="19"/>
          <w:b w:val="1"/>
          <w:bCs w:val="1"/>
          <w:u w:val="single" w:color="auto"/>
          <w:color w:val="231F20"/>
        </w:rPr>
        <w:t>Severance Agreement</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applicable to you based on your position within the Company. The Severance Agreement will specify the severance payments and benefits you may become entitled to receive upon certain qualifying terminations of your employment with the Company including in connection with a change in control of the Company. For purposes of clarity, other than any vesting acceleration benefits set forth in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2020 Equity Incentive Plan and the award agreements thereunder governing the terms of your stock options to purchase shares of Company common stock granted thereunder (to the extent not modified or superseded by your Severance Agreement), any severance payments, benefits and arrangements that may have applied to you before the effectiveness of the Severance Agreement no longer will apply, and you will have no rights or entitlements under any such plans, programs, agreements or arrangements.</w:t>
      </w:r>
    </w:p>
    <w:p>
      <w:pPr>
        <w:spacing w:after="0" w:line="245" w:lineRule="exact"/>
        <w:rPr>
          <w:rFonts w:ascii="Arial" w:cs="Arial" w:eastAsia="Arial" w:hAnsi="Arial"/>
          <w:sz w:val="19"/>
          <w:szCs w:val="19"/>
          <w:b w:val="1"/>
          <w:bCs w:val="1"/>
          <w:color w:val="231F20"/>
        </w:rPr>
      </w:pPr>
    </w:p>
    <w:p>
      <w:pPr>
        <w:ind w:right="20" w:firstLine="706"/>
        <w:spacing w:after="0" w:line="266" w:lineRule="exact"/>
        <w:tabs>
          <w:tab w:leader="none" w:pos="1397" w:val="left"/>
        </w:tabs>
        <w:numPr>
          <w:ilvl w:val="0"/>
          <w:numId w:val="31"/>
        </w:numPr>
        <w:rPr>
          <w:rFonts w:ascii="Arial" w:cs="Arial" w:eastAsia="Arial" w:hAnsi="Arial"/>
          <w:sz w:val="22"/>
          <w:szCs w:val="22"/>
          <w:b w:val="1"/>
          <w:bCs w:val="1"/>
          <w:color w:val="231F20"/>
        </w:rPr>
      </w:pPr>
      <w:r>
        <w:rPr>
          <w:rFonts w:ascii="Arial" w:cs="Arial" w:eastAsia="Arial" w:hAnsi="Arial"/>
          <w:sz w:val="22"/>
          <w:szCs w:val="22"/>
          <w:b w:val="1"/>
          <w:bCs w:val="1"/>
          <w:u w:val="single" w:color="auto"/>
          <w:color w:val="231F20"/>
        </w:rPr>
        <w:t>Confidentiality Agreement</w:t>
      </w:r>
      <w:r>
        <w:rPr>
          <w:rFonts w:ascii="Arial" w:cs="Arial" w:eastAsia="Arial" w:hAnsi="Arial"/>
          <w:sz w:val="22"/>
          <w:szCs w:val="22"/>
          <w:b w:val="1"/>
          <w:bCs w:val="1"/>
          <w:color w:val="231F20"/>
        </w:rPr>
        <w:t>. As an employee of the Company, you will have access to certain confidential information of the Company and you may, during the course of your employment, develop certain information or inventions that will be the property of the Company. To protect the interests of the Company, you agree to sign and comply with the terms of the Company</w:t>
      </w:r>
      <w:r>
        <w:rPr>
          <w:rFonts w:ascii="PMingLiU" w:cs="PMingLiU" w:eastAsia="PMingLiU" w:hAnsi="PMingLiU"/>
          <w:sz w:val="22"/>
          <w:szCs w:val="22"/>
          <w:b w:val="1"/>
          <w:bCs w:val="1"/>
          <w:color w:val="231F20"/>
        </w:rPr>
        <w:t></w:t>
      </w:r>
      <w:r>
        <w:rPr>
          <w:rFonts w:ascii="Arial" w:cs="Arial" w:eastAsia="Arial" w:hAnsi="Arial"/>
          <w:sz w:val="22"/>
          <w:szCs w:val="22"/>
          <w:b w:val="1"/>
          <w:bCs w:val="1"/>
          <w:color w:val="231F20"/>
        </w:rPr>
        <w:t xml:space="preserve">s Employee Confidentiality, Inventions and Non-Interference Agreement (the </w:t>
      </w:r>
      <w:r>
        <w:rPr>
          <w:rFonts w:ascii="PMingLiU" w:cs="PMingLiU" w:eastAsia="PMingLiU" w:hAnsi="PMingLiU"/>
          <w:sz w:val="22"/>
          <w:szCs w:val="22"/>
          <w:b w:val="1"/>
          <w:bCs w:val="1"/>
          <w:color w:val="231F20"/>
        </w:rPr>
        <w:t></w:t>
      </w:r>
      <w:r>
        <w:rPr>
          <w:rFonts w:ascii="Arial" w:cs="Arial" w:eastAsia="Arial" w:hAnsi="Arial"/>
          <w:sz w:val="22"/>
          <w:szCs w:val="22"/>
          <w:b w:val="1"/>
          <w:bCs w:val="1"/>
          <w:u w:val="single" w:color="auto"/>
          <w:color w:val="231F20"/>
        </w:rPr>
        <w:t>Confidentiality</w:t>
      </w:r>
      <w:r>
        <w:rPr>
          <w:rFonts w:ascii="Arial" w:cs="Arial" w:eastAsia="Arial" w:hAnsi="Arial"/>
          <w:sz w:val="22"/>
          <w:szCs w:val="22"/>
          <w:b w:val="1"/>
          <w:bCs w:val="1"/>
          <w:color w:val="231F20"/>
        </w:rPr>
        <w:t xml:space="preserve"> </w:t>
      </w:r>
      <w:r>
        <w:rPr>
          <w:rFonts w:ascii="Arial" w:cs="Arial" w:eastAsia="Arial" w:hAnsi="Arial"/>
          <w:sz w:val="22"/>
          <w:szCs w:val="22"/>
          <w:b w:val="1"/>
          <w:bCs w:val="1"/>
          <w:u w:val="single" w:color="auto"/>
          <w:color w:val="231F20"/>
        </w:rPr>
        <w:t>Agreement</w:t>
      </w:r>
      <w:r>
        <w:rPr>
          <w:rFonts w:ascii="PMingLiU" w:cs="PMingLiU" w:eastAsia="PMingLiU" w:hAnsi="PMingLiU"/>
          <w:sz w:val="22"/>
          <w:szCs w:val="22"/>
          <w:b w:val="1"/>
          <w:bCs w:val="1"/>
          <w:color w:val="231F20"/>
        </w:rPr>
        <w:t></w:t>
      </w:r>
      <w:r>
        <w:rPr>
          <w:rFonts w:ascii="Arial" w:cs="Arial" w:eastAsia="Arial" w:hAnsi="Arial"/>
          <w:sz w:val="22"/>
          <w:szCs w:val="22"/>
          <w:b w:val="1"/>
          <w:bCs w:val="1"/>
          <w:color w:val="231F20"/>
        </w:rPr>
        <w:t>). Please note that we must receive your signed Confidentiality Agreement before your first day of employment.</w:t>
      </w:r>
    </w:p>
    <w:p>
      <w:pPr>
        <w:spacing w:after="0" w:line="249" w:lineRule="exact"/>
        <w:rPr>
          <w:rFonts w:ascii="Arial" w:cs="Arial" w:eastAsia="Arial" w:hAnsi="Arial"/>
          <w:sz w:val="22"/>
          <w:szCs w:val="22"/>
          <w:b w:val="1"/>
          <w:bCs w:val="1"/>
          <w:color w:val="231F20"/>
        </w:rPr>
      </w:pPr>
    </w:p>
    <w:p>
      <w:pPr>
        <w:ind w:right="180" w:firstLine="706"/>
        <w:spacing w:after="0" w:line="307" w:lineRule="auto"/>
        <w:tabs>
          <w:tab w:leader="none" w:pos="1397" w:val="left"/>
        </w:tabs>
        <w:numPr>
          <w:ilvl w:val="0"/>
          <w:numId w:val="31"/>
        </w:numPr>
        <w:rPr>
          <w:rFonts w:ascii="Arial" w:cs="Arial" w:eastAsia="Arial" w:hAnsi="Arial"/>
          <w:sz w:val="19"/>
          <w:szCs w:val="19"/>
          <w:b w:val="1"/>
          <w:bCs w:val="1"/>
          <w:color w:val="231F20"/>
        </w:rPr>
      </w:pPr>
      <w:r>
        <w:rPr>
          <w:rFonts w:ascii="Arial" w:cs="Arial" w:eastAsia="Arial" w:hAnsi="Arial"/>
          <w:sz w:val="19"/>
          <w:szCs w:val="19"/>
          <w:b w:val="1"/>
          <w:bCs w:val="1"/>
          <w:u w:val="single" w:color="auto"/>
          <w:color w:val="231F20"/>
        </w:rPr>
        <w:t>At-Will Employment</w:t>
      </w:r>
      <w:r>
        <w:rPr>
          <w:rFonts w:ascii="Arial" w:cs="Arial" w:eastAsia="Arial" w:hAnsi="Arial"/>
          <w:sz w:val="19"/>
          <w:szCs w:val="19"/>
          <w:b w:val="1"/>
          <w:bCs w:val="1"/>
          <w:color w:val="231F20"/>
        </w:rPr>
        <w:t>. This Agreement does not imply any right to your continued employment for any period with the Company or any parent, subsidiary, or affiliate of the Company. Your employment with the Company is and will continue to be at will, as defined under applicable law. This Agreement and any provisions under it will not interfere with or limit in any</w:t>
      </w:r>
    </w:p>
    <w:p>
      <w:pPr>
        <w:sectPr>
          <w:pgSz w:w="12240" w:h="15840" w:orient="portrait"/>
          <w:cols w:equalWidth="0" w:num="1">
            <w:col w:w="9400"/>
          </w:cols>
          <w:pgMar w:left="1420" w:top="1440" w:right="1420" w:bottom="1440" w:gutter="0" w:footer="0" w:header="0"/>
        </w:sectPr>
      </w:pPr>
    </w:p>
    <w:bookmarkStart w:id="148" w:name="page149"/>
    <w:bookmarkEnd w:id="148"/>
    <w:p>
      <w:pPr>
        <w:spacing w:after="0" w:line="205" w:lineRule="exact"/>
        <w:rPr>
          <w:sz w:val="20"/>
          <w:szCs w:val="20"/>
          <w:color w:val="auto"/>
        </w:rPr>
      </w:pPr>
    </w:p>
    <w:p>
      <w:pPr>
        <w:ind w:right="240"/>
        <w:spacing w:after="0" w:line="261" w:lineRule="exact"/>
        <w:rPr>
          <w:sz w:val="20"/>
          <w:szCs w:val="20"/>
          <w:color w:val="auto"/>
        </w:rPr>
      </w:pPr>
      <w:r>
        <w:rPr>
          <w:rFonts w:ascii="Arial" w:cs="Arial" w:eastAsia="Arial" w:hAnsi="Arial"/>
          <w:sz w:val="22"/>
          <w:szCs w:val="22"/>
          <w:b w:val="1"/>
          <w:bCs w:val="1"/>
          <w:color w:val="231F20"/>
        </w:rPr>
        <w:t>way your or the Company</w:t>
      </w:r>
      <w:r>
        <w:rPr>
          <w:rFonts w:ascii="PMingLiU" w:cs="PMingLiU" w:eastAsia="PMingLiU" w:hAnsi="PMingLiU"/>
          <w:sz w:val="22"/>
          <w:szCs w:val="22"/>
          <w:b w:val="1"/>
          <w:bCs w:val="1"/>
          <w:color w:val="231F20"/>
        </w:rPr>
        <w:t></w:t>
      </w:r>
      <w:r>
        <w:rPr>
          <w:rFonts w:ascii="Arial" w:cs="Arial" w:eastAsia="Arial" w:hAnsi="Arial"/>
          <w:sz w:val="22"/>
          <w:szCs w:val="22"/>
          <w:b w:val="1"/>
          <w:bCs w:val="1"/>
          <w:color w:val="231F20"/>
        </w:rPr>
        <w:t>s right to terminate your employment relationship with the Company at any time, with or without cause, to the extent permitted by applicable laws.</w:t>
      </w:r>
    </w:p>
    <w:p>
      <w:pPr>
        <w:spacing w:after="0" w:line="246" w:lineRule="exact"/>
        <w:rPr>
          <w:sz w:val="20"/>
          <w:szCs w:val="20"/>
          <w:color w:val="auto"/>
        </w:rPr>
      </w:pPr>
    </w:p>
    <w:p>
      <w:pPr>
        <w:ind w:right="20" w:firstLine="706"/>
        <w:spacing w:after="0" w:line="267" w:lineRule="exact"/>
        <w:tabs>
          <w:tab w:leader="none" w:pos="1397" w:val="left"/>
        </w:tabs>
        <w:numPr>
          <w:ilvl w:val="0"/>
          <w:numId w:val="32"/>
        </w:numPr>
        <w:rPr>
          <w:rFonts w:ascii="Arial" w:cs="Arial" w:eastAsia="Arial" w:hAnsi="Arial"/>
          <w:sz w:val="20"/>
          <w:szCs w:val="20"/>
          <w:b w:val="1"/>
          <w:bCs w:val="1"/>
          <w:color w:val="231F20"/>
        </w:rPr>
      </w:pPr>
      <w:r>
        <w:rPr>
          <w:rFonts w:ascii="Arial" w:cs="Arial" w:eastAsia="Arial" w:hAnsi="Arial"/>
          <w:sz w:val="20"/>
          <w:szCs w:val="20"/>
          <w:b w:val="1"/>
          <w:bCs w:val="1"/>
          <w:u w:val="single" w:color="auto"/>
          <w:color w:val="231F20"/>
        </w:rPr>
        <w:t>Protected Activity Not Prohibited</w:t>
      </w:r>
      <w:r>
        <w:rPr>
          <w:rFonts w:ascii="Arial" w:cs="Arial" w:eastAsia="Arial" w:hAnsi="Arial"/>
          <w:sz w:val="20"/>
          <w:szCs w:val="20"/>
          <w:b w:val="1"/>
          <w:bCs w:val="1"/>
          <w:color w:val="231F20"/>
        </w:rPr>
        <w:t>. The Company and you acknowledge and agree that nothing in this Agreement limits or prohibits you from filing and/or pursuing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PMingLiU" w:cs="PMingLiU" w:eastAsia="PMingLiU" w:hAnsi="PMingLiU"/>
          <w:sz w:val="20"/>
          <w:szCs w:val="20"/>
          <w:b w:val="1"/>
          <w:bCs w:val="1"/>
          <w:color w:val="231F20"/>
        </w:rPr>
        <w:t></w:t>
      </w:r>
      <w:r>
        <w:rPr>
          <w:rFonts w:ascii="Arial" w:cs="Arial" w:eastAsia="Arial" w:hAnsi="Arial"/>
          <w:sz w:val="20"/>
          <w:szCs w:val="20"/>
          <w:b w:val="1"/>
          <w:bCs w:val="1"/>
          <w:u w:val="single" w:color="auto"/>
          <w:color w:val="231F20"/>
        </w:rPr>
        <w:t>Government Agencies</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 including disclosing documents or other information as permitted by law, without giving notice to, or receiving authorization from, the Company. Nothing in this Agreement (i) limits employees</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 xml:space="preserve"> rights to discuss or disclose wages, benefits, or terms and conditions of employment as protected by applicable law, including any rights under Section 7 of the National Labor Relations Act, or (ii) otherwise impairs employees from assisting other Company employees and/or former employees in the exercise of their rights under Section 7 of the National Labor Relations Act. In addition, nothing in this Agreement prevents you from discussing or disclosing information about unlawful acts in the workplace, such as harassment or discrimination or any other conduct that you have reason to believe is unlawful. You further understand that you are not permitted to disclose the Company</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 xml:space="preserve">s attorney-client privileged communications or attorney work product. In addition, you acknowledge that the Company has provided you with notice in compliance with the Defend Trade Secrets Act of 2016 regarding immunity from liability for limited disclosures of trade secrets. The full text of the notice is attached in </w:t>
      </w:r>
      <w:r>
        <w:rPr>
          <w:rFonts w:ascii="Arial" w:cs="Arial" w:eastAsia="Arial" w:hAnsi="Arial"/>
          <w:sz w:val="20"/>
          <w:szCs w:val="20"/>
          <w:b w:val="1"/>
          <w:bCs w:val="1"/>
          <w:u w:val="single" w:color="auto"/>
          <w:color w:val="231F20"/>
        </w:rPr>
        <w:t>Appendix A</w:t>
      </w:r>
      <w:r>
        <w:rPr>
          <w:rFonts w:ascii="Arial" w:cs="Arial" w:eastAsia="Arial" w:hAnsi="Arial"/>
          <w:sz w:val="20"/>
          <w:szCs w:val="20"/>
          <w:b w:val="1"/>
          <w:bCs w:val="1"/>
          <w:color w:val="231F20"/>
        </w:rPr>
        <w:t>.</w:t>
      </w:r>
    </w:p>
    <w:p>
      <w:pPr>
        <w:spacing w:after="0" w:line="254" w:lineRule="exact"/>
        <w:rPr>
          <w:rFonts w:ascii="Arial" w:cs="Arial" w:eastAsia="Arial" w:hAnsi="Arial"/>
          <w:sz w:val="20"/>
          <w:szCs w:val="20"/>
          <w:b w:val="1"/>
          <w:bCs w:val="1"/>
          <w:color w:val="231F20"/>
        </w:rPr>
      </w:pPr>
    </w:p>
    <w:p>
      <w:pPr>
        <w:ind w:firstLine="706"/>
        <w:spacing w:after="0" w:line="267" w:lineRule="exact"/>
        <w:tabs>
          <w:tab w:leader="none" w:pos="1397" w:val="left"/>
        </w:tabs>
        <w:numPr>
          <w:ilvl w:val="0"/>
          <w:numId w:val="32"/>
        </w:numPr>
        <w:rPr>
          <w:rFonts w:ascii="Arial" w:cs="Arial" w:eastAsia="Arial" w:hAnsi="Arial"/>
          <w:sz w:val="21"/>
          <w:szCs w:val="21"/>
          <w:b w:val="1"/>
          <w:bCs w:val="1"/>
          <w:color w:val="231F20"/>
        </w:rPr>
      </w:pPr>
      <w:r>
        <w:rPr>
          <w:rFonts w:ascii="Arial" w:cs="Arial" w:eastAsia="Arial" w:hAnsi="Arial"/>
          <w:sz w:val="21"/>
          <w:szCs w:val="21"/>
          <w:b w:val="1"/>
          <w:bCs w:val="1"/>
          <w:u w:val="single" w:color="auto"/>
          <w:color w:val="231F20"/>
        </w:rPr>
        <w:t>Additional Employment Provisions</w:t>
      </w:r>
      <w:r>
        <w:rPr>
          <w:rFonts w:ascii="Arial" w:cs="Arial" w:eastAsia="Arial" w:hAnsi="Arial"/>
          <w:sz w:val="21"/>
          <w:szCs w:val="21"/>
          <w:b w:val="1"/>
          <w:bCs w:val="1"/>
          <w:color w:val="231F20"/>
        </w:rPr>
        <w:t>. For purposes of federal immigration law, you will be required to provide to the Company documentary evidence of your identity and eligibility for employment in the United States. Such documentation must be provided to us within three (3) business days of your date of hire, or our employment relationship with you may be terminated. We also ask that, if you have not already done so, you disclose to the Company any and all agreements relating to your prior employment that may affect your eligibility to be employed by the Company or limit the manner in which you may be employed. It is the Company</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s understanding that any such agreements will not prevent you from performing the duties of your position and you represent that such is the case.</w:t>
      </w:r>
    </w:p>
    <w:p>
      <w:pPr>
        <w:spacing w:after="0" w:line="359" w:lineRule="exact"/>
        <w:rPr>
          <w:sz w:val="20"/>
          <w:szCs w:val="20"/>
          <w:color w:val="auto"/>
        </w:rPr>
      </w:pPr>
    </w:p>
    <w:p>
      <w:pPr>
        <w:jc w:val="both"/>
        <w:ind w:right="160"/>
        <w:spacing w:after="0" w:line="267" w:lineRule="exact"/>
        <w:rPr>
          <w:sz w:val="20"/>
          <w:szCs w:val="20"/>
          <w:color w:val="auto"/>
        </w:rPr>
      </w:pPr>
      <w:r>
        <w:rPr>
          <w:rFonts w:ascii="Arial" w:cs="Arial" w:eastAsia="Arial" w:hAnsi="Arial"/>
          <w:sz w:val="19"/>
          <w:szCs w:val="19"/>
          <w:b w:val="1"/>
          <w:bCs w:val="1"/>
          <w:color w:val="231F20"/>
        </w:rPr>
        <w:t xml:space="preserve">You will devote your full business time and best efforts to the faithful and loyal performance of your duties to the Company (except for permitted vacation periods and reasonable periods of illness or other incapacity). While you render services to the Company, you will not engage in any other employment, consulting or other business activity (whether full-time or part-time) that would create a conflict of interest with the Company, and any engagement or participation in any outside business activity or business affairs by you will be subject to full disclosure and prior written approval from the Board or the Committee, as applicable. Subject to Board approval, you will be permitted to engage in the outside activities set forth in </w:t>
      </w:r>
      <w:r>
        <w:rPr>
          <w:rFonts w:ascii="Arial" w:cs="Arial" w:eastAsia="Arial" w:hAnsi="Arial"/>
          <w:sz w:val="19"/>
          <w:szCs w:val="19"/>
          <w:b w:val="1"/>
          <w:bCs w:val="1"/>
          <w:u w:val="single" w:color="auto"/>
          <w:color w:val="231F20"/>
        </w:rPr>
        <w:t>Appendix B</w:t>
      </w:r>
      <w:r>
        <w:rPr>
          <w:rFonts w:ascii="Arial" w:cs="Arial" w:eastAsia="Arial" w:hAnsi="Arial"/>
          <w:sz w:val="19"/>
          <w:szCs w:val="19"/>
          <w:b w:val="1"/>
          <w:bCs w:val="1"/>
          <w:color w:val="231F20"/>
        </w:rPr>
        <w:t>, as long as such activities do not interfere with the performance of your duties under this Agreement, and provided that such matters do not involve matters that are competitive with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actual or anticipated business. You may engage in charitable and community activities as well as own, as a passive investment, less than two percent (2%) of the capital stock of any corporation listed on the national securities exchange or</w:t>
      </w:r>
    </w:p>
    <w:p>
      <w:pPr>
        <w:sectPr>
          <w:pgSz w:w="12240" w:h="15840" w:orient="portrait"/>
          <w:cols w:equalWidth="0" w:num="1">
            <w:col w:w="9400"/>
          </w:cols>
          <w:pgMar w:left="1420" w:top="1440" w:right="1420" w:bottom="1440" w:gutter="0" w:footer="0" w:header="0"/>
        </w:sectPr>
      </w:pPr>
    </w:p>
    <w:bookmarkStart w:id="149" w:name="page150"/>
    <w:bookmarkEnd w:id="149"/>
    <w:p>
      <w:pPr>
        <w:spacing w:after="0" w:line="205" w:lineRule="exact"/>
        <w:rPr>
          <w:sz w:val="20"/>
          <w:szCs w:val="20"/>
          <w:color w:val="auto"/>
        </w:rPr>
      </w:pPr>
    </w:p>
    <w:p>
      <w:pPr>
        <w:jc w:val="both"/>
        <w:ind w:right="140"/>
        <w:spacing w:after="0" w:line="270" w:lineRule="auto"/>
        <w:rPr>
          <w:sz w:val="20"/>
          <w:szCs w:val="20"/>
          <w:color w:val="auto"/>
        </w:rPr>
      </w:pPr>
      <w:r>
        <w:rPr>
          <w:rFonts w:ascii="Arial" w:cs="Arial" w:eastAsia="Arial" w:hAnsi="Arial"/>
          <w:sz w:val="21"/>
          <w:szCs w:val="21"/>
          <w:b w:val="1"/>
          <w:bCs w:val="1"/>
          <w:color w:val="231F20"/>
        </w:rPr>
        <w:t>publicly traded in the over-the-counter market, provided that such activities do not interfere with the performance of your duties under this Agreement. By signing this Agreement, you confirm that you have no contractual commitments or other legal obligations that would prohibit you from continuing to perform your duties for the Company.</w:t>
      </w:r>
    </w:p>
    <w:p>
      <w:pPr>
        <w:spacing w:after="0" w:line="216" w:lineRule="exact"/>
        <w:rPr>
          <w:sz w:val="20"/>
          <w:szCs w:val="20"/>
          <w:color w:val="auto"/>
        </w:rPr>
      </w:pPr>
    </w:p>
    <w:p>
      <w:pPr>
        <w:jc w:val="both"/>
        <w:ind w:right="140"/>
        <w:spacing w:after="0" w:line="266" w:lineRule="exact"/>
        <w:rPr>
          <w:sz w:val="20"/>
          <w:szCs w:val="20"/>
          <w:color w:val="auto"/>
        </w:rPr>
      </w:pPr>
      <w:r>
        <w:rPr>
          <w:rFonts w:ascii="Arial" w:cs="Arial" w:eastAsia="Arial" w:hAnsi="Arial"/>
          <w:sz w:val="19"/>
          <w:szCs w:val="19"/>
          <w:b w:val="1"/>
          <w:bCs w:val="1"/>
          <w:color w:val="231F20"/>
        </w:rPr>
        <w:t>You agree not to bring any third-party confidential information to the Company, including that of any of your former employers, and that in performing your duties for the Company you will not in any way utilize any such information. As a Company employee, you will be expected to abide by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rules and standards. You agree that in the rendering of all services to the Company and in all aspects of employment with the Company, you will comply in all material respects with all lawful directives, policies, standards and regulations from time to time established by the Company. You will be required to sign an acknowledgment that you have read and that you understand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rules of conduct which are included in the Company Handbook.</w:t>
      </w:r>
    </w:p>
    <w:p>
      <w:pPr>
        <w:spacing w:after="0" w:line="284" w:lineRule="exact"/>
        <w:rPr>
          <w:sz w:val="20"/>
          <w:szCs w:val="20"/>
          <w:color w:val="auto"/>
        </w:rPr>
      </w:pPr>
    </w:p>
    <w:p>
      <w:pPr>
        <w:jc w:val="both"/>
        <w:ind w:right="120"/>
        <w:spacing w:after="0" w:line="267" w:lineRule="exact"/>
        <w:rPr>
          <w:sz w:val="20"/>
          <w:szCs w:val="20"/>
          <w:color w:val="auto"/>
        </w:rPr>
      </w:pPr>
      <w:r>
        <w:rPr>
          <w:rFonts w:ascii="Arial" w:cs="Arial" w:eastAsia="Arial" w:hAnsi="Arial"/>
          <w:sz w:val="19"/>
          <w:szCs w:val="19"/>
          <w:b w:val="1"/>
          <w:bCs w:val="1"/>
          <w:color w:val="231F20"/>
        </w:rPr>
        <w:t>To accept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s offer, please sign and date in the spaces indicated below and return this Agreement to me. A duplicate original is enclosed for your records. If you accept our offer, your first day of employment will be October 28, 2024, or such other date as you and the Company mutually agree in writing (the </w:t>
      </w:r>
      <w:r>
        <w:rPr>
          <w:rFonts w:ascii="PMingLiU" w:cs="PMingLiU" w:eastAsia="PMingLiU" w:hAnsi="PMingLiU"/>
          <w:sz w:val="19"/>
          <w:szCs w:val="19"/>
          <w:b w:val="1"/>
          <w:bCs w:val="1"/>
          <w:color w:val="231F20"/>
        </w:rPr>
        <w:t></w:t>
      </w:r>
      <w:r>
        <w:rPr>
          <w:rFonts w:ascii="Arial" w:cs="Arial" w:eastAsia="Arial" w:hAnsi="Arial"/>
          <w:sz w:val="19"/>
          <w:szCs w:val="19"/>
          <w:b w:val="1"/>
          <w:bCs w:val="1"/>
          <w:u w:val="single" w:color="auto"/>
          <w:color w:val="231F20"/>
        </w:rPr>
        <w:t>Start Date</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This Agreement, along with the Confidentiality Agreement and Severance Agreement, set forth the terms of your employment with the Company and supersede any prior representations or agreements including, but not limited to, any representations made during your recruitment, interviews or pre-employment negotiations, whether written or oral. This Agreement, including, but not limited to, its at-will employment provision, may not be modified or amended except by a written agreement signed by a duly authorized officer of the Company (excluding yourself). This Agreement will be governed by the laws of the State of California but without regard to the conflict of law provision. This offer of employment will terminate if it is not accepted, signed and returned by October 15, 2024.</w:t>
      </w:r>
    </w:p>
    <w:p>
      <w:pPr>
        <w:spacing w:after="0" w:line="276" w:lineRule="exact"/>
        <w:rPr>
          <w:sz w:val="20"/>
          <w:szCs w:val="20"/>
          <w:color w:val="auto"/>
        </w:rPr>
      </w:pPr>
    </w:p>
    <w:p>
      <w:pPr>
        <w:spacing w:after="0"/>
        <w:rPr>
          <w:sz w:val="20"/>
          <w:szCs w:val="20"/>
          <w:color w:val="auto"/>
        </w:rPr>
      </w:pPr>
      <w:r>
        <w:rPr>
          <w:rFonts w:ascii="Arial" w:cs="Arial" w:eastAsia="Arial" w:hAnsi="Arial"/>
          <w:sz w:val="23"/>
          <w:szCs w:val="23"/>
          <w:b w:val="1"/>
          <w:bCs w:val="1"/>
          <w:color w:val="231F20"/>
        </w:rPr>
        <w:t>We look forward to your favorable reply and to working with you at ALX Oncology.</w:t>
      </w: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23"/>
          <w:szCs w:val="23"/>
          <w:b w:val="1"/>
          <w:bCs w:val="1"/>
          <w:color w:val="231F20"/>
        </w:rPr>
        <w:t>[Signature page follows]</w:t>
      </w:r>
    </w:p>
    <w:p>
      <w:pPr>
        <w:sectPr>
          <w:pgSz w:w="12240" w:h="15840" w:orient="portrait"/>
          <w:cols w:equalWidth="0" w:num="1">
            <w:col w:w="9380"/>
          </w:cols>
          <w:pgMar w:left="1420" w:top="1440" w:right="1440" w:bottom="1440" w:gutter="0" w:footer="0" w:header="0"/>
        </w:sectPr>
      </w:pPr>
    </w:p>
    <w:bookmarkStart w:id="150" w:name="page151"/>
    <w:bookmarkEnd w:id="150"/>
    <w:p>
      <w:pPr>
        <w:spacing w:after="0" w:line="200" w:lineRule="exact"/>
        <w:rPr>
          <w:sz w:val="20"/>
          <w:szCs w:val="20"/>
          <w:color w:val="auto"/>
        </w:rPr>
      </w:pPr>
    </w:p>
    <w:p>
      <w:pPr>
        <w:spacing w:after="0" w:line="265" w:lineRule="exact"/>
        <w:rPr>
          <w:sz w:val="20"/>
          <w:szCs w:val="20"/>
          <w:color w:val="auto"/>
        </w:rPr>
      </w:pPr>
    </w:p>
    <w:p>
      <w:pPr>
        <w:ind w:left="360"/>
        <w:spacing w:after="0"/>
        <w:rPr>
          <w:sz w:val="20"/>
          <w:szCs w:val="20"/>
          <w:color w:val="auto"/>
        </w:rPr>
      </w:pPr>
      <w:r>
        <w:rPr>
          <w:rFonts w:ascii="Arial" w:cs="Arial" w:eastAsia="Arial" w:hAnsi="Arial"/>
          <w:sz w:val="23"/>
          <w:szCs w:val="23"/>
          <w:b w:val="1"/>
          <w:bCs w:val="1"/>
          <w:color w:val="231F20"/>
        </w:rPr>
        <w:t>Sincerely,</w:t>
      </w:r>
    </w:p>
    <w:p>
      <w:pPr>
        <w:spacing w:after="0" w:line="271" w:lineRule="exact"/>
        <w:rPr>
          <w:sz w:val="20"/>
          <w:szCs w:val="20"/>
          <w:color w:val="auto"/>
        </w:rPr>
      </w:pPr>
    </w:p>
    <w:p>
      <w:pPr>
        <w:ind w:left="360"/>
        <w:spacing w:after="0"/>
        <w:rPr>
          <w:sz w:val="20"/>
          <w:szCs w:val="20"/>
          <w:color w:val="auto"/>
        </w:rPr>
      </w:pPr>
      <w:r>
        <w:rPr>
          <w:rFonts w:ascii="Arial" w:cs="Arial" w:eastAsia="Arial" w:hAnsi="Arial"/>
          <w:sz w:val="23"/>
          <w:szCs w:val="23"/>
          <w:b w:val="1"/>
          <w:bCs w:val="1"/>
          <w:color w:val="231F20"/>
        </w:rPr>
        <w:t>ALX Oncology Holdings Inc.</w:t>
      </w:r>
    </w:p>
    <w:p>
      <w:pPr>
        <w:spacing w:after="0" w:line="200" w:lineRule="exact"/>
        <w:rPr>
          <w:sz w:val="20"/>
          <w:szCs w:val="20"/>
          <w:color w:val="auto"/>
        </w:rPr>
      </w:pPr>
    </w:p>
    <w:p>
      <w:pPr>
        <w:spacing w:after="0" w:line="340" w:lineRule="exact"/>
        <w:rPr>
          <w:sz w:val="20"/>
          <w:szCs w:val="20"/>
          <w:color w:val="auto"/>
        </w:rPr>
      </w:pPr>
    </w:p>
    <w:p>
      <w:pPr>
        <w:ind w:left="4200"/>
        <w:spacing w:after="0"/>
        <w:rPr>
          <w:sz w:val="20"/>
          <w:szCs w:val="20"/>
          <w:color w:val="auto"/>
        </w:rPr>
      </w:pPr>
      <w:r>
        <w:rPr>
          <w:rFonts w:ascii="Arial" w:cs="Arial" w:eastAsia="Arial" w:hAnsi="Arial"/>
          <w:sz w:val="23"/>
          <w:szCs w:val="23"/>
          <w:b w:val="1"/>
          <w:bCs w:val="1"/>
          <w:color w:val="231F20"/>
        </w:rPr>
        <w:t>By: /s/ Jason Lettmann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2879090</wp:posOffset>
            </wp:positionH>
            <wp:positionV relativeFrom="paragraph">
              <wp:posOffset>-15240</wp:posOffset>
            </wp:positionV>
            <wp:extent cx="2447290" cy="762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447290" cy="7620"/>
                    </a:xfrm>
                    <a:prstGeom prst="rect">
                      <a:avLst/>
                    </a:prstGeom>
                    <a:noFill/>
                  </pic:spPr>
                </pic:pic>
              </a:graphicData>
            </a:graphic>
          </wp:anchor>
        </w:drawing>
      </w:r>
    </w:p>
    <w:p>
      <w:pPr>
        <w:spacing w:after="0" w:line="42" w:lineRule="exact"/>
        <w:rPr>
          <w:sz w:val="20"/>
          <w:szCs w:val="20"/>
          <w:color w:val="auto"/>
        </w:rPr>
      </w:pPr>
    </w:p>
    <w:p>
      <w:pPr>
        <w:ind w:left="4200"/>
        <w:spacing w:after="0"/>
        <w:rPr>
          <w:sz w:val="20"/>
          <w:szCs w:val="20"/>
          <w:color w:val="auto"/>
        </w:rPr>
      </w:pPr>
      <w:r>
        <w:rPr>
          <w:rFonts w:ascii="Arial" w:cs="Arial" w:eastAsia="Arial" w:hAnsi="Arial"/>
          <w:sz w:val="23"/>
          <w:szCs w:val="23"/>
          <w:b w:val="1"/>
          <w:bCs w:val="1"/>
          <w:color w:val="231F20"/>
        </w:rPr>
        <w:t>Jason Lettmann</w:t>
      </w:r>
    </w:p>
    <w:p>
      <w:pPr>
        <w:spacing w:after="0" w:line="59" w:lineRule="exact"/>
        <w:rPr>
          <w:sz w:val="20"/>
          <w:szCs w:val="20"/>
          <w:color w:val="auto"/>
        </w:rPr>
      </w:pPr>
    </w:p>
    <w:p>
      <w:pPr>
        <w:ind w:left="4200"/>
        <w:spacing w:after="0"/>
        <w:rPr>
          <w:sz w:val="20"/>
          <w:szCs w:val="20"/>
          <w:color w:val="auto"/>
        </w:rPr>
      </w:pPr>
      <w:r>
        <w:rPr>
          <w:rFonts w:ascii="Arial" w:cs="Arial" w:eastAsia="Arial" w:hAnsi="Arial"/>
          <w:sz w:val="23"/>
          <w:szCs w:val="23"/>
          <w:b w:val="1"/>
          <w:bCs w:val="1"/>
          <w:color w:val="231F20"/>
        </w:rPr>
        <w:t>Chief Executive Officer</w:t>
      </w:r>
    </w:p>
    <w:p>
      <w:pPr>
        <w:spacing w:after="0" w:line="388" w:lineRule="exact"/>
        <w:rPr>
          <w:sz w:val="20"/>
          <w:szCs w:val="20"/>
          <w:color w:val="auto"/>
        </w:rPr>
      </w:pPr>
    </w:p>
    <w:p>
      <w:pPr>
        <w:spacing w:after="0"/>
        <w:rPr>
          <w:sz w:val="20"/>
          <w:szCs w:val="20"/>
          <w:color w:val="auto"/>
        </w:rPr>
      </w:pPr>
      <w:r>
        <w:rPr>
          <w:rFonts w:ascii="Arial" w:cs="Arial" w:eastAsia="Arial" w:hAnsi="Arial"/>
          <w:sz w:val="23"/>
          <w:szCs w:val="23"/>
          <w:b w:val="1"/>
          <w:bCs w:val="1"/>
          <w:color w:val="231F20"/>
        </w:rPr>
        <w:t>Agreed to and accepted by:</w:t>
      </w:r>
    </w:p>
    <w:p>
      <w:pPr>
        <w:spacing w:after="0" w:line="388" w:lineRule="exact"/>
        <w:rPr>
          <w:sz w:val="20"/>
          <w:szCs w:val="20"/>
          <w:color w:val="auto"/>
        </w:rPr>
      </w:pPr>
    </w:p>
    <w:p>
      <w:pPr>
        <w:spacing w:after="0"/>
        <w:rPr>
          <w:sz w:val="20"/>
          <w:szCs w:val="20"/>
          <w:color w:val="auto"/>
        </w:rPr>
      </w:pPr>
      <w:r>
        <w:rPr>
          <w:rFonts w:ascii="Arial" w:cs="Arial" w:eastAsia="Arial" w:hAnsi="Arial"/>
          <w:sz w:val="23"/>
          <w:szCs w:val="23"/>
          <w:b w:val="1"/>
          <w:bCs w:val="1"/>
          <w:color w:val="231F20"/>
        </w:rPr>
        <w:t>/s/ Alan Sandler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660650" cy="762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660650" cy="762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23"/>
          <w:szCs w:val="23"/>
          <w:b w:val="1"/>
          <w:bCs w:val="1"/>
          <w:color w:val="231F20"/>
        </w:rPr>
        <w:t>Alan Sandler, M.D.</w:t>
      </w:r>
    </w:p>
    <w:p>
      <w:pPr>
        <w:spacing w:after="0" w:line="62" w:lineRule="exact"/>
        <w:rPr>
          <w:sz w:val="20"/>
          <w:szCs w:val="20"/>
          <w:color w:val="auto"/>
        </w:rPr>
      </w:pPr>
    </w:p>
    <w:p>
      <w:pPr>
        <w:spacing w:after="0"/>
        <w:rPr>
          <w:sz w:val="20"/>
          <w:szCs w:val="20"/>
          <w:color w:val="auto"/>
        </w:rPr>
      </w:pPr>
      <w:r>
        <w:rPr>
          <w:rFonts w:ascii="Arial" w:cs="Arial" w:eastAsia="Arial" w:hAnsi="Arial"/>
          <w:sz w:val="23"/>
          <w:szCs w:val="23"/>
          <w:b w:val="1"/>
          <w:bCs w:val="1"/>
          <w:color w:val="231F20"/>
        </w:rPr>
        <w:t>Dated: November 11, 2024</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3"/>
          <w:szCs w:val="23"/>
          <w:b w:val="1"/>
          <w:bCs w:val="1"/>
          <w:color w:val="231F20"/>
        </w:rPr>
        <w:t>Enclosures</w:t>
      </w:r>
    </w:p>
    <w:p>
      <w:pPr>
        <w:spacing w:after="0" w:line="45" w:lineRule="exact"/>
        <w:rPr>
          <w:sz w:val="20"/>
          <w:szCs w:val="20"/>
          <w:color w:val="auto"/>
        </w:rPr>
      </w:pPr>
    </w:p>
    <w:p>
      <w:pPr>
        <w:ind w:left="780" w:hanging="340"/>
        <w:spacing w:after="0"/>
        <w:tabs>
          <w:tab w:leader="none" w:pos="780" w:val="left"/>
        </w:tabs>
        <w:numPr>
          <w:ilvl w:val="0"/>
          <w:numId w:val="33"/>
        </w:numPr>
        <w:rPr>
          <w:rFonts w:ascii="PMingLiU" w:cs="PMingLiU" w:eastAsia="PMingLiU" w:hAnsi="PMingLiU"/>
          <w:sz w:val="23"/>
          <w:szCs w:val="23"/>
          <w:b w:val="1"/>
          <w:bCs w:val="1"/>
          <w:color w:val="231F20"/>
        </w:rPr>
      </w:pPr>
      <w:r>
        <w:rPr>
          <w:rFonts w:ascii="Arial" w:cs="Arial" w:eastAsia="Arial" w:hAnsi="Arial"/>
          <w:sz w:val="23"/>
          <w:szCs w:val="23"/>
          <w:b w:val="1"/>
          <w:bCs w:val="1"/>
          <w:color w:val="231F20"/>
        </w:rPr>
        <w:t>Duplicate Original Letter</w:t>
      </w:r>
    </w:p>
    <w:p>
      <w:pPr>
        <w:spacing w:after="0" w:line="69" w:lineRule="exact"/>
        <w:rPr>
          <w:rFonts w:ascii="PMingLiU" w:cs="PMingLiU" w:eastAsia="PMingLiU" w:hAnsi="PMingLiU"/>
          <w:sz w:val="23"/>
          <w:szCs w:val="23"/>
          <w:b w:val="1"/>
          <w:bCs w:val="1"/>
          <w:color w:val="231F20"/>
        </w:rPr>
      </w:pPr>
    </w:p>
    <w:p>
      <w:pPr>
        <w:ind w:left="780" w:hanging="340"/>
        <w:spacing w:after="0"/>
        <w:tabs>
          <w:tab w:leader="none" w:pos="780" w:val="left"/>
        </w:tabs>
        <w:numPr>
          <w:ilvl w:val="0"/>
          <w:numId w:val="33"/>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Employee Confidentiality, Inventions and Non-Interference Agreement</w:t>
      </w:r>
    </w:p>
    <w:p>
      <w:pPr>
        <w:sectPr>
          <w:pgSz w:w="12240" w:h="15840" w:orient="portrait"/>
          <w:cols w:equalWidth="0" w:num="1">
            <w:col w:w="9380"/>
          </w:cols>
          <w:pgMar w:left="1420" w:top="1440" w:right="1440" w:bottom="1440" w:gutter="0" w:footer="0" w:header="0"/>
        </w:sectPr>
      </w:pPr>
    </w:p>
    <w:bookmarkStart w:id="151" w:name="page152"/>
    <w:bookmarkEnd w:id="151"/>
    <w:p>
      <w:pPr>
        <w:spacing w:after="0" w:line="200" w:lineRule="exact"/>
        <w:rPr>
          <w:sz w:val="20"/>
          <w:szCs w:val="20"/>
          <w:color w:val="auto"/>
        </w:rPr>
      </w:pPr>
    </w:p>
    <w:p>
      <w:pPr>
        <w:spacing w:after="0" w:line="301" w:lineRule="exact"/>
        <w:rPr>
          <w:sz w:val="20"/>
          <w:szCs w:val="20"/>
          <w:color w:val="auto"/>
        </w:rPr>
      </w:pPr>
    </w:p>
    <w:p>
      <w:pPr>
        <w:jc w:val="center"/>
        <w:ind w:right="28"/>
        <w:spacing w:after="0"/>
        <w:rPr>
          <w:sz w:val="20"/>
          <w:szCs w:val="20"/>
          <w:color w:val="auto"/>
        </w:rPr>
      </w:pPr>
      <w:r>
        <w:rPr>
          <w:rFonts w:ascii="Arial" w:cs="Arial" w:eastAsia="Arial" w:hAnsi="Arial"/>
          <w:sz w:val="23"/>
          <w:szCs w:val="23"/>
          <w:b w:val="1"/>
          <w:bCs w:val="1"/>
          <w:u w:val="single" w:color="auto"/>
          <w:color w:val="231F20"/>
        </w:rPr>
        <w:t>Appendix A</w:t>
      </w:r>
    </w:p>
    <w:p>
      <w:pPr>
        <w:spacing w:after="0" w:line="200" w:lineRule="exact"/>
        <w:rPr>
          <w:sz w:val="20"/>
          <w:szCs w:val="20"/>
          <w:color w:val="auto"/>
        </w:rPr>
      </w:pPr>
    </w:p>
    <w:p>
      <w:pPr>
        <w:spacing w:after="0" w:line="306" w:lineRule="exact"/>
        <w:rPr>
          <w:sz w:val="20"/>
          <w:szCs w:val="20"/>
          <w:color w:val="auto"/>
        </w:rPr>
      </w:pPr>
    </w:p>
    <w:p>
      <w:pPr>
        <w:jc w:val="center"/>
        <w:ind w:right="48"/>
        <w:spacing w:after="0"/>
        <w:rPr>
          <w:sz w:val="20"/>
          <w:szCs w:val="20"/>
          <w:color w:val="auto"/>
        </w:rPr>
      </w:pPr>
      <w:r>
        <w:rPr>
          <w:rFonts w:ascii="Arial" w:cs="Arial" w:eastAsia="Arial" w:hAnsi="Arial"/>
          <w:sz w:val="23"/>
          <w:szCs w:val="23"/>
          <w:b w:val="1"/>
          <w:bCs w:val="1"/>
          <w:color w:val="231F20"/>
        </w:rPr>
        <w:t>Section 7 of the Defend Trade Secrets Act of 2016</w:t>
      </w:r>
    </w:p>
    <w:p>
      <w:pPr>
        <w:spacing w:after="0" w:line="200" w:lineRule="exact"/>
        <w:rPr>
          <w:sz w:val="20"/>
          <w:szCs w:val="20"/>
          <w:color w:val="auto"/>
        </w:rPr>
      </w:pPr>
    </w:p>
    <w:p>
      <w:pPr>
        <w:spacing w:after="0" w:line="306" w:lineRule="exact"/>
        <w:rPr>
          <w:sz w:val="20"/>
          <w:szCs w:val="20"/>
          <w:color w:val="auto"/>
        </w:rPr>
      </w:pPr>
    </w:p>
    <w:p>
      <w:pPr>
        <w:jc w:val="both"/>
        <w:ind w:left="-8" w:right="120" w:firstLine="8"/>
        <w:spacing w:after="0" w:line="266" w:lineRule="exact"/>
        <w:tabs>
          <w:tab w:leader="none" w:pos="169" w:val="left"/>
        </w:tabs>
        <w:numPr>
          <w:ilvl w:val="0"/>
          <w:numId w:val="34"/>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 . . An individual shall not be held criminally or civilly liable under any Federal or State trade secret law for the disclosure of a trade secret that</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(A) is made</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(A) files any document containing the trade secret under seal; and (B) does not disclose the trade secret, except pursuant to court order.</w:t>
      </w:r>
      <w:r>
        <w:rPr>
          <w:rFonts w:ascii="PMingLiU" w:cs="PMingLiU" w:eastAsia="PMingLiU" w:hAnsi="PMingLiU"/>
          <w:sz w:val="19"/>
          <w:szCs w:val="19"/>
          <w:b w:val="1"/>
          <w:bCs w:val="1"/>
          <w:color w:val="231F20"/>
        </w:rPr>
        <w:t></w:t>
      </w:r>
    </w:p>
    <w:p>
      <w:pPr>
        <w:sectPr>
          <w:pgSz w:w="12240" w:h="15840" w:orient="portrait"/>
          <w:cols w:equalWidth="0" w:num="1">
            <w:col w:w="9372"/>
          </w:cols>
          <w:pgMar w:left="1428" w:top="1440" w:right="1440" w:bottom="1440" w:gutter="0" w:footer="0" w:header="0"/>
        </w:sectPr>
      </w:pPr>
    </w:p>
    <w:bookmarkStart w:id="152" w:name="page153"/>
    <w:bookmarkEnd w:id="152"/>
    <w:p>
      <w:pPr>
        <w:spacing w:after="0" w:line="198" w:lineRule="exact"/>
        <w:rPr>
          <w:sz w:val="20"/>
          <w:szCs w:val="20"/>
          <w:color w:val="auto"/>
        </w:rPr>
      </w:pPr>
    </w:p>
    <w:p>
      <w:pPr>
        <w:jc w:val="center"/>
        <w:ind w:right="60"/>
        <w:spacing w:after="0"/>
        <w:rPr>
          <w:sz w:val="20"/>
          <w:szCs w:val="20"/>
          <w:color w:val="auto"/>
        </w:rPr>
      </w:pPr>
      <w:r>
        <w:rPr>
          <w:rFonts w:ascii="Arial" w:cs="Arial" w:eastAsia="Arial" w:hAnsi="Arial"/>
          <w:sz w:val="23"/>
          <w:szCs w:val="23"/>
          <w:b w:val="1"/>
          <w:bCs w:val="1"/>
          <w:u w:val="single" w:color="auto"/>
          <w:color w:val="231F20"/>
        </w:rPr>
        <w:t>Appendix B</w:t>
      </w: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23"/>
          <w:szCs w:val="23"/>
          <w:b w:val="1"/>
          <w:bCs w:val="1"/>
          <w:color w:val="231F20"/>
        </w:rPr>
        <w:t>Outside Activities</w:t>
      </w:r>
    </w:p>
    <w:p>
      <w:pPr>
        <w:spacing w:after="0" w:line="242" w:lineRule="exact"/>
        <w:rPr>
          <w:sz w:val="20"/>
          <w:szCs w:val="20"/>
          <w:color w:val="auto"/>
        </w:rPr>
      </w:pPr>
    </w:p>
    <w:p>
      <w:pPr>
        <w:jc w:val="center"/>
        <w:ind w:left="140" w:right="140"/>
        <w:spacing w:after="0" w:line="260" w:lineRule="auto"/>
        <w:rPr>
          <w:sz w:val="20"/>
          <w:szCs w:val="20"/>
          <w:color w:val="auto"/>
        </w:rPr>
      </w:pPr>
      <w:r>
        <w:rPr>
          <w:rFonts w:ascii="Arial" w:cs="Arial" w:eastAsia="Arial" w:hAnsi="Arial"/>
          <w:sz w:val="20"/>
          <w:szCs w:val="20"/>
          <w:b w:val="1"/>
          <w:bCs w:val="1"/>
          <w:color w:val="231F20"/>
        </w:rPr>
        <w:t>[Appendix B has been omitted in accordance with Regulation S-K Item 601(a)(5). The registrant agrees to furnish supplementally a copy of any omitted exhibit or schedule to the SEC upon its request, however the registrant may request confidential treatment of omitted items.]</w:t>
      </w:r>
    </w:p>
    <w:p>
      <w:pPr>
        <w:sectPr>
          <w:pgSz w:w="12240" w:h="15840" w:orient="portrait"/>
          <w:cols w:equalWidth="0" w:num="1">
            <w:col w:w="9360"/>
          </w:cols>
          <w:pgMar w:left="1440" w:top="1440" w:right="1440" w:bottom="1440" w:gutter="0" w:footer="0" w:header="0"/>
        </w:sectPr>
      </w:pPr>
    </w:p>
    <w:bookmarkStart w:id="153" w:name="page154"/>
    <w:bookmarkEnd w:id="153"/>
    <w:p>
      <w:pPr>
        <w:jc w:val="right"/>
        <w:spacing w:after="0"/>
        <w:rPr>
          <w:sz w:val="20"/>
          <w:szCs w:val="20"/>
          <w:color w:val="auto"/>
        </w:rPr>
      </w:pPr>
      <w:r>
        <w:rPr>
          <w:rFonts w:ascii="Arial" w:cs="Arial" w:eastAsia="Arial" w:hAnsi="Arial"/>
          <w:sz w:val="19"/>
          <w:szCs w:val="19"/>
          <w:b w:val="1"/>
          <w:bCs w:val="1"/>
          <w:color w:val="231F20"/>
        </w:rPr>
        <w:t>Exhibit 10.14</w:t>
      </w:r>
    </w:p>
    <w:p>
      <w:pPr>
        <w:spacing w:after="0" w:line="341" w:lineRule="exact"/>
        <w:rPr>
          <w:sz w:val="20"/>
          <w:szCs w:val="20"/>
          <w:color w:val="auto"/>
        </w:rPr>
      </w:pPr>
    </w:p>
    <w:p>
      <w:pPr>
        <w:jc w:val="both"/>
        <w:ind w:right="80"/>
        <w:spacing w:after="0" w:line="242" w:lineRule="auto"/>
        <w:rPr>
          <w:sz w:val="20"/>
          <w:szCs w:val="20"/>
          <w:color w:val="auto"/>
        </w:rPr>
      </w:pPr>
      <w:r>
        <w:rPr>
          <w:rFonts w:ascii="Arial" w:cs="Arial" w:eastAsia="Arial" w:hAnsi="Arial"/>
          <w:sz w:val="19"/>
          <w:szCs w:val="19"/>
          <w:b w:val="1"/>
          <w:bCs w:val="1"/>
          <w:color w:val="231F20"/>
        </w:rPr>
        <w:t>Certain exhibits and schedules have been omitted in accordance with Regulation S-K Item 601(a)(5). The registrant agrees to furnish supplementally a copy of any omitted exhibit or schedule to the SEC upon its request, however the registrant may request confidential treatment of omitted items.</w:t>
      </w:r>
    </w:p>
    <w:p>
      <w:pPr>
        <w:spacing w:after="0" w:line="354"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231F20"/>
        </w:rPr>
        <w:t>ALX ONCOLOGY HOLDINGS INC.</w:t>
      </w:r>
    </w:p>
    <w:p>
      <w:pPr>
        <w:spacing w:after="0" w:line="251" w:lineRule="exact"/>
        <w:rPr>
          <w:sz w:val="20"/>
          <w:szCs w:val="20"/>
          <w:color w:val="auto"/>
        </w:rPr>
      </w:pPr>
    </w:p>
    <w:p>
      <w:pPr>
        <w:jc w:val="center"/>
        <w:ind w:right="60"/>
        <w:spacing w:after="0"/>
        <w:rPr>
          <w:sz w:val="20"/>
          <w:szCs w:val="20"/>
          <w:color w:val="auto"/>
        </w:rPr>
      </w:pPr>
      <w:r>
        <w:rPr>
          <w:rFonts w:ascii="Arial" w:cs="Arial" w:eastAsia="Arial" w:hAnsi="Arial"/>
          <w:sz w:val="21"/>
          <w:szCs w:val="21"/>
          <w:b w:val="1"/>
          <w:bCs w:val="1"/>
          <w:color w:val="231F20"/>
        </w:rPr>
        <w:t>SEPARATION AGREEMENT AND MUTUAL RELEASE</w:t>
      </w:r>
    </w:p>
    <w:p>
      <w:pPr>
        <w:spacing w:after="0" w:line="253" w:lineRule="exact"/>
        <w:rPr>
          <w:sz w:val="20"/>
          <w:szCs w:val="20"/>
          <w:color w:val="auto"/>
        </w:rPr>
      </w:pPr>
    </w:p>
    <w:p>
      <w:pPr>
        <w:jc w:val="both"/>
        <w:ind w:left="120" w:right="160" w:firstLine="696"/>
        <w:spacing w:after="0" w:line="242" w:lineRule="exact"/>
        <w:rPr>
          <w:sz w:val="20"/>
          <w:szCs w:val="20"/>
          <w:color w:val="auto"/>
        </w:rPr>
      </w:pPr>
      <w:r>
        <w:rPr>
          <w:rFonts w:ascii="Arial" w:cs="Arial" w:eastAsia="Arial" w:hAnsi="Arial"/>
          <w:sz w:val="21"/>
          <w:szCs w:val="21"/>
          <w:b w:val="1"/>
          <w:bCs w:val="1"/>
          <w:color w:val="231F20"/>
        </w:rPr>
        <w:t>This Separation Agreement and Mutual Release (</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Agreement</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 is made by and between Peter Garcia (</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Executive</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 xml:space="preserve">) and ALX Oncology Holdings Inc. (the </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Company</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 xml:space="preserve">) (collectively referred to as the </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Parties</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 xml:space="preserve"> or individually referred to as a </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Party</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w:t>
      </w: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231F20"/>
        </w:rPr>
        <w:t>RECITALS</w:t>
      </w:r>
    </w:p>
    <w:p>
      <w:pPr>
        <w:spacing w:after="0" w:line="246" w:lineRule="exact"/>
        <w:rPr>
          <w:sz w:val="20"/>
          <w:szCs w:val="20"/>
          <w:color w:val="auto"/>
        </w:rPr>
      </w:pPr>
    </w:p>
    <w:p>
      <w:pPr>
        <w:ind w:left="820"/>
        <w:spacing w:after="0"/>
        <w:rPr>
          <w:sz w:val="20"/>
          <w:szCs w:val="20"/>
          <w:color w:val="auto"/>
        </w:rPr>
      </w:pPr>
      <w:r>
        <w:rPr>
          <w:rFonts w:ascii="Arial" w:cs="Arial" w:eastAsia="Arial" w:hAnsi="Arial"/>
          <w:sz w:val="21"/>
          <w:szCs w:val="21"/>
          <w:b w:val="1"/>
          <w:bCs w:val="1"/>
          <w:color w:val="231F20"/>
        </w:rPr>
        <w:t>WHEREAS, Executive was employed by the Company;</w:t>
      </w:r>
    </w:p>
    <w:p>
      <w:pPr>
        <w:spacing w:after="0" w:line="256" w:lineRule="exact"/>
        <w:rPr>
          <w:sz w:val="20"/>
          <w:szCs w:val="20"/>
          <w:color w:val="auto"/>
        </w:rPr>
      </w:pPr>
    </w:p>
    <w:p>
      <w:pPr>
        <w:jc w:val="both"/>
        <w:ind w:left="120" w:right="160" w:firstLine="696"/>
        <w:spacing w:after="0" w:line="240" w:lineRule="exact"/>
        <w:rPr>
          <w:sz w:val="20"/>
          <w:szCs w:val="20"/>
          <w:color w:val="auto"/>
        </w:rPr>
      </w:pPr>
      <w:r>
        <w:rPr>
          <w:rFonts w:ascii="Arial" w:cs="Arial" w:eastAsia="Arial" w:hAnsi="Arial"/>
          <w:sz w:val="21"/>
          <w:szCs w:val="21"/>
          <w:b w:val="1"/>
          <w:bCs w:val="1"/>
          <w:color w:val="231F20"/>
        </w:rPr>
        <w:t xml:space="preserve">WHEREAS, Executive entered into a confirmatory offer letter with the Company dated July 9, 2020 (the </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Offer Letter</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w:t>
      </w:r>
    </w:p>
    <w:p>
      <w:pPr>
        <w:spacing w:after="0" w:line="257" w:lineRule="exact"/>
        <w:rPr>
          <w:sz w:val="20"/>
          <w:szCs w:val="20"/>
          <w:color w:val="auto"/>
        </w:rPr>
      </w:pPr>
    </w:p>
    <w:p>
      <w:pPr>
        <w:jc w:val="both"/>
        <w:ind w:left="120" w:right="160" w:firstLine="696"/>
        <w:spacing w:after="0" w:line="241" w:lineRule="exact"/>
        <w:rPr>
          <w:sz w:val="20"/>
          <w:szCs w:val="20"/>
          <w:color w:val="auto"/>
        </w:rPr>
      </w:pPr>
      <w:r>
        <w:rPr>
          <w:rFonts w:ascii="Arial" w:cs="Arial" w:eastAsia="Arial" w:hAnsi="Arial"/>
          <w:sz w:val="19"/>
          <w:szCs w:val="19"/>
          <w:b w:val="1"/>
          <w:bCs w:val="1"/>
          <w:color w:val="231F20"/>
        </w:rPr>
        <w:t xml:space="preserve">WHEREAS, Executive signed an Employee Confidentiality, Inventions and Non-Interference Agreement with ALX Oncology Inc., dated January 2, 2020 (the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Confidentiality Agreement</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w:t>
      </w:r>
    </w:p>
    <w:p>
      <w:pPr>
        <w:spacing w:after="0" w:line="242" w:lineRule="exact"/>
        <w:rPr>
          <w:sz w:val="20"/>
          <w:szCs w:val="20"/>
          <w:color w:val="auto"/>
        </w:rPr>
      </w:pPr>
    </w:p>
    <w:p>
      <w:pPr>
        <w:jc w:val="both"/>
        <w:ind w:left="120" w:right="140" w:firstLine="696"/>
        <w:spacing w:after="0" w:line="244" w:lineRule="exact"/>
        <w:rPr>
          <w:sz w:val="20"/>
          <w:szCs w:val="20"/>
          <w:color w:val="auto"/>
        </w:rPr>
      </w:pPr>
      <w:r>
        <w:rPr>
          <w:rFonts w:ascii="Arial" w:cs="Arial" w:eastAsia="Arial" w:hAnsi="Arial"/>
          <w:sz w:val="18"/>
          <w:szCs w:val="18"/>
          <w:b w:val="1"/>
          <w:bCs w:val="1"/>
          <w:color w:val="231F20"/>
        </w:rPr>
        <w:t>WHEREAS, the Company granted Executive certain awards of stock options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Options</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to purchase shares of the Company</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common stock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Shares</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and restricted stock units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RSUs</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 covering Shares (each, an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Award,</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 and collectively, the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Awards</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under the Company</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s Amended and Restated 2020 Equity Incentive Plan, as amended from time to time (the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Plan</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 and applicable award agreements thereunder including any amendments thereto, as set forth in </w:t>
      </w:r>
      <w:r>
        <w:rPr>
          <w:rFonts w:ascii="Arial" w:cs="Arial" w:eastAsia="Arial" w:hAnsi="Arial"/>
          <w:sz w:val="18"/>
          <w:szCs w:val="18"/>
          <w:b w:val="1"/>
          <w:bCs w:val="1"/>
          <w:u w:val="single" w:color="auto"/>
          <w:color w:val="231F20"/>
        </w:rPr>
        <w:t>Schedule I</w:t>
      </w:r>
      <w:r>
        <w:rPr>
          <w:rFonts w:ascii="Arial" w:cs="Arial" w:eastAsia="Arial" w:hAnsi="Arial"/>
          <w:sz w:val="18"/>
          <w:szCs w:val="18"/>
          <w:b w:val="1"/>
          <w:bCs w:val="1"/>
          <w:color w:val="231F20"/>
        </w:rPr>
        <w:t xml:space="preserve"> attached hereto (such award agreements and any amendments thereto, together with the Plan, the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Award Documents</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w:t>
      </w:r>
    </w:p>
    <w:p>
      <w:pPr>
        <w:spacing w:after="0" w:line="258" w:lineRule="exact"/>
        <w:rPr>
          <w:sz w:val="20"/>
          <w:szCs w:val="20"/>
          <w:color w:val="auto"/>
        </w:rPr>
      </w:pPr>
    </w:p>
    <w:p>
      <w:pPr>
        <w:jc w:val="both"/>
        <w:ind w:left="120" w:right="160" w:firstLine="696"/>
        <w:spacing w:after="0" w:line="240" w:lineRule="exact"/>
        <w:rPr>
          <w:sz w:val="20"/>
          <w:szCs w:val="20"/>
          <w:color w:val="auto"/>
        </w:rPr>
      </w:pPr>
      <w:r>
        <w:rPr>
          <w:rFonts w:ascii="Arial" w:cs="Arial" w:eastAsia="Arial" w:hAnsi="Arial"/>
          <w:sz w:val="21"/>
          <w:szCs w:val="21"/>
          <w:b w:val="1"/>
          <w:bCs w:val="1"/>
          <w:color w:val="231F20"/>
        </w:rPr>
        <w:t xml:space="preserve">WHEREAS, Executive separated from employment with the Company effective November 8, 2024 (the </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Separation Date</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 and</w:t>
      </w:r>
    </w:p>
    <w:p>
      <w:pPr>
        <w:spacing w:after="0" w:line="255" w:lineRule="exact"/>
        <w:rPr>
          <w:sz w:val="20"/>
          <w:szCs w:val="20"/>
          <w:color w:val="auto"/>
        </w:rPr>
      </w:pPr>
    </w:p>
    <w:p>
      <w:pPr>
        <w:jc w:val="both"/>
        <w:ind w:left="120" w:right="160" w:firstLine="696"/>
        <w:spacing w:after="0" w:line="243" w:lineRule="exact"/>
        <w:rPr>
          <w:sz w:val="20"/>
          <w:szCs w:val="20"/>
          <w:color w:val="auto"/>
        </w:rPr>
      </w:pPr>
      <w:r>
        <w:rPr>
          <w:rFonts w:ascii="Arial" w:cs="Arial" w:eastAsia="Arial" w:hAnsi="Arial"/>
          <w:sz w:val="19"/>
          <w:szCs w:val="19"/>
          <w:b w:val="1"/>
          <w:bCs w:val="1"/>
          <w:color w:val="231F20"/>
        </w:rPr>
        <w:t>WHEREAS, the Parties wish to resolve any and all disputes, claims, complaints, grievances, charges, actions, petitions, and demands that the Executive may have against the Company and any of the Releasees as defined below, including, but not limited to, any and all claims arising out of or in any way related to Executive</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employment with or separation from the Company.</w:t>
      </w:r>
    </w:p>
    <w:p>
      <w:pPr>
        <w:spacing w:after="0" w:line="258"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231F20"/>
        </w:rPr>
        <w:t>NOW, THEREFORE, in consideration of the mutual promises made herein, the Company and</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231F20"/>
        </w:rPr>
        <w:t>Executive hereby agree as follows:</w:t>
      </w: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231F20"/>
        </w:rPr>
        <w:t>COVENANTS</w:t>
      </w:r>
    </w:p>
    <w:p>
      <w:pPr>
        <w:spacing w:after="0" w:line="246" w:lineRule="exact"/>
        <w:rPr>
          <w:sz w:val="20"/>
          <w:szCs w:val="20"/>
          <w:color w:val="auto"/>
        </w:rPr>
      </w:pPr>
    </w:p>
    <w:p>
      <w:pPr>
        <w:ind w:left="1520" w:hanging="702"/>
        <w:spacing w:after="0"/>
        <w:tabs>
          <w:tab w:leader="none" w:pos="1520" w:val="left"/>
        </w:tabs>
        <w:numPr>
          <w:ilvl w:val="0"/>
          <w:numId w:val="35"/>
        </w:numPr>
        <w:rPr>
          <w:rFonts w:ascii="Arial" w:cs="Arial" w:eastAsia="Arial" w:hAnsi="Arial"/>
          <w:sz w:val="21"/>
          <w:szCs w:val="21"/>
          <w:b w:val="1"/>
          <w:bCs w:val="1"/>
          <w:color w:val="231F20"/>
        </w:rPr>
      </w:pPr>
      <w:r>
        <w:rPr>
          <w:rFonts w:ascii="Arial" w:cs="Arial" w:eastAsia="Arial" w:hAnsi="Arial"/>
          <w:sz w:val="21"/>
          <w:szCs w:val="21"/>
          <w:b w:val="1"/>
          <w:bCs w:val="1"/>
          <w:u w:val="single" w:color="auto"/>
          <w:color w:val="231F20"/>
        </w:rPr>
        <w:t>Consideration</w:t>
      </w:r>
      <w:r>
        <w:rPr>
          <w:rFonts w:ascii="Arial" w:cs="Arial" w:eastAsia="Arial" w:hAnsi="Arial"/>
          <w:sz w:val="21"/>
          <w:szCs w:val="21"/>
          <w:b w:val="1"/>
          <w:bCs w:val="1"/>
          <w:color w:val="231F20"/>
        </w:rPr>
        <w:t>.</w:t>
      </w:r>
    </w:p>
    <w:p>
      <w:pPr>
        <w:spacing w:after="0" w:line="253" w:lineRule="exact"/>
        <w:rPr>
          <w:rFonts w:ascii="Arial" w:cs="Arial" w:eastAsia="Arial" w:hAnsi="Arial"/>
          <w:sz w:val="21"/>
          <w:szCs w:val="21"/>
          <w:b w:val="1"/>
          <w:bCs w:val="1"/>
          <w:color w:val="231F20"/>
        </w:rPr>
      </w:pPr>
    </w:p>
    <w:p>
      <w:pPr>
        <w:ind w:left="120" w:right="160" w:firstLine="1397"/>
        <w:spacing w:after="0" w:line="239" w:lineRule="auto"/>
        <w:tabs>
          <w:tab w:leader="none" w:pos="2105" w:val="left"/>
        </w:tabs>
        <w:numPr>
          <w:ilvl w:val="1"/>
          <w:numId w:val="35"/>
        </w:numPr>
        <w:rPr>
          <w:rFonts w:ascii="Arial" w:cs="Arial" w:eastAsia="Arial" w:hAnsi="Arial"/>
          <w:sz w:val="21"/>
          <w:szCs w:val="21"/>
          <w:b w:val="1"/>
          <w:bCs w:val="1"/>
          <w:color w:val="231F20"/>
        </w:rPr>
      </w:pPr>
      <w:r>
        <w:rPr>
          <w:rFonts w:ascii="Arial" w:cs="Arial" w:eastAsia="Arial" w:hAnsi="Arial"/>
          <w:sz w:val="21"/>
          <w:szCs w:val="21"/>
          <w:b w:val="1"/>
          <w:bCs w:val="1"/>
          <w:color w:val="231F20"/>
        </w:rPr>
        <w:t>Separation Payment. The Company agrees to pay Executive a single, lump sum, cash payment equal to $479,646.45, less any applicable withholdings.</w:t>
      </w:r>
    </w:p>
    <w:p>
      <w:pPr>
        <w:spacing w:after="0" w:line="253" w:lineRule="exact"/>
        <w:rPr>
          <w:rFonts w:ascii="Arial" w:cs="Arial" w:eastAsia="Arial" w:hAnsi="Arial"/>
          <w:sz w:val="21"/>
          <w:szCs w:val="21"/>
          <w:b w:val="1"/>
          <w:bCs w:val="1"/>
          <w:color w:val="231F20"/>
        </w:rPr>
      </w:pPr>
    </w:p>
    <w:p>
      <w:pPr>
        <w:jc w:val="both"/>
        <w:ind w:left="120" w:right="140" w:firstLine="1397"/>
        <w:spacing w:after="0" w:line="244" w:lineRule="exact"/>
        <w:tabs>
          <w:tab w:leader="none" w:pos="2105" w:val="left"/>
        </w:tabs>
        <w:numPr>
          <w:ilvl w:val="1"/>
          <w:numId w:val="35"/>
        </w:numPr>
        <w:rPr>
          <w:rFonts w:ascii="Arial" w:cs="Arial" w:eastAsia="Arial" w:hAnsi="Arial"/>
          <w:sz w:val="18"/>
          <w:szCs w:val="18"/>
          <w:b w:val="1"/>
          <w:bCs w:val="1"/>
          <w:color w:val="231F20"/>
        </w:rPr>
      </w:pPr>
      <w:r>
        <w:rPr>
          <w:rFonts w:ascii="Arial" w:cs="Arial" w:eastAsia="Arial" w:hAnsi="Arial"/>
          <w:sz w:val="18"/>
          <w:szCs w:val="18"/>
          <w:b w:val="1"/>
          <w:bCs w:val="1"/>
          <w:color w:val="231F20"/>
        </w:rPr>
        <w:t>COBRA. Subject to Executive timely electing continuation coverage under the Consolidated Omnibus Budget Reconciliation Act of 1985, as amended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COBRA</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the Company will pay the COBRA premiums for continued coverage under the Company</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group health, dental and vision coverage for Executive and any of Executive</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eligible dependents, as applicable, following the Separation Date until the earliest of: (i) twelve (12) months following the Separation Date, (ii) the date on which Executive and</w:t>
      </w:r>
    </w:p>
    <w:p>
      <w:pPr>
        <w:sectPr>
          <w:pgSz w:w="12240" w:h="15840" w:orient="portrait"/>
          <w:cols w:equalWidth="0" w:num="1">
            <w:col w:w="9640"/>
          </w:cols>
          <w:pgMar w:left="1320" w:top="1091" w:right="1280" w:bottom="856" w:gutter="0" w:footer="0" w:header="0"/>
        </w:sectPr>
      </w:pPr>
    </w:p>
    <w:bookmarkStart w:id="154" w:name="page155"/>
    <w:bookmarkEnd w:id="154"/>
    <w:p>
      <w:pPr>
        <w:spacing w:after="0" w:line="105" w:lineRule="exact"/>
        <w:rPr>
          <w:sz w:val="20"/>
          <w:szCs w:val="20"/>
          <w:color w:val="auto"/>
        </w:rPr>
      </w:pPr>
    </w:p>
    <w:p>
      <w:pPr>
        <w:jc w:val="both"/>
        <w:spacing w:after="0" w:line="245" w:lineRule="exact"/>
        <w:rPr>
          <w:sz w:val="20"/>
          <w:szCs w:val="20"/>
          <w:color w:val="auto"/>
        </w:rPr>
      </w:pPr>
      <w:r>
        <w:rPr>
          <w:rFonts w:ascii="Arial" w:cs="Arial" w:eastAsia="Arial" w:hAnsi="Arial"/>
          <w:sz w:val="17"/>
          <w:szCs w:val="17"/>
          <w:b w:val="1"/>
          <w:bCs w:val="1"/>
          <w:color w:val="231F20"/>
        </w:rPr>
        <w:t>Executive</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eligible dependents (as applicable) become covered under similar plans, or (iii) the expiration of Executive</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(and any of Executive</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eligible dependents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as applicable) eligibility for continuation coverage under COBRA. Notwithstanding the preceding, if the Company determines in its sole discretion that it cannot provide such Company-paid COBRA benefits without potentially violating, or being subject to an excise tax under, applicable law (including, without limitation, Section 2716 of the Public Health Service Act), then in lieu of such benefits, the Company will provide the Executive a taxable monthly payment payable on the last day of a given month (except as provided by the immediately following sentence) in an amount equal to the monthly COBRA premium that the Executive would be required to pay to continue the Executive</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group health coverage in effect on the Separation Date (which amount will be based on the premium rates applicable for the first month of COBRA coverage for Executive and Executive</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eligible dependents, if any), which payments will be made regardless of whether the Executive elects COBRA continuation coverage, will commence in the month following the month of the Separation Date and continue until the month that is twelve</w:t>
      </w:r>
    </w:p>
    <w:p>
      <w:pPr>
        <w:spacing w:after="0" w:line="10" w:lineRule="exact"/>
        <w:rPr>
          <w:sz w:val="20"/>
          <w:szCs w:val="20"/>
          <w:color w:val="auto"/>
        </w:rPr>
      </w:pPr>
    </w:p>
    <w:p>
      <w:pPr>
        <w:jc w:val="both"/>
        <w:spacing w:after="0" w:line="242" w:lineRule="auto"/>
        <w:tabs>
          <w:tab w:leader="none" w:pos="419" w:val="left"/>
        </w:tabs>
        <w:numPr>
          <w:ilvl w:val="0"/>
          <w:numId w:val="36"/>
        </w:numPr>
        <w:rPr>
          <w:rFonts w:ascii="Arial" w:cs="Arial" w:eastAsia="Arial" w:hAnsi="Arial"/>
          <w:sz w:val="21"/>
          <w:szCs w:val="21"/>
          <w:b w:val="1"/>
          <w:bCs w:val="1"/>
          <w:color w:val="231F20"/>
        </w:rPr>
      </w:pPr>
      <w:r>
        <w:rPr>
          <w:rFonts w:ascii="Arial" w:cs="Arial" w:eastAsia="Arial" w:hAnsi="Arial"/>
          <w:sz w:val="21"/>
          <w:szCs w:val="21"/>
          <w:b w:val="1"/>
          <w:bCs w:val="1"/>
          <w:color w:val="231F20"/>
        </w:rPr>
        <w:t>months following the month of the Separation Date, and will be subject to any applicable withholdings. Notwithstanding anything to the contrary under this Agreement, if the Company determines in its sole discretion at any time that it cannot provide such COBRA benefits described in this subsection b. without violating applicable law or being subject to an excise tax under applicable law (including without limitation Section 2716 of the Public Health Service Act), Executive will not receive any such benefits under this subsection b.</w:t>
      </w:r>
    </w:p>
    <w:p>
      <w:pPr>
        <w:spacing w:after="0" w:line="255" w:lineRule="exact"/>
        <w:rPr>
          <w:rFonts w:ascii="Arial" w:cs="Arial" w:eastAsia="Arial" w:hAnsi="Arial"/>
          <w:sz w:val="21"/>
          <w:szCs w:val="21"/>
          <w:b w:val="1"/>
          <w:bCs w:val="1"/>
          <w:color w:val="231F20"/>
        </w:rPr>
      </w:pPr>
    </w:p>
    <w:p>
      <w:pPr>
        <w:jc w:val="both"/>
        <w:ind w:firstLine="1397"/>
        <w:spacing w:after="0" w:line="245" w:lineRule="exact"/>
        <w:tabs>
          <w:tab w:leader="none" w:pos="1985" w:val="left"/>
        </w:tabs>
        <w:numPr>
          <w:ilvl w:val="1"/>
          <w:numId w:val="36"/>
        </w:numPr>
        <w:rPr>
          <w:rFonts w:ascii="Arial" w:cs="Arial" w:eastAsia="Arial" w:hAnsi="Arial"/>
          <w:sz w:val="18"/>
          <w:szCs w:val="18"/>
          <w:b w:val="1"/>
          <w:bCs w:val="1"/>
          <w:color w:val="231F20"/>
        </w:rPr>
      </w:pPr>
      <w:r>
        <w:rPr>
          <w:rFonts w:ascii="Arial" w:cs="Arial" w:eastAsia="Arial" w:hAnsi="Arial"/>
          <w:sz w:val="18"/>
          <w:szCs w:val="18"/>
          <w:b w:val="1"/>
          <w:bCs w:val="1"/>
          <w:color w:val="231F20"/>
        </w:rPr>
        <w:t xml:space="preserve">Vesting Acceleration. Executive and the Company acknowledge and agree that as of the Separation Date, Executive will have vested as to only that portion of the Awards as set forth in Schedule I attached hereto under the column titled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Number of Shares subject to Award vested through Separation Date.</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 As of the Effective Date of this Agreement defined in Section 25, a portion of the Awards shall become immediately vested as to such number of Shares as set forth in Schedule I attached hereto under the column titled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Number of Shares subject to Award that accelerate vesting pursuant to Section 1.c. of Agreement</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 (which is intended to reflect the number of Shares that would have vested under the applicable Awards had Executive remained an employee of the Company until November 8, 2025). Any RSUs that accelerate vesting in accordance with this subsection c. will be settled by the Company no later than the sixtieth (60</w:t>
      </w:r>
      <w:r>
        <w:rPr>
          <w:rFonts w:ascii="Arial" w:cs="Arial" w:eastAsia="Arial" w:hAnsi="Arial"/>
          <w:sz w:val="23"/>
          <w:szCs w:val="23"/>
          <w:b w:val="1"/>
          <w:bCs w:val="1"/>
          <w:color w:val="231F20"/>
          <w:vertAlign w:val="superscript"/>
        </w:rPr>
        <w:t>th</w:t>
      </w:r>
      <w:r>
        <w:rPr>
          <w:rFonts w:ascii="Arial" w:cs="Arial" w:eastAsia="Arial" w:hAnsi="Arial"/>
          <w:sz w:val="18"/>
          <w:szCs w:val="18"/>
          <w:b w:val="1"/>
          <w:bCs w:val="1"/>
          <w:color w:val="231F20"/>
        </w:rPr>
        <w:t>) day following the Separation Date. For purposes of clarity, such RSUs will be subject to any applicable tax withholdings and, unless determined otherwise by the administrator of the Plan in accordance with the applicable Award Documents, any applicable tax withholdings will be satisfied by having the Company withhold otherwise deliverable Shares under such RSUs having a fair market value equal to the amount necessary to meet such withholding obligations with respect to the RSUs. The exercise of Employee</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vested Options shall continue to be governed by the terms and conditions of the applicable Award Documents except as otherwise expressly set forth in this Agreement.</w:t>
      </w:r>
    </w:p>
    <w:p>
      <w:pPr>
        <w:spacing w:after="0" w:line="259" w:lineRule="exact"/>
        <w:rPr>
          <w:rFonts w:ascii="Arial" w:cs="Arial" w:eastAsia="Arial" w:hAnsi="Arial"/>
          <w:sz w:val="18"/>
          <w:szCs w:val="18"/>
          <w:b w:val="1"/>
          <w:bCs w:val="1"/>
          <w:color w:val="231F20"/>
        </w:rPr>
      </w:pPr>
    </w:p>
    <w:p>
      <w:pPr>
        <w:jc w:val="both"/>
        <w:ind w:firstLine="1397"/>
        <w:spacing w:after="0" w:line="245" w:lineRule="exact"/>
        <w:tabs>
          <w:tab w:leader="none" w:pos="1985" w:val="left"/>
        </w:tabs>
        <w:numPr>
          <w:ilvl w:val="1"/>
          <w:numId w:val="36"/>
        </w:numPr>
        <w:rPr>
          <w:rFonts w:ascii="Arial" w:cs="Arial" w:eastAsia="Arial" w:hAnsi="Arial"/>
          <w:sz w:val="17"/>
          <w:szCs w:val="17"/>
          <w:b w:val="1"/>
          <w:bCs w:val="1"/>
          <w:color w:val="231F20"/>
        </w:rPr>
      </w:pPr>
      <w:r>
        <w:rPr>
          <w:rFonts w:ascii="Arial" w:cs="Arial" w:eastAsia="Arial" w:hAnsi="Arial"/>
          <w:sz w:val="17"/>
          <w:szCs w:val="17"/>
          <w:b w:val="1"/>
          <w:bCs w:val="1"/>
          <w:color w:val="231F20"/>
        </w:rPr>
        <w:t xml:space="preserve">Option Post-Termination Exercise Period Extension. As of the Effective Date of this Agreement, each Option, to the extent vested as of the Separation Date or subject to or eligible for vesting acceleration in accordance with subsection c. above or subsection e. below, shall be amended to provide that such Option shall be exercisable, to the extent such Option is or becomes vested, until February 8, 2026, subject to earlier termination in accordance with the Award Documents and provided that in no event may any Option be exercised beyond the maximum term applicable to such Option. Executive acknowledges and agrees that the foregoing is an amendment of the Options that constitutes a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modification</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of the Options, resulting in the deemed re-grant of the Options for purposes of the rules governing incentive stock options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ISOs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under Section 422 of the Internal Revenue Code (the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Code</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Executive further acknowledges and agrees that amending any Options that are intended to qualify as ISOs pursuant to this amendment will result in such Options being converted into non-statutory stock options for tax purposes as of the Effective Date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NSOs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to the extent the Options do not satisfy all of the qualification requirements for ISO status as of such amendment date. Upon the exercise of any NSOs, Executive will be treated as having received compensation income from the Company (taxable at ordinary income tax rates) equal to the excess, if any, of the aggregate fair market value of the exercised Shares on the date of exercise over their aggregate exercise price. In that case, in addition to the payment of the aggregate exercise price, Executive</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exercise of the NSOs is conditioned on payment to the Company of any applicable federal, state, and/or local withholding obligations arising in connection with</w:t>
      </w:r>
    </w:p>
    <w:p>
      <w:pPr>
        <w:sectPr>
          <w:pgSz w:w="12240" w:h="15840" w:orient="portrait"/>
          <w:cols w:equalWidth="0" w:num="1">
            <w:col w:w="9380"/>
          </w:cols>
          <w:pgMar w:left="1440" w:top="1440" w:right="1420" w:bottom="470" w:gutter="0" w:footer="0" w:header="0"/>
        </w:sectPr>
      </w:pP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231F20"/>
        </w:rPr>
        <w:t>2</w:t>
      </w:r>
    </w:p>
    <w:p>
      <w:pPr>
        <w:sectPr>
          <w:pgSz w:w="12240" w:h="15840" w:orient="portrait"/>
          <w:cols w:equalWidth="0" w:num="1">
            <w:col w:w="9380"/>
          </w:cols>
          <w:pgMar w:left="1440" w:top="1440" w:right="1420" w:bottom="470" w:gutter="0" w:footer="0" w:header="0"/>
          <w:type w:val="continuous"/>
        </w:sectPr>
      </w:pPr>
    </w:p>
    <w:bookmarkStart w:id="155" w:name="page156"/>
    <w:bookmarkEnd w:id="155"/>
    <w:p>
      <w:pPr>
        <w:spacing w:after="0" w:line="105" w:lineRule="exact"/>
        <w:rPr>
          <w:sz w:val="20"/>
          <w:szCs w:val="20"/>
          <w:color w:val="auto"/>
        </w:rPr>
      </w:pPr>
    </w:p>
    <w:p>
      <w:pPr>
        <w:jc w:val="both"/>
        <w:spacing w:after="0" w:line="243" w:lineRule="exact"/>
        <w:rPr>
          <w:sz w:val="20"/>
          <w:szCs w:val="20"/>
          <w:color w:val="auto"/>
        </w:rPr>
      </w:pPr>
      <w:r>
        <w:rPr>
          <w:rFonts w:ascii="Arial" w:cs="Arial" w:eastAsia="Arial" w:hAnsi="Arial"/>
          <w:sz w:val="20"/>
          <w:szCs w:val="20"/>
          <w:b w:val="1"/>
          <w:bCs w:val="1"/>
          <w:color w:val="231F20"/>
        </w:rPr>
        <w:t>such exercise. Executive acknowledges and agrees that Executive remains solely responsible for all employee-related withholdings associated with the exercise of any Options. Executive further acknowledges that the Company has advised Executive to consult with Executive</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s own tax adviser regarding the tax status of the Options and the tax consequences to Executive of Executive</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s exercise of the Options and disposition of any Shares acquired upon such exercise.</w:t>
      </w:r>
    </w:p>
    <w:p>
      <w:pPr>
        <w:spacing w:after="0" w:line="257" w:lineRule="exact"/>
        <w:rPr>
          <w:sz w:val="20"/>
          <w:szCs w:val="20"/>
          <w:color w:val="auto"/>
        </w:rPr>
      </w:pPr>
    </w:p>
    <w:p>
      <w:pPr>
        <w:jc w:val="both"/>
        <w:ind w:firstLine="1397"/>
        <w:spacing w:after="0" w:line="245" w:lineRule="exact"/>
        <w:tabs>
          <w:tab w:leader="none" w:pos="1985" w:val="left"/>
        </w:tabs>
        <w:numPr>
          <w:ilvl w:val="1"/>
          <w:numId w:val="37"/>
        </w:numPr>
        <w:rPr>
          <w:rFonts w:ascii="Arial" w:cs="Arial" w:eastAsia="Arial" w:hAnsi="Arial"/>
          <w:sz w:val="18"/>
          <w:szCs w:val="18"/>
          <w:b w:val="1"/>
          <w:bCs w:val="1"/>
          <w:color w:val="231F20"/>
        </w:rPr>
      </w:pPr>
      <w:r>
        <w:rPr>
          <w:rFonts w:ascii="Arial" w:cs="Arial" w:eastAsia="Arial" w:hAnsi="Arial"/>
          <w:sz w:val="18"/>
          <w:szCs w:val="18"/>
          <w:b w:val="1"/>
          <w:bCs w:val="1"/>
          <w:color w:val="231F20"/>
        </w:rPr>
        <w:t xml:space="preserve">Change in Control. If a Change in Control occurs within three (3) months following the Separation Date, then the Company will provide Executive an additional lump sum cash payment in an amount equal to $227,200.95, less any applicable withholdings, which will be paid on or within thirty (30) days following the date of the Change in Control. Further, any Awards that are outstanding and unvested as of the Separation Date and that do not vest pursuant to subsection c. above (the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Unvested Awards</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will remain outstanding and unvested until the earlier of (x) a Change in Control or (y) the CIC Deadline Date; provided that in no event will any Unvested Awards that are options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Unvested Options</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 remain outstanding beyond its maximum term to expiration. If a Change in Control occurs by the CIC Deadline Date, then as of immediately prior to such Change in Control, any then outstanding Unvested Awards that constitute Time Awards will accelerate vesting in full, and the post-termination exercise period provided under subsection d. above will apply to any such Unvested Options that vest. For purposes of this subsection e.,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Time Award</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 means any Unvested Award (or portion thereof) that as of immediately prior to the Change in Control, is not subject to the achievement of any performance-based or other similar vesting criteria (including, for clarity, any performance-based RSUs or portion thereof that has become eligible to vest upon a certification thereunder of performance in connection with the Change in Control but excluding any performance-based RSUs or portion thereof for which performance has been deemed not met pursuant to such certification, which instead will be forfeited without having vested). For purposes of this subsection e.,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Change in Control</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 will have the meaning ascribed to such term in that certain Change in Control and Severance Agreement entered into between the Company and Executive dated July 9, 2020 (the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CIC Agreement</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Except as provided in this subsection e., no additional vesting of the Unvested Awards will occur following the Separation Date. If no Change in Control occurs by the CIC Deadline Date, the Unvested Awards automatically and permanently will be forfeited as of the end of the CIC Deadline Date without having vested. Any RSUs that accelerate vesting in accordance with this subsection e. will be settled by the Company no later than the sixtieth (60</w:t>
      </w:r>
      <w:r>
        <w:rPr>
          <w:rFonts w:ascii="Arial" w:cs="Arial" w:eastAsia="Arial" w:hAnsi="Arial"/>
          <w:sz w:val="23"/>
          <w:szCs w:val="23"/>
          <w:b w:val="1"/>
          <w:bCs w:val="1"/>
          <w:color w:val="231F20"/>
          <w:vertAlign w:val="superscript"/>
        </w:rPr>
        <w:t>th</w:t>
      </w:r>
      <w:r>
        <w:rPr>
          <w:rFonts w:ascii="Arial" w:cs="Arial" w:eastAsia="Arial" w:hAnsi="Arial"/>
          <w:sz w:val="18"/>
          <w:szCs w:val="18"/>
          <w:b w:val="1"/>
          <w:bCs w:val="1"/>
          <w:color w:val="231F20"/>
        </w:rPr>
        <w:t>) day following the Separation Date, or if later, on a date on or before the completion of a Change in Control. For purposes of clarity, such RSUs will be subject to any applicable tax withholdings and, unless determined otherwise by the administrator of the Plan in accordance with the applicable Award Documents, any applicable tax withholdings will be satisfied by having the Company withhold otherwise deliverable Shares under such RSUs having a fair market value equal to the amount necessary to meet such withholding obligations with respect to the RSUs.</w:t>
      </w:r>
    </w:p>
    <w:p>
      <w:pPr>
        <w:spacing w:after="0" w:line="263" w:lineRule="exact"/>
        <w:rPr>
          <w:rFonts w:ascii="Arial" w:cs="Arial" w:eastAsia="Arial" w:hAnsi="Arial"/>
          <w:sz w:val="18"/>
          <w:szCs w:val="18"/>
          <w:b w:val="1"/>
          <w:bCs w:val="1"/>
          <w:color w:val="231F20"/>
        </w:rPr>
      </w:pPr>
    </w:p>
    <w:p>
      <w:pPr>
        <w:jc w:val="both"/>
        <w:ind w:firstLine="1397"/>
        <w:spacing w:after="0" w:line="242" w:lineRule="auto"/>
        <w:tabs>
          <w:tab w:leader="none" w:pos="1985" w:val="left"/>
        </w:tabs>
        <w:numPr>
          <w:ilvl w:val="1"/>
          <w:numId w:val="37"/>
        </w:numPr>
        <w:rPr>
          <w:rFonts w:ascii="Arial" w:cs="Arial" w:eastAsia="Arial" w:hAnsi="Arial"/>
          <w:sz w:val="21"/>
          <w:szCs w:val="21"/>
          <w:b w:val="1"/>
          <w:bCs w:val="1"/>
          <w:color w:val="231F20"/>
        </w:rPr>
      </w:pPr>
      <w:r>
        <w:rPr>
          <w:rFonts w:ascii="Arial" w:cs="Arial" w:eastAsia="Arial" w:hAnsi="Arial"/>
          <w:sz w:val="21"/>
          <w:szCs w:val="21"/>
          <w:b w:val="1"/>
          <w:bCs w:val="1"/>
          <w:color w:val="231F20"/>
        </w:rPr>
        <w:t>Acknowledgement. Executive acknowledges that without this Agreement, Executive is otherwise not entitled to the consideration listed in this Section 1. Executive further acknowledges and agrees that consideration for this Agreement does not constitute, in whole or in part, any bonus, raise, employment, or continued employment.</w:t>
      </w:r>
    </w:p>
    <w:p>
      <w:pPr>
        <w:spacing w:after="0" w:line="252" w:lineRule="exact"/>
        <w:rPr>
          <w:rFonts w:ascii="Arial" w:cs="Arial" w:eastAsia="Arial" w:hAnsi="Arial"/>
          <w:sz w:val="21"/>
          <w:szCs w:val="21"/>
          <w:b w:val="1"/>
          <w:bCs w:val="1"/>
          <w:color w:val="231F20"/>
        </w:rPr>
      </w:pPr>
    </w:p>
    <w:p>
      <w:pPr>
        <w:jc w:val="both"/>
        <w:ind w:right="20" w:firstLine="698"/>
        <w:spacing w:after="0" w:line="244" w:lineRule="exact"/>
        <w:tabs>
          <w:tab w:leader="none" w:pos="1286" w:val="left"/>
        </w:tabs>
        <w:numPr>
          <w:ilvl w:val="0"/>
          <w:numId w:val="38"/>
        </w:numPr>
        <w:rPr>
          <w:rFonts w:ascii="Arial" w:cs="Arial" w:eastAsia="Arial" w:hAnsi="Arial"/>
          <w:sz w:val="18"/>
          <w:szCs w:val="18"/>
          <w:b w:val="1"/>
          <w:bCs w:val="1"/>
          <w:color w:val="231F20"/>
        </w:rPr>
      </w:pPr>
      <w:r>
        <w:rPr>
          <w:rFonts w:ascii="Arial" w:cs="Arial" w:eastAsia="Arial" w:hAnsi="Arial"/>
          <w:sz w:val="18"/>
          <w:szCs w:val="18"/>
          <w:b w:val="1"/>
          <w:bCs w:val="1"/>
          <w:u w:val="single" w:color="auto"/>
          <w:color w:val="231F20"/>
        </w:rPr>
        <w:t>Benefits</w:t>
      </w:r>
      <w:r>
        <w:rPr>
          <w:rFonts w:ascii="Arial" w:cs="Arial" w:eastAsia="Arial" w:hAnsi="Arial"/>
          <w:sz w:val="18"/>
          <w:szCs w:val="18"/>
          <w:b w:val="1"/>
          <w:bCs w:val="1"/>
          <w:color w:val="231F20"/>
        </w:rPr>
        <w:t>. Executive</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health insurance benefits shall cease on the last day of the month in which the Separation Date occurs, subject to Executive</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right to continue Executive</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health insurance under COBRA. Executive</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participation in all benefits and incidents of employment, including, but not limited to, the accrual of bonuses, vacation, and paid time off, ceased as of the Separation Date.</w:t>
      </w:r>
    </w:p>
    <w:p>
      <w:pPr>
        <w:spacing w:after="0" w:line="253" w:lineRule="exact"/>
        <w:rPr>
          <w:rFonts w:ascii="Arial" w:cs="Arial" w:eastAsia="Arial" w:hAnsi="Arial"/>
          <w:sz w:val="18"/>
          <w:szCs w:val="18"/>
          <w:b w:val="1"/>
          <w:bCs w:val="1"/>
          <w:color w:val="231F20"/>
        </w:rPr>
      </w:pPr>
    </w:p>
    <w:p>
      <w:pPr>
        <w:jc w:val="both"/>
        <w:ind w:firstLine="698"/>
        <w:spacing w:after="0" w:line="293" w:lineRule="auto"/>
        <w:tabs>
          <w:tab w:leader="none" w:pos="1286" w:val="left"/>
        </w:tabs>
        <w:numPr>
          <w:ilvl w:val="0"/>
          <w:numId w:val="38"/>
        </w:numPr>
        <w:rPr>
          <w:rFonts w:ascii="Arial" w:cs="Arial" w:eastAsia="Arial" w:hAnsi="Arial"/>
          <w:sz w:val="18"/>
          <w:szCs w:val="18"/>
          <w:b w:val="1"/>
          <w:bCs w:val="1"/>
          <w:color w:val="231F20"/>
        </w:rPr>
      </w:pPr>
      <w:r>
        <w:rPr>
          <w:rFonts w:ascii="Arial" w:cs="Arial" w:eastAsia="Arial" w:hAnsi="Arial"/>
          <w:sz w:val="18"/>
          <w:szCs w:val="18"/>
          <w:b w:val="1"/>
          <w:bCs w:val="1"/>
          <w:u w:val="single" w:color="auto"/>
          <w:color w:val="231F20"/>
        </w:rPr>
        <w:t>Payment of Salary and Receipt of All Benefits</w:t>
      </w:r>
      <w:r>
        <w:rPr>
          <w:rFonts w:ascii="Arial" w:cs="Arial" w:eastAsia="Arial" w:hAnsi="Arial"/>
          <w:sz w:val="18"/>
          <w:szCs w:val="18"/>
          <w:b w:val="1"/>
          <w:bCs w:val="1"/>
          <w:color w:val="231F20"/>
        </w:rPr>
        <w:t>. Executive acknowledges and represents that, other than the consideration set forth in this Agreement, the Company has paid or provided all salary, wages, bonuses, accrued vacation/paid time off, premiums, leaves, housing allowances, relocation costs, interest, severance, outplacement costs, fees, reimbursable expenses, commissions, stock, stock options and other equity awards, vesting, and any and all other benefits and compensation due to Executive.</w:t>
      </w:r>
    </w:p>
    <w:p>
      <w:pPr>
        <w:spacing w:after="0" w:line="207" w:lineRule="exact"/>
        <w:rPr>
          <w:rFonts w:ascii="Arial" w:cs="Arial" w:eastAsia="Arial" w:hAnsi="Arial"/>
          <w:sz w:val="18"/>
          <w:szCs w:val="18"/>
          <w:b w:val="1"/>
          <w:bCs w:val="1"/>
          <w:color w:val="231F20"/>
        </w:rPr>
      </w:pPr>
    </w:p>
    <w:p>
      <w:pPr>
        <w:ind w:left="1280" w:hanging="582"/>
        <w:spacing w:after="0" w:line="231" w:lineRule="exact"/>
        <w:tabs>
          <w:tab w:leader="none" w:pos="1280" w:val="left"/>
        </w:tabs>
        <w:numPr>
          <w:ilvl w:val="0"/>
          <w:numId w:val="38"/>
        </w:numPr>
        <w:rPr>
          <w:rFonts w:ascii="Arial" w:cs="Arial" w:eastAsia="Arial" w:hAnsi="Arial"/>
          <w:sz w:val="19"/>
          <w:szCs w:val="19"/>
          <w:b w:val="1"/>
          <w:bCs w:val="1"/>
          <w:color w:val="231F20"/>
        </w:rPr>
      </w:pPr>
      <w:r>
        <w:rPr>
          <w:rFonts w:ascii="Arial" w:cs="Arial" w:eastAsia="Arial" w:hAnsi="Arial"/>
          <w:sz w:val="19"/>
          <w:szCs w:val="19"/>
          <w:b w:val="1"/>
          <w:bCs w:val="1"/>
          <w:u w:val="single" w:color="auto"/>
          <w:color w:val="231F20"/>
        </w:rPr>
        <w:t>Executive</w:t>
      </w:r>
      <w:r>
        <w:rPr>
          <w:rFonts w:ascii="PMingLiU" w:cs="PMingLiU" w:eastAsia="PMingLiU" w:hAnsi="PMingLiU"/>
          <w:sz w:val="19"/>
          <w:szCs w:val="19"/>
          <w:b w:val="1"/>
          <w:bCs w:val="1"/>
          <w:u w:val="single" w:color="auto"/>
          <w:color w:val="231F20"/>
        </w:rPr>
        <w:t></w:t>
      </w:r>
      <w:r>
        <w:rPr>
          <w:rFonts w:ascii="Arial" w:cs="Arial" w:eastAsia="Arial" w:hAnsi="Arial"/>
          <w:sz w:val="19"/>
          <w:szCs w:val="19"/>
          <w:b w:val="1"/>
          <w:bCs w:val="1"/>
          <w:u w:val="single" w:color="auto"/>
          <w:color w:val="231F20"/>
        </w:rPr>
        <w:t>s Release of Claims Against the Company</w:t>
      </w:r>
      <w:r>
        <w:rPr>
          <w:rFonts w:ascii="Arial" w:cs="Arial" w:eastAsia="Arial" w:hAnsi="Arial"/>
          <w:sz w:val="19"/>
          <w:szCs w:val="19"/>
          <w:b w:val="1"/>
          <w:bCs w:val="1"/>
          <w:color w:val="231F20"/>
        </w:rPr>
        <w:t>. Executive agrees that the foregoing</w:t>
      </w:r>
    </w:p>
    <w:p>
      <w:pPr>
        <w:sectPr>
          <w:pgSz w:w="12240" w:h="15840" w:orient="portrait"/>
          <w:cols w:equalWidth="0" w:num="1">
            <w:col w:w="9380"/>
          </w:cols>
          <w:pgMar w:left="1440" w:top="1440" w:right="1420" w:bottom="470" w:gutter="0" w:footer="0" w:header="0"/>
        </w:sectPr>
      </w:pP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231F20"/>
        </w:rPr>
        <w:t>3</w:t>
      </w:r>
    </w:p>
    <w:p>
      <w:pPr>
        <w:sectPr>
          <w:pgSz w:w="12240" w:h="15840" w:orient="portrait"/>
          <w:cols w:equalWidth="0" w:num="1">
            <w:col w:w="9380"/>
          </w:cols>
          <w:pgMar w:left="1440" w:top="1440" w:right="1420" w:bottom="470" w:gutter="0" w:footer="0" w:header="0"/>
          <w:type w:val="continuous"/>
        </w:sectPr>
      </w:pPr>
    </w:p>
    <w:bookmarkStart w:id="156" w:name="page157"/>
    <w:bookmarkEnd w:id="156"/>
    <w:p>
      <w:pPr>
        <w:spacing w:after="0" w:line="105" w:lineRule="exact"/>
        <w:rPr>
          <w:sz w:val="20"/>
          <w:szCs w:val="20"/>
          <w:color w:val="auto"/>
        </w:rPr>
      </w:pPr>
    </w:p>
    <w:p>
      <w:pPr>
        <w:jc w:val="both"/>
        <w:spacing w:after="0" w:line="245" w:lineRule="exact"/>
        <w:rPr>
          <w:sz w:val="20"/>
          <w:szCs w:val="20"/>
          <w:color w:val="auto"/>
        </w:rPr>
      </w:pPr>
      <w:r>
        <w:rPr>
          <w:rFonts w:ascii="Arial" w:cs="Arial" w:eastAsia="Arial" w:hAnsi="Arial"/>
          <w:sz w:val="17"/>
          <w:szCs w:val="17"/>
          <w:b w:val="1"/>
          <w:bCs w:val="1"/>
          <w:color w:val="231F20"/>
        </w:rPr>
        <w:t xml:space="preserve">consideration represents settlement in full of all outstanding obligations owed to Executive by the Company, its parents, subsidiaries, and affiliates, and each of their respective current and former officers, directors, employees, agents, investors, attorneys, shareholders, administrators, affiliates, benefit plans, plan administrators, professional employer organization or co-employer, insurers, trustees, divisions, subsidiaries, predecessor and successor corporations, and assigns (collectively, the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Releasees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Executive, on Executive</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own behalf and on behalf of Executive</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respective heirs, family members, executors, agents, and assigns, hereby and forever releases the Releasees from, and agrees not to sue concerning, or in any manner to institute, prosecute, or pursue, any claim, complaint, charge, duty, obligation, demand, or cause of action relating to any matters of any kind, whether presently known or unknown, suspected or unsuspected, that Executive may possess against any of the Releasees arising from any omissions, acts, facts, or damages that have occurred up until and including the date Executive signs this Agreement, including, without limitation:</w:t>
      </w:r>
    </w:p>
    <w:p>
      <w:pPr>
        <w:spacing w:after="0" w:line="258" w:lineRule="exact"/>
        <w:rPr>
          <w:sz w:val="20"/>
          <w:szCs w:val="20"/>
          <w:color w:val="auto"/>
        </w:rPr>
      </w:pPr>
    </w:p>
    <w:p>
      <w:pPr>
        <w:ind w:right="20" w:firstLine="1397"/>
        <w:spacing w:after="0" w:line="240" w:lineRule="exact"/>
        <w:tabs>
          <w:tab w:leader="none" w:pos="1984" w:val="left"/>
        </w:tabs>
        <w:numPr>
          <w:ilvl w:val="0"/>
          <w:numId w:val="39"/>
        </w:numPr>
        <w:rPr>
          <w:rFonts w:ascii="Arial" w:cs="Arial" w:eastAsia="Arial" w:hAnsi="Arial"/>
          <w:sz w:val="21"/>
          <w:szCs w:val="21"/>
          <w:b w:val="1"/>
          <w:bCs w:val="1"/>
          <w:color w:val="231F20"/>
        </w:rPr>
      </w:pPr>
      <w:r>
        <w:rPr>
          <w:rFonts w:ascii="Arial" w:cs="Arial" w:eastAsia="Arial" w:hAnsi="Arial"/>
          <w:sz w:val="21"/>
          <w:szCs w:val="21"/>
          <w:b w:val="1"/>
          <w:bCs w:val="1"/>
          <w:color w:val="231F20"/>
        </w:rPr>
        <w:t>any and all claims relating to or arising from Executive</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s employment relationship with the Company and the termination of that relationship;</w:t>
      </w:r>
    </w:p>
    <w:p>
      <w:pPr>
        <w:spacing w:after="0" w:line="254" w:lineRule="exact"/>
        <w:rPr>
          <w:rFonts w:ascii="Arial" w:cs="Arial" w:eastAsia="Arial" w:hAnsi="Arial"/>
          <w:sz w:val="21"/>
          <w:szCs w:val="21"/>
          <w:b w:val="1"/>
          <w:bCs w:val="1"/>
          <w:color w:val="231F20"/>
        </w:rPr>
      </w:pPr>
    </w:p>
    <w:p>
      <w:pPr>
        <w:jc w:val="both"/>
        <w:ind w:right="20" w:firstLine="1397"/>
        <w:spacing w:after="0" w:line="243" w:lineRule="exact"/>
        <w:tabs>
          <w:tab w:leader="none" w:pos="1984" w:val="left"/>
        </w:tabs>
        <w:numPr>
          <w:ilvl w:val="0"/>
          <w:numId w:val="39"/>
        </w:numPr>
        <w:rPr>
          <w:rFonts w:ascii="Arial" w:cs="Arial" w:eastAsia="Arial" w:hAnsi="Arial"/>
          <w:sz w:val="21"/>
          <w:szCs w:val="21"/>
          <w:b w:val="1"/>
          <w:bCs w:val="1"/>
          <w:color w:val="231F20"/>
        </w:rPr>
      </w:pPr>
      <w:r>
        <w:rPr>
          <w:rFonts w:ascii="Arial" w:cs="Arial" w:eastAsia="Arial" w:hAnsi="Arial"/>
          <w:sz w:val="21"/>
          <w:szCs w:val="21"/>
          <w:b w:val="1"/>
          <w:bCs w:val="1"/>
          <w:color w:val="231F20"/>
        </w:rPr>
        <w:t>any and all claims relating to, or arising from, Executive</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255" w:lineRule="exact"/>
        <w:rPr>
          <w:rFonts w:ascii="Arial" w:cs="Arial" w:eastAsia="Arial" w:hAnsi="Arial"/>
          <w:sz w:val="21"/>
          <w:szCs w:val="21"/>
          <w:b w:val="1"/>
          <w:bCs w:val="1"/>
          <w:color w:val="231F20"/>
        </w:rPr>
      </w:pPr>
    </w:p>
    <w:p>
      <w:pPr>
        <w:jc w:val="both"/>
        <w:ind w:firstLine="1397"/>
        <w:spacing w:after="0" w:line="272" w:lineRule="auto"/>
        <w:tabs>
          <w:tab w:leader="none" w:pos="1984" w:val="left"/>
        </w:tabs>
        <w:numPr>
          <w:ilvl w:val="0"/>
          <w:numId w:val="39"/>
        </w:numPr>
        <w:rPr>
          <w:rFonts w:ascii="Arial" w:cs="Arial" w:eastAsia="Arial" w:hAnsi="Arial"/>
          <w:sz w:val="19"/>
          <w:szCs w:val="19"/>
          <w:b w:val="1"/>
          <w:bCs w:val="1"/>
          <w:color w:val="231F20"/>
        </w:rPr>
      </w:pPr>
      <w:r>
        <w:rPr>
          <w:rFonts w:ascii="Arial" w:cs="Arial" w:eastAsia="Arial" w:hAnsi="Arial"/>
          <w:sz w:val="19"/>
          <w:szCs w:val="19"/>
          <w:b w:val="1"/>
          <w:bCs w:val="1"/>
          <w:color w:val="231F20"/>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229" w:lineRule="exact"/>
        <w:rPr>
          <w:rFonts w:ascii="Arial" w:cs="Arial" w:eastAsia="Arial" w:hAnsi="Arial"/>
          <w:sz w:val="19"/>
          <w:szCs w:val="19"/>
          <w:b w:val="1"/>
          <w:bCs w:val="1"/>
          <w:color w:val="231F20"/>
        </w:rPr>
      </w:pPr>
    </w:p>
    <w:p>
      <w:pPr>
        <w:jc w:val="both"/>
        <w:ind w:firstLine="1397"/>
        <w:spacing w:after="0" w:line="244" w:lineRule="exact"/>
        <w:tabs>
          <w:tab w:leader="none" w:pos="1984" w:val="left"/>
        </w:tabs>
        <w:numPr>
          <w:ilvl w:val="0"/>
          <w:numId w:val="39"/>
        </w:numPr>
        <w:rPr>
          <w:rFonts w:ascii="Arial" w:cs="Arial" w:eastAsia="Arial" w:hAnsi="Arial"/>
          <w:sz w:val="18"/>
          <w:szCs w:val="18"/>
          <w:b w:val="1"/>
          <w:bCs w:val="1"/>
          <w:color w:val="231F20"/>
        </w:rPr>
      </w:pPr>
      <w:r>
        <w:rPr>
          <w:rFonts w:ascii="Arial" w:cs="Arial" w:eastAsia="Arial" w:hAnsi="Arial"/>
          <w:sz w:val="18"/>
          <w:szCs w:val="18"/>
          <w:b w:val="1"/>
          <w:bCs w:val="1"/>
          <w:color w:val="231F20"/>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Immigration Reform and Control Act, the National Labor Relations Act, the California Family Rights Act, the California Labor Code, the California Workers</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 Compensation Act, and the California Fair Employment and Housing Act;</w:t>
      </w:r>
    </w:p>
    <w:p>
      <w:pPr>
        <w:spacing w:after="0" w:line="248" w:lineRule="exact"/>
        <w:rPr>
          <w:rFonts w:ascii="Arial" w:cs="Arial" w:eastAsia="Arial" w:hAnsi="Arial"/>
          <w:sz w:val="18"/>
          <w:szCs w:val="18"/>
          <w:b w:val="1"/>
          <w:bCs w:val="1"/>
          <w:color w:val="231F20"/>
        </w:rPr>
      </w:pPr>
    </w:p>
    <w:p>
      <w:pPr>
        <w:ind w:left="1980" w:hanging="583"/>
        <w:spacing w:after="0"/>
        <w:tabs>
          <w:tab w:leader="none" w:pos="1980" w:val="left"/>
        </w:tabs>
        <w:numPr>
          <w:ilvl w:val="0"/>
          <w:numId w:val="39"/>
        </w:numPr>
        <w:rPr>
          <w:rFonts w:ascii="Arial" w:cs="Arial" w:eastAsia="Arial" w:hAnsi="Arial"/>
          <w:sz w:val="21"/>
          <w:szCs w:val="21"/>
          <w:b w:val="1"/>
          <w:bCs w:val="1"/>
          <w:color w:val="231F20"/>
        </w:rPr>
      </w:pPr>
      <w:r>
        <w:rPr>
          <w:rFonts w:ascii="Arial" w:cs="Arial" w:eastAsia="Arial" w:hAnsi="Arial"/>
          <w:sz w:val="21"/>
          <w:szCs w:val="21"/>
          <w:b w:val="1"/>
          <w:bCs w:val="1"/>
          <w:color w:val="231F20"/>
        </w:rPr>
        <w:t>any and all claims for violation of the federal or any state constitution;</w:t>
      </w:r>
    </w:p>
    <w:p>
      <w:pPr>
        <w:spacing w:after="0" w:line="255" w:lineRule="exact"/>
        <w:rPr>
          <w:rFonts w:ascii="Arial" w:cs="Arial" w:eastAsia="Arial" w:hAnsi="Arial"/>
          <w:sz w:val="21"/>
          <w:szCs w:val="21"/>
          <w:b w:val="1"/>
          <w:bCs w:val="1"/>
          <w:color w:val="231F20"/>
        </w:rPr>
      </w:pPr>
    </w:p>
    <w:p>
      <w:pPr>
        <w:ind w:right="20" w:firstLine="1397"/>
        <w:spacing w:after="0" w:line="239" w:lineRule="auto"/>
        <w:tabs>
          <w:tab w:leader="none" w:pos="1984" w:val="left"/>
        </w:tabs>
        <w:numPr>
          <w:ilvl w:val="0"/>
          <w:numId w:val="39"/>
        </w:numPr>
        <w:rPr>
          <w:rFonts w:ascii="Arial" w:cs="Arial" w:eastAsia="Arial" w:hAnsi="Arial"/>
          <w:sz w:val="21"/>
          <w:szCs w:val="21"/>
          <w:b w:val="1"/>
          <w:bCs w:val="1"/>
          <w:color w:val="231F20"/>
        </w:rPr>
      </w:pPr>
      <w:r>
        <w:rPr>
          <w:rFonts w:ascii="Arial" w:cs="Arial" w:eastAsia="Arial" w:hAnsi="Arial"/>
          <w:sz w:val="21"/>
          <w:szCs w:val="21"/>
          <w:b w:val="1"/>
          <w:bCs w:val="1"/>
          <w:color w:val="231F20"/>
        </w:rPr>
        <w:t>any and all claims arising out of any other laws and regulations relating to employment or employment discrimination;</w:t>
      </w:r>
    </w:p>
    <w:p>
      <w:pPr>
        <w:spacing w:after="0" w:line="253" w:lineRule="exact"/>
        <w:rPr>
          <w:rFonts w:ascii="Arial" w:cs="Arial" w:eastAsia="Arial" w:hAnsi="Arial"/>
          <w:sz w:val="21"/>
          <w:szCs w:val="21"/>
          <w:b w:val="1"/>
          <w:bCs w:val="1"/>
          <w:color w:val="231F20"/>
        </w:rPr>
      </w:pPr>
    </w:p>
    <w:p>
      <w:pPr>
        <w:jc w:val="both"/>
        <w:ind w:firstLine="1397"/>
        <w:spacing w:after="0"/>
        <w:tabs>
          <w:tab w:leader="none" w:pos="1984" w:val="left"/>
        </w:tabs>
        <w:numPr>
          <w:ilvl w:val="0"/>
          <w:numId w:val="39"/>
        </w:numPr>
        <w:rPr>
          <w:rFonts w:ascii="Arial" w:cs="Arial" w:eastAsia="Arial" w:hAnsi="Arial"/>
          <w:sz w:val="21"/>
          <w:szCs w:val="21"/>
          <w:b w:val="1"/>
          <w:bCs w:val="1"/>
          <w:color w:val="231F20"/>
        </w:rPr>
      </w:pPr>
      <w:r>
        <w:rPr>
          <w:rFonts w:ascii="Arial" w:cs="Arial" w:eastAsia="Arial" w:hAnsi="Arial"/>
          <w:sz w:val="21"/>
          <w:szCs w:val="21"/>
          <w:b w:val="1"/>
          <w:bCs w:val="1"/>
          <w:color w:val="231F20"/>
        </w:rPr>
        <w:t>any claim for any loss, cost, damage, or expense arising out of any dispute over the nonwithholding or other tax treatment of any of the proceeds received by Executive as a result of this Agreement; and</w:t>
      </w:r>
    </w:p>
    <w:p>
      <w:pPr>
        <w:spacing w:after="0" w:line="236" w:lineRule="exact"/>
        <w:rPr>
          <w:rFonts w:ascii="Arial" w:cs="Arial" w:eastAsia="Arial" w:hAnsi="Arial"/>
          <w:sz w:val="21"/>
          <w:szCs w:val="21"/>
          <w:b w:val="1"/>
          <w:bCs w:val="1"/>
          <w:color w:val="231F20"/>
        </w:rPr>
      </w:pPr>
    </w:p>
    <w:p>
      <w:pPr>
        <w:ind w:left="1980" w:hanging="583"/>
        <w:spacing w:after="0" w:line="255" w:lineRule="exact"/>
        <w:tabs>
          <w:tab w:leader="none" w:pos="1980" w:val="left"/>
        </w:tabs>
        <w:numPr>
          <w:ilvl w:val="0"/>
          <w:numId w:val="39"/>
        </w:numPr>
        <w:rPr>
          <w:rFonts w:ascii="Arial" w:cs="Arial" w:eastAsia="Arial" w:hAnsi="Arial"/>
          <w:sz w:val="21"/>
          <w:szCs w:val="21"/>
          <w:b w:val="1"/>
          <w:bCs w:val="1"/>
          <w:color w:val="231F20"/>
        </w:rPr>
      </w:pPr>
      <w:r>
        <w:rPr>
          <w:rFonts w:ascii="Arial" w:cs="Arial" w:eastAsia="Arial" w:hAnsi="Arial"/>
          <w:sz w:val="21"/>
          <w:szCs w:val="21"/>
          <w:b w:val="1"/>
          <w:bCs w:val="1"/>
          <w:color w:val="231F20"/>
        </w:rPr>
        <w:t>any and all claims for attorneys</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 xml:space="preserve"> fees and costs.</w:t>
      </w:r>
    </w:p>
    <w:p>
      <w:pPr>
        <w:spacing w:after="0" w:line="256" w:lineRule="exact"/>
        <w:rPr>
          <w:sz w:val="20"/>
          <w:szCs w:val="20"/>
          <w:color w:val="auto"/>
        </w:rPr>
      </w:pPr>
    </w:p>
    <w:p>
      <w:pPr>
        <w:jc w:val="both"/>
        <w:spacing w:after="0" w:line="244" w:lineRule="exact"/>
        <w:rPr>
          <w:sz w:val="20"/>
          <w:szCs w:val="20"/>
          <w:color w:val="auto"/>
        </w:rPr>
      </w:pPr>
      <w:r>
        <w:rPr>
          <w:rFonts w:ascii="Arial" w:cs="Arial" w:eastAsia="Arial" w:hAnsi="Arial"/>
          <w:sz w:val="18"/>
          <w:szCs w:val="18"/>
          <w:b w:val="1"/>
          <w:bCs w:val="1"/>
          <w:color w:val="231F20"/>
        </w:rPr>
        <w:t>Executive agrees that the release set forth in this section shall be and remain in effect in all respects as a complete general release as to the matters released. This release does not extend to any obligations incurred under this Agreement and does not extend to any vested benefits, equity or ownership interests, including without limitation, vested options and RSU. This release does not release claims that cannot be released as a matter of law, including without limitation Executive</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right to indemnification under California Labor Code</w:t>
      </w:r>
    </w:p>
    <w:p>
      <w:pPr>
        <w:sectPr>
          <w:pgSz w:w="12240" w:h="15840" w:orient="portrait"/>
          <w:cols w:equalWidth="0" w:num="1">
            <w:col w:w="9380"/>
          </w:cols>
          <w:pgMar w:left="1440" w:top="1440" w:right="1420" w:bottom="470" w:gutter="0" w:footer="0" w:header="0"/>
        </w:sectPr>
      </w:pP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231F20"/>
        </w:rPr>
        <w:t>4</w:t>
      </w:r>
    </w:p>
    <w:p>
      <w:pPr>
        <w:sectPr>
          <w:pgSz w:w="12240" w:h="15840" w:orient="portrait"/>
          <w:cols w:equalWidth="0" w:num="1">
            <w:col w:w="9380"/>
          </w:cols>
          <w:pgMar w:left="1440" w:top="1440" w:right="1420" w:bottom="470" w:gutter="0" w:footer="0" w:header="0"/>
          <w:type w:val="continuous"/>
        </w:sectPr>
      </w:pPr>
    </w:p>
    <w:bookmarkStart w:id="157" w:name="page158"/>
    <w:bookmarkEnd w:id="157"/>
    <w:p>
      <w:pPr>
        <w:spacing w:after="0" w:line="105" w:lineRule="exact"/>
        <w:rPr>
          <w:sz w:val="20"/>
          <w:szCs w:val="20"/>
          <w:color w:val="auto"/>
        </w:rPr>
      </w:pPr>
    </w:p>
    <w:p>
      <w:pPr>
        <w:jc w:val="both"/>
        <w:spacing w:after="0" w:line="274" w:lineRule="auto"/>
        <w:rPr>
          <w:sz w:val="20"/>
          <w:szCs w:val="20"/>
          <w:color w:val="auto"/>
        </w:rPr>
      </w:pPr>
      <w:r>
        <w:rPr>
          <w:rFonts w:ascii="Arial" w:cs="Arial" w:eastAsia="Arial" w:hAnsi="Arial"/>
          <w:sz w:val="19"/>
          <w:szCs w:val="19"/>
          <w:b w:val="1"/>
          <w:bCs w:val="1"/>
          <w:color w:val="231F20"/>
        </w:rPr>
        <w:t>Section 2802, and any other applicable state and federal law, and/or the by-laws, governing and operating documents and insurance policies of the Company or any successor or assign. Any and all disputed wage claims that are released herein shall be subject to binding arbitration in accordance with this Agreement, except as required by applicable law. This release does not extend to any right Executive may have to state unemployment compensation or disability benefits.</w:t>
      </w:r>
    </w:p>
    <w:p>
      <w:pPr>
        <w:spacing w:after="0" w:line="224" w:lineRule="exact"/>
        <w:rPr>
          <w:sz w:val="20"/>
          <w:szCs w:val="20"/>
          <w:color w:val="auto"/>
        </w:rPr>
      </w:pPr>
    </w:p>
    <w:p>
      <w:pPr>
        <w:jc w:val="both"/>
        <w:ind w:firstLine="698"/>
        <w:spacing w:after="0" w:line="245" w:lineRule="exact"/>
        <w:tabs>
          <w:tab w:leader="none" w:pos="1286" w:val="left"/>
        </w:tabs>
        <w:numPr>
          <w:ilvl w:val="0"/>
          <w:numId w:val="40"/>
        </w:numPr>
        <w:rPr>
          <w:rFonts w:ascii="Arial" w:cs="Arial" w:eastAsia="Arial" w:hAnsi="Arial"/>
          <w:sz w:val="18"/>
          <w:szCs w:val="18"/>
          <w:b w:val="1"/>
          <w:bCs w:val="1"/>
          <w:color w:val="231F20"/>
        </w:rPr>
      </w:pPr>
      <w:r>
        <w:rPr>
          <w:rFonts w:ascii="Arial" w:cs="Arial" w:eastAsia="Arial" w:hAnsi="Arial"/>
          <w:sz w:val="18"/>
          <w:szCs w:val="18"/>
          <w:b w:val="1"/>
          <w:bCs w:val="1"/>
          <w:u w:val="single" w:color="auto"/>
          <w:color w:val="231F20"/>
        </w:rPr>
        <w:t>Company Release of Claims Against Executive</w:t>
      </w:r>
      <w:r>
        <w:rPr>
          <w:rFonts w:ascii="Arial" w:cs="Arial" w:eastAsia="Arial" w:hAnsi="Arial"/>
          <w:sz w:val="18"/>
          <w:szCs w:val="18"/>
          <w:b w:val="1"/>
          <w:bCs w:val="1"/>
          <w:color w:val="231F20"/>
        </w:rPr>
        <w:t>. The Company agrees to hereby and forever release Executive from, and agree not to sue concerning, or in any manner to institute, prosecute, or pursue, any claim, complaint, charge, duty, obligations, demand, or cause of action relating to any matters of any kind, whether presently known or unknown, suspected or unsuspected, that the Company may possess against Executive arising from any omissions, act, facts, or damages that have occurred up until and including the date the Company signs this Agreement, including, without limitation, any and all claims, relating to or arising from Executive</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employment relationship with the company and the termination of that relationship and any other conduct, acts or omissions occurring through the date that the Company signs this Agreement. Notwithstanding anything to the contrary in this Section 5, this Agreement does not release any claims by the Company against Executive relating to fraud, embezzlement, misappropriation of the Company</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trade secrets, any conduct that is in violation of criminal law, any violation of the Confidentiality Agreement, and/or any obligations incurred under this Agreement.</w:t>
      </w:r>
    </w:p>
    <w:p>
      <w:pPr>
        <w:spacing w:after="0" w:line="255" w:lineRule="exact"/>
        <w:rPr>
          <w:rFonts w:ascii="Arial" w:cs="Arial" w:eastAsia="Arial" w:hAnsi="Arial"/>
          <w:sz w:val="18"/>
          <w:szCs w:val="18"/>
          <w:b w:val="1"/>
          <w:bCs w:val="1"/>
          <w:color w:val="231F20"/>
        </w:rPr>
      </w:pPr>
    </w:p>
    <w:p>
      <w:pPr>
        <w:jc w:val="both"/>
        <w:ind w:firstLine="698"/>
        <w:spacing w:after="0" w:line="245" w:lineRule="exact"/>
        <w:tabs>
          <w:tab w:leader="none" w:pos="1286" w:val="left"/>
        </w:tabs>
        <w:numPr>
          <w:ilvl w:val="0"/>
          <w:numId w:val="40"/>
        </w:numPr>
        <w:rPr>
          <w:rFonts w:ascii="Arial" w:cs="Arial" w:eastAsia="Arial" w:hAnsi="Arial"/>
          <w:sz w:val="17"/>
          <w:szCs w:val="17"/>
          <w:b w:val="1"/>
          <w:bCs w:val="1"/>
          <w:color w:val="231F20"/>
        </w:rPr>
      </w:pPr>
      <w:r>
        <w:rPr>
          <w:rFonts w:ascii="Arial" w:cs="Arial" w:eastAsia="Arial" w:hAnsi="Arial"/>
          <w:sz w:val="17"/>
          <w:szCs w:val="17"/>
          <w:b w:val="1"/>
          <w:bCs w:val="1"/>
          <w:u w:val="single" w:color="auto"/>
          <w:color w:val="231F20"/>
        </w:rPr>
        <w:t>Acknowledgment of Waiver of Claims under ADEA</w:t>
      </w:r>
      <w:r>
        <w:rPr>
          <w:rFonts w:ascii="Arial" w:cs="Arial" w:eastAsia="Arial" w:hAnsi="Arial"/>
          <w:sz w:val="17"/>
          <w:szCs w:val="17"/>
          <w:b w:val="1"/>
          <w:bCs w:val="1"/>
          <w:color w:val="231F20"/>
        </w:rPr>
        <w:t>. Executive acknowledges that Executive is waiving and releasing any rights Executive may have under the Age Discrimination in Employment Act of 1967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ADEA</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and that this waiver and release is knowing and voluntary. Executive agrees that this waiver and release does not apply to any rights or claims that may arise under the ADEA after the date Executive signs this Agreement. Executive acknowledges that the consideration given for this waiver and release is in addition to anything of value to which Executive was already entitled. Executive further acknowledges that Executive has been advised by this writing that: (a) Executive should consult with an attorney </w:t>
      </w:r>
      <w:r>
        <w:rPr>
          <w:rFonts w:ascii="Arial" w:cs="Arial" w:eastAsia="Arial" w:hAnsi="Arial"/>
          <w:sz w:val="17"/>
          <w:szCs w:val="17"/>
          <w:b w:val="1"/>
          <w:bCs w:val="1"/>
          <w:u w:val="single" w:color="auto"/>
          <w:color w:val="231F20"/>
        </w:rPr>
        <w:t>prior</w:t>
      </w:r>
      <w:r>
        <w:rPr>
          <w:rFonts w:ascii="Arial" w:cs="Arial" w:eastAsia="Arial" w:hAnsi="Arial"/>
          <w:sz w:val="17"/>
          <w:szCs w:val="17"/>
          <w:b w:val="1"/>
          <w:bCs w:val="1"/>
          <w:color w:val="231F20"/>
        </w:rPr>
        <w:t xml:space="preserve"> to executing this Agreement; (b) Executive has twenty-one (21) days within which to consider this Agreement; (c) Executive has seven (7) days following Executive</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execution of this Agreement to revoke this Agreement;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21-day period identified above, Executive hereby acknowledges that Executive has freely and voluntarily chosen to waive the time period allotted for considering this Agreement. Executive acknowledges and understands that revocation must be accomplished by a written notification to the person executing this Agreement on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behalf that is received prior to the Effective Date. The Parties agree that changes, whether material or immaterial, do not restart the running of the 21-day period.</w:t>
      </w:r>
    </w:p>
    <w:p>
      <w:pPr>
        <w:spacing w:after="0" w:line="267" w:lineRule="exact"/>
        <w:rPr>
          <w:rFonts w:ascii="Arial" w:cs="Arial" w:eastAsia="Arial" w:hAnsi="Arial"/>
          <w:sz w:val="17"/>
          <w:szCs w:val="17"/>
          <w:b w:val="1"/>
          <w:bCs w:val="1"/>
          <w:color w:val="231F20"/>
        </w:rPr>
      </w:pPr>
    </w:p>
    <w:p>
      <w:pPr>
        <w:jc w:val="both"/>
        <w:ind w:firstLine="698"/>
        <w:spacing w:after="0" w:line="302" w:lineRule="auto"/>
        <w:tabs>
          <w:tab w:leader="none" w:pos="1286" w:val="left"/>
        </w:tabs>
        <w:numPr>
          <w:ilvl w:val="0"/>
          <w:numId w:val="40"/>
        </w:numPr>
        <w:rPr>
          <w:rFonts w:ascii="Arial" w:cs="Arial" w:eastAsia="Arial" w:hAnsi="Arial"/>
          <w:sz w:val="18"/>
          <w:szCs w:val="18"/>
          <w:b w:val="1"/>
          <w:bCs w:val="1"/>
          <w:color w:val="231F20"/>
        </w:rPr>
      </w:pPr>
      <w:r>
        <w:rPr>
          <w:rFonts w:ascii="Arial" w:cs="Arial" w:eastAsia="Arial" w:hAnsi="Arial"/>
          <w:sz w:val="18"/>
          <w:szCs w:val="18"/>
          <w:b w:val="1"/>
          <w:bCs w:val="1"/>
          <w:u w:val="single" w:color="auto"/>
          <w:color w:val="231F20"/>
        </w:rPr>
        <w:t>California Civil Code Section 1542</w:t>
      </w:r>
      <w:r>
        <w:rPr>
          <w:rFonts w:ascii="Arial" w:cs="Arial" w:eastAsia="Arial" w:hAnsi="Arial"/>
          <w:sz w:val="18"/>
          <w:szCs w:val="18"/>
          <w:b w:val="1"/>
          <w:bCs w:val="1"/>
          <w:color w:val="231F20"/>
        </w:rPr>
        <w:t>. The Company and Executive acknowledge that they have been advised to consult with legal counsel and are familiar with the provisions of California Civil Code Section 1542, a statute that otherwise prohibits the release of unknown claims, which provides as follows:</w:t>
      </w:r>
    </w:p>
    <w:p>
      <w:pPr>
        <w:spacing w:after="0" w:line="200" w:lineRule="exact"/>
        <w:rPr>
          <w:sz w:val="20"/>
          <w:szCs w:val="20"/>
          <w:color w:val="auto"/>
        </w:rPr>
      </w:pPr>
    </w:p>
    <w:p>
      <w:pPr>
        <w:jc w:val="both"/>
        <w:ind w:left="700"/>
        <w:spacing w:after="0" w:line="242" w:lineRule="auto"/>
        <w:rPr>
          <w:sz w:val="20"/>
          <w:szCs w:val="20"/>
          <w:color w:val="auto"/>
        </w:rPr>
      </w:pPr>
      <w:r>
        <w:rPr>
          <w:rFonts w:ascii="Arial" w:cs="Arial" w:eastAsia="Arial" w:hAnsi="Arial"/>
          <w:sz w:val="21"/>
          <w:szCs w:val="21"/>
          <w:b w:val="1"/>
          <w:bCs w:val="1"/>
          <w:color w:val="231F20"/>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254" w:lineRule="exact"/>
        <w:rPr>
          <w:sz w:val="20"/>
          <w:szCs w:val="20"/>
          <w:color w:val="auto"/>
        </w:rPr>
      </w:pPr>
    </w:p>
    <w:p>
      <w:pPr>
        <w:ind w:right="20"/>
        <w:spacing w:after="0" w:line="317" w:lineRule="auto"/>
        <w:rPr>
          <w:sz w:val="20"/>
          <w:szCs w:val="20"/>
          <w:color w:val="auto"/>
        </w:rPr>
      </w:pPr>
      <w:r>
        <w:rPr>
          <w:rFonts w:ascii="Arial" w:cs="Arial" w:eastAsia="Arial" w:hAnsi="Arial"/>
          <w:sz w:val="18"/>
          <w:szCs w:val="18"/>
          <w:b w:val="1"/>
          <w:bCs w:val="1"/>
          <w:color w:val="231F20"/>
        </w:rPr>
        <w:t>The Company and Executive, being aware of said code section, agree to expressly waive any rights they may have thereunder, as well as under any other statute or common law principles of similar effect.</w:t>
      </w:r>
    </w:p>
    <w:p>
      <w:pPr>
        <w:spacing w:after="0" w:line="188" w:lineRule="exact"/>
        <w:rPr>
          <w:sz w:val="20"/>
          <w:szCs w:val="20"/>
          <w:color w:val="auto"/>
        </w:rPr>
      </w:pPr>
    </w:p>
    <w:p>
      <w:pPr>
        <w:jc w:val="both"/>
        <w:ind w:right="20" w:firstLine="698"/>
        <w:spacing w:after="0" w:line="242" w:lineRule="exact"/>
        <w:tabs>
          <w:tab w:leader="none" w:pos="1286" w:val="left"/>
        </w:tabs>
        <w:numPr>
          <w:ilvl w:val="0"/>
          <w:numId w:val="41"/>
        </w:numPr>
        <w:rPr>
          <w:rFonts w:ascii="Arial" w:cs="Arial" w:eastAsia="Arial" w:hAnsi="Arial"/>
          <w:sz w:val="17"/>
          <w:szCs w:val="17"/>
          <w:b w:val="1"/>
          <w:bCs w:val="1"/>
          <w:color w:val="231F20"/>
        </w:rPr>
      </w:pPr>
      <w:r>
        <w:rPr>
          <w:rFonts w:ascii="Arial" w:cs="Arial" w:eastAsia="Arial" w:hAnsi="Arial"/>
          <w:sz w:val="17"/>
          <w:szCs w:val="17"/>
          <w:b w:val="1"/>
          <w:bCs w:val="1"/>
          <w:u w:val="single" w:color="auto"/>
          <w:color w:val="231F20"/>
        </w:rPr>
        <w:t>No Pending or Future Lawsuits</w:t>
      </w:r>
      <w:r>
        <w:rPr>
          <w:rFonts w:ascii="Arial" w:cs="Arial" w:eastAsia="Arial" w:hAnsi="Arial"/>
          <w:sz w:val="17"/>
          <w:szCs w:val="17"/>
          <w:b w:val="1"/>
          <w:bCs w:val="1"/>
          <w:color w:val="231F20"/>
        </w:rPr>
        <w:t>. Executive represents that Executive has no lawsuits, claims, or actions pending in Executive</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name, or on behalf of any other person or entity, against the Company or any</w:t>
      </w:r>
    </w:p>
    <w:p>
      <w:pPr>
        <w:sectPr>
          <w:pgSz w:w="12240" w:h="15840" w:orient="portrait"/>
          <w:cols w:equalWidth="0" w:num="1">
            <w:col w:w="9380"/>
          </w:cols>
          <w:pgMar w:left="1440" w:top="1440" w:right="1420" w:bottom="470" w:gutter="0" w:footer="0" w:header="0"/>
        </w:sectPr>
      </w:pPr>
    </w:p>
    <w:p>
      <w:pPr>
        <w:spacing w:after="0" w:line="7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231F20"/>
        </w:rPr>
        <w:t>5</w:t>
      </w:r>
    </w:p>
    <w:p>
      <w:pPr>
        <w:sectPr>
          <w:pgSz w:w="12240" w:h="15840" w:orient="portrait"/>
          <w:cols w:equalWidth="0" w:num="1">
            <w:col w:w="9380"/>
          </w:cols>
          <w:pgMar w:left="1440" w:top="1440" w:right="1420" w:bottom="470" w:gutter="0" w:footer="0" w:header="0"/>
          <w:type w:val="continuous"/>
        </w:sectPr>
      </w:pPr>
    </w:p>
    <w:bookmarkStart w:id="158" w:name="page159"/>
    <w:bookmarkEnd w:id="158"/>
    <w:p>
      <w:pPr>
        <w:spacing w:after="0" w:line="105" w:lineRule="exact"/>
        <w:rPr>
          <w:sz w:val="20"/>
          <w:szCs w:val="20"/>
          <w:color w:val="auto"/>
        </w:rPr>
      </w:pPr>
    </w:p>
    <w:p>
      <w:pPr>
        <w:jc w:val="both"/>
        <w:ind w:right="20"/>
        <w:spacing w:after="0" w:line="243" w:lineRule="exact"/>
        <w:rPr>
          <w:sz w:val="20"/>
          <w:szCs w:val="20"/>
          <w:color w:val="auto"/>
        </w:rPr>
      </w:pPr>
      <w:r>
        <w:rPr>
          <w:rFonts w:ascii="Arial" w:cs="Arial" w:eastAsia="Arial" w:hAnsi="Arial"/>
          <w:sz w:val="21"/>
          <w:szCs w:val="21"/>
          <w:b w:val="1"/>
          <w:bCs w:val="1"/>
          <w:color w:val="231F20"/>
        </w:rPr>
        <w:t>of the other Releasees. Executive also represents that Executive does not intend to bring any claims on Executive</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s own behalf or on behalf of any other person or entity against the Company or any of the other Releasees.</w:t>
      </w:r>
    </w:p>
    <w:p>
      <w:pPr>
        <w:spacing w:after="0" w:line="253" w:lineRule="exact"/>
        <w:rPr>
          <w:sz w:val="20"/>
          <w:szCs w:val="20"/>
          <w:color w:val="auto"/>
        </w:rPr>
      </w:pPr>
    </w:p>
    <w:p>
      <w:pPr>
        <w:jc w:val="both"/>
        <w:ind w:firstLine="698"/>
        <w:spacing w:after="0" w:line="247" w:lineRule="exact"/>
        <w:tabs>
          <w:tab w:leader="none" w:pos="1286" w:val="left"/>
        </w:tabs>
        <w:numPr>
          <w:ilvl w:val="1"/>
          <w:numId w:val="42"/>
        </w:numPr>
        <w:rPr>
          <w:rFonts w:ascii="Arial" w:cs="Arial" w:eastAsia="Arial" w:hAnsi="Arial"/>
          <w:sz w:val="17"/>
          <w:szCs w:val="17"/>
          <w:b w:val="1"/>
          <w:bCs w:val="1"/>
          <w:color w:val="231F20"/>
        </w:rPr>
      </w:pPr>
      <w:r>
        <w:rPr>
          <w:rFonts w:ascii="Arial" w:cs="Arial" w:eastAsia="Arial" w:hAnsi="Arial"/>
          <w:sz w:val="17"/>
          <w:szCs w:val="17"/>
          <w:b w:val="1"/>
          <w:bCs w:val="1"/>
          <w:u w:val="single" w:color="auto"/>
          <w:color w:val="231F20"/>
        </w:rPr>
        <w:t>Trade Secrets and Confidential Information/Company Property</w:t>
      </w:r>
      <w:r>
        <w:rPr>
          <w:rFonts w:ascii="Arial" w:cs="Arial" w:eastAsia="Arial" w:hAnsi="Arial"/>
          <w:sz w:val="17"/>
          <w:szCs w:val="17"/>
          <w:b w:val="1"/>
          <w:bCs w:val="1"/>
          <w:color w:val="231F20"/>
        </w:rPr>
        <w:t>. Executive acknowledges that, separate from this Agreement, Executive remains under continuing obligations to the Company under the Confidentiality Agreement, including the provisions therein regarding nondisclosure of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trade secrets and confidential and proprietary information. Executive acknowledges that the Company will not enforce the post-employment restrictions in Section 3(b) of the Confidentiality Agreement; provided, however, that Executive remains bound by all other continuing obligations under the Confidentiality Agreement, including Executive</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s confidentiality obligations thereof. Executive agrees at all times hereafter to hold in the strictest confidence, and not to use or disclose to any person or entity, any Confidential Information of the Company, subject to the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Protected Activity Not Prohibited</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Section below. Executive understands that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Confidential Information</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means any Company or associated third party proprietary information, technical data, trade secrets or know-how, including, but not limited to, research, product plans, products, services, customer lists and customers (including, but not limited to, customers of the Company on whom Executive has called or with whom Executive became acquainted during the term of Executive</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employment), markets, software, developments, inventions, processes, formulas, technology, designs, drawings, engineering, hardware configuration information, marketing, finances, or other business information disclosed to Executive by the Company either directly or indirectly, in writing, orally, or by drawings or observation of parts or equipment. Executive further understands that Confidential Information does not include any of the foregoing items that have become publicly known and made generally available through no wrongful act of Executive</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or of others who were under confidentiality obligations as to the item or items involved or improvements or new versions thereof. Further, Confidential Information does not include general knowledge, skill, and experience Executive has acquired during the course of or in connection with Executive</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employment with the Company or a former employer. Executive hereby grants consent to notification by the Company to any new employer about Executive</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obligations under this Section. Executive represents that Executive has not to date misused or disclosed Confidential Information to any unauthorized party. Executive</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signature below constitutes Executive</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certification under penalty of perjury that Executive has returned all documents and other items provided to Executive by the Company (with the exception of a copy of the Executive Handbook and personnel documents specifically relating to Executive), developed or obtained by Executive in connection with Executive</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employment with the Company, or otherwise belonging to the Company.</w:t>
      </w:r>
    </w:p>
    <w:p>
      <w:pPr>
        <w:spacing w:after="0" w:line="200" w:lineRule="exact"/>
        <w:rPr>
          <w:rFonts w:ascii="Arial" w:cs="Arial" w:eastAsia="Arial" w:hAnsi="Arial"/>
          <w:sz w:val="17"/>
          <w:szCs w:val="17"/>
          <w:b w:val="1"/>
          <w:bCs w:val="1"/>
          <w:color w:val="231F20"/>
        </w:rPr>
      </w:pPr>
    </w:p>
    <w:p>
      <w:pPr>
        <w:spacing w:after="0" w:line="263" w:lineRule="exact"/>
        <w:rPr>
          <w:rFonts w:ascii="Arial" w:cs="Arial" w:eastAsia="Arial" w:hAnsi="Arial"/>
          <w:sz w:val="17"/>
          <w:szCs w:val="17"/>
          <w:b w:val="1"/>
          <w:bCs w:val="1"/>
          <w:color w:val="231F20"/>
        </w:rPr>
      </w:pPr>
    </w:p>
    <w:p>
      <w:pPr>
        <w:jc w:val="both"/>
        <w:ind w:firstLine="698"/>
        <w:spacing w:after="0" w:line="287" w:lineRule="auto"/>
        <w:tabs>
          <w:tab w:leader="none" w:pos="1286" w:val="left"/>
        </w:tabs>
        <w:numPr>
          <w:ilvl w:val="1"/>
          <w:numId w:val="42"/>
        </w:numPr>
        <w:rPr>
          <w:rFonts w:ascii="Arial" w:cs="Arial" w:eastAsia="Arial" w:hAnsi="Arial"/>
          <w:sz w:val="18"/>
          <w:szCs w:val="18"/>
          <w:b w:val="1"/>
          <w:bCs w:val="1"/>
          <w:color w:val="231F20"/>
        </w:rPr>
      </w:pPr>
      <w:r>
        <w:rPr>
          <w:rFonts w:ascii="Arial" w:cs="Arial" w:eastAsia="Arial" w:hAnsi="Arial"/>
          <w:sz w:val="18"/>
          <w:szCs w:val="18"/>
          <w:b w:val="1"/>
          <w:bCs w:val="1"/>
          <w:u w:val="single" w:color="auto"/>
          <w:color w:val="231F20"/>
        </w:rPr>
        <w:t>No Cooperation</w:t>
      </w:r>
      <w:r>
        <w:rPr>
          <w:rFonts w:ascii="Arial" w:cs="Arial" w:eastAsia="Arial" w:hAnsi="Arial"/>
          <w:sz w:val="18"/>
          <w:szCs w:val="18"/>
          <w:b w:val="1"/>
          <w:bCs w:val="1"/>
          <w:color w:val="231F20"/>
        </w:rPr>
        <w:t xml:space="preserve">. Subject to the Protected Activity provision, Executive agrees that Executive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upon </w:t>
      </w:r>
      <w:r>
        <w:rPr>
          <w:rFonts w:ascii="Arial" w:cs="Arial" w:eastAsia="Arial" w:hAnsi="Arial"/>
          <w:sz w:val="18"/>
          <w:szCs w:val="18"/>
          <w:b w:val="1"/>
          <w:bCs w:val="1"/>
          <w:color w:val="2C2F2F"/>
        </w:rPr>
        <w:t>written request from an administrative</w:t>
      </w:r>
      <w:r>
        <w:rPr>
          <w:rFonts w:ascii="Arial" w:cs="Arial" w:eastAsia="Arial" w:hAnsi="Arial"/>
          <w:sz w:val="18"/>
          <w:szCs w:val="18"/>
          <w:b w:val="1"/>
          <w:bCs w:val="1"/>
          <w:color w:val="231F20"/>
        </w:rPr>
        <w:t xml:space="preserve"> </w:t>
      </w:r>
      <w:r>
        <w:rPr>
          <w:rFonts w:ascii="Arial" w:cs="Arial" w:eastAsia="Arial" w:hAnsi="Arial"/>
          <w:sz w:val="18"/>
          <w:szCs w:val="18"/>
          <w:b w:val="1"/>
          <w:bCs w:val="1"/>
          <w:color w:val="2C2F2F"/>
        </w:rPr>
        <w:t xml:space="preserve">agency or the legislature </w:t>
      </w:r>
      <w:r>
        <w:rPr>
          <w:rFonts w:ascii="Arial" w:cs="Arial" w:eastAsia="Arial" w:hAnsi="Arial"/>
          <w:sz w:val="18"/>
          <w:szCs w:val="18"/>
          <w:b w:val="1"/>
          <w:bCs w:val="1"/>
          <w:color w:val="231F20"/>
        </w:rPr>
        <w:t>or as related directly to the ADEA waiver in this Agreement. Executive agrees both</w:t>
      </w:r>
      <w:r>
        <w:rPr>
          <w:rFonts w:ascii="Arial" w:cs="Arial" w:eastAsia="Arial" w:hAnsi="Arial"/>
          <w:sz w:val="18"/>
          <w:szCs w:val="18"/>
          <w:b w:val="1"/>
          <w:bCs w:val="1"/>
          <w:color w:val="2C2F2F"/>
        </w:rPr>
        <w:t xml:space="preserve"> </w:t>
      </w:r>
      <w:r>
        <w:rPr>
          <w:rFonts w:ascii="Arial" w:cs="Arial" w:eastAsia="Arial" w:hAnsi="Arial"/>
          <w:sz w:val="18"/>
          <w:szCs w:val="18"/>
          <w:b w:val="1"/>
          <w:bCs w:val="1"/>
          <w:color w:val="231F20"/>
        </w:rPr>
        <w:t xml:space="preserve">to immediately notify the Company upon receipt of any such subpoena or court order or </w:t>
      </w:r>
      <w:r>
        <w:rPr>
          <w:rFonts w:ascii="Arial" w:cs="Arial" w:eastAsia="Arial" w:hAnsi="Arial"/>
          <w:sz w:val="18"/>
          <w:szCs w:val="18"/>
          <w:b w:val="1"/>
          <w:bCs w:val="1"/>
          <w:color w:val="2C2F2F"/>
        </w:rPr>
        <w:t>written request from</w:t>
      </w:r>
      <w:r>
        <w:rPr>
          <w:rFonts w:ascii="Arial" w:cs="Arial" w:eastAsia="Arial" w:hAnsi="Arial"/>
          <w:sz w:val="18"/>
          <w:szCs w:val="18"/>
          <w:b w:val="1"/>
          <w:bCs w:val="1"/>
          <w:color w:val="231F20"/>
        </w:rPr>
        <w:t xml:space="preserve"> </w:t>
      </w:r>
      <w:r>
        <w:rPr>
          <w:rFonts w:ascii="Arial" w:cs="Arial" w:eastAsia="Arial" w:hAnsi="Arial"/>
          <w:sz w:val="18"/>
          <w:szCs w:val="18"/>
          <w:b w:val="1"/>
          <w:bCs w:val="1"/>
          <w:color w:val="2C2F2F"/>
        </w:rPr>
        <w:t>an administrative agency or the legislature</w:t>
      </w:r>
      <w:r>
        <w:rPr>
          <w:rFonts w:ascii="Arial" w:cs="Arial" w:eastAsia="Arial" w:hAnsi="Arial"/>
          <w:sz w:val="18"/>
          <w:szCs w:val="18"/>
          <w:b w:val="1"/>
          <w:bCs w:val="1"/>
          <w:color w:val="231F20"/>
        </w:rPr>
        <w:t>, and to furnish, within three (3) business days of its receipt, a copy</w:t>
      </w:r>
      <w:r>
        <w:rPr>
          <w:rFonts w:ascii="Arial" w:cs="Arial" w:eastAsia="Arial" w:hAnsi="Arial"/>
          <w:sz w:val="18"/>
          <w:szCs w:val="18"/>
          <w:b w:val="1"/>
          <w:bCs w:val="1"/>
          <w:color w:val="2C2F2F"/>
        </w:rPr>
        <w:t xml:space="preserve"> </w:t>
      </w:r>
      <w:r>
        <w:rPr>
          <w:rFonts w:ascii="Arial" w:cs="Arial" w:eastAsia="Arial" w:hAnsi="Arial"/>
          <w:sz w:val="18"/>
          <w:szCs w:val="18"/>
          <w:b w:val="1"/>
          <w:bCs w:val="1"/>
          <w:color w:val="231F20"/>
        </w:rPr>
        <w:t xml:space="preserve">of such subpoena or other court order or </w:t>
      </w:r>
      <w:r>
        <w:rPr>
          <w:rFonts w:ascii="Arial" w:cs="Arial" w:eastAsia="Arial" w:hAnsi="Arial"/>
          <w:sz w:val="18"/>
          <w:szCs w:val="18"/>
          <w:b w:val="1"/>
          <w:bCs w:val="1"/>
          <w:color w:val="2C2F2F"/>
        </w:rPr>
        <w:t>written request from an administrative agency or the legislature</w:t>
      </w:r>
      <w:r>
        <w:rPr>
          <w:rFonts w:ascii="Arial" w:cs="Arial" w:eastAsia="Arial" w:hAnsi="Arial"/>
          <w:sz w:val="18"/>
          <w:szCs w:val="18"/>
          <w:b w:val="1"/>
          <w:bCs w:val="1"/>
          <w:color w:val="231F20"/>
        </w:rPr>
        <w:t>. If approached by anyone for counsel or assistance in the presentation or prosecution of any disputes, differences, grievances, claims, charges, or complaints against any of the Releasees, Executive shall state no more than that Executive cannot provide counsel or assistance.</w:t>
      </w:r>
    </w:p>
    <w:p>
      <w:pPr>
        <w:spacing w:after="0" w:line="219" w:lineRule="exact"/>
        <w:rPr>
          <w:rFonts w:ascii="Arial" w:cs="Arial" w:eastAsia="Arial" w:hAnsi="Arial"/>
          <w:sz w:val="18"/>
          <w:szCs w:val="18"/>
          <w:b w:val="1"/>
          <w:bCs w:val="1"/>
          <w:color w:val="231F20"/>
        </w:rPr>
      </w:pPr>
    </w:p>
    <w:p>
      <w:pPr>
        <w:jc w:val="both"/>
        <w:ind w:right="20" w:firstLine="698"/>
        <w:spacing w:after="0" w:line="285" w:lineRule="auto"/>
        <w:tabs>
          <w:tab w:leader="none" w:pos="1286" w:val="left"/>
        </w:tabs>
        <w:numPr>
          <w:ilvl w:val="1"/>
          <w:numId w:val="42"/>
        </w:numPr>
        <w:rPr>
          <w:rFonts w:ascii="Arial" w:cs="Arial" w:eastAsia="Arial" w:hAnsi="Arial"/>
          <w:sz w:val="18"/>
          <w:szCs w:val="18"/>
          <w:b w:val="1"/>
          <w:bCs w:val="1"/>
          <w:color w:val="231F20"/>
        </w:rPr>
      </w:pPr>
      <w:r>
        <w:rPr>
          <w:rFonts w:ascii="Arial" w:cs="Arial" w:eastAsia="Arial" w:hAnsi="Arial"/>
          <w:sz w:val="18"/>
          <w:szCs w:val="18"/>
          <w:b w:val="1"/>
          <w:bCs w:val="1"/>
          <w:u w:val="single" w:color="auto"/>
          <w:color w:val="231F20"/>
        </w:rPr>
        <w:t>Protected Activity Not Prohibited</w:t>
      </w:r>
      <w:r>
        <w:rPr>
          <w:rFonts w:ascii="Arial" w:cs="Arial" w:eastAsia="Arial" w:hAnsi="Arial"/>
          <w:sz w:val="18"/>
          <w:szCs w:val="18"/>
          <w:b w:val="1"/>
          <w:bCs w:val="1"/>
          <w:color w:val="231F20"/>
        </w:rPr>
        <w:t>. Executive understands that nothing in this Agreement shall in any way limit or prohibit Executive from engaging in any Protected Activity. Protected Activity includes:</w:t>
      </w:r>
    </w:p>
    <w:p>
      <w:pPr>
        <w:jc w:val="both"/>
        <w:ind w:right="20"/>
        <w:spacing w:after="0" w:line="244" w:lineRule="exact"/>
        <w:tabs>
          <w:tab w:leader="none" w:pos="276" w:val="left"/>
        </w:tabs>
        <w:numPr>
          <w:ilvl w:val="0"/>
          <w:numId w:val="43"/>
        </w:numPr>
        <w:rPr>
          <w:rFonts w:ascii="Arial" w:cs="Arial" w:eastAsia="Arial" w:hAnsi="Arial"/>
          <w:sz w:val="17"/>
          <w:szCs w:val="17"/>
          <w:b w:val="1"/>
          <w:bCs w:val="1"/>
          <w:color w:val="231F20"/>
        </w:rPr>
      </w:pPr>
      <w:r>
        <w:rPr>
          <w:rFonts w:ascii="Arial" w:cs="Arial" w:eastAsia="Arial" w:hAnsi="Arial"/>
          <w:sz w:val="17"/>
          <w:szCs w:val="17"/>
          <w:b w:val="1"/>
          <w:bCs w:val="1"/>
          <w:color w:val="231F20"/>
        </w:rPr>
        <w:t>filing and/or pursuing a charge, complaint, or report with, or otherwise communicating, cooperating,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Government Agencies</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and/or (ii) discussing or disclosing information about unlawful acts in the workplace, such as harassment or discrimination or any other conduct that Executive has reason to</w:t>
      </w:r>
    </w:p>
    <w:p>
      <w:pPr>
        <w:sectPr>
          <w:pgSz w:w="12240" w:h="15840" w:orient="portrait"/>
          <w:cols w:equalWidth="0" w:num="1">
            <w:col w:w="9380"/>
          </w:cols>
          <w:pgMar w:left="1440" w:top="1440" w:right="1420" w:bottom="470" w:gutter="0" w:footer="0" w:header="0"/>
        </w:sectPr>
      </w:pPr>
    </w:p>
    <w:p>
      <w:pPr>
        <w:spacing w:after="0" w:line="7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231F20"/>
        </w:rPr>
        <w:t>6</w:t>
      </w:r>
    </w:p>
    <w:p>
      <w:pPr>
        <w:sectPr>
          <w:pgSz w:w="12240" w:h="15840" w:orient="portrait"/>
          <w:cols w:equalWidth="0" w:num="1">
            <w:col w:w="9380"/>
          </w:cols>
          <w:pgMar w:left="1440" w:top="1440" w:right="1420" w:bottom="470" w:gutter="0" w:footer="0" w:header="0"/>
          <w:type w:val="continuous"/>
        </w:sectPr>
      </w:pPr>
    </w:p>
    <w:bookmarkStart w:id="159" w:name="page160"/>
    <w:bookmarkEnd w:id="159"/>
    <w:p>
      <w:pPr>
        <w:spacing w:after="0" w:line="105" w:lineRule="exact"/>
        <w:rPr>
          <w:sz w:val="20"/>
          <w:szCs w:val="20"/>
          <w:color w:val="auto"/>
        </w:rPr>
      </w:pPr>
    </w:p>
    <w:p>
      <w:pPr>
        <w:jc w:val="both"/>
        <w:ind w:right="20"/>
        <w:spacing w:after="0" w:line="245" w:lineRule="exact"/>
        <w:rPr>
          <w:sz w:val="20"/>
          <w:szCs w:val="20"/>
          <w:color w:val="auto"/>
        </w:rPr>
      </w:pPr>
      <w:r>
        <w:rPr>
          <w:rFonts w:ascii="Arial" w:cs="Arial" w:eastAsia="Arial" w:hAnsi="Arial"/>
          <w:sz w:val="18"/>
          <w:szCs w:val="18"/>
          <w:b w:val="1"/>
          <w:bCs w:val="1"/>
          <w:color w:val="231F20"/>
        </w:rPr>
        <w:t>believe is unlawful. Notwithstanding the foregoing, Executive agrees to take all reasonable precautions to prevent any unauthorized use or disclosure of any Company trade secrets, proprietary information, or confidential information that does not involve unlawful acts in the workplace or the activity otherwise protected herein. Executive further understands that Protected Activity does not include the disclosure of any Company attorney-client privileged communications or attorney work product. Any language in the Confidentiality Agreement regarding Executive</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right to engage in protected conduct that conflicts with, or is contrary to, this Section is superseded by this Agreement. In addition, pursuant to the Defend Trade Secrets Act of 2016, Executive is notified that an individual will not be held criminally or civilly liable under any federal or state trade secret law for the disclosure of a trade secret that (i) is made in confidence to a federal, state, or local government official (directly or indirectly) or to an attorney solely 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attorney and use the trade secret information in the court proceeding, if the individual files any document containing the trade secret under seal and does not disclose the trade secret, except pursuant to court order.</w:t>
      </w:r>
    </w:p>
    <w:p>
      <w:pPr>
        <w:spacing w:after="0" w:line="254" w:lineRule="exact"/>
        <w:rPr>
          <w:sz w:val="20"/>
          <w:szCs w:val="20"/>
          <w:color w:val="auto"/>
        </w:rPr>
      </w:pPr>
    </w:p>
    <w:p>
      <w:pPr>
        <w:jc w:val="both"/>
        <w:ind w:firstLine="698"/>
        <w:spacing w:after="0" w:line="245" w:lineRule="exact"/>
        <w:tabs>
          <w:tab w:leader="none" w:pos="1286" w:val="left"/>
        </w:tabs>
        <w:numPr>
          <w:ilvl w:val="1"/>
          <w:numId w:val="44"/>
        </w:numPr>
        <w:rPr>
          <w:rFonts w:ascii="Arial" w:cs="Arial" w:eastAsia="Arial" w:hAnsi="Arial"/>
          <w:sz w:val="17"/>
          <w:szCs w:val="17"/>
          <w:b w:val="1"/>
          <w:bCs w:val="1"/>
          <w:color w:val="231F20"/>
        </w:rPr>
      </w:pPr>
      <w:r>
        <w:rPr>
          <w:rFonts w:ascii="Arial" w:cs="Arial" w:eastAsia="Arial" w:hAnsi="Arial"/>
          <w:sz w:val="17"/>
          <w:szCs w:val="17"/>
          <w:b w:val="1"/>
          <w:bCs w:val="1"/>
          <w:u w:val="single" w:color="auto"/>
          <w:color w:val="231F20"/>
        </w:rPr>
        <w:t>Nondisparagement</w:t>
      </w:r>
      <w:r>
        <w:rPr>
          <w:rFonts w:ascii="Arial" w:cs="Arial" w:eastAsia="Arial" w:hAnsi="Arial"/>
          <w:sz w:val="17"/>
          <w:szCs w:val="17"/>
          <w:b w:val="1"/>
          <w:bCs w:val="1"/>
          <w:color w:val="231F20"/>
        </w:rPr>
        <w:t xml:space="preserve">. Subject to the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Protected Activity Not Prohibited</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xml:space="preserve"> Section below, Executive agrees to refrain from any disparaging statements about the Company or any of the other Releasees including, without limitation, the business, products, intellectual property, financial standing, future, or employment/compensation/benefit practices of the Company. The Company agrees to instruct its corporate officers and directors to refrain from making any disparaging statements about Executive. Executive shall direct any inquiries by potential future employers to the Company</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human resources department, which shall use its best efforts to provide only the Executive</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last position and dates of employment and shall state that it is Company policy to provide only that information. Nothing in this Agreement prevents Executive from discussing or disclosing information about unlawful acts in the workplace, such as harassment or discrimination or any other conduct that Executive has reason to believe is unlawful.</w:t>
      </w:r>
    </w:p>
    <w:p>
      <w:pPr>
        <w:spacing w:after="0" w:line="255" w:lineRule="exact"/>
        <w:rPr>
          <w:rFonts w:ascii="Arial" w:cs="Arial" w:eastAsia="Arial" w:hAnsi="Arial"/>
          <w:sz w:val="17"/>
          <w:szCs w:val="17"/>
          <w:b w:val="1"/>
          <w:bCs w:val="1"/>
          <w:color w:val="231F20"/>
        </w:rPr>
      </w:pPr>
    </w:p>
    <w:p>
      <w:pPr>
        <w:jc w:val="both"/>
        <w:ind w:firstLine="698"/>
        <w:spacing w:after="0" w:line="244" w:lineRule="exact"/>
        <w:tabs>
          <w:tab w:leader="none" w:pos="1286" w:val="left"/>
        </w:tabs>
        <w:numPr>
          <w:ilvl w:val="1"/>
          <w:numId w:val="44"/>
        </w:numPr>
        <w:rPr>
          <w:rFonts w:ascii="Arial" w:cs="Arial" w:eastAsia="Arial" w:hAnsi="Arial"/>
          <w:sz w:val="18"/>
          <w:szCs w:val="18"/>
          <w:b w:val="1"/>
          <w:bCs w:val="1"/>
          <w:color w:val="231F20"/>
        </w:rPr>
      </w:pPr>
      <w:r>
        <w:rPr>
          <w:rFonts w:ascii="Arial" w:cs="Arial" w:eastAsia="Arial" w:hAnsi="Arial"/>
          <w:sz w:val="18"/>
          <w:szCs w:val="18"/>
          <w:b w:val="1"/>
          <w:bCs w:val="1"/>
          <w:u w:val="single" w:color="auto"/>
          <w:color w:val="231F20"/>
        </w:rPr>
        <w:t>Breach</w:t>
      </w:r>
      <w:r>
        <w:rPr>
          <w:rFonts w:ascii="Arial" w:cs="Arial" w:eastAsia="Arial" w:hAnsi="Arial"/>
          <w:sz w:val="18"/>
          <w:szCs w:val="18"/>
          <w:b w:val="1"/>
          <w:bCs w:val="1"/>
          <w:color w:val="231F20"/>
        </w:rPr>
        <w:t xml:space="preserve">. In addition to the rights provided in the </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Attorneys</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 Fees</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 section below, the Parties acknowledge and agree that any proven material breach of this Agreement by either Party, unless such breach constitutes a legal action by Executive challenging or seeking a determination in good faith of the validity of the waiver herein under the ADEA, or of any provision of the Confidentiality Agreement shall entitle the prevailing Party in an arbitration to recover damages, except as otherwise provided by law.</w:t>
      </w:r>
    </w:p>
    <w:p>
      <w:pPr>
        <w:spacing w:after="0" w:line="255" w:lineRule="exact"/>
        <w:rPr>
          <w:rFonts w:ascii="Arial" w:cs="Arial" w:eastAsia="Arial" w:hAnsi="Arial"/>
          <w:sz w:val="18"/>
          <w:szCs w:val="18"/>
          <w:b w:val="1"/>
          <w:bCs w:val="1"/>
          <w:color w:val="231F20"/>
        </w:rPr>
      </w:pPr>
    </w:p>
    <w:p>
      <w:pPr>
        <w:jc w:val="both"/>
        <w:ind w:right="20" w:firstLine="698"/>
        <w:spacing w:after="0" w:line="284" w:lineRule="auto"/>
        <w:tabs>
          <w:tab w:leader="none" w:pos="1286" w:val="left"/>
        </w:tabs>
        <w:numPr>
          <w:ilvl w:val="1"/>
          <w:numId w:val="44"/>
        </w:numPr>
        <w:rPr>
          <w:rFonts w:ascii="Arial" w:cs="Arial" w:eastAsia="Arial" w:hAnsi="Arial"/>
          <w:sz w:val="18"/>
          <w:szCs w:val="18"/>
          <w:b w:val="1"/>
          <w:bCs w:val="1"/>
          <w:color w:val="231F20"/>
        </w:rPr>
      </w:pPr>
      <w:r>
        <w:rPr>
          <w:rFonts w:ascii="Arial" w:cs="Arial" w:eastAsia="Arial" w:hAnsi="Arial"/>
          <w:sz w:val="18"/>
          <w:szCs w:val="18"/>
          <w:b w:val="1"/>
          <w:bCs w:val="1"/>
          <w:u w:val="single" w:color="auto"/>
          <w:color w:val="231F20"/>
        </w:rPr>
        <w:t>No Admission of Liability</w:t>
      </w:r>
      <w:r>
        <w:rPr>
          <w:rFonts w:ascii="Arial" w:cs="Arial" w:eastAsia="Arial" w:hAnsi="Arial"/>
          <w:sz w:val="18"/>
          <w:szCs w:val="18"/>
          <w:b w:val="1"/>
          <w:bCs w:val="1"/>
          <w:color w:val="231F20"/>
        </w:rPr>
        <w:t>. Executive understands and acknowledges that with respect to all claims released herein, this Agreement constitutes a compromise and settlement of any and all actual or potential disputed claims by Executive unless such claims were explicitly not released by the release in this Agreement. No action taken by the Company hereto, either previously or in connection with this Agreement, shall be deemed or construed to be (a) an admission of the truth or falsity of any actual or potential claims or</w:t>
      </w:r>
    </w:p>
    <w:p>
      <w:pPr>
        <w:spacing w:after="0" w:line="4" w:lineRule="exact"/>
        <w:rPr>
          <w:rFonts w:ascii="Arial" w:cs="Arial" w:eastAsia="Arial" w:hAnsi="Arial"/>
          <w:sz w:val="18"/>
          <w:szCs w:val="18"/>
          <w:b w:val="1"/>
          <w:bCs w:val="1"/>
          <w:color w:val="231F20"/>
        </w:rPr>
      </w:pPr>
    </w:p>
    <w:p>
      <w:pPr>
        <w:ind w:right="20"/>
        <w:spacing w:after="0" w:line="239" w:lineRule="auto"/>
        <w:tabs>
          <w:tab w:leader="none" w:pos="310" w:val="left"/>
        </w:tabs>
        <w:numPr>
          <w:ilvl w:val="0"/>
          <w:numId w:val="45"/>
        </w:numPr>
        <w:rPr>
          <w:rFonts w:ascii="Arial" w:cs="Arial" w:eastAsia="Arial" w:hAnsi="Arial"/>
          <w:sz w:val="21"/>
          <w:szCs w:val="21"/>
          <w:b w:val="1"/>
          <w:bCs w:val="1"/>
          <w:color w:val="231F20"/>
        </w:rPr>
      </w:pPr>
      <w:r>
        <w:rPr>
          <w:rFonts w:ascii="Arial" w:cs="Arial" w:eastAsia="Arial" w:hAnsi="Arial"/>
          <w:sz w:val="21"/>
          <w:szCs w:val="21"/>
          <w:b w:val="1"/>
          <w:bCs w:val="1"/>
          <w:color w:val="231F20"/>
        </w:rPr>
        <w:t>an acknowledgment or admission by the Company of any fault or liability whatsoever to Executive or to any third party.</w:t>
      </w:r>
    </w:p>
    <w:p>
      <w:pPr>
        <w:spacing w:after="0" w:line="253" w:lineRule="exact"/>
        <w:rPr>
          <w:rFonts w:ascii="Arial" w:cs="Arial" w:eastAsia="Arial" w:hAnsi="Arial"/>
          <w:sz w:val="21"/>
          <w:szCs w:val="21"/>
          <w:b w:val="1"/>
          <w:bCs w:val="1"/>
          <w:color w:val="231F20"/>
        </w:rPr>
      </w:pPr>
    </w:p>
    <w:p>
      <w:pPr>
        <w:ind w:right="20" w:firstLine="698"/>
        <w:spacing w:after="0" w:line="240" w:lineRule="exact"/>
        <w:tabs>
          <w:tab w:leader="none" w:pos="1286" w:val="left"/>
        </w:tabs>
        <w:numPr>
          <w:ilvl w:val="1"/>
          <w:numId w:val="45"/>
        </w:numPr>
        <w:rPr>
          <w:rFonts w:ascii="Arial" w:cs="Arial" w:eastAsia="Arial" w:hAnsi="Arial"/>
          <w:sz w:val="21"/>
          <w:szCs w:val="21"/>
          <w:b w:val="1"/>
          <w:bCs w:val="1"/>
          <w:color w:val="231F20"/>
        </w:rPr>
      </w:pPr>
      <w:r>
        <w:rPr>
          <w:rFonts w:ascii="Arial" w:cs="Arial" w:eastAsia="Arial" w:hAnsi="Arial"/>
          <w:sz w:val="21"/>
          <w:szCs w:val="21"/>
          <w:b w:val="1"/>
          <w:bCs w:val="1"/>
          <w:u w:val="single" w:color="auto"/>
          <w:color w:val="231F20"/>
        </w:rPr>
        <w:t>Costs</w:t>
      </w:r>
      <w:r>
        <w:rPr>
          <w:rFonts w:ascii="Arial" w:cs="Arial" w:eastAsia="Arial" w:hAnsi="Arial"/>
          <w:sz w:val="21"/>
          <w:szCs w:val="21"/>
          <w:b w:val="1"/>
          <w:bCs w:val="1"/>
          <w:color w:val="231F20"/>
        </w:rPr>
        <w:t>. The Parties shall each bear their own costs, attorneys</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 xml:space="preserve"> fees, and other fees incurred in connection with the preparation of this Agreement.</w:t>
      </w:r>
    </w:p>
    <w:p>
      <w:pPr>
        <w:spacing w:after="0" w:line="255" w:lineRule="exact"/>
        <w:rPr>
          <w:rFonts w:ascii="Arial" w:cs="Arial" w:eastAsia="Arial" w:hAnsi="Arial"/>
          <w:sz w:val="21"/>
          <w:szCs w:val="21"/>
          <w:b w:val="1"/>
          <w:bCs w:val="1"/>
          <w:color w:val="231F20"/>
        </w:rPr>
      </w:pPr>
    </w:p>
    <w:p>
      <w:pPr>
        <w:jc w:val="both"/>
        <w:ind w:firstLine="698"/>
        <w:spacing w:after="0" w:line="244" w:lineRule="exact"/>
        <w:tabs>
          <w:tab w:leader="none" w:pos="1286" w:val="left"/>
        </w:tabs>
        <w:numPr>
          <w:ilvl w:val="1"/>
          <w:numId w:val="45"/>
        </w:numPr>
        <w:rPr>
          <w:rFonts w:ascii="Arial" w:cs="Arial" w:eastAsia="Arial" w:hAnsi="Arial"/>
          <w:sz w:val="20"/>
          <w:szCs w:val="20"/>
          <w:b w:val="1"/>
          <w:bCs w:val="1"/>
          <w:color w:val="231F20"/>
        </w:rPr>
      </w:pPr>
      <w:r>
        <w:rPr>
          <w:rFonts w:ascii="Arial" w:cs="Arial" w:eastAsia="Arial" w:hAnsi="Arial"/>
          <w:sz w:val="20"/>
          <w:szCs w:val="20"/>
          <w:b w:val="1"/>
          <w:bCs w:val="1"/>
          <w:u w:val="single" w:color="auto"/>
          <w:color w:val="231F20"/>
        </w:rPr>
        <w:t>ARBITRATION</w:t>
      </w:r>
      <w:r>
        <w:rPr>
          <w:rFonts w:ascii="Arial" w:cs="Arial" w:eastAsia="Arial" w:hAnsi="Arial"/>
          <w:sz w:val="20"/>
          <w:szCs w:val="20"/>
          <w:b w:val="1"/>
          <w:bCs w:val="1"/>
          <w:color w:val="231F20"/>
        </w:rPr>
        <w:t>. EXCEPT AS PROHIBITED BY LAW, THE PARTIES AGREE THAT ANY AND ALL DISPUTES ARISING OUT OF THE TERMS OF THIS AGREEMENT, THEIR INTERPRETATION, EXECUTIVE</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 xml:space="preserve">S EMPLOYMENT WITH THE COMPANY OR THE TERMS THEREOF, OR ANY OF THE MATTERS HEREIN RELEASED, SHALL BE SUBJECT TO ARBITRATION PURSUANT TO THE FEDERAL ARBITRATION ACT (THE </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FAA</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 AND THAT THE FAA SHALL GOVERN AND APPLY TO THIS ARBITRATION AGREEMENT WITH FULL FORCE AND EFFECT; HOWEVER, WITHOUT LIMITING ANY PROVISIONS OF THE FAA, A MOTION OR PETITION OR ACTION TO COMPEL ARBITRATION MAY ALSO BE BROUGHT IN STATE COURT</w:t>
      </w:r>
    </w:p>
    <w:p>
      <w:pPr>
        <w:sectPr>
          <w:pgSz w:w="12240" w:h="15840" w:orient="portrait"/>
          <w:cols w:equalWidth="0" w:num="1">
            <w:col w:w="9380"/>
          </w:cols>
          <w:pgMar w:left="1440" w:top="1440" w:right="1420" w:bottom="470" w:gutter="0" w:footer="0" w:header="0"/>
        </w:sectPr>
      </w:pP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231F20"/>
        </w:rPr>
        <w:t>7</w:t>
      </w:r>
    </w:p>
    <w:p>
      <w:pPr>
        <w:sectPr>
          <w:pgSz w:w="12240" w:h="15840" w:orient="portrait"/>
          <w:cols w:equalWidth="0" w:num="1">
            <w:col w:w="9380"/>
          </w:cols>
          <w:pgMar w:left="1440" w:top="1440" w:right="1420" w:bottom="470" w:gutter="0" w:footer="0" w:header="0"/>
          <w:type w:val="continuous"/>
        </w:sectPr>
      </w:pPr>
    </w:p>
    <w:bookmarkStart w:id="160" w:name="page161"/>
    <w:bookmarkEnd w:id="160"/>
    <w:p>
      <w:pPr>
        <w:spacing w:after="0" w:line="105" w:lineRule="exact"/>
        <w:rPr>
          <w:sz w:val="20"/>
          <w:szCs w:val="20"/>
          <w:color w:val="auto"/>
        </w:rPr>
      </w:pPr>
    </w:p>
    <w:p>
      <w:pPr>
        <w:jc w:val="both"/>
        <w:spacing w:after="0" w:line="246" w:lineRule="exact"/>
        <w:rPr>
          <w:sz w:val="20"/>
          <w:szCs w:val="20"/>
          <w:color w:val="auto"/>
        </w:rPr>
      </w:pPr>
      <w:r>
        <w:rPr>
          <w:rFonts w:ascii="Arial" w:cs="Arial" w:eastAsia="Arial" w:hAnsi="Arial"/>
          <w:sz w:val="20"/>
          <w:szCs w:val="20"/>
          <w:b w:val="1"/>
          <w:bCs w:val="1"/>
          <w:color w:val="231F20"/>
        </w:rPr>
        <w:t>UNDER THE PROCEDURAL PROVISIONS OF SUCH STATE</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S LAWS RELATING TO MOTIONS OR PETITIONS OR ACTIONS TO COMPEL ARBITRATION. EXECUTIVE AGREES THAT, TO THE FULLEST EXTENT PERMITTED BY LAW, EXECUTIVE MAY BRING ANY SUCH ARBITRATION PROCEEDING ONLY IN EXECUTIVE</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S INDIVIDUAL CAPACITY. ANY ARBITRATION WILL OCCUR IN SAN MATEO COUNTY, BEFORE JAMS, PURSUANT TO ITS EMPLOYMENT ARBITRATION RULES &amp; PROCEDURES (</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JAMS RULES</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 EXCEPT AS EXPRESSLY PROVIDED IN THIS SECTION. THE PARTIES AGREE THAT THE ARBITRATOR SHALL HAVE THE POWER TO DECIDE ANY MOTIONS BROUGHT BY ANY PARTY TO THE ARBITRATION, INCLUDING MOTIONS FOR SUMMARY JUDGMENT AND/OR ADJUDICATION, AND MOTIONS TO DISMISS AND DEMURRERS, APPLYING THE STANDARDS SET FORTH UNDER THE CALIFORNIA CODE OF CIVIL PROCEDURE. THE PARTIES AGREE THAT THE ARBITRATOR SHALL ISSUE A WRITTEN DECISION ON THE MERITS. THE PARTIES ALSO AGREE THAT THE ARBITRATOR SHALL HAVE THE POWER TO AWARD ANY REMEDIES AVAILABLE UNDER APPLICABLE LAW, AND THAT THE ARBITRATOR MAY AWARD ATTORNEYS</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 xml:space="preserve"> FEES AND COSTS TO THE PREVAILING PARTY, WHERE PERMITTED BY APPLICABLE LAW. THE ARBITRATOR MAY GRANT INJUNCTIONS AND OTHER RELIEF IN SUCH DISPUTES. THE DECISION OF THE ARBITRATOR SHALL BE FINAL, CONCLUSIVE, AND BINDING ON THE PARTIES TO THE ARBITRATION. THE PARTIES AGREE THAT THE PREVAILING PARTY IN ANY ARBITRATION SHALL BE ENTITLED TO INJUNCTIVE RELIEF IN ANY COURT OF COMPETENT JURISDICTION TO ENFORCE THE ARBITRATION AWARD. THE PARTIES TO THE ARBITRATION SHALL EACH PAY AN EQUAL SHARE OF THE COSTS AND EXPENSES OF SUCH ARBITRATION, AND EACH PARTY SHALL SEPARATELY PAY FOR ITS RESPECTIVE COUNSEL FEES AND EXPENSES; PROVIDED, HOWEVER, THAT THE ARBITRATOR MAY AWARD ATTORNEYS</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 xml:space="preserve">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SECTION CONFLICT WITH ANY OTHER ARBITRATION AGREEMENT BETWEEN THE PARTIES, THE PARTIES AGREE THAT THIS ARBITRATION AGREEMENT IN THIS SECTION SHALL GOVERN.</w:t>
      </w:r>
    </w:p>
    <w:p>
      <w:pPr>
        <w:spacing w:after="0" w:line="200" w:lineRule="exact"/>
        <w:rPr>
          <w:sz w:val="20"/>
          <w:szCs w:val="20"/>
          <w:color w:val="auto"/>
        </w:rPr>
      </w:pPr>
    </w:p>
    <w:p>
      <w:pPr>
        <w:spacing w:after="0" w:line="288" w:lineRule="exact"/>
        <w:rPr>
          <w:sz w:val="20"/>
          <w:szCs w:val="20"/>
          <w:color w:val="auto"/>
        </w:rPr>
      </w:pPr>
    </w:p>
    <w:p>
      <w:pPr>
        <w:jc w:val="both"/>
        <w:ind w:firstLine="698"/>
        <w:spacing w:after="0" w:line="244" w:lineRule="exact"/>
        <w:tabs>
          <w:tab w:leader="none" w:pos="1286" w:val="left"/>
        </w:tabs>
        <w:numPr>
          <w:ilvl w:val="0"/>
          <w:numId w:val="46"/>
        </w:numPr>
        <w:rPr>
          <w:rFonts w:ascii="Arial" w:cs="Arial" w:eastAsia="Arial" w:hAnsi="Arial"/>
          <w:sz w:val="18"/>
          <w:szCs w:val="18"/>
          <w:b w:val="1"/>
          <w:bCs w:val="1"/>
          <w:color w:val="231F20"/>
        </w:rPr>
      </w:pPr>
      <w:r>
        <w:rPr>
          <w:rFonts w:ascii="Arial" w:cs="Arial" w:eastAsia="Arial" w:hAnsi="Arial"/>
          <w:sz w:val="18"/>
          <w:szCs w:val="18"/>
          <w:b w:val="1"/>
          <w:bCs w:val="1"/>
          <w:u w:val="single" w:color="auto"/>
          <w:color w:val="231F20"/>
        </w:rPr>
        <w:t>Tax Consequences</w:t>
      </w:r>
      <w:r>
        <w:rPr>
          <w:rFonts w:ascii="Arial" w:cs="Arial" w:eastAsia="Arial" w:hAnsi="Arial"/>
          <w:sz w:val="18"/>
          <w:szCs w:val="18"/>
          <w:b w:val="1"/>
          <w:bCs w:val="1"/>
          <w:color w:val="231F20"/>
        </w:rPr>
        <w:t>. The Company makes no representations or warranties with respect to the tax consequences of the payments and any other consideration provided to Executive or made on Executive</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behalf under the terms of this Agreement. Executive agrees and understands that Executive is responsible for payment, if any, of local, state, and/or federal taxes on the payments and any other consideration provided hereunder by the Company and any penalties or assessments thereon. Executive further agrees to indemnify and hold the Releasees harmless from any claims, demands, deficiencies, penalties, interest, assessments, executions, judgments, or recoveries by any government agency against the Company for any amounts claimed due on account of Executive</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failure to pay or delayed payment of federal or state taxes, including attorneys</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 xml:space="preserve"> fees and costs. The Parties agree and acknowledge that the payments made pursuant to Section 1 of this Agreement are not related to sexual harassment or sexual abuse and not intended to fall within the scope of 26 U.S.C. Section 162(q). Section 6 of the CIC Agreement is incorporated herein by reference and made a part of this Agreement.</w:t>
      </w:r>
    </w:p>
    <w:p>
      <w:pPr>
        <w:spacing w:after="0" w:line="263" w:lineRule="exact"/>
        <w:rPr>
          <w:rFonts w:ascii="Arial" w:cs="Arial" w:eastAsia="Arial" w:hAnsi="Arial"/>
          <w:sz w:val="18"/>
          <w:szCs w:val="18"/>
          <w:b w:val="1"/>
          <w:bCs w:val="1"/>
          <w:color w:val="231F20"/>
        </w:rPr>
      </w:pPr>
    </w:p>
    <w:p>
      <w:pPr>
        <w:jc w:val="both"/>
        <w:ind w:firstLine="698"/>
        <w:spacing w:after="0" w:line="244" w:lineRule="exact"/>
        <w:tabs>
          <w:tab w:leader="none" w:pos="1286" w:val="left"/>
        </w:tabs>
        <w:numPr>
          <w:ilvl w:val="0"/>
          <w:numId w:val="46"/>
        </w:numPr>
        <w:rPr>
          <w:rFonts w:ascii="Arial" w:cs="Arial" w:eastAsia="Arial" w:hAnsi="Arial"/>
          <w:sz w:val="17"/>
          <w:szCs w:val="17"/>
          <w:b w:val="1"/>
          <w:bCs w:val="1"/>
          <w:color w:val="231F20"/>
        </w:rPr>
      </w:pPr>
      <w:r>
        <w:rPr>
          <w:rFonts w:ascii="Arial" w:cs="Arial" w:eastAsia="Arial" w:hAnsi="Arial"/>
          <w:sz w:val="17"/>
          <w:szCs w:val="17"/>
          <w:b w:val="1"/>
          <w:bCs w:val="1"/>
          <w:u w:val="single" w:color="auto"/>
          <w:color w:val="231F20"/>
        </w:rPr>
        <w:t>Section 409A.</w:t>
      </w:r>
      <w:r>
        <w:rPr>
          <w:rFonts w:ascii="Arial" w:cs="Arial" w:eastAsia="Arial" w:hAnsi="Arial"/>
          <w:sz w:val="17"/>
          <w:szCs w:val="17"/>
          <w:b w:val="1"/>
          <w:bCs w:val="1"/>
          <w:color w:val="231F20"/>
        </w:rPr>
        <w:t xml:space="preserve"> It is intended that this Agreement comply with, or be exempt from, Internal Revenue Code Section 409A and the Treasury Regulations and guidance thereunder, and any applicable state law equivalent, as each may be promulgated, amended or modified from time to time (</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Section 409A</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 and any ambiguities or ambiguous terms herein will be interpreted to so comply and/or be exempt from Section 409A. Each payment and benefit to be paid or provided under this Agreement is intended to constitute a series of separate payments for purposes of Section 1.409A-2(b)(2) of the Treasury Regulations. Section 5(d) of the</w:t>
      </w:r>
    </w:p>
    <w:p>
      <w:pPr>
        <w:sectPr>
          <w:pgSz w:w="12240" w:h="15840" w:orient="portrait"/>
          <w:cols w:equalWidth="0" w:num="1">
            <w:col w:w="9380"/>
          </w:cols>
          <w:pgMar w:left="1440" w:top="1440" w:right="1420" w:bottom="470" w:gutter="0" w:footer="0" w:header="0"/>
        </w:sectPr>
      </w:pPr>
    </w:p>
    <w:p>
      <w:pPr>
        <w:spacing w:after="0" w:line="7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231F20"/>
        </w:rPr>
        <w:t>8</w:t>
      </w:r>
    </w:p>
    <w:p>
      <w:pPr>
        <w:sectPr>
          <w:pgSz w:w="12240" w:h="15840" w:orient="portrait"/>
          <w:cols w:equalWidth="0" w:num="1">
            <w:col w:w="9380"/>
          </w:cols>
          <w:pgMar w:left="1440" w:top="1440" w:right="1420" w:bottom="470" w:gutter="0" w:footer="0" w:header="0"/>
          <w:type w:val="continuous"/>
        </w:sectPr>
      </w:pPr>
    </w:p>
    <w:bookmarkStart w:id="161" w:name="page162"/>
    <w:bookmarkEnd w:id="161"/>
    <w:p>
      <w:pPr>
        <w:spacing w:after="0" w:line="105" w:lineRule="exact"/>
        <w:rPr>
          <w:sz w:val="20"/>
          <w:szCs w:val="20"/>
          <w:color w:val="auto"/>
        </w:rPr>
      </w:pPr>
    </w:p>
    <w:p>
      <w:pPr>
        <w:jc w:val="both"/>
        <w:spacing w:after="0" w:line="244" w:lineRule="exact"/>
        <w:rPr>
          <w:sz w:val="20"/>
          <w:szCs w:val="20"/>
          <w:color w:val="auto"/>
        </w:rPr>
      </w:pPr>
      <w:r>
        <w:rPr>
          <w:rFonts w:ascii="Arial" w:cs="Arial" w:eastAsia="Arial" w:hAnsi="Arial"/>
          <w:sz w:val="19"/>
          <w:szCs w:val="19"/>
          <w:b w:val="1"/>
          <w:bCs w:val="1"/>
          <w:color w:val="231F20"/>
        </w:rPr>
        <w:t>CIC Agreement is incorporated herein by reference and made a part of this Agreement. Payments under Section 1.a. of this Agreement will be made no later than March 15, 2025. The Company and Executive will work together in good faith to consider either (i) amendments to this Agreement; or (ii) revisions to this Agreement with respect to the payment or benefits, which are necessary or appropriate to avoid imposition of any additional tax or income recognition prior to the actual payment to Executive under Section 409A. In no event will Executive have any discretion to choose Executive</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taxable year in which any payments or benefits are provide this Agreement. In no event will the Releasees have any responsibility, liability or obligation to reimburse, indemnify or hold harmless Executive for any taxes imposed, or other costs incurred, as a result of Section 409A.</w:t>
      </w:r>
    </w:p>
    <w:p>
      <w:pPr>
        <w:spacing w:after="0" w:line="260" w:lineRule="exact"/>
        <w:rPr>
          <w:sz w:val="20"/>
          <w:szCs w:val="20"/>
          <w:color w:val="auto"/>
        </w:rPr>
      </w:pPr>
    </w:p>
    <w:p>
      <w:pPr>
        <w:jc w:val="both"/>
        <w:ind w:firstLine="698"/>
        <w:spacing w:after="0" w:line="244" w:lineRule="exact"/>
        <w:tabs>
          <w:tab w:leader="none" w:pos="1286" w:val="left"/>
        </w:tabs>
        <w:numPr>
          <w:ilvl w:val="0"/>
          <w:numId w:val="47"/>
        </w:numPr>
        <w:rPr>
          <w:rFonts w:ascii="Arial" w:cs="Arial" w:eastAsia="Arial" w:hAnsi="Arial"/>
          <w:sz w:val="18"/>
          <w:szCs w:val="18"/>
          <w:b w:val="1"/>
          <w:bCs w:val="1"/>
          <w:color w:val="231F20"/>
        </w:rPr>
      </w:pPr>
      <w:r>
        <w:rPr>
          <w:rFonts w:ascii="Arial" w:cs="Arial" w:eastAsia="Arial" w:hAnsi="Arial"/>
          <w:sz w:val="18"/>
          <w:szCs w:val="18"/>
          <w:b w:val="1"/>
          <w:bCs w:val="1"/>
          <w:u w:val="single" w:color="auto"/>
          <w:color w:val="231F20"/>
        </w:rPr>
        <w:t>Authority</w:t>
      </w:r>
      <w:r>
        <w:rPr>
          <w:rFonts w:ascii="Arial" w:cs="Arial" w:eastAsia="Arial" w:hAnsi="Arial"/>
          <w:sz w:val="18"/>
          <w:szCs w:val="18"/>
          <w:b w:val="1"/>
          <w:bCs w:val="1"/>
          <w:color w:val="231F20"/>
        </w:rPr>
        <w:t>. The Company represents and warrants that the undersigned has the authority to act on behalf of the Company and to bind the Company and all who may claim through it to the terms and conditions of this Agreement. Executive represents and warrants that Executive has the capacity to act on Executive</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own behalf and on behalf of all who might claim through Executive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256" w:lineRule="exact"/>
        <w:rPr>
          <w:rFonts w:ascii="Arial" w:cs="Arial" w:eastAsia="Arial" w:hAnsi="Arial"/>
          <w:sz w:val="18"/>
          <w:szCs w:val="18"/>
          <w:b w:val="1"/>
          <w:bCs w:val="1"/>
          <w:color w:val="231F20"/>
        </w:rPr>
      </w:pPr>
    </w:p>
    <w:p>
      <w:pPr>
        <w:jc w:val="both"/>
        <w:ind w:firstLine="698"/>
        <w:spacing w:after="0" w:line="241" w:lineRule="auto"/>
        <w:tabs>
          <w:tab w:leader="none" w:pos="1286" w:val="left"/>
        </w:tabs>
        <w:numPr>
          <w:ilvl w:val="0"/>
          <w:numId w:val="47"/>
        </w:numPr>
        <w:rPr>
          <w:rFonts w:ascii="Arial" w:cs="Arial" w:eastAsia="Arial" w:hAnsi="Arial"/>
          <w:sz w:val="21"/>
          <w:szCs w:val="21"/>
          <w:b w:val="1"/>
          <w:bCs w:val="1"/>
          <w:color w:val="231F20"/>
        </w:rPr>
      </w:pPr>
      <w:r>
        <w:rPr>
          <w:rFonts w:ascii="Arial" w:cs="Arial" w:eastAsia="Arial" w:hAnsi="Arial"/>
          <w:sz w:val="21"/>
          <w:szCs w:val="21"/>
          <w:b w:val="1"/>
          <w:bCs w:val="1"/>
          <w:u w:val="single" w:color="auto"/>
          <w:color w:val="231F20"/>
        </w:rPr>
        <w:t>Severability</w:t>
      </w:r>
      <w:r>
        <w:rPr>
          <w:rFonts w:ascii="Arial" w:cs="Arial" w:eastAsia="Arial" w:hAnsi="Arial"/>
          <w:sz w:val="21"/>
          <w:szCs w:val="21"/>
          <w:b w:val="1"/>
          <w:bCs w:val="1"/>
          <w:color w:val="231F20"/>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253" w:lineRule="exact"/>
        <w:rPr>
          <w:rFonts w:ascii="Arial" w:cs="Arial" w:eastAsia="Arial" w:hAnsi="Arial"/>
          <w:sz w:val="21"/>
          <w:szCs w:val="21"/>
          <w:b w:val="1"/>
          <w:bCs w:val="1"/>
          <w:color w:val="231F20"/>
        </w:rPr>
      </w:pPr>
    </w:p>
    <w:p>
      <w:pPr>
        <w:jc w:val="both"/>
        <w:ind w:firstLine="698"/>
        <w:spacing w:after="0" w:line="243" w:lineRule="exact"/>
        <w:tabs>
          <w:tab w:leader="none" w:pos="1286" w:val="left"/>
        </w:tabs>
        <w:numPr>
          <w:ilvl w:val="0"/>
          <w:numId w:val="47"/>
        </w:numPr>
        <w:rPr>
          <w:rFonts w:ascii="Arial" w:cs="Arial" w:eastAsia="Arial" w:hAnsi="Arial"/>
          <w:sz w:val="19"/>
          <w:szCs w:val="19"/>
          <w:b w:val="1"/>
          <w:bCs w:val="1"/>
          <w:color w:val="231F20"/>
        </w:rPr>
      </w:pPr>
      <w:r>
        <w:rPr>
          <w:rFonts w:ascii="Arial" w:cs="Arial" w:eastAsia="Arial" w:hAnsi="Arial"/>
          <w:sz w:val="19"/>
          <w:szCs w:val="19"/>
          <w:b w:val="1"/>
          <w:bCs w:val="1"/>
          <w:u w:val="single" w:color="auto"/>
          <w:color w:val="231F20"/>
        </w:rPr>
        <w:t>Attorneys</w:t>
      </w:r>
      <w:r>
        <w:rPr>
          <w:rFonts w:ascii="PMingLiU" w:cs="PMingLiU" w:eastAsia="PMingLiU" w:hAnsi="PMingLiU"/>
          <w:sz w:val="19"/>
          <w:szCs w:val="19"/>
          <w:b w:val="1"/>
          <w:bCs w:val="1"/>
          <w:u w:val="single" w:color="auto"/>
          <w:color w:val="231F20"/>
        </w:rPr>
        <w:t></w:t>
      </w:r>
      <w:r>
        <w:rPr>
          <w:rFonts w:ascii="Arial" w:cs="Arial" w:eastAsia="Arial" w:hAnsi="Arial"/>
          <w:sz w:val="19"/>
          <w:szCs w:val="19"/>
          <w:b w:val="1"/>
          <w:bCs w:val="1"/>
          <w:color w:val="231F20"/>
        </w:rPr>
        <w:t xml:space="preserve"> </w:t>
      </w:r>
      <w:r>
        <w:rPr>
          <w:rFonts w:ascii="Arial" w:cs="Arial" w:eastAsia="Arial" w:hAnsi="Arial"/>
          <w:sz w:val="19"/>
          <w:szCs w:val="19"/>
          <w:b w:val="1"/>
          <w:bCs w:val="1"/>
          <w:u w:val="single" w:color="auto"/>
          <w:color w:val="231F20"/>
        </w:rPr>
        <w:t>Fees</w:t>
      </w:r>
      <w:r>
        <w:rPr>
          <w:rFonts w:ascii="Arial" w:cs="Arial" w:eastAsia="Arial" w:hAnsi="Arial"/>
          <w:sz w:val="19"/>
          <w:szCs w:val="19"/>
          <w:b w:val="1"/>
          <w:bCs w:val="1"/>
          <w:color w:val="231F20"/>
        </w:rPr>
        <w:t>. Except with regard to a legal action challenging or seeking a determination in good faith of the validity of the waiver herein under the ADEA, in the event that either Party brings an action to enforce or effect its rights under this Agreement, the prevailing Party shall be entitled to recover its costs and expenses, including the costs of mediation, arbitration, litigation, court fees, and reasonable attorneys</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fees incurred in connection with such an action.</w:t>
      </w:r>
    </w:p>
    <w:p>
      <w:pPr>
        <w:spacing w:after="0" w:line="257" w:lineRule="exact"/>
        <w:rPr>
          <w:rFonts w:ascii="Arial" w:cs="Arial" w:eastAsia="Arial" w:hAnsi="Arial"/>
          <w:sz w:val="19"/>
          <w:szCs w:val="19"/>
          <w:b w:val="1"/>
          <w:bCs w:val="1"/>
          <w:color w:val="231F20"/>
        </w:rPr>
      </w:pPr>
    </w:p>
    <w:p>
      <w:pPr>
        <w:jc w:val="both"/>
        <w:ind w:firstLine="698"/>
        <w:spacing w:after="0" w:line="244" w:lineRule="exact"/>
        <w:tabs>
          <w:tab w:leader="none" w:pos="1286" w:val="left"/>
        </w:tabs>
        <w:numPr>
          <w:ilvl w:val="0"/>
          <w:numId w:val="47"/>
        </w:numPr>
        <w:rPr>
          <w:rFonts w:ascii="Arial" w:cs="Arial" w:eastAsia="Arial" w:hAnsi="Arial"/>
          <w:sz w:val="18"/>
          <w:szCs w:val="18"/>
          <w:b w:val="1"/>
          <w:bCs w:val="1"/>
          <w:color w:val="231F20"/>
        </w:rPr>
      </w:pPr>
      <w:r>
        <w:rPr>
          <w:rFonts w:ascii="Arial" w:cs="Arial" w:eastAsia="Arial" w:hAnsi="Arial"/>
          <w:sz w:val="18"/>
          <w:szCs w:val="18"/>
          <w:b w:val="1"/>
          <w:bCs w:val="1"/>
          <w:u w:val="single" w:color="auto"/>
          <w:color w:val="231F20"/>
        </w:rPr>
        <w:t>Entire Agreement</w:t>
      </w:r>
      <w:r>
        <w:rPr>
          <w:rFonts w:ascii="Arial" w:cs="Arial" w:eastAsia="Arial" w:hAnsi="Arial"/>
          <w:sz w:val="18"/>
          <w:szCs w:val="18"/>
          <w:b w:val="1"/>
          <w:bCs w:val="1"/>
          <w:color w:val="231F20"/>
        </w:rPr>
        <w:t>. This Agreement represents the entire agreement and understanding between the Company and Executive concerning the subject matter of this Agreement and Executive</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employment with and separation from the Company and the events leading thereto and associated therewith, and supersedes and replaces any and all prior agreements and understandings concerning the subject matter of this Agreement and Executive</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relationship with the Company, including without limitation the Offer Letter and the CIC Agreement (except as expressly provided otherwise herein), but excluding the Confidentiality Agreement and the Award Documents except as otherwise modified or superseded herein.</w:t>
      </w:r>
    </w:p>
    <w:p>
      <w:pPr>
        <w:spacing w:after="0" w:line="259" w:lineRule="exact"/>
        <w:rPr>
          <w:rFonts w:ascii="Arial" w:cs="Arial" w:eastAsia="Arial" w:hAnsi="Arial"/>
          <w:sz w:val="18"/>
          <w:szCs w:val="18"/>
          <w:b w:val="1"/>
          <w:bCs w:val="1"/>
          <w:color w:val="231F20"/>
        </w:rPr>
      </w:pPr>
    </w:p>
    <w:p>
      <w:pPr>
        <w:ind w:firstLine="698"/>
        <w:spacing w:after="0" w:line="240" w:lineRule="exact"/>
        <w:tabs>
          <w:tab w:leader="none" w:pos="1284" w:val="left"/>
        </w:tabs>
        <w:numPr>
          <w:ilvl w:val="0"/>
          <w:numId w:val="47"/>
        </w:numPr>
        <w:rPr>
          <w:rFonts w:ascii="Arial" w:cs="Arial" w:eastAsia="Arial" w:hAnsi="Arial"/>
          <w:sz w:val="21"/>
          <w:szCs w:val="21"/>
          <w:b w:val="1"/>
          <w:bCs w:val="1"/>
          <w:color w:val="231F20"/>
        </w:rPr>
      </w:pPr>
      <w:r>
        <w:rPr>
          <w:rFonts w:ascii="Arial" w:cs="Arial" w:eastAsia="Arial" w:hAnsi="Arial"/>
          <w:sz w:val="21"/>
          <w:szCs w:val="21"/>
          <w:b w:val="1"/>
          <w:bCs w:val="1"/>
          <w:u w:val="single" w:color="auto"/>
          <w:color w:val="231F20"/>
        </w:rPr>
        <w:t>No Oral Modification</w:t>
      </w:r>
      <w:r>
        <w:rPr>
          <w:rFonts w:ascii="Arial" w:cs="Arial" w:eastAsia="Arial" w:hAnsi="Arial"/>
          <w:sz w:val="21"/>
          <w:szCs w:val="21"/>
          <w:b w:val="1"/>
          <w:bCs w:val="1"/>
          <w:color w:val="231F20"/>
        </w:rPr>
        <w:t>. This Agreement may only be amended in a writing signed by Executive and the Company</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s Chief Executive Officer.</w:t>
      </w:r>
    </w:p>
    <w:p>
      <w:pPr>
        <w:spacing w:after="0" w:line="254" w:lineRule="exact"/>
        <w:rPr>
          <w:rFonts w:ascii="Arial" w:cs="Arial" w:eastAsia="Arial" w:hAnsi="Arial"/>
          <w:sz w:val="21"/>
          <w:szCs w:val="21"/>
          <w:b w:val="1"/>
          <w:bCs w:val="1"/>
          <w:color w:val="231F20"/>
        </w:rPr>
      </w:pPr>
    </w:p>
    <w:p>
      <w:pPr>
        <w:jc w:val="both"/>
        <w:ind w:right="20" w:firstLine="698"/>
        <w:spacing w:after="0" w:line="258" w:lineRule="auto"/>
        <w:tabs>
          <w:tab w:leader="none" w:pos="1286" w:val="left"/>
        </w:tabs>
        <w:numPr>
          <w:ilvl w:val="0"/>
          <w:numId w:val="47"/>
        </w:numPr>
        <w:rPr>
          <w:rFonts w:ascii="Arial" w:cs="Arial" w:eastAsia="Arial" w:hAnsi="Arial"/>
          <w:sz w:val="20"/>
          <w:szCs w:val="20"/>
          <w:b w:val="1"/>
          <w:bCs w:val="1"/>
          <w:color w:val="231F20"/>
        </w:rPr>
      </w:pPr>
      <w:r>
        <w:rPr>
          <w:rFonts w:ascii="Arial" w:cs="Arial" w:eastAsia="Arial" w:hAnsi="Arial"/>
          <w:sz w:val="20"/>
          <w:szCs w:val="20"/>
          <w:b w:val="1"/>
          <w:bCs w:val="1"/>
          <w:u w:val="single" w:color="auto"/>
          <w:color w:val="231F20"/>
        </w:rPr>
        <w:t>Governing Law</w:t>
      </w:r>
      <w:r>
        <w:rPr>
          <w:rFonts w:ascii="Arial" w:cs="Arial" w:eastAsia="Arial" w:hAnsi="Arial"/>
          <w:sz w:val="20"/>
          <w:szCs w:val="20"/>
          <w:b w:val="1"/>
          <w:bCs w:val="1"/>
          <w:color w:val="231F20"/>
        </w:rPr>
        <w:t>. This Agreement shall be governed by the laws of the State of California, without regard for choice-of-law provisions, except that any dispute regarding the enforceability of the arbitration section of this Agreement shall be governed by the FAA. Executive consents to personal and exclusive jurisdiction and venue in the State of California.</w:t>
      </w:r>
    </w:p>
    <w:p>
      <w:pPr>
        <w:spacing w:after="0" w:line="237" w:lineRule="exact"/>
        <w:rPr>
          <w:rFonts w:ascii="Arial" w:cs="Arial" w:eastAsia="Arial" w:hAnsi="Arial"/>
          <w:sz w:val="20"/>
          <w:szCs w:val="20"/>
          <w:b w:val="1"/>
          <w:bCs w:val="1"/>
          <w:color w:val="231F20"/>
        </w:rPr>
      </w:pPr>
    </w:p>
    <w:p>
      <w:pPr>
        <w:jc w:val="both"/>
        <w:ind w:firstLine="698"/>
        <w:spacing w:after="0" w:line="244" w:lineRule="exact"/>
        <w:tabs>
          <w:tab w:leader="none" w:pos="1286" w:val="left"/>
        </w:tabs>
        <w:numPr>
          <w:ilvl w:val="0"/>
          <w:numId w:val="47"/>
        </w:numPr>
        <w:rPr>
          <w:rFonts w:ascii="Arial" w:cs="Arial" w:eastAsia="Arial" w:hAnsi="Arial"/>
          <w:sz w:val="21"/>
          <w:szCs w:val="21"/>
          <w:b w:val="1"/>
          <w:bCs w:val="1"/>
          <w:color w:val="231F20"/>
        </w:rPr>
      </w:pPr>
      <w:r>
        <w:rPr>
          <w:rFonts w:ascii="Arial" w:cs="Arial" w:eastAsia="Arial" w:hAnsi="Arial"/>
          <w:sz w:val="21"/>
          <w:szCs w:val="21"/>
          <w:b w:val="1"/>
          <w:bCs w:val="1"/>
          <w:u w:val="single" w:color="auto"/>
          <w:color w:val="231F20"/>
        </w:rPr>
        <w:t>Effective Date</w:t>
      </w:r>
      <w:r>
        <w:rPr>
          <w:rFonts w:ascii="Arial" w:cs="Arial" w:eastAsia="Arial" w:hAnsi="Arial"/>
          <w:sz w:val="21"/>
          <w:szCs w:val="21"/>
          <w:b w:val="1"/>
          <w:bCs w:val="1"/>
          <w:color w:val="231F20"/>
        </w:rPr>
        <w:t xml:space="preserve">. Executive understands that this Agreement shall be null and void if not executed by Executive within twenty-one (21) days. Executive has seven (7) days after he signs this Agreement to revoke it. This Agreement will become effective on the eighth (8th) day after Executive signed this Agreement, so long as it has been signed by the Parties and has not been revoked by Executive before that date (the </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Effective Date</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w:t>
      </w:r>
    </w:p>
    <w:p>
      <w:pPr>
        <w:spacing w:after="0" w:line="255" w:lineRule="exact"/>
        <w:rPr>
          <w:rFonts w:ascii="Arial" w:cs="Arial" w:eastAsia="Arial" w:hAnsi="Arial"/>
          <w:sz w:val="21"/>
          <w:szCs w:val="21"/>
          <w:b w:val="1"/>
          <w:bCs w:val="1"/>
          <w:color w:val="231F20"/>
        </w:rPr>
      </w:pPr>
    </w:p>
    <w:p>
      <w:pPr>
        <w:jc w:val="both"/>
        <w:ind w:right="20" w:firstLine="698"/>
        <w:spacing w:after="0" w:line="302" w:lineRule="auto"/>
        <w:tabs>
          <w:tab w:leader="none" w:pos="1286" w:val="left"/>
        </w:tabs>
        <w:numPr>
          <w:ilvl w:val="0"/>
          <w:numId w:val="47"/>
        </w:numPr>
        <w:rPr>
          <w:rFonts w:ascii="Arial" w:cs="Arial" w:eastAsia="Arial" w:hAnsi="Arial"/>
          <w:sz w:val="18"/>
          <w:szCs w:val="18"/>
          <w:b w:val="1"/>
          <w:bCs w:val="1"/>
          <w:color w:val="231F20"/>
        </w:rPr>
      </w:pPr>
      <w:r>
        <w:rPr>
          <w:rFonts w:ascii="Arial" w:cs="Arial" w:eastAsia="Arial" w:hAnsi="Arial"/>
          <w:sz w:val="18"/>
          <w:szCs w:val="18"/>
          <w:b w:val="1"/>
          <w:bCs w:val="1"/>
          <w:u w:val="single" w:color="auto"/>
          <w:color w:val="231F20"/>
        </w:rPr>
        <w:t>Successors and Assigns</w:t>
      </w:r>
      <w:r>
        <w:rPr>
          <w:rFonts w:ascii="Arial" w:cs="Arial" w:eastAsia="Arial" w:hAnsi="Arial"/>
          <w:sz w:val="18"/>
          <w:szCs w:val="18"/>
          <w:b w:val="1"/>
          <w:bCs w:val="1"/>
          <w:color w:val="231F20"/>
        </w:rPr>
        <w:t>. This Agreement is binding upon, enforceable by, and shall inure to the benefit of the Parties and their respective heirs, executors, administrators, legal representatives, officers, directors, partners, members, owners, parents, subsidiaries, affiliates, related companies, successors and</w:t>
      </w:r>
    </w:p>
    <w:p>
      <w:pPr>
        <w:sectPr>
          <w:pgSz w:w="12240" w:h="15840" w:orient="portrait"/>
          <w:cols w:equalWidth="0" w:num="1">
            <w:col w:w="9380"/>
          </w:cols>
          <w:pgMar w:left="1440" w:top="1440" w:right="1420" w:bottom="470" w:gutter="0" w:footer="0" w:header="0"/>
        </w:sectPr>
      </w:pP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231F20"/>
        </w:rPr>
        <w:t>9</w:t>
      </w:r>
    </w:p>
    <w:p>
      <w:pPr>
        <w:sectPr>
          <w:pgSz w:w="12240" w:h="15840" w:orient="portrait"/>
          <w:cols w:equalWidth="0" w:num="1">
            <w:col w:w="9380"/>
          </w:cols>
          <w:pgMar w:left="1440" w:top="1440" w:right="1420" w:bottom="470" w:gutter="0" w:footer="0" w:header="0"/>
          <w:type w:val="continuous"/>
        </w:sectPr>
      </w:pPr>
    </w:p>
    <w:bookmarkStart w:id="162" w:name="page163"/>
    <w:bookmarkEnd w:id="162"/>
    <w:p>
      <w:pPr>
        <w:spacing w:after="0" w:line="100" w:lineRule="exact"/>
        <w:rPr>
          <w:sz w:val="20"/>
          <w:szCs w:val="20"/>
          <w:color w:val="auto"/>
        </w:rPr>
      </w:pPr>
    </w:p>
    <w:p>
      <w:pPr>
        <w:spacing w:after="0"/>
        <w:rPr>
          <w:sz w:val="20"/>
          <w:szCs w:val="20"/>
          <w:color w:val="auto"/>
        </w:rPr>
      </w:pPr>
      <w:r>
        <w:rPr>
          <w:rFonts w:ascii="Arial" w:cs="Arial" w:eastAsia="Arial" w:hAnsi="Arial"/>
          <w:sz w:val="21"/>
          <w:szCs w:val="21"/>
          <w:b w:val="1"/>
          <w:bCs w:val="1"/>
          <w:color w:val="231F20"/>
        </w:rPr>
        <w:t>assigns.</w:t>
      </w:r>
    </w:p>
    <w:p>
      <w:pPr>
        <w:spacing w:after="0" w:line="253" w:lineRule="exact"/>
        <w:rPr>
          <w:sz w:val="20"/>
          <w:szCs w:val="20"/>
          <w:color w:val="auto"/>
        </w:rPr>
      </w:pPr>
    </w:p>
    <w:p>
      <w:pPr>
        <w:jc w:val="both"/>
        <w:ind w:firstLine="698"/>
        <w:spacing w:after="0" w:line="257" w:lineRule="auto"/>
        <w:tabs>
          <w:tab w:leader="none" w:pos="1286" w:val="left"/>
        </w:tabs>
        <w:numPr>
          <w:ilvl w:val="0"/>
          <w:numId w:val="48"/>
        </w:numPr>
        <w:rPr>
          <w:rFonts w:ascii="Arial" w:cs="Arial" w:eastAsia="Arial" w:hAnsi="Arial"/>
          <w:sz w:val="20"/>
          <w:szCs w:val="20"/>
          <w:b w:val="1"/>
          <w:bCs w:val="1"/>
          <w:color w:val="231F20"/>
        </w:rPr>
      </w:pPr>
      <w:r>
        <w:rPr>
          <w:rFonts w:ascii="Arial" w:cs="Arial" w:eastAsia="Arial" w:hAnsi="Arial"/>
          <w:sz w:val="20"/>
          <w:szCs w:val="20"/>
          <w:b w:val="1"/>
          <w:bCs w:val="1"/>
          <w:u w:val="single" w:color="auto"/>
          <w:color w:val="231F20"/>
        </w:rPr>
        <w:t>Counterparts</w:t>
      </w:r>
      <w:r>
        <w:rPr>
          <w:rFonts w:ascii="Arial" w:cs="Arial" w:eastAsia="Arial" w:hAnsi="Arial"/>
          <w:sz w:val="20"/>
          <w:szCs w:val="20"/>
          <w:b w:val="1"/>
          <w:bCs w:val="1"/>
          <w:color w:val="231F20"/>
        </w:rPr>
        <w:t>. This Agreement may be executed in counterparts and each counterpart shall be deemed an original and all of which counterparts taken together shall have the same force and effect as an original and shall constitute an effective, binding agreement on the part of each of the undersigned. The counterparts of this Agreement may be executed and delivered by facsimile, photo, email PDF, or other electronic transmission or signature.</w:t>
      </w:r>
    </w:p>
    <w:p>
      <w:pPr>
        <w:spacing w:after="0" w:line="239" w:lineRule="exact"/>
        <w:rPr>
          <w:rFonts w:ascii="Arial" w:cs="Arial" w:eastAsia="Arial" w:hAnsi="Arial"/>
          <w:sz w:val="20"/>
          <w:szCs w:val="20"/>
          <w:b w:val="1"/>
          <w:bCs w:val="1"/>
          <w:color w:val="231F20"/>
        </w:rPr>
      </w:pPr>
    </w:p>
    <w:p>
      <w:pPr>
        <w:jc w:val="both"/>
        <w:ind w:firstLine="698"/>
        <w:spacing w:after="0" w:line="242" w:lineRule="auto"/>
        <w:tabs>
          <w:tab w:leader="none" w:pos="1286" w:val="left"/>
        </w:tabs>
        <w:numPr>
          <w:ilvl w:val="0"/>
          <w:numId w:val="48"/>
        </w:numPr>
        <w:rPr>
          <w:rFonts w:ascii="Arial" w:cs="Arial" w:eastAsia="Arial" w:hAnsi="Arial"/>
          <w:sz w:val="21"/>
          <w:szCs w:val="21"/>
          <w:b w:val="1"/>
          <w:bCs w:val="1"/>
          <w:color w:val="231F20"/>
        </w:rPr>
      </w:pPr>
      <w:r>
        <w:rPr>
          <w:rFonts w:ascii="Arial" w:cs="Arial" w:eastAsia="Arial" w:hAnsi="Arial"/>
          <w:sz w:val="21"/>
          <w:szCs w:val="21"/>
          <w:b w:val="1"/>
          <w:bCs w:val="1"/>
          <w:u w:val="single" w:color="auto"/>
          <w:color w:val="231F20"/>
        </w:rPr>
        <w:t>Voluntary Execution of Agreement</w:t>
      </w:r>
      <w:r>
        <w:rPr>
          <w:rFonts w:ascii="Arial" w:cs="Arial" w:eastAsia="Arial" w:hAnsi="Arial"/>
          <w:sz w:val="21"/>
          <w:szCs w:val="21"/>
          <w:b w:val="1"/>
          <w:bCs w:val="1"/>
          <w:color w:val="231F20"/>
        </w:rPr>
        <w:t>. The Parties understand and agree that they have executed this Agreement voluntarily and without any duress or undue influence on the part or behalf of the other Party or any third party, with the full intent of releasing claims as set forth in this Agreement. The Parties acknowledge that:</w:t>
      </w:r>
    </w:p>
    <w:p>
      <w:pPr>
        <w:spacing w:after="0" w:line="247" w:lineRule="exact"/>
        <w:rPr>
          <w:rFonts w:ascii="Arial" w:cs="Arial" w:eastAsia="Arial" w:hAnsi="Arial"/>
          <w:sz w:val="21"/>
          <w:szCs w:val="21"/>
          <w:b w:val="1"/>
          <w:bCs w:val="1"/>
          <w:color w:val="231F20"/>
        </w:rPr>
      </w:pPr>
    </w:p>
    <w:p>
      <w:pPr>
        <w:ind w:left="2100" w:hanging="703"/>
        <w:spacing w:after="0"/>
        <w:tabs>
          <w:tab w:leader="none" w:pos="2100" w:val="left"/>
        </w:tabs>
        <w:numPr>
          <w:ilvl w:val="1"/>
          <w:numId w:val="48"/>
        </w:numPr>
        <w:rPr>
          <w:rFonts w:ascii="Arial" w:cs="Arial" w:eastAsia="Arial" w:hAnsi="Arial"/>
          <w:sz w:val="21"/>
          <w:szCs w:val="21"/>
          <w:b w:val="1"/>
          <w:bCs w:val="1"/>
          <w:color w:val="231F20"/>
        </w:rPr>
      </w:pPr>
      <w:r>
        <w:rPr>
          <w:rFonts w:ascii="Arial" w:cs="Arial" w:eastAsia="Arial" w:hAnsi="Arial"/>
          <w:sz w:val="21"/>
          <w:szCs w:val="21"/>
          <w:b w:val="1"/>
          <w:bCs w:val="1"/>
          <w:color w:val="231F20"/>
        </w:rPr>
        <w:t>They have read this Agreement;</w:t>
      </w:r>
    </w:p>
    <w:p>
      <w:pPr>
        <w:spacing w:after="0" w:line="253" w:lineRule="exact"/>
        <w:rPr>
          <w:rFonts w:ascii="Arial" w:cs="Arial" w:eastAsia="Arial" w:hAnsi="Arial"/>
          <w:sz w:val="21"/>
          <w:szCs w:val="21"/>
          <w:b w:val="1"/>
          <w:bCs w:val="1"/>
          <w:color w:val="231F20"/>
        </w:rPr>
      </w:pPr>
    </w:p>
    <w:p>
      <w:pPr>
        <w:jc w:val="both"/>
        <w:ind w:left="2100" w:right="20" w:hanging="703"/>
        <w:spacing w:after="0" w:line="241" w:lineRule="auto"/>
        <w:tabs>
          <w:tab w:leader="none" w:pos="2100" w:val="left"/>
        </w:tabs>
        <w:numPr>
          <w:ilvl w:val="1"/>
          <w:numId w:val="48"/>
        </w:numPr>
        <w:rPr>
          <w:rFonts w:ascii="Arial" w:cs="Arial" w:eastAsia="Arial" w:hAnsi="Arial"/>
          <w:sz w:val="21"/>
          <w:szCs w:val="21"/>
          <w:b w:val="1"/>
          <w:bCs w:val="1"/>
          <w:color w:val="231F20"/>
        </w:rPr>
      </w:pPr>
      <w:r>
        <w:rPr>
          <w:rFonts w:ascii="Arial" w:cs="Arial" w:eastAsia="Arial" w:hAnsi="Arial"/>
          <w:sz w:val="21"/>
          <w:szCs w:val="21"/>
          <w:b w:val="1"/>
          <w:bCs w:val="1"/>
          <w:color w:val="231F20"/>
        </w:rPr>
        <w:t>They have been represented in the preparation, negotiation, and execution of this Agreement by legal counsel of their own choice or have elected not to retain legal counsel;</w:t>
      </w:r>
    </w:p>
    <w:p>
      <w:pPr>
        <w:spacing w:after="0" w:line="254" w:lineRule="exact"/>
        <w:rPr>
          <w:rFonts w:ascii="Arial" w:cs="Arial" w:eastAsia="Arial" w:hAnsi="Arial"/>
          <w:sz w:val="21"/>
          <w:szCs w:val="21"/>
          <w:b w:val="1"/>
          <w:bCs w:val="1"/>
          <w:color w:val="231F20"/>
        </w:rPr>
      </w:pPr>
    </w:p>
    <w:p>
      <w:pPr>
        <w:ind w:left="2100" w:right="20" w:hanging="703"/>
        <w:spacing w:after="0" w:line="239" w:lineRule="auto"/>
        <w:tabs>
          <w:tab w:leader="none" w:pos="2100" w:val="left"/>
        </w:tabs>
        <w:numPr>
          <w:ilvl w:val="1"/>
          <w:numId w:val="48"/>
        </w:numPr>
        <w:rPr>
          <w:rFonts w:ascii="Arial" w:cs="Arial" w:eastAsia="Arial" w:hAnsi="Arial"/>
          <w:sz w:val="21"/>
          <w:szCs w:val="21"/>
          <w:b w:val="1"/>
          <w:bCs w:val="1"/>
          <w:color w:val="231F20"/>
        </w:rPr>
      </w:pPr>
      <w:r>
        <w:rPr>
          <w:rFonts w:ascii="Arial" w:cs="Arial" w:eastAsia="Arial" w:hAnsi="Arial"/>
          <w:sz w:val="21"/>
          <w:szCs w:val="21"/>
          <w:b w:val="1"/>
          <w:bCs w:val="1"/>
          <w:color w:val="231F20"/>
        </w:rPr>
        <w:t>They understand the terms and consequences of this Agreement and of the releases it contains;</w:t>
      </w:r>
    </w:p>
    <w:p>
      <w:pPr>
        <w:spacing w:after="0" w:line="253" w:lineRule="exact"/>
        <w:rPr>
          <w:rFonts w:ascii="Arial" w:cs="Arial" w:eastAsia="Arial" w:hAnsi="Arial"/>
          <w:sz w:val="21"/>
          <w:szCs w:val="21"/>
          <w:b w:val="1"/>
          <w:bCs w:val="1"/>
          <w:color w:val="231F20"/>
        </w:rPr>
      </w:pPr>
    </w:p>
    <w:p>
      <w:pPr>
        <w:ind w:left="2100" w:hanging="703"/>
        <w:spacing w:after="0"/>
        <w:tabs>
          <w:tab w:leader="none" w:pos="2100" w:val="left"/>
        </w:tabs>
        <w:numPr>
          <w:ilvl w:val="1"/>
          <w:numId w:val="48"/>
        </w:numPr>
        <w:rPr>
          <w:rFonts w:ascii="Arial" w:cs="Arial" w:eastAsia="Arial" w:hAnsi="Arial"/>
          <w:sz w:val="20"/>
          <w:szCs w:val="20"/>
          <w:b w:val="1"/>
          <w:bCs w:val="1"/>
          <w:color w:val="231F20"/>
        </w:rPr>
      </w:pPr>
      <w:r>
        <w:rPr>
          <w:rFonts w:ascii="Arial" w:cs="Arial" w:eastAsia="Arial" w:hAnsi="Arial"/>
          <w:sz w:val="20"/>
          <w:szCs w:val="20"/>
          <w:b w:val="1"/>
          <w:bCs w:val="1"/>
          <w:color w:val="231F20"/>
        </w:rPr>
        <w:t>They are fully aware of the legal and binding effect of this Agreement; and</w:t>
      </w:r>
    </w:p>
    <w:p>
      <w:pPr>
        <w:spacing w:after="0" w:line="259" w:lineRule="exact"/>
        <w:rPr>
          <w:rFonts w:ascii="Arial" w:cs="Arial" w:eastAsia="Arial" w:hAnsi="Arial"/>
          <w:sz w:val="20"/>
          <w:szCs w:val="20"/>
          <w:b w:val="1"/>
          <w:bCs w:val="1"/>
          <w:color w:val="231F20"/>
        </w:rPr>
      </w:pPr>
    </w:p>
    <w:p>
      <w:pPr>
        <w:ind w:left="2100" w:hanging="703"/>
        <w:spacing w:after="0"/>
        <w:tabs>
          <w:tab w:leader="none" w:pos="2100" w:val="left"/>
        </w:tabs>
        <w:numPr>
          <w:ilvl w:val="1"/>
          <w:numId w:val="48"/>
        </w:numPr>
        <w:rPr>
          <w:rFonts w:ascii="Arial" w:cs="Arial" w:eastAsia="Arial" w:hAnsi="Arial"/>
          <w:sz w:val="21"/>
          <w:szCs w:val="21"/>
          <w:b w:val="1"/>
          <w:bCs w:val="1"/>
          <w:color w:val="231F20"/>
        </w:rPr>
      </w:pPr>
      <w:r>
        <w:rPr>
          <w:rFonts w:ascii="Arial" w:cs="Arial" w:eastAsia="Arial" w:hAnsi="Arial"/>
          <w:sz w:val="21"/>
          <w:szCs w:val="21"/>
          <w:b w:val="1"/>
          <w:bCs w:val="1"/>
          <w:color w:val="231F20"/>
        </w:rPr>
        <w:t>They have not relied upon any representations or statements made by the other Party that are not specifically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0"/>
        <w:spacing w:after="0" w:line="239" w:lineRule="auto"/>
        <w:rPr>
          <w:sz w:val="20"/>
          <w:szCs w:val="20"/>
          <w:color w:val="auto"/>
        </w:rPr>
      </w:pPr>
      <w:r>
        <w:rPr>
          <w:rFonts w:ascii="Arial" w:cs="Arial" w:eastAsia="Arial" w:hAnsi="Arial"/>
          <w:sz w:val="21"/>
          <w:szCs w:val="21"/>
          <w:b w:val="1"/>
          <w:bCs w:val="1"/>
          <w:color w:val="231F20"/>
        </w:rPr>
        <w:t>THE REMAINDER OF THIS PAGE IS INTENTIONALLY LEFT BLANK; SIGNATURE PAGE FOLLOWS</w:t>
      </w:r>
    </w:p>
    <w:p>
      <w:pPr>
        <w:sectPr>
          <w:pgSz w:w="12240" w:h="15840" w:orient="portrait"/>
          <w:cols w:equalWidth="0" w:num="1">
            <w:col w:w="9380"/>
          </w:cols>
          <w:pgMar w:left="1440" w:top="1440" w:right="1420" w:bottom="4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231F20"/>
        </w:rPr>
        <w:t>10</w:t>
      </w:r>
    </w:p>
    <w:p>
      <w:pPr>
        <w:sectPr>
          <w:pgSz w:w="12240" w:h="15840" w:orient="portrait"/>
          <w:cols w:equalWidth="0" w:num="1">
            <w:col w:w="9380"/>
          </w:cols>
          <w:pgMar w:left="1440" w:top="1440" w:right="1420" w:bottom="447" w:gutter="0" w:footer="0" w:header="0"/>
          <w:type w:val="continuous"/>
        </w:sectPr>
      </w:pPr>
    </w:p>
    <w:bookmarkStart w:id="163" w:name="page164"/>
    <w:bookmarkEnd w:id="163"/>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 WITNESS WHEREOF, the Parties have executed this Agreement on the respective dates set forth below.</w:t>
      </w:r>
    </w:p>
    <w:p>
      <w:pPr>
        <w:spacing w:after="0" w:line="200" w:lineRule="exact"/>
        <w:rPr>
          <w:sz w:val="20"/>
          <w:szCs w:val="20"/>
          <w:color w:val="auto"/>
        </w:rPr>
      </w:pPr>
    </w:p>
    <w:p>
      <w:pPr>
        <w:spacing w:after="0" w:line="313" w:lineRule="exact"/>
        <w:rPr>
          <w:sz w:val="20"/>
          <w:szCs w:val="20"/>
          <w:color w:val="auto"/>
        </w:rPr>
      </w:pPr>
    </w:p>
    <w:p>
      <w:pPr>
        <w:ind w:left="4200"/>
        <w:spacing w:after="0"/>
        <w:rPr>
          <w:sz w:val="20"/>
          <w:szCs w:val="20"/>
          <w:color w:val="auto"/>
        </w:rPr>
      </w:pPr>
      <w:r>
        <w:rPr>
          <w:rFonts w:ascii="Arial" w:cs="Arial" w:eastAsia="Arial" w:hAnsi="Arial"/>
          <w:sz w:val="21"/>
          <w:szCs w:val="21"/>
          <w:b w:val="1"/>
          <w:bCs w:val="1"/>
          <w:color w:val="231F20"/>
        </w:rPr>
        <w:t>PETER GARCIA, an individual</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40" w:type="dxa"/>
            <w:vAlign w:val="bottom"/>
          </w:tcPr>
          <w:p>
            <w:pPr>
              <w:spacing w:after="0"/>
              <w:rPr>
                <w:sz w:val="20"/>
                <w:szCs w:val="20"/>
                <w:color w:val="auto"/>
              </w:rPr>
            </w:pPr>
            <w:r>
              <w:rPr>
                <w:rFonts w:ascii="Arial" w:cs="Arial" w:eastAsia="Arial" w:hAnsi="Arial"/>
                <w:sz w:val="21"/>
                <w:szCs w:val="21"/>
                <w:b w:val="1"/>
                <w:bCs w:val="1"/>
                <w:color w:val="231F20"/>
              </w:rPr>
              <w:t>Dated: November 8, 2024</w:t>
            </w:r>
          </w:p>
        </w:tc>
        <w:tc>
          <w:tcPr>
            <w:tcW w:w="4820" w:type="dxa"/>
            <w:vAlign w:val="bottom"/>
            <w:tcBorders>
              <w:bottom w:val="single" w:sz="8" w:color="231F20"/>
            </w:tcBorders>
          </w:tcPr>
          <w:p>
            <w:pPr>
              <w:ind w:left="40"/>
              <w:spacing w:after="0"/>
              <w:rPr>
                <w:sz w:val="20"/>
                <w:szCs w:val="20"/>
                <w:color w:val="auto"/>
              </w:rPr>
            </w:pPr>
            <w:r>
              <w:rPr>
                <w:rFonts w:ascii="Arial" w:cs="Arial" w:eastAsia="Arial" w:hAnsi="Arial"/>
                <w:sz w:val="21"/>
                <w:szCs w:val="21"/>
                <w:b w:val="1"/>
                <w:bCs w:val="1"/>
                <w:color w:val="231F20"/>
              </w:rPr>
              <w:t>/s/ Peter Garcia</w:t>
            </w:r>
          </w:p>
        </w:tc>
      </w:tr>
      <w:tr>
        <w:trPr>
          <w:trHeight w:val="248"/>
        </w:trPr>
        <w:tc>
          <w:tcPr>
            <w:tcW w:w="4140" w:type="dxa"/>
            <w:vAlign w:val="bottom"/>
          </w:tcPr>
          <w:p>
            <w:pPr>
              <w:spacing w:after="0"/>
              <w:rPr>
                <w:sz w:val="21"/>
                <w:szCs w:val="21"/>
                <w:color w:val="auto"/>
              </w:rPr>
            </w:pPr>
          </w:p>
        </w:tc>
        <w:tc>
          <w:tcPr>
            <w:tcW w:w="4820" w:type="dxa"/>
            <w:vAlign w:val="bottom"/>
          </w:tcPr>
          <w:p>
            <w:pPr>
              <w:ind w:left="40"/>
              <w:spacing w:after="0"/>
              <w:rPr>
                <w:sz w:val="20"/>
                <w:szCs w:val="20"/>
                <w:color w:val="auto"/>
              </w:rPr>
            </w:pPr>
            <w:r>
              <w:rPr>
                <w:rFonts w:ascii="Arial" w:cs="Arial" w:eastAsia="Arial" w:hAnsi="Arial"/>
                <w:sz w:val="21"/>
                <w:szCs w:val="21"/>
                <w:b w:val="1"/>
                <w:bCs w:val="1"/>
                <w:color w:val="231F20"/>
              </w:rPr>
              <w:t>Peter Garcia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00" w:type="dxa"/>
            <w:vAlign w:val="bottom"/>
          </w:tcPr>
          <w:p>
            <w:pPr>
              <w:spacing w:after="0"/>
              <w:rPr>
                <w:sz w:val="21"/>
                <w:szCs w:val="21"/>
                <w:color w:val="auto"/>
              </w:rPr>
            </w:pPr>
          </w:p>
        </w:tc>
        <w:tc>
          <w:tcPr>
            <w:tcW w:w="5760" w:type="dxa"/>
            <w:vAlign w:val="bottom"/>
            <w:gridSpan w:val="2"/>
          </w:tcPr>
          <w:p>
            <w:pPr>
              <w:ind w:left="1000"/>
              <w:spacing w:after="0"/>
              <w:rPr>
                <w:sz w:val="20"/>
                <w:szCs w:val="20"/>
                <w:color w:val="auto"/>
              </w:rPr>
            </w:pPr>
            <w:r>
              <w:rPr>
                <w:rFonts w:ascii="Arial" w:cs="Arial" w:eastAsia="Arial" w:hAnsi="Arial"/>
                <w:sz w:val="21"/>
                <w:szCs w:val="21"/>
                <w:b w:val="1"/>
                <w:bCs w:val="1"/>
                <w:color w:val="231F20"/>
              </w:rPr>
              <w:t>ALX ONCOLOGY HOLDINGS INC.</w:t>
            </w:r>
          </w:p>
        </w:tc>
      </w:tr>
      <w:tr>
        <w:trPr>
          <w:trHeight w:val="786"/>
        </w:trPr>
        <w:tc>
          <w:tcPr>
            <w:tcW w:w="3200" w:type="dxa"/>
            <w:vAlign w:val="bottom"/>
          </w:tcPr>
          <w:p>
            <w:pPr>
              <w:spacing w:after="0"/>
              <w:rPr>
                <w:sz w:val="20"/>
                <w:szCs w:val="20"/>
                <w:color w:val="auto"/>
              </w:rPr>
            </w:pPr>
            <w:r>
              <w:rPr>
                <w:rFonts w:ascii="Arial" w:cs="Arial" w:eastAsia="Arial" w:hAnsi="Arial"/>
                <w:sz w:val="21"/>
                <w:szCs w:val="21"/>
                <w:b w:val="1"/>
                <w:bCs w:val="1"/>
                <w:color w:val="231F20"/>
              </w:rPr>
              <w:t>Dated: November 8, 2024</w:t>
            </w:r>
          </w:p>
        </w:tc>
        <w:tc>
          <w:tcPr>
            <w:tcW w:w="5760" w:type="dxa"/>
            <w:vAlign w:val="bottom"/>
            <w:gridSpan w:val="2"/>
          </w:tcPr>
          <w:p>
            <w:pPr>
              <w:ind w:left="1040"/>
              <w:spacing w:after="0"/>
              <w:rPr>
                <w:sz w:val="20"/>
                <w:szCs w:val="20"/>
                <w:color w:val="auto"/>
              </w:rPr>
            </w:pPr>
            <w:r>
              <w:rPr>
                <w:rFonts w:ascii="Arial" w:cs="Arial" w:eastAsia="Arial" w:hAnsi="Arial"/>
                <w:sz w:val="21"/>
                <w:szCs w:val="21"/>
                <w:b w:val="1"/>
                <w:bCs w:val="1"/>
                <w:color w:val="231F20"/>
              </w:rPr>
              <w:t>By /s/ Jason Lettmann</w:t>
            </w:r>
          </w:p>
        </w:tc>
      </w:tr>
      <w:tr>
        <w:trPr>
          <w:trHeight w:val="246"/>
        </w:trPr>
        <w:tc>
          <w:tcPr>
            <w:tcW w:w="3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420" w:type="dxa"/>
            <w:vAlign w:val="bottom"/>
            <w:tcBorders>
              <w:top w:val="single" w:sz="8" w:color="231F20"/>
            </w:tcBorders>
          </w:tcPr>
          <w:p>
            <w:pPr>
              <w:spacing w:after="0"/>
              <w:rPr>
                <w:sz w:val="20"/>
                <w:szCs w:val="20"/>
                <w:color w:val="auto"/>
              </w:rPr>
            </w:pPr>
            <w:r>
              <w:rPr>
                <w:rFonts w:ascii="Arial" w:cs="Arial" w:eastAsia="Arial" w:hAnsi="Arial"/>
                <w:sz w:val="21"/>
                <w:szCs w:val="21"/>
                <w:b w:val="1"/>
                <w:bCs w:val="1"/>
                <w:color w:val="231F20"/>
              </w:rPr>
              <w:t>Jason Lettmann</w:t>
            </w:r>
          </w:p>
        </w:tc>
      </w:tr>
      <w:tr>
        <w:trPr>
          <w:trHeight w:val="245"/>
        </w:trPr>
        <w:tc>
          <w:tcPr>
            <w:tcW w:w="3200" w:type="dxa"/>
            <w:vAlign w:val="bottom"/>
          </w:tcPr>
          <w:p>
            <w:pPr>
              <w:spacing w:after="0"/>
              <w:rPr>
                <w:sz w:val="21"/>
                <w:szCs w:val="21"/>
                <w:color w:val="auto"/>
              </w:rPr>
            </w:pPr>
          </w:p>
        </w:tc>
        <w:tc>
          <w:tcPr>
            <w:tcW w:w="5760" w:type="dxa"/>
            <w:vAlign w:val="bottom"/>
            <w:gridSpan w:val="2"/>
          </w:tcPr>
          <w:p>
            <w:pPr>
              <w:ind w:left="1340"/>
              <w:spacing w:after="0"/>
              <w:rPr>
                <w:sz w:val="20"/>
                <w:szCs w:val="20"/>
                <w:color w:val="auto"/>
              </w:rPr>
            </w:pPr>
            <w:r>
              <w:rPr>
                <w:rFonts w:ascii="Arial" w:cs="Arial" w:eastAsia="Arial" w:hAnsi="Arial"/>
                <w:sz w:val="21"/>
                <w:szCs w:val="21"/>
                <w:b w:val="1"/>
                <w:bCs w:val="1"/>
                <w:color w:val="231F20"/>
              </w:rPr>
              <w:t>Chief Executive Officer</w:t>
            </w:r>
          </w:p>
        </w:tc>
      </w:tr>
    </w:tbl>
    <w:p>
      <w:pPr>
        <w:spacing w:after="0" w:line="200" w:lineRule="exact"/>
        <w:rPr>
          <w:sz w:val="20"/>
          <w:szCs w:val="20"/>
          <w:color w:val="auto"/>
        </w:rPr>
      </w:pPr>
    </w:p>
    <w:p>
      <w:pPr>
        <w:sectPr>
          <w:pgSz w:w="12240" w:h="15840" w:orient="portrait"/>
          <w:cols w:equalWidth="0" w:num="1">
            <w:col w:w="9360"/>
          </w:cols>
          <w:pgMar w:left="1440" w:top="1440" w:right="1440" w:bottom="4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231F20"/>
        </w:rPr>
        <w:t>11</w:t>
      </w:r>
    </w:p>
    <w:p>
      <w:pPr>
        <w:sectPr>
          <w:pgSz w:w="12240" w:h="15840" w:orient="portrait"/>
          <w:cols w:equalWidth="0" w:num="1">
            <w:col w:w="9360"/>
          </w:cols>
          <w:pgMar w:left="1440" w:top="1440" w:right="1440" w:bottom="447" w:gutter="0" w:footer="0" w:header="0"/>
          <w:type w:val="continuous"/>
        </w:sectPr>
      </w:pPr>
    </w:p>
    <w:bookmarkStart w:id="164" w:name="page165"/>
    <w:bookmarkEnd w:id="164"/>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u w:val="single" w:color="auto"/>
          <w:color w:val="231F20"/>
        </w:rPr>
        <w:t>SCHEDULE I</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231F20"/>
        </w:rPr>
        <w:t>[Schedule I has been omitted in accordance with Regulation S-K Item 601(a)(5). The registrant agrees to furnish supplementally a copy of any omitted exhibit or schedule to the SEC upon its request, however the registrant may request confidential treatment of omitted items.]</w:t>
      </w:r>
    </w:p>
    <w:p>
      <w:pPr>
        <w:sectPr>
          <w:pgSz w:w="12240" w:h="15840" w:orient="portrait"/>
          <w:cols w:equalWidth="0" w:num="1">
            <w:col w:w="9600"/>
          </w:cols>
          <w:pgMar w:left="1340" w:top="1440" w:right="1300" w:bottom="4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231F20"/>
        </w:rPr>
        <w:t>12</w:t>
      </w:r>
    </w:p>
    <w:p>
      <w:pPr>
        <w:sectPr>
          <w:pgSz w:w="12240" w:h="15840" w:orient="portrait"/>
          <w:cols w:equalWidth="0" w:num="1">
            <w:col w:w="9600"/>
          </w:cols>
          <w:pgMar w:left="1340" w:top="1440" w:right="1300" w:bottom="447" w:gutter="0" w:footer="0" w:header="0"/>
          <w:type w:val="continuous"/>
        </w:sectPr>
      </w:pPr>
    </w:p>
    <w:bookmarkStart w:id="165" w:name="page166"/>
    <w:bookmarkEnd w:id="165"/>
    <w:p>
      <w:pPr>
        <w:ind w:left="8120"/>
        <w:spacing w:after="0"/>
        <w:rPr>
          <w:sz w:val="20"/>
          <w:szCs w:val="20"/>
          <w:color w:val="auto"/>
        </w:rPr>
      </w:pPr>
      <w:r>
        <w:rPr>
          <w:rFonts w:ascii="Arial" w:cs="Arial" w:eastAsia="Arial" w:hAnsi="Arial"/>
          <w:sz w:val="17"/>
          <w:szCs w:val="17"/>
          <w:b w:val="1"/>
          <w:bCs w:val="1"/>
          <w:color w:val="231F20"/>
        </w:rPr>
        <w:t>Exhibit 10.19</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231F20"/>
        </w:rPr>
        <w:t>ALX ONCOLOGY HOLDINGS INC.</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231F20"/>
        </w:rPr>
        <w:t>OUTSIDE DIRECTOR COMPENSATION POLICY</w:t>
      </w:r>
    </w:p>
    <w:p>
      <w:pPr>
        <w:spacing w:after="0" w:line="278" w:lineRule="exact"/>
        <w:rPr>
          <w:sz w:val="20"/>
          <w:szCs w:val="20"/>
          <w:color w:val="auto"/>
        </w:rPr>
      </w:pPr>
    </w:p>
    <w:p>
      <w:pPr>
        <w:jc w:val="center"/>
        <w:ind w:left="140" w:right="140"/>
        <w:spacing w:after="0" w:line="262" w:lineRule="exact"/>
        <w:rPr>
          <w:sz w:val="20"/>
          <w:szCs w:val="20"/>
          <w:color w:val="auto"/>
        </w:rPr>
      </w:pPr>
      <w:r>
        <w:rPr>
          <w:rFonts w:ascii="Arial" w:cs="Arial" w:eastAsia="Arial" w:hAnsi="Arial"/>
          <w:sz w:val="23"/>
          <w:szCs w:val="23"/>
          <w:b w:val="1"/>
          <w:bCs w:val="1"/>
          <w:color w:val="231F20"/>
        </w:rPr>
        <w:t xml:space="preserve">(as most recently amended and restated effective as of January 16, 2025 (the </w:t>
      </w:r>
      <w:r>
        <w:rPr>
          <w:rFonts w:ascii="PMingLiU" w:cs="PMingLiU" w:eastAsia="PMingLiU" w:hAnsi="PMingLiU"/>
          <w:sz w:val="23"/>
          <w:szCs w:val="23"/>
          <w:b w:val="1"/>
          <w:bCs w:val="1"/>
          <w:color w:val="231F20"/>
        </w:rPr>
        <w:t></w:t>
      </w:r>
      <w:r>
        <w:rPr>
          <w:rFonts w:ascii="Arial" w:cs="Arial" w:eastAsia="Arial" w:hAnsi="Arial"/>
          <w:sz w:val="23"/>
          <w:szCs w:val="23"/>
          <w:b w:val="1"/>
          <w:bCs w:val="1"/>
          <w:color w:val="231F20"/>
        </w:rPr>
        <w:t>Restatement Date</w:t>
      </w:r>
      <w:r>
        <w:rPr>
          <w:rFonts w:ascii="PMingLiU" w:cs="PMingLiU" w:eastAsia="PMingLiU" w:hAnsi="PMingLiU"/>
          <w:sz w:val="23"/>
          <w:szCs w:val="23"/>
          <w:b w:val="1"/>
          <w:bCs w:val="1"/>
          <w:color w:val="231F20"/>
        </w:rPr>
        <w:t></w:t>
      </w:r>
      <w:r>
        <w:rPr>
          <w:rFonts w:ascii="Arial" w:cs="Arial" w:eastAsia="Arial" w:hAnsi="Arial"/>
          <w:sz w:val="23"/>
          <w:szCs w:val="23"/>
          <w:b w:val="1"/>
          <w:bCs w:val="1"/>
          <w:color w:val="231F20"/>
        </w:rPr>
        <w:t>))</w:t>
      </w:r>
    </w:p>
    <w:p>
      <w:pPr>
        <w:spacing w:after="0" w:line="245" w:lineRule="exact"/>
        <w:rPr>
          <w:sz w:val="20"/>
          <w:szCs w:val="20"/>
          <w:color w:val="auto"/>
        </w:rPr>
      </w:pPr>
    </w:p>
    <w:p>
      <w:pPr>
        <w:jc w:val="both"/>
        <w:ind w:left="140" w:right="140" w:firstLine="698"/>
        <w:spacing w:after="0" w:line="266" w:lineRule="exact"/>
        <w:rPr>
          <w:sz w:val="20"/>
          <w:szCs w:val="20"/>
          <w:color w:val="auto"/>
        </w:rPr>
      </w:pPr>
      <w:r>
        <w:rPr>
          <w:rFonts w:ascii="Arial" w:cs="Arial" w:eastAsia="Arial" w:hAnsi="Arial"/>
          <w:sz w:val="20"/>
          <w:szCs w:val="20"/>
          <w:b w:val="1"/>
          <w:bCs w:val="1"/>
          <w:color w:val="231F20"/>
        </w:rPr>
        <w:t xml:space="preserve">ALX Oncology Holdings Inc. (the </w:t>
      </w:r>
      <w:r>
        <w:rPr>
          <w:rFonts w:ascii="PMingLiU" w:cs="PMingLiU" w:eastAsia="PMingLiU" w:hAnsi="PMingLiU"/>
          <w:sz w:val="20"/>
          <w:szCs w:val="20"/>
          <w:b w:val="1"/>
          <w:bCs w:val="1"/>
          <w:color w:val="231F20"/>
        </w:rPr>
        <w:t></w:t>
      </w:r>
      <w:r>
        <w:rPr>
          <w:rFonts w:ascii="Arial" w:cs="Arial" w:eastAsia="Arial" w:hAnsi="Arial"/>
          <w:sz w:val="20"/>
          <w:szCs w:val="20"/>
          <w:b w:val="1"/>
          <w:bCs w:val="1"/>
          <w:u w:val="single" w:color="auto"/>
          <w:color w:val="231F20"/>
        </w:rPr>
        <w:t>Company</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 believes that the granting of equity and cash compensation to members of the Company</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 xml:space="preserve">s Board of Directors (the </w:t>
      </w:r>
      <w:r>
        <w:rPr>
          <w:rFonts w:ascii="PMingLiU" w:cs="PMingLiU" w:eastAsia="PMingLiU" w:hAnsi="PMingLiU"/>
          <w:sz w:val="20"/>
          <w:szCs w:val="20"/>
          <w:b w:val="1"/>
          <w:bCs w:val="1"/>
          <w:color w:val="231F20"/>
        </w:rPr>
        <w:t></w:t>
      </w:r>
      <w:r>
        <w:rPr>
          <w:rFonts w:ascii="Arial" w:cs="Arial" w:eastAsia="Arial" w:hAnsi="Arial"/>
          <w:sz w:val="20"/>
          <w:szCs w:val="20"/>
          <w:b w:val="1"/>
          <w:bCs w:val="1"/>
          <w:u w:val="single" w:color="auto"/>
          <w:color w:val="231F20"/>
        </w:rPr>
        <w:t>Board</w:t>
      </w:r>
      <w:r>
        <w:rPr>
          <w:rFonts w:ascii="Arial" w:cs="Arial" w:eastAsia="Arial" w:hAnsi="Arial"/>
          <w:sz w:val="20"/>
          <w:szCs w:val="20"/>
          <w:b w:val="1"/>
          <w:bCs w:val="1"/>
          <w:color w:val="231F20"/>
        </w:rPr>
        <w:t>,</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 xml:space="preserve"> and members of the Board, </w:t>
      </w:r>
      <w:r>
        <w:rPr>
          <w:rFonts w:ascii="PMingLiU" w:cs="PMingLiU" w:eastAsia="PMingLiU" w:hAnsi="PMingLiU"/>
          <w:sz w:val="20"/>
          <w:szCs w:val="20"/>
          <w:b w:val="1"/>
          <w:bCs w:val="1"/>
          <w:color w:val="231F20"/>
        </w:rPr>
        <w:t></w:t>
      </w:r>
      <w:r>
        <w:rPr>
          <w:rFonts w:ascii="Arial" w:cs="Arial" w:eastAsia="Arial" w:hAnsi="Arial"/>
          <w:sz w:val="20"/>
          <w:szCs w:val="20"/>
          <w:b w:val="1"/>
          <w:bCs w:val="1"/>
          <w:u w:val="single" w:color="auto"/>
          <w:color w:val="231F20"/>
        </w:rPr>
        <w:t>Directors</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 represents a powerful tool to attract, retain and reward Directors who are not employees of the Company (</w:t>
      </w:r>
      <w:r>
        <w:rPr>
          <w:rFonts w:ascii="PMingLiU" w:cs="PMingLiU" w:eastAsia="PMingLiU" w:hAnsi="PMingLiU"/>
          <w:sz w:val="20"/>
          <w:szCs w:val="20"/>
          <w:b w:val="1"/>
          <w:bCs w:val="1"/>
          <w:color w:val="231F20"/>
        </w:rPr>
        <w:t></w:t>
      </w:r>
      <w:r>
        <w:rPr>
          <w:rFonts w:ascii="Arial" w:cs="Arial" w:eastAsia="Arial" w:hAnsi="Arial"/>
          <w:sz w:val="20"/>
          <w:szCs w:val="20"/>
          <w:b w:val="1"/>
          <w:bCs w:val="1"/>
          <w:u w:val="single" w:color="auto"/>
          <w:color w:val="231F20"/>
        </w:rPr>
        <w:t>Outside Directors</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 xml:space="preserve">). This Outside Director Compensation Policy (the </w:t>
      </w:r>
      <w:r>
        <w:rPr>
          <w:rFonts w:ascii="PMingLiU" w:cs="PMingLiU" w:eastAsia="PMingLiU" w:hAnsi="PMingLiU"/>
          <w:sz w:val="20"/>
          <w:szCs w:val="20"/>
          <w:b w:val="1"/>
          <w:bCs w:val="1"/>
          <w:color w:val="231F20"/>
        </w:rPr>
        <w:t></w:t>
      </w:r>
      <w:r>
        <w:rPr>
          <w:rFonts w:ascii="Arial" w:cs="Arial" w:eastAsia="Arial" w:hAnsi="Arial"/>
          <w:sz w:val="20"/>
          <w:szCs w:val="20"/>
          <w:b w:val="1"/>
          <w:bCs w:val="1"/>
          <w:u w:val="single" w:color="auto"/>
          <w:color w:val="231F20"/>
        </w:rPr>
        <w:t>Policy</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 is intended to formalize the Company</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s policy regarding cash compensation and grants of equity awards to its Outside Directors. Unless otherwise defined herein, capitalized terms used in this Policy will have the meaning given such term in the Company</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 xml:space="preserve">s Amended and Restated 2020 Equity Incentive Plan, as amended from time to time (the </w:t>
      </w:r>
      <w:r>
        <w:rPr>
          <w:rFonts w:ascii="PMingLiU" w:cs="PMingLiU" w:eastAsia="PMingLiU" w:hAnsi="PMingLiU"/>
          <w:sz w:val="20"/>
          <w:szCs w:val="20"/>
          <w:b w:val="1"/>
          <w:bCs w:val="1"/>
          <w:color w:val="231F20"/>
        </w:rPr>
        <w:t></w:t>
      </w:r>
      <w:r>
        <w:rPr>
          <w:rFonts w:ascii="Arial" w:cs="Arial" w:eastAsia="Arial" w:hAnsi="Arial"/>
          <w:sz w:val="20"/>
          <w:szCs w:val="20"/>
          <w:b w:val="1"/>
          <w:bCs w:val="1"/>
          <w:u w:val="single" w:color="auto"/>
          <w:color w:val="231F20"/>
        </w:rPr>
        <w:t>Plan</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 or if the Plan no longer is in use at the time of the grant of an equity award, the meaning given such term or similar term in the equity plan then in place under which the equity award is granted. Outside Directors will be solely responsible for any tax obligations they incur as a result of the cash and equity compensation received under this Policy.</w:t>
      </w:r>
    </w:p>
    <w:p>
      <w:pPr>
        <w:spacing w:after="0" w:line="254" w:lineRule="exact"/>
        <w:rPr>
          <w:sz w:val="20"/>
          <w:szCs w:val="20"/>
          <w:color w:val="auto"/>
        </w:rPr>
      </w:pPr>
    </w:p>
    <w:p>
      <w:pPr>
        <w:jc w:val="both"/>
        <w:ind w:left="140" w:right="140" w:firstLine="700"/>
        <w:spacing w:after="0" w:line="266" w:lineRule="exact"/>
        <w:tabs>
          <w:tab w:leader="none" w:pos="1537" w:val="left"/>
        </w:tabs>
        <w:numPr>
          <w:ilvl w:val="0"/>
          <w:numId w:val="49"/>
        </w:numPr>
        <w:rPr>
          <w:rFonts w:ascii="Arial" w:cs="Arial" w:eastAsia="Arial" w:hAnsi="Arial"/>
          <w:sz w:val="19"/>
          <w:szCs w:val="19"/>
          <w:b w:val="1"/>
          <w:bCs w:val="1"/>
          <w:color w:val="231F20"/>
        </w:rPr>
      </w:pPr>
      <w:r>
        <w:rPr>
          <w:rFonts w:ascii="Arial" w:cs="Arial" w:eastAsia="Arial" w:hAnsi="Arial"/>
          <w:sz w:val="19"/>
          <w:szCs w:val="19"/>
          <w:b w:val="1"/>
          <w:bCs w:val="1"/>
          <w:u w:val="single" w:color="auto"/>
          <w:color w:val="231F20"/>
        </w:rPr>
        <w:t>Effective Date</w:t>
      </w:r>
      <w:r>
        <w:rPr>
          <w:rFonts w:ascii="Arial" w:cs="Arial" w:eastAsia="Arial" w:hAnsi="Arial"/>
          <w:sz w:val="19"/>
          <w:szCs w:val="19"/>
          <w:b w:val="1"/>
          <w:bCs w:val="1"/>
          <w:color w:val="231F20"/>
        </w:rPr>
        <w:t>. This Policy, as initially adopted and prior to any subsequent amendments and restatements, became effective as of the effective date of the first registration statement that was filed by the Company and declared effective pursuant to Section 12(b) of the U.S. Securities Exchange Act of 1934, as amended, with respect to any class of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s securities (the effective date of such registration statement, the </w:t>
      </w:r>
      <w:r>
        <w:rPr>
          <w:rFonts w:ascii="PMingLiU" w:cs="PMingLiU" w:eastAsia="PMingLiU" w:hAnsi="PMingLiU"/>
          <w:sz w:val="19"/>
          <w:szCs w:val="19"/>
          <w:b w:val="1"/>
          <w:bCs w:val="1"/>
          <w:color w:val="231F20"/>
        </w:rPr>
        <w:t></w:t>
      </w:r>
      <w:r>
        <w:rPr>
          <w:rFonts w:ascii="Arial" w:cs="Arial" w:eastAsia="Arial" w:hAnsi="Arial"/>
          <w:sz w:val="19"/>
          <w:szCs w:val="19"/>
          <w:b w:val="1"/>
          <w:bCs w:val="1"/>
          <w:u w:val="single" w:color="auto"/>
          <w:color w:val="231F20"/>
        </w:rPr>
        <w:t>Registration Date</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This Policy, as most recently amended and restated, is effective as of the Restatement Date.</w:t>
      </w:r>
    </w:p>
    <w:p>
      <w:pPr>
        <w:spacing w:after="0" w:line="237" w:lineRule="exact"/>
        <w:rPr>
          <w:rFonts w:ascii="Arial" w:cs="Arial" w:eastAsia="Arial" w:hAnsi="Arial"/>
          <w:sz w:val="19"/>
          <w:szCs w:val="19"/>
          <w:b w:val="1"/>
          <w:bCs w:val="1"/>
          <w:color w:val="231F20"/>
        </w:rPr>
      </w:pPr>
    </w:p>
    <w:p>
      <w:pPr>
        <w:ind w:left="1540" w:hanging="700"/>
        <w:spacing w:after="0"/>
        <w:tabs>
          <w:tab w:leader="none" w:pos="1540" w:val="left"/>
        </w:tabs>
        <w:numPr>
          <w:ilvl w:val="0"/>
          <w:numId w:val="49"/>
        </w:numPr>
        <w:rPr>
          <w:rFonts w:ascii="Arial" w:cs="Arial" w:eastAsia="Arial" w:hAnsi="Arial"/>
          <w:sz w:val="23"/>
          <w:szCs w:val="23"/>
          <w:b w:val="1"/>
          <w:bCs w:val="1"/>
          <w:color w:val="231F20"/>
        </w:rPr>
      </w:pPr>
      <w:r>
        <w:rPr>
          <w:rFonts w:ascii="Arial" w:cs="Arial" w:eastAsia="Arial" w:hAnsi="Arial"/>
          <w:sz w:val="23"/>
          <w:szCs w:val="23"/>
          <w:b w:val="1"/>
          <w:bCs w:val="1"/>
          <w:u w:val="single" w:color="auto"/>
          <w:color w:val="231F20"/>
        </w:rPr>
        <w:t>Cash Compensation</w:t>
      </w:r>
      <w:r>
        <w:rPr>
          <w:rFonts w:ascii="Arial" w:cs="Arial" w:eastAsia="Arial" w:hAnsi="Arial"/>
          <w:sz w:val="23"/>
          <w:szCs w:val="23"/>
          <w:b w:val="1"/>
          <w:bCs w:val="1"/>
          <w:color w:val="231F20"/>
        </w:rPr>
        <w:t>.</w:t>
      </w:r>
    </w:p>
    <w:p>
      <w:pPr>
        <w:spacing w:after="0" w:line="241" w:lineRule="exact"/>
        <w:rPr>
          <w:rFonts w:ascii="Arial" w:cs="Arial" w:eastAsia="Arial" w:hAnsi="Arial"/>
          <w:sz w:val="23"/>
          <w:szCs w:val="23"/>
          <w:b w:val="1"/>
          <w:bCs w:val="1"/>
          <w:color w:val="231F20"/>
        </w:rPr>
      </w:pPr>
    </w:p>
    <w:p>
      <w:pPr>
        <w:jc w:val="both"/>
        <w:ind w:left="140" w:right="140" w:firstLine="1398"/>
        <w:spacing w:after="0" w:line="255" w:lineRule="auto"/>
        <w:tabs>
          <w:tab w:leader="none" w:pos="2235" w:val="left"/>
        </w:tabs>
        <w:numPr>
          <w:ilvl w:val="1"/>
          <w:numId w:val="49"/>
        </w:numPr>
        <w:rPr>
          <w:rFonts w:ascii="Arial" w:cs="Arial" w:eastAsia="Arial" w:hAnsi="Arial"/>
          <w:sz w:val="22"/>
          <w:szCs w:val="22"/>
          <w:b w:val="1"/>
          <w:bCs w:val="1"/>
          <w:color w:val="231F20"/>
        </w:rPr>
      </w:pPr>
      <w:r>
        <w:rPr>
          <w:rFonts w:ascii="Arial" w:cs="Arial" w:eastAsia="Arial" w:hAnsi="Arial"/>
          <w:sz w:val="22"/>
          <w:szCs w:val="22"/>
          <w:b w:val="1"/>
          <w:bCs w:val="1"/>
          <w:u w:val="single" w:color="auto"/>
          <w:color w:val="231F20"/>
        </w:rPr>
        <w:t>Board Member Annual Cash Retainer</w:t>
      </w:r>
      <w:r>
        <w:rPr>
          <w:rFonts w:ascii="Arial" w:cs="Arial" w:eastAsia="Arial" w:hAnsi="Arial"/>
          <w:sz w:val="22"/>
          <w:szCs w:val="22"/>
          <w:b w:val="1"/>
          <w:bCs w:val="1"/>
          <w:color w:val="231F20"/>
        </w:rPr>
        <w:t>. Each Outside Director will be paid an annual cash retainer of $40,000. There are no per-meeting attendance fees for attending Board meetings or meetings of any committee of the Board.</w:t>
      </w:r>
    </w:p>
    <w:p>
      <w:pPr>
        <w:spacing w:after="0" w:line="230" w:lineRule="exact"/>
        <w:rPr>
          <w:rFonts w:ascii="Arial" w:cs="Arial" w:eastAsia="Arial" w:hAnsi="Arial"/>
          <w:sz w:val="22"/>
          <w:szCs w:val="22"/>
          <w:b w:val="1"/>
          <w:bCs w:val="1"/>
          <w:color w:val="231F20"/>
        </w:rPr>
      </w:pPr>
    </w:p>
    <w:p>
      <w:pPr>
        <w:jc w:val="both"/>
        <w:ind w:left="140" w:right="140" w:firstLine="1398"/>
        <w:spacing w:after="0" w:line="293" w:lineRule="auto"/>
        <w:tabs>
          <w:tab w:leader="none" w:pos="2235" w:val="left"/>
        </w:tabs>
        <w:numPr>
          <w:ilvl w:val="1"/>
          <w:numId w:val="49"/>
        </w:numPr>
        <w:rPr>
          <w:rFonts w:ascii="Arial" w:cs="Arial" w:eastAsia="Arial" w:hAnsi="Arial"/>
          <w:sz w:val="20"/>
          <w:szCs w:val="20"/>
          <w:b w:val="1"/>
          <w:bCs w:val="1"/>
          <w:color w:val="231F20"/>
        </w:rPr>
      </w:pPr>
      <w:r>
        <w:rPr>
          <w:rFonts w:ascii="Arial" w:cs="Arial" w:eastAsia="Arial" w:hAnsi="Arial"/>
          <w:sz w:val="20"/>
          <w:szCs w:val="20"/>
          <w:b w:val="1"/>
          <w:bCs w:val="1"/>
          <w:u w:val="single" w:color="auto"/>
          <w:color w:val="231F20"/>
        </w:rPr>
        <w:t>Board Committee Annual Cash Retainer</w:t>
      </w:r>
      <w:r>
        <w:rPr>
          <w:rFonts w:ascii="Arial" w:cs="Arial" w:eastAsia="Arial" w:hAnsi="Arial"/>
          <w:sz w:val="20"/>
          <w:szCs w:val="20"/>
          <w:b w:val="1"/>
          <w:bCs w:val="1"/>
          <w:color w:val="231F20"/>
        </w:rPr>
        <w:t>. As of the Restatement Date, each Outside Director who serves as the non-employee chair of the Board, or the chair or a member of a committee of the Board will be eligible to earn additional annual fees as follows:</w:t>
      </w:r>
    </w:p>
    <w:p>
      <w:pPr>
        <w:spacing w:after="0" w:line="199" w:lineRule="exact"/>
        <w:rPr>
          <w:sz w:val="20"/>
          <w:szCs w:val="20"/>
          <w:color w:val="auto"/>
        </w:rPr>
      </w:pPr>
    </w:p>
    <w:tbl>
      <w:tblPr>
        <w:tblLayout w:type="fixed"/>
        <w:tblInd w:w="240" w:type="dxa"/>
        <w:tblCellMar>
          <w:top w:w="0" w:type="dxa"/>
          <w:left w:w="0" w:type="dxa"/>
          <w:bottom w:w="0" w:type="dxa"/>
          <w:right w:w="0" w:type="dxa"/>
        </w:tblCellMar>
      </w:tblPr>
      <w:tr>
        <w:trPr>
          <w:trHeight w:val="264"/>
        </w:trPr>
        <w:tc>
          <w:tcPr>
            <w:tcW w:w="6740" w:type="dxa"/>
            <w:vAlign w:val="bottom"/>
          </w:tcPr>
          <w:p>
            <w:pPr>
              <w:spacing w:after="0"/>
              <w:rPr>
                <w:sz w:val="20"/>
                <w:szCs w:val="20"/>
                <w:color w:val="auto"/>
              </w:rPr>
            </w:pPr>
            <w:r>
              <w:rPr>
                <w:rFonts w:ascii="Arial" w:cs="Arial" w:eastAsia="Arial" w:hAnsi="Arial"/>
                <w:sz w:val="23"/>
                <w:szCs w:val="23"/>
                <w:b w:val="1"/>
                <w:bCs w:val="1"/>
                <w:color w:val="231F20"/>
              </w:rPr>
              <w:t>Non-employee Chair of the Board:</w:t>
            </w:r>
          </w:p>
        </w:tc>
        <w:tc>
          <w:tcPr>
            <w:tcW w:w="1820" w:type="dxa"/>
            <w:vAlign w:val="bottom"/>
          </w:tcPr>
          <w:p>
            <w:pPr>
              <w:ind w:left="1060"/>
              <w:spacing w:after="0"/>
              <w:rPr>
                <w:sz w:val="20"/>
                <w:szCs w:val="20"/>
                <w:color w:val="auto"/>
              </w:rPr>
            </w:pPr>
            <w:r>
              <w:rPr>
                <w:rFonts w:ascii="Arial" w:cs="Arial" w:eastAsia="Arial" w:hAnsi="Arial"/>
                <w:sz w:val="23"/>
                <w:szCs w:val="23"/>
                <w:b w:val="1"/>
                <w:bCs w:val="1"/>
                <w:color w:val="231F20"/>
                <w:w w:val="88"/>
              </w:rPr>
              <w:t>$35,000</w:t>
            </w:r>
          </w:p>
        </w:tc>
      </w:tr>
      <w:tr>
        <w:trPr>
          <w:trHeight w:val="355"/>
        </w:trPr>
        <w:tc>
          <w:tcPr>
            <w:tcW w:w="6740" w:type="dxa"/>
            <w:vAlign w:val="bottom"/>
          </w:tcPr>
          <w:p>
            <w:pPr>
              <w:spacing w:after="0"/>
              <w:rPr>
                <w:sz w:val="20"/>
                <w:szCs w:val="20"/>
                <w:color w:val="auto"/>
              </w:rPr>
            </w:pPr>
            <w:r>
              <w:rPr>
                <w:rFonts w:ascii="Arial" w:cs="Arial" w:eastAsia="Arial" w:hAnsi="Arial"/>
                <w:sz w:val="23"/>
                <w:szCs w:val="23"/>
                <w:b w:val="1"/>
                <w:bCs w:val="1"/>
                <w:color w:val="231F20"/>
              </w:rPr>
              <w:t>Audit Committee Chair:</w:t>
            </w:r>
          </w:p>
        </w:tc>
        <w:tc>
          <w:tcPr>
            <w:tcW w:w="1820" w:type="dxa"/>
            <w:vAlign w:val="bottom"/>
          </w:tcPr>
          <w:p>
            <w:pPr>
              <w:ind w:left="1060"/>
              <w:spacing w:after="0"/>
              <w:rPr>
                <w:sz w:val="20"/>
                <w:szCs w:val="20"/>
                <w:color w:val="auto"/>
              </w:rPr>
            </w:pPr>
            <w:r>
              <w:rPr>
                <w:rFonts w:ascii="Arial" w:cs="Arial" w:eastAsia="Arial" w:hAnsi="Arial"/>
                <w:sz w:val="23"/>
                <w:szCs w:val="23"/>
                <w:b w:val="1"/>
                <w:bCs w:val="1"/>
                <w:color w:val="231F20"/>
                <w:w w:val="88"/>
              </w:rPr>
              <w:t>$20,000</w:t>
            </w:r>
          </w:p>
        </w:tc>
      </w:tr>
      <w:tr>
        <w:trPr>
          <w:trHeight w:val="355"/>
        </w:trPr>
        <w:tc>
          <w:tcPr>
            <w:tcW w:w="6740" w:type="dxa"/>
            <w:vAlign w:val="bottom"/>
          </w:tcPr>
          <w:p>
            <w:pPr>
              <w:spacing w:after="0"/>
              <w:rPr>
                <w:sz w:val="20"/>
                <w:szCs w:val="20"/>
                <w:color w:val="auto"/>
              </w:rPr>
            </w:pPr>
            <w:r>
              <w:rPr>
                <w:rFonts w:ascii="Arial" w:cs="Arial" w:eastAsia="Arial" w:hAnsi="Arial"/>
                <w:sz w:val="23"/>
                <w:szCs w:val="23"/>
                <w:b w:val="1"/>
                <w:bCs w:val="1"/>
                <w:color w:val="231F20"/>
              </w:rPr>
              <w:t>Audit Committee Member:</w:t>
            </w:r>
          </w:p>
        </w:tc>
        <w:tc>
          <w:tcPr>
            <w:tcW w:w="1820" w:type="dxa"/>
            <w:vAlign w:val="bottom"/>
          </w:tcPr>
          <w:p>
            <w:pPr>
              <w:ind w:left="1060"/>
              <w:spacing w:after="0"/>
              <w:rPr>
                <w:sz w:val="20"/>
                <w:szCs w:val="20"/>
                <w:color w:val="auto"/>
              </w:rPr>
            </w:pPr>
            <w:r>
              <w:rPr>
                <w:rFonts w:ascii="Arial" w:cs="Arial" w:eastAsia="Arial" w:hAnsi="Arial"/>
                <w:sz w:val="23"/>
                <w:szCs w:val="23"/>
                <w:b w:val="1"/>
                <w:bCs w:val="1"/>
                <w:color w:val="231F20"/>
              </w:rPr>
              <w:t>$7,500</w:t>
            </w:r>
          </w:p>
        </w:tc>
      </w:tr>
      <w:tr>
        <w:trPr>
          <w:trHeight w:val="355"/>
        </w:trPr>
        <w:tc>
          <w:tcPr>
            <w:tcW w:w="6740" w:type="dxa"/>
            <w:vAlign w:val="bottom"/>
          </w:tcPr>
          <w:p>
            <w:pPr>
              <w:spacing w:after="0"/>
              <w:rPr>
                <w:sz w:val="20"/>
                <w:szCs w:val="20"/>
                <w:color w:val="auto"/>
              </w:rPr>
            </w:pPr>
            <w:r>
              <w:rPr>
                <w:rFonts w:ascii="Arial" w:cs="Arial" w:eastAsia="Arial" w:hAnsi="Arial"/>
                <w:sz w:val="23"/>
                <w:szCs w:val="23"/>
                <w:b w:val="1"/>
                <w:bCs w:val="1"/>
                <w:color w:val="231F20"/>
              </w:rPr>
              <w:t>Compensation Committee Chair:</w:t>
            </w:r>
          </w:p>
        </w:tc>
        <w:tc>
          <w:tcPr>
            <w:tcW w:w="1820" w:type="dxa"/>
            <w:vAlign w:val="bottom"/>
          </w:tcPr>
          <w:p>
            <w:pPr>
              <w:ind w:left="1060"/>
              <w:spacing w:after="0"/>
              <w:rPr>
                <w:sz w:val="20"/>
                <w:szCs w:val="20"/>
                <w:color w:val="auto"/>
              </w:rPr>
            </w:pPr>
            <w:r>
              <w:rPr>
                <w:rFonts w:ascii="Arial" w:cs="Arial" w:eastAsia="Arial" w:hAnsi="Arial"/>
                <w:sz w:val="23"/>
                <w:szCs w:val="23"/>
                <w:b w:val="1"/>
                <w:bCs w:val="1"/>
                <w:color w:val="231F20"/>
                <w:w w:val="88"/>
              </w:rPr>
              <w:t>$12,000</w:t>
            </w:r>
          </w:p>
        </w:tc>
      </w:tr>
      <w:tr>
        <w:trPr>
          <w:trHeight w:val="355"/>
        </w:trPr>
        <w:tc>
          <w:tcPr>
            <w:tcW w:w="6740" w:type="dxa"/>
            <w:vAlign w:val="bottom"/>
          </w:tcPr>
          <w:p>
            <w:pPr>
              <w:spacing w:after="0"/>
              <w:rPr>
                <w:sz w:val="20"/>
                <w:szCs w:val="20"/>
                <w:color w:val="auto"/>
              </w:rPr>
            </w:pPr>
            <w:r>
              <w:rPr>
                <w:rFonts w:ascii="Arial" w:cs="Arial" w:eastAsia="Arial" w:hAnsi="Arial"/>
                <w:sz w:val="23"/>
                <w:szCs w:val="23"/>
                <w:b w:val="1"/>
                <w:bCs w:val="1"/>
                <w:color w:val="231F20"/>
              </w:rPr>
              <w:t>Compensation Committee Member:</w:t>
            </w:r>
          </w:p>
        </w:tc>
        <w:tc>
          <w:tcPr>
            <w:tcW w:w="1820" w:type="dxa"/>
            <w:vAlign w:val="bottom"/>
          </w:tcPr>
          <w:p>
            <w:pPr>
              <w:ind w:left="1060"/>
              <w:spacing w:after="0"/>
              <w:rPr>
                <w:sz w:val="20"/>
                <w:szCs w:val="20"/>
                <w:color w:val="auto"/>
              </w:rPr>
            </w:pPr>
            <w:r>
              <w:rPr>
                <w:rFonts w:ascii="Arial" w:cs="Arial" w:eastAsia="Arial" w:hAnsi="Arial"/>
                <w:sz w:val="23"/>
                <w:szCs w:val="23"/>
                <w:b w:val="1"/>
                <w:bCs w:val="1"/>
                <w:color w:val="231F20"/>
              </w:rPr>
              <w:t>$6,000</w:t>
            </w:r>
          </w:p>
        </w:tc>
      </w:tr>
      <w:tr>
        <w:trPr>
          <w:trHeight w:val="355"/>
        </w:trPr>
        <w:tc>
          <w:tcPr>
            <w:tcW w:w="6740" w:type="dxa"/>
            <w:vAlign w:val="bottom"/>
          </w:tcPr>
          <w:p>
            <w:pPr>
              <w:spacing w:after="0"/>
              <w:rPr>
                <w:sz w:val="20"/>
                <w:szCs w:val="20"/>
                <w:color w:val="auto"/>
              </w:rPr>
            </w:pPr>
            <w:r>
              <w:rPr>
                <w:rFonts w:ascii="Arial" w:cs="Arial" w:eastAsia="Arial" w:hAnsi="Arial"/>
                <w:sz w:val="23"/>
                <w:szCs w:val="23"/>
                <w:b w:val="1"/>
                <w:bCs w:val="1"/>
                <w:color w:val="231F20"/>
              </w:rPr>
              <w:t>Corporate Governance and Nominating Committee Chair:</w:t>
            </w:r>
          </w:p>
        </w:tc>
        <w:tc>
          <w:tcPr>
            <w:tcW w:w="1820" w:type="dxa"/>
            <w:vAlign w:val="bottom"/>
          </w:tcPr>
          <w:p>
            <w:pPr>
              <w:ind w:left="1060"/>
              <w:spacing w:after="0"/>
              <w:rPr>
                <w:sz w:val="20"/>
                <w:szCs w:val="20"/>
                <w:color w:val="auto"/>
              </w:rPr>
            </w:pPr>
            <w:r>
              <w:rPr>
                <w:rFonts w:ascii="Arial" w:cs="Arial" w:eastAsia="Arial" w:hAnsi="Arial"/>
                <w:sz w:val="23"/>
                <w:szCs w:val="23"/>
                <w:b w:val="1"/>
                <w:bCs w:val="1"/>
                <w:color w:val="231F20"/>
                <w:w w:val="88"/>
              </w:rPr>
              <w:t>$10,000</w:t>
            </w:r>
          </w:p>
        </w:tc>
      </w:tr>
      <w:tr>
        <w:trPr>
          <w:trHeight w:val="355"/>
        </w:trPr>
        <w:tc>
          <w:tcPr>
            <w:tcW w:w="6740" w:type="dxa"/>
            <w:vAlign w:val="bottom"/>
          </w:tcPr>
          <w:p>
            <w:pPr>
              <w:spacing w:after="0"/>
              <w:rPr>
                <w:sz w:val="20"/>
                <w:szCs w:val="20"/>
                <w:color w:val="auto"/>
              </w:rPr>
            </w:pPr>
            <w:r>
              <w:rPr>
                <w:rFonts w:ascii="Arial" w:cs="Arial" w:eastAsia="Arial" w:hAnsi="Arial"/>
                <w:sz w:val="23"/>
                <w:szCs w:val="23"/>
                <w:b w:val="1"/>
                <w:bCs w:val="1"/>
                <w:color w:val="231F20"/>
              </w:rPr>
              <w:t>Corporate Governance and Nominating Committee Member:</w:t>
            </w:r>
          </w:p>
        </w:tc>
        <w:tc>
          <w:tcPr>
            <w:tcW w:w="1820" w:type="dxa"/>
            <w:vAlign w:val="bottom"/>
          </w:tcPr>
          <w:p>
            <w:pPr>
              <w:ind w:left="1060"/>
              <w:spacing w:after="0"/>
              <w:rPr>
                <w:sz w:val="20"/>
                <w:szCs w:val="20"/>
                <w:color w:val="auto"/>
              </w:rPr>
            </w:pPr>
            <w:r>
              <w:rPr>
                <w:rFonts w:ascii="Arial" w:cs="Arial" w:eastAsia="Arial" w:hAnsi="Arial"/>
                <w:sz w:val="23"/>
                <w:szCs w:val="23"/>
                <w:b w:val="1"/>
                <w:bCs w:val="1"/>
                <w:color w:val="231F20"/>
              </w:rPr>
              <w:t>$5,000</w:t>
            </w:r>
          </w:p>
        </w:tc>
      </w:tr>
      <w:tr>
        <w:trPr>
          <w:trHeight w:val="355"/>
        </w:trPr>
        <w:tc>
          <w:tcPr>
            <w:tcW w:w="6740" w:type="dxa"/>
            <w:vAlign w:val="bottom"/>
          </w:tcPr>
          <w:p>
            <w:pPr>
              <w:spacing w:after="0"/>
              <w:rPr>
                <w:sz w:val="20"/>
                <w:szCs w:val="20"/>
                <w:color w:val="auto"/>
              </w:rPr>
            </w:pPr>
            <w:r>
              <w:rPr>
                <w:rFonts w:ascii="Arial" w:cs="Arial" w:eastAsia="Arial" w:hAnsi="Arial"/>
                <w:sz w:val="23"/>
                <w:szCs w:val="23"/>
                <w:b w:val="1"/>
                <w:bCs w:val="1"/>
                <w:color w:val="231F20"/>
              </w:rPr>
              <w:t>Research and Development Committee Chair:</w:t>
            </w:r>
          </w:p>
        </w:tc>
        <w:tc>
          <w:tcPr>
            <w:tcW w:w="1820" w:type="dxa"/>
            <w:vAlign w:val="bottom"/>
          </w:tcPr>
          <w:p>
            <w:pPr>
              <w:ind w:left="1060"/>
              <w:spacing w:after="0"/>
              <w:rPr>
                <w:sz w:val="20"/>
                <w:szCs w:val="20"/>
                <w:color w:val="auto"/>
              </w:rPr>
            </w:pPr>
            <w:r>
              <w:rPr>
                <w:rFonts w:ascii="Arial" w:cs="Arial" w:eastAsia="Arial" w:hAnsi="Arial"/>
                <w:sz w:val="23"/>
                <w:szCs w:val="23"/>
                <w:b w:val="1"/>
                <w:bCs w:val="1"/>
                <w:color w:val="231F20"/>
                <w:w w:val="88"/>
              </w:rPr>
              <w:t>$10,000</w:t>
            </w:r>
          </w:p>
        </w:tc>
      </w:tr>
    </w:tbl>
    <w:p>
      <w:pPr>
        <w:sectPr>
          <w:pgSz w:w="12240" w:h="15840" w:orient="portrait"/>
          <w:cols w:equalWidth="0" w:num="1">
            <w:col w:w="9360"/>
          </w:cols>
          <w:pgMar w:left="1440" w:top="1165" w:right="1440" w:bottom="1440" w:gutter="0" w:footer="0" w:header="0"/>
        </w:sectPr>
      </w:pPr>
    </w:p>
    <w:bookmarkStart w:id="166" w:name="page167"/>
    <w:bookmarkEnd w:id="166"/>
    <w:p>
      <w:pPr>
        <w:spacing w:after="0" w:line="213" w:lineRule="exact"/>
        <w:rPr>
          <w:sz w:val="20"/>
          <w:szCs w:val="20"/>
          <w:color w:val="auto"/>
        </w:rPr>
      </w:pPr>
    </w:p>
    <w:tbl>
      <w:tblPr>
        <w:tblLayout w:type="fixed"/>
        <w:tblInd w:w="240" w:type="dxa"/>
        <w:tblCellMar>
          <w:top w:w="0" w:type="dxa"/>
          <w:left w:w="0" w:type="dxa"/>
          <w:bottom w:w="0" w:type="dxa"/>
          <w:right w:w="0" w:type="dxa"/>
        </w:tblCellMar>
      </w:tblPr>
      <w:tr>
        <w:trPr>
          <w:trHeight w:val="264"/>
        </w:trPr>
        <w:tc>
          <w:tcPr>
            <w:tcW w:w="6180" w:type="dxa"/>
            <w:vAlign w:val="bottom"/>
          </w:tcPr>
          <w:p>
            <w:pPr>
              <w:spacing w:after="0"/>
              <w:rPr>
                <w:sz w:val="20"/>
                <w:szCs w:val="20"/>
                <w:color w:val="auto"/>
              </w:rPr>
            </w:pPr>
            <w:r>
              <w:rPr>
                <w:rFonts w:ascii="Arial" w:cs="Arial" w:eastAsia="Arial" w:hAnsi="Arial"/>
                <w:sz w:val="23"/>
                <w:szCs w:val="23"/>
                <w:b w:val="1"/>
                <w:bCs w:val="1"/>
                <w:color w:val="231F20"/>
              </w:rPr>
              <w:t>Research and Development Committee Member:</w:t>
            </w:r>
          </w:p>
        </w:tc>
        <w:tc>
          <w:tcPr>
            <w:tcW w:w="2260" w:type="dxa"/>
            <w:vAlign w:val="bottom"/>
          </w:tcPr>
          <w:p>
            <w:pPr>
              <w:jc w:val="right"/>
              <w:spacing w:after="0"/>
              <w:rPr>
                <w:sz w:val="20"/>
                <w:szCs w:val="20"/>
                <w:color w:val="auto"/>
              </w:rPr>
            </w:pPr>
            <w:r>
              <w:rPr>
                <w:rFonts w:ascii="Arial" w:cs="Arial" w:eastAsia="Arial" w:hAnsi="Arial"/>
                <w:sz w:val="23"/>
                <w:szCs w:val="23"/>
                <w:b w:val="1"/>
                <w:bCs w:val="1"/>
                <w:color w:val="231F20"/>
              </w:rPr>
              <w:t>$5,000</w:t>
            </w:r>
          </w:p>
        </w:tc>
      </w:tr>
    </w:tbl>
    <w:p>
      <w:pPr>
        <w:spacing w:after="0" w:line="350" w:lineRule="exact"/>
        <w:rPr>
          <w:sz w:val="20"/>
          <w:szCs w:val="20"/>
          <w:color w:val="auto"/>
        </w:rPr>
      </w:pPr>
    </w:p>
    <w:p>
      <w:pPr>
        <w:jc w:val="both"/>
        <w:ind w:left="140" w:right="140" w:firstLine="1397"/>
        <w:spacing w:after="0" w:line="269" w:lineRule="auto"/>
        <w:rPr>
          <w:sz w:val="20"/>
          <w:szCs w:val="20"/>
          <w:color w:val="auto"/>
        </w:rPr>
      </w:pPr>
      <w:r>
        <w:rPr>
          <w:rFonts w:ascii="Arial" w:cs="Arial" w:eastAsia="Arial" w:hAnsi="Arial"/>
          <w:sz w:val="21"/>
          <w:szCs w:val="21"/>
          <w:b w:val="1"/>
          <w:bCs w:val="1"/>
          <w:color w:val="231F20"/>
        </w:rPr>
        <w:t>For clarity, each Outside Director who serves as the chair of a committee will not receive both the additional annual fee as the chair of the committee and the additional annual fee as a member of the committee, provided, for clarity, that the Outside Director who serves as the non-employee chair of the Board will receive the annual fee for services provided in such role as well as the annual fee as an Outside Director.</w:t>
      </w:r>
    </w:p>
    <w:p>
      <w:pPr>
        <w:spacing w:after="0" w:line="219" w:lineRule="exact"/>
        <w:rPr>
          <w:sz w:val="20"/>
          <w:szCs w:val="20"/>
          <w:color w:val="auto"/>
        </w:rPr>
      </w:pPr>
    </w:p>
    <w:p>
      <w:pPr>
        <w:jc w:val="both"/>
        <w:ind w:left="140" w:right="140" w:firstLine="1398"/>
        <w:spacing w:after="0" w:line="266" w:lineRule="exact"/>
        <w:tabs>
          <w:tab w:leader="none" w:pos="2235" w:val="left"/>
        </w:tabs>
        <w:numPr>
          <w:ilvl w:val="1"/>
          <w:numId w:val="50"/>
        </w:numPr>
        <w:rPr>
          <w:rFonts w:ascii="Arial" w:cs="Arial" w:eastAsia="Arial" w:hAnsi="Arial"/>
          <w:sz w:val="19"/>
          <w:szCs w:val="19"/>
          <w:b w:val="1"/>
          <w:bCs w:val="1"/>
          <w:color w:val="231F20"/>
        </w:rPr>
      </w:pPr>
      <w:r>
        <w:rPr>
          <w:rFonts w:ascii="Arial" w:cs="Arial" w:eastAsia="Arial" w:hAnsi="Arial"/>
          <w:sz w:val="19"/>
          <w:szCs w:val="19"/>
          <w:b w:val="1"/>
          <w:bCs w:val="1"/>
          <w:u w:val="single" w:color="auto"/>
          <w:color w:val="231F20"/>
        </w:rPr>
        <w:t>Payment Timing and Proration</w:t>
      </w:r>
      <w:r>
        <w:rPr>
          <w:rFonts w:ascii="Arial" w:cs="Arial" w:eastAsia="Arial" w:hAnsi="Arial"/>
          <w:sz w:val="19"/>
          <w:szCs w:val="19"/>
          <w:b w:val="1"/>
          <w:bCs w:val="1"/>
          <w:color w:val="231F20"/>
        </w:rPr>
        <w:t>. Each annual cash retainer under this Policy will be paid quarterly in arrears on a prorated basis to each Outside Director who has served in the relevant capacity during the applicable fiscal quarter of the Company (</w:t>
      </w:r>
      <w:r>
        <w:rPr>
          <w:rFonts w:ascii="PMingLiU" w:cs="PMingLiU" w:eastAsia="PMingLiU" w:hAnsi="PMingLiU"/>
          <w:sz w:val="19"/>
          <w:szCs w:val="19"/>
          <w:b w:val="1"/>
          <w:bCs w:val="1"/>
          <w:color w:val="231F20"/>
        </w:rPr>
        <w:t></w:t>
      </w:r>
      <w:r>
        <w:rPr>
          <w:rFonts w:ascii="Arial" w:cs="Arial" w:eastAsia="Arial" w:hAnsi="Arial"/>
          <w:sz w:val="19"/>
          <w:szCs w:val="19"/>
          <w:b w:val="1"/>
          <w:bCs w:val="1"/>
          <w:u w:val="single" w:color="auto"/>
          <w:color w:val="231F20"/>
        </w:rPr>
        <w:t>Fiscal Quarter</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and such payment will be made no later than thirty (30) days following the end of such Fiscal Quarter. For clarity, an Outside Director who has served as an Outside Director, as a member of an applicable committee (or chair thereof), or as the non-employee chair of the Board during only a portion of the relevant Fiscal Quarter will receive a prorated payment of the quarterly installment of the applicable annual cash retainer(s), calculated based on the number of days during such Fiscal Quarter such Outside Director has served in the relevant capacities.</w:t>
      </w:r>
    </w:p>
    <w:p>
      <w:pPr>
        <w:spacing w:after="0" w:line="252" w:lineRule="exact"/>
        <w:rPr>
          <w:rFonts w:ascii="Arial" w:cs="Arial" w:eastAsia="Arial" w:hAnsi="Arial"/>
          <w:sz w:val="19"/>
          <w:szCs w:val="19"/>
          <w:b w:val="1"/>
          <w:bCs w:val="1"/>
          <w:color w:val="231F20"/>
        </w:rPr>
      </w:pPr>
    </w:p>
    <w:p>
      <w:pPr>
        <w:jc w:val="both"/>
        <w:ind w:left="140" w:right="140" w:firstLine="700"/>
        <w:spacing w:after="0" w:line="269" w:lineRule="auto"/>
        <w:tabs>
          <w:tab w:leader="none" w:pos="1537" w:val="left"/>
        </w:tabs>
        <w:numPr>
          <w:ilvl w:val="0"/>
          <w:numId w:val="51"/>
        </w:numPr>
        <w:rPr>
          <w:rFonts w:ascii="Arial" w:cs="Arial" w:eastAsia="Arial" w:hAnsi="Arial"/>
          <w:sz w:val="21"/>
          <w:szCs w:val="21"/>
          <w:b w:val="1"/>
          <w:bCs w:val="1"/>
          <w:color w:val="231F20"/>
        </w:rPr>
      </w:pPr>
      <w:r>
        <w:rPr>
          <w:rFonts w:ascii="Arial" w:cs="Arial" w:eastAsia="Arial" w:hAnsi="Arial"/>
          <w:sz w:val="21"/>
          <w:szCs w:val="21"/>
          <w:b w:val="1"/>
          <w:bCs w:val="1"/>
          <w:u w:val="single" w:color="auto"/>
          <w:color w:val="231F20"/>
        </w:rPr>
        <w:t>Equity Compensation</w:t>
      </w:r>
      <w:r>
        <w:rPr>
          <w:rFonts w:ascii="Arial" w:cs="Arial" w:eastAsia="Arial" w:hAnsi="Arial"/>
          <w:sz w:val="21"/>
          <w:szCs w:val="21"/>
          <w:b w:val="1"/>
          <w:bCs w:val="1"/>
          <w:color w:val="231F20"/>
        </w:rPr>
        <w:t>. Outside Directors will be entitled to receive all types of Awards (except Incentive Stock Options) under the Plan, including discretionary Awards not covered under this Policy. All grants of Awards to Outside Directors pursuant to Sections 3(b) and 3(c) of this Policy will be automatic and nondiscretionary, except as otherwise provided herein, and will be made in accordance with the following provisions:</w:t>
      </w:r>
    </w:p>
    <w:p>
      <w:pPr>
        <w:spacing w:after="0" w:line="216" w:lineRule="exact"/>
        <w:rPr>
          <w:rFonts w:ascii="Arial" w:cs="Arial" w:eastAsia="Arial" w:hAnsi="Arial"/>
          <w:sz w:val="21"/>
          <w:szCs w:val="21"/>
          <w:b w:val="1"/>
          <w:bCs w:val="1"/>
          <w:color w:val="231F20"/>
        </w:rPr>
      </w:pPr>
    </w:p>
    <w:p>
      <w:pPr>
        <w:jc w:val="both"/>
        <w:ind w:left="140" w:right="140" w:firstLine="1398"/>
        <w:spacing w:after="0" w:line="241" w:lineRule="auto"/>
        <w:tabs>
          <w:tab w:leader="none" w:pos="2235" w:val="left"/>
        </w:tabs>
        <w:numPr>
          <w:ilvl w:val="1"/>
          <w:numId w:val="51"/>
        </w:numPr>
        <w:rPr>
          <w:rFonts w:ascii="Arial" w:cs="Arial" w:eastAsia="Arial" w:hAnsi="Arial"/>
          <w:sz w:val="23"/>
          <w:szCs w:val="23"/>
          <w:b w:val="1"/>
          <w:bCs w:val="1"/>
          <w:color w:val="231F20"/>
        </w:rPr>
      </w:pPr>
      <w:r>
        <w:rPr>
          <w:rFonts w:ascii="Arial" w:cs="Arial" w:eastAsia="Arial" w:hAnsi="Arial"/>
          <w:sz w:val="23"/>
          <w:szCs w:val="23"/>
          <w:b w:val="1"/>
          <w:bCs w:val="1"/>
          <w:u w:val="single" w:color="auto"/>
          <w:color w:val="231F20"/>
        </w:rPr>
        <w:t>No Discretion</w:t>
      </w:r>
      <w:r>
        <w:rPr>
          <w:rFonts w:ascii="Arial" w:cs="Arial" w:eastAsia="Arial" w:hAnsi="Arial"/>
          <w:sz w:val="23"/>
          <w:szCs w:val="23"/>
          <w:b w:val="1"/>
          <w:bCs w:val="1"/>
          <w:color w:val="231F20"/>
        </w:rPr>
        <w:t>. No person will have any discretion to select which Outside Directors will be granted an Initial Award or Annual Awards (as defined below) under this Policy or to determine the number of Shares to be covered by such Awards (except as provided in Section 11 below).</w:t>
      </w:r>
    </w:p>
    <w:p>
      <w:pPr>
        <w:spacing w:after="0" w:line="240" w:lineRule="exact"/>
        <w:rPr>
          <w:rFonts w:ascii="Arial" w:cs="Arial" w:eastAsia="Arial" w:hAnsi="Arial"/>
          <w:sz w:val="23"/>
          <w:szCs w:val="23"/>
          <w:b w:val="1"/>
          <w:bCs w:val="1"/>
          <w:color w:val="231F20"/>
        </w:rPr>
      </w:pPr>
    </w:p>
    <w:p>
      <w:pPr>
        <w:jc w:val="both"/>
        <w:ind w:left="140" w:right="140" w:firstLine="1398"/>
        <w:spacing w:after="0" w:line="266" w:lineRule="exact"/>
        <w:tabs>
          <w:tab w:leader="none" w:pos="2235" w:val="left"/>
        </w:tabs>
        <w:numPr>
          <w:ilvl w:val="1"/>
          <w:numId w:val="51"/>
        </w:numPr>
        <w:rPr>
          <w:rFonts w:ascii="Arial" w:cs="Arial" w:eastAsia="Arial" w:hAnsi="Arial"/>
          <w:sz w:val="20"/>
          <w:szCs w:val="20"/>
          <w:b w:val="1"/>
          <w:bCs w:val="1"/>
          <w:color w:val="231F20"/>
        </w:rPr>
      </w:pPr>
      <w:r>
        <w:rPr>
          <w:rFonts w:ascii="Arial" w:cs="Arial" w:eastAsia="Arial" w:hAnsi="Arial"/>
          <w:sz w:val="20"/>
          <w:szCs w:val="20"/>
          <w:b w:val="1"/>
          <w:bCs w:val="1"/>
          <w:u w:val="single" w:color="auto"/>
          <w:color w:val="231F20"/>
        </w:rPr>
        <w:t>Initial Awards</w:t>
      </w:r>
      <w:r>
        <w:rPr>
          <w:rFonts w:ascii="Arial" w:cs="Arial" w:eastAsia="Arial" w:hAnsi="Arial"/>
          <w:sz w:val="20"/>
          <w:szCs w:val="20"/>
          <w:b w:val="1"/>
          <w:bCs w:val="1"/>
          <w:color w:val="231F20"/>
        </w:rPr>
        <w:t xml:space="preserve">. Each individual who first becomes an Outside Director following the Restatement Date automatically will be granted an Option (an </w:t>
      </w:r>
      <w:r>
        <w:rPr>
          <w:rFonts w:ascii="PMingLiU" w:cs="PMingLiU" w:eastAsia="PMingLiU" w:hAnsi="PMingLiU"/>
          <w:sz w:val="20"/>
          <w:szCs w:val="20"/>
          <w:b w:val="1"/>
          <w:bCs w:val="1"/>
          <w:color w:val="231F20"/>
        </w:rPr>
        <w:t></w:t>
      </w:r>
      <w:r>
        <w:rPr>
          <w:rFonts w:ascii="Arial" w:cs="Arial" w:eastAsia="Arial" w:hAnsi="Arial"/>
          <w:sz w:val="20"/>
          <w:szCs w:val="20"/>
          <w:b w:val="1"/>
          <w:bCs w:val="1"/>
          <w:u w:val="single" w:color="auto"/>
          <w:color w:val="231F20"/>
        </w:rPr>
        <w:t>Initial Award</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 xml:space="preserve">) to purchase 40,400 Shares. The grant date of the Initial Award will be the first Trading Day on or after the date on which such individual first becomes an Outside Director (such first date as an Outside Director, the </w:t>
      </w:r>
      <w:r>
        <w:rPr>
          <w:rFonts w:ascii="PMingLiU" w:cs="PMingLiU" w:eastAsia="PMingLiU" w:hAnsi="PMingLiU"/>
          <w:sz w:val="20"/>
          <w:szCs w:val="20"/>
          <w:b w:val="1"/>
          <w:bCs w:val="1"/>
          <w:color w:val="231F20"/>
        </w:rPr>
        <w:t></w:t>
      </w:r>
      <w:r>
        <w:rPr>
          <w:rFonts w:ascii="Arial" w:cs="Arial" w:eastAsia="Arial" w:hAnsi="Arial"/>
          <w:sz w:val="20"/>
          <w:szCs w:val="20"/>
          <w:b w:val="1"/>
          <w:bCs w:val="1"/>
          <w:u w:val="single" w:color="auto"/>
          <w:color w:val="231F20"/>
        </w:rPr>
        <w:t>Initial Start Date</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 whether through election by the stockholders of the Company or appointment by the Board to fill a vacancy. If an individual was an Inside Director, becoming an Outside Director due to termination of the individual</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s status as an Employee will not entitle the Outside Director to an Initial Award. Each Initial Award will be scheduled to vest as to 1/36</w:t>
      </w:r>
      <w:r>
        <w:rPr>
          <w:rFonts w:ascii="Arial" w:cs="Arial" w:eastAsia="Arial" w:hAnsi="Arial"/>
          <w:sz w:val="26"/>
          <w:szCs w:val="26"/>
          <w:b w:val="1"/>
          <w:bCs w:val="1"/>
          <w:color w:val="231F20"/>
          <w:vertAlign w:val="superscript"/>
        </w:rPr>
        <w:t>th</w:t>
      </w:r>
      <w:r>
        <w:rPr>
          <w:rFonts w:ascii="Arial" w:cs="Arial" w:eastAsia="Arial" w:hAnsi="Arial"/>
          <w:sz w:val="20"/>
          <w:szCs w:val="20"/>
          <w:b w:val="1"/>
          <w:bCs w:val="1"/>
          <w:color w:val="231F20"/>
        </w:rPr>
        <w:t xml:space="preserve"> of the Shares subject at grant to the Initial Award on a monthly basis following the Initial Award</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s grant date on the same day of the month as such grant date (or the last day of the month, if there is no corresponding day in such month), subject to the Outside Director remaining a Service Provider through the applicable vesting date.</w:t>
      </w:r>
    </w:p>
    <w:p>
      <w:pPr>
        <w:spacing w:after="0" w:line="256" w:lineRule="exact"/>
        <w:rPr>
          <w:rFonts w:ascii="Arial" w:cs="Arial" w:eastAsia="Arial" w:hAnsi="Arial"/>
          <w:sz w:val="20"/>
          <w:szCs w:val="20"/>
          <w:b w:val="1"/>
          <w:bCs w:val="1"/>
          <w:color w:val="231F20"/>
        </w:rPr>
      </w:pPr>
    </w:p>
    <w:p>
      <w:pPr>
        <w:jc w:val="both"/>
        <w:ind w:left="140" w:right="140" w:firstLine="1398"/>
        <w:spacing w:after="0" w:line="266" w:lineRule="exact"/>
        <w:tabs>
          <w:tab w:leader="none" w:pos="2235" w:val="left"/>
        </w:tabs>
        <w:numPr>
          <w:ilvl w:val="1"/>
          <w:numId w:val="51"/>
        </w:numPr>
        <w:rPr>
          <w:rFonts w:ascii="Arial" w:cs="Arial" w:eastAsia="Arial" w:hAnsi="Arial"/>
          <w:sz w:val="19"/>
          <w:szCs w:val="19"/>
          <w:b w:val="1"/>
          <w:bCs w:val="1"/>
          <w:color w:val="231F20"/>
        </w:rPr>
      </w:pPr>
      <w:r>
        <w:rPr>
          <w:rFonts w:ascii="Arial" w:cs="Arial" w:eastAsia="Arial" w:hAnsi="Arial"/>
          <w:sz w:val="19"/>
          <w:szCs w:val="19"/>
          <w:b w:val="1"/>
          <w:bCs w:val="1"/>
          <w:u w:val="single" w:color="auto"/>
          <w:color w:val="231F20"/>
        </w:rPr>
        <w:t>Annual Award</w:t>
      </w:r>
      <w:r>
        <w:rPr>
          <w:rFonts w:ascii="Arial" w:cs="Arial" w:eastAsia="Arial" w:hAnsi="Arial"/>
          <w:sz w:val="19"/>
          <w:szCs w:val="19"/>
          <w:b w:val="1"/>
          <w:bCs w:val="1"/>
          <w:color w:val="231F20"/>
        </w:rPr>
        <w:t>. On the first Trading Day immediately following each Annual Meeting of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s stockholders (an </w:t>
      </w:r>
      <w:r>
        <w:rPr>
          <w:rFonts w:ascii="PMingLiU" w:cs="PMingLiU" w:eastAsia="PMingLiU" w:hAnsi="PMingLiU"/>
          <w:sz w:val="19"/>
          <w:szCs w:val="19"/>
          <w:b w:val="1"/>
          <w:bCs w:val="1"/>
          <w:color w:val="231F20"/>
        </w:rPr>
        <w:t></w:t>
      </w:r>
      <w:r>
        <w:rPr>
          <w:rFonts w:ascii="Arial" w:cs="Arial" w:eastAsia="Arial" w:hAnsi="Arial"/>
          <w:sz w:val="19"/>
          <w:szCs w:val="19"/>
          <w:b w:val="1"/>
          <w:bCs w:val="1"/>
          <w:u w:val="single" w:color="auto"/>
          <w:color w:val="231F20"/>
        </w:rPr>
        <w:t>Annual Meeting</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that occurs after the Restatement Date, each Outside Director automatically will be granted an Option (the </w:t>
      </w:r>
      <w:r>
        <w:rPr>
          <w:rFonts w:ascii="PMingLiU" w:cs="PMingLiU" w:eastAsia="PMingLiU" w:hAnsi="PMingLiU"/>
          <w:sz w:val="19"/>
          <w:szCs w:val="19"/>
          <w:b w:val="1"/>
          <w:bCs w:val="1"/>
          <w:color w:val="231F20"/>
        </w:rPr>
        <w:t></w:t>
      </w:r>
      <w:r>
        <w:rPr>
          <w:rFonts w:ascii="Arial" w:cs="Arial" w:eastAsia="Arial" w:hAnsi="Arial"/>
          <w:sz w:val="19"/>
          <w:szCs w:val="19"/>
          <w:b w:val="1"/>
          <w:bCs w:val="1"/>
          <w:u w:val="single" w:color="auto"/>
          <w:color w:val="231F20"/>
        </w:rPr>
        <w:t>Annual</w:t>
      </w:r>
      <w:r>
        <w:rPr>
          <w:rFonts w:ascii="Arial" w:cs="Arial" w:eastAsia="Arial" w:hAnsi="Arial"/>
          <w:sz w:val="19"/>
          <w:szCs w:val="19"/>
          <w:b w:val="1"/>
          <w:bCs w:val="1"/>
          <w:color w:val="231F20"/>
        </w:rPr>
        <w:t xml:space="preserve"> </w:t>
      </w:r>
      <w:r>
        <w:rPr>
          <w:rFonts w:ascii="Arial" w:cs="Arial" w:eastAsia="Arial" w:hAnsi="Arial"/>
          <w:sz w:val="19"/>
          <w:szCs w:val="19"/>
          <w:b w:val="1"/>
          <w:bCs w:val="1"/>
          <w:u w:val="single" w:color="auto"/>
          <w:color w:val="231F20"/>
        </w:rPr>
        <w:t>Award</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to purchase 40,400 Shares, provided, however, that if an individual commenced service as an Outside Director after the date of the Annual Meeting that occurred immediately before such</w:t>
      </w:r>
    </w:p>
    <w:p>
      <w:pPr>
        <w:sectPr>
          <w:pgSz w:w="12240" w:h="15840" w:orient="portrait"/>
          <w:cols w:equalWidth="0" w:num="1">
            <w:col w:w="9360"/>
          </w:cols>
          <w:pgMar w:left="1440" w:top="1440" w:right="1440" w:bottom="388"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231F20"/>
        </w:rPr>
        <w:t>2</w:t>
      </w:r>
    </w:p>
    <w:p>
      <w:pPr>
        <w:sectPr>
          <w:pgSz w:w="12240" w:h="15840" w:orient="portrait"/>
          <w:cols w:equalWidth="0" w:num="1">
            <w:col w:w="9360"/>
          </w:cols>
          <w:pgMar w:left="1440" w:top="1440" w:right="1440" w:bottom="388" w:gutter="0" w:footer="0" w:header="0"/>
          <w:type w:val="continuous"/>
        </w:sectPr>
      </w:pPr>
    </w:p>
    <w:bookmarkStart w:id="167" w:name="page168"/>
    <w:bookmarkEnd w:id="167"/>
    <w:p>
      <w:pPr>
        <w:spacing w:after="0" w:line="205" w:lineRule="exact"/>
        <w:rPr>
          <w:sz w:val="20"/>
          <w:szCs w:val="20"/>
          <w:color w:val="auto"/>
        </w:rPr>
      </w:pPr>
    </w:p>
    <w:p>
      <w:pPr>
        <w:jc w:val="both"/>
        <w:ind w:left="140" w:right="140"/>
        <w:spacing w:after="0" w:line="266" w:lineRule="exact"/>
        <w:rPr>
          <w:sz w:val="20"/>
          <w:szCs w:val="20"/>
          <w:color w:val="auto"/>
        </w:rPr>
      </w:pPr>
      <w:r>
        <w:rPr>
          <w:rFonts w:ascii="Arial" w:cs="Arial" w:eastAsia="Arial" w:hAnsi="Arial"/>
          <w:sz w:val="21"/>
          <w:szCs w:val="21"/>
          <w:b w:val="1"/>
          <w:bCs w:val="1"/>
          <w:color w:val="231F20"/>
        </w:rPr>
        <w:t>Annual Meeting, then the Annual Award granted to such Outside Director will be prorated based on the number of whole months that the individual served as an Outside Director prior to the Annual Award</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s grant date during the 12 month period immediately preceding such Annual Meeting (with any resulting fractional Share rounded down to the nearest whole Share). The Annual Award will be scheduled to vest as to 1/12</w:t>
      </w:r>
      <w:r>
        <w:rPr>
          <w:rFonts w:ascii="Arial" w:cs="Arial" w:eastAsia="Arial" w:hAnsi="Arial"/>
          <w:sz w:val="28"/>
          <w:szCs w:val="28"/>
          <w:b w:val="1"/>
          <w:bCs w:val="1"/>
          <w:color w:val="231F20"/>
          <w:vertAlign w:val="superscript"/>
        </w:rPr>
        <w:t>th</w:t>
      </w:r>
      <w:r>
        <w:rPr>
          <w:rFonts w:ascii="Arial" w:cs="Arial" w:eastAsia="Arial" w:hAnsi="Arial"/>
          <w:sz w:val="21"/>
          <w:szCs w:val="21"/>
          <w:b w:val="1"/>
          <w:bCs w:val="1"/>
          <w:color w:val="231F20"/>
        </w:rPr>
        <w:t xml:space="preserve"> of the Shares subject at grant to the Annual Award on a monthly basis following the Annual Award</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s grant date on the same day of the month as such grant date (or the last day of the month, if there is no corresponding day in such month), or if earlier, the day before the date of the next Annual Meeting that occurs after the grant date of the Annual Award, subject to the Outside Director remaining a Service Provider through the applicable vesting date.</w:t>
      </w:r>
    </w:p>
    <w:p>
      <w:pPr>
        <w:spacing w:after="0" w:line="251" w:lineRule="exact"/>
        <w:rPr>
          <w:sz w:val="20"/>
          <w:szCs w:val="20"/>
          <w:color w:val="auto"/>
        </w:rPr>
      </w:pPr>
    </w:p>
    <w:p>
      <w:pPr>
        <w:ind w:left="140" w:right="140" w:firstLine="1398"/>
        <w:spacing w:after="0" w:line="238" w:lineRule="auto"/>
        <w:tabs>
          <w:tab w:leader="none" w:pos="2235" w:val="left"/>
        </w:tabs>
        <w:numPr>
          <w:ilvl w:val="1"/>
          <w:numId w:val="52"/>
        </w:numPr>
        <w:rPr>
          <w:rFonts w:ascii="Arial" w:cs="Arial" w:eastAsia="Arial" w:hAnsi="Arial"/>
          <w:sz w:val="23"/>
          <w:szCs w:val="23"/>
          <w:b w:val="1"/>
          <w:bCs w:val="1"/>
          <w:color w:val="231F20"/>
        </w:rPr>
      </w:pPr>
      <w:r>
        <w:rPr>
          <w:rFonts w:ascii="Arial" w:cs="Arial" w:eastAsia="Arial" w:hAnsi="Arial"/>
          <w:sz w:val="23"/>
          <w:szCs w:val="23"/>
          <w:b w:val="1"/>
          <w:bCs w:val="1"/>
          <w:u w:val="single" w:color="auto"/>
          <w:color w:val="231F20"/>
        </w:rPr>
        <w:t>Additional Terms of Initial Awards and Annual Awards</w:t>
      </w:r>
      <w:r>
        <w:rPr>
          <w:rFonts w:ascii="Arial" w:cs="Arial" w:eastAsia="Arial" w:hAnsi="Arial"/>
          <w:sz w:val="23"/>
          <w:szCs w:val="23"/>
          <w:b w:val="1"/>
          <w:bCs w:val="1"/>
          <w:color w:val="231F20"/>
        </w:rPr>
        <w:t>. The terms and conditions of each Initial Award and Annual Award will be as follows:</w:t>
      </w:r>
    </w:p>
    <w:p>
      <w:pPr>
        <w:spacing w:after="0" w:line="243" w:lineRule="exact"/>
        <w:rPr>
          <w:rFonts w:ascii="Arial" w:cs="Arial" w:eastAsia="Arial" w:hAnsi="Arial"/>
          <w:sz w:val="23"/>
          <w:szCs w:val="23"/>
          <w:b w:val="1"/>
          <w:bCs w:val="1"/>
          <w:color w:val="231F20"/>
        </w:rPr>
      </w:pPr>
    </w:p>
    <w:p>
      <w:pPr>
        <w:ind w:left="140" w:right="140" w:firstLine="2097"/>
        <w:spacing w:after="0" w:line="238" w:lineRule="auto"/>
        <w:tabs>
          <w:tab w:leader="none" w:pos="2934" w:val="left"/>
        </w:tabs>
        <w:numPr>
          <w:ilvl w:val="2"/>
          <w:numId w:val="52"/>
        </w:numPr>
        <w:rPr>
          <w:rFonts w:ascii="Arial" w:cs="Arial" w:eastAsia="Arial" w:hAnsi="Arial"/>
          <w:sz w:val="23"/>
          <w:szCs w:val="23"/>
          <w:b w:val="1"/>
          <w:bCs w:val="1"/>
          <w:color w:val="231F20"/>
        </w:rPr>
      </w:pPr>
      <w:r>
        <w:rPr>
          <w:rFonts w:ascii="Arial" w:cs="Arial" w:eastAsia="Arial" w:hAnsi="Arial"/>
          <w:sz w:val="23"/>
          <w:szCs w:val="23"/>
          <w:b w:val="1"/>
          <w:bCs w:val="1"/>
          <w:color w:val="231F20"/>
        </w:rPr>
        <w:t>The term of each Initial Award and Annual Award will be 10 years, subject to earlier termination as provided in the Plan.</w:t>
      </w:r>
    </w:p>
    <w:p>
      <w:pPr>
        <w:spacing w:after="0" w:line="243" w:lineRule="exact"/>
        <w:rPr>
          <w:rFonts w:ascii="Arial" w:cs="Arial" w:eastAsia="Arial" w:hAnsi="Arial"/>
          <w:sz w:val="23"/>
          <w:szCs w:val="23"/>
          <w:b w:val="1"/>
          <w:bCs w:val="1"/>
          <w:color w:val="231F20"/>
        </w:rPr>
      </w:pPr>
    </w:p>
    <w:p>
      <w:pPr>
        <w:ind w:left="2940" w:hanging="703"/>
        <w:spacing w:after="0"/>
        <w:tabs>
          <w:tab w:leader="none" w:pos="2940" w:val="left"/>
        </w:tabs>
        <w:numPr>
          <w:ilvl w:val="2"/>
          <w:numId w:val="52"/>
        </w:numPr>
        <w:rPr>
          <w:rFonts w:ascii="Arial" w:cs="Arial" w:eastAsia="Arial" w:hAnsi="Arial"/>
          <w:sz w:val="19"/>
          <w:szCs w:val="19"/>
          <w:b w:val="1"/>
          <w:bCs w:val="1"/>
          <w:color w:val="231F20"/>
        </w:rPr>
      </w:pPr>
      <w:r>
        <w:rPr>
          <w:rFonts w:ascii="Arial" w:cs="Arial" w:eastAsia="Arial" w:hAnsi="Arial"/>
          <w:sz w:val="19"/>
          <w:szCs w:val="19"/>
          <w:b w:val="1"/>
          <w:bCs w:val="1"/>
          <w:color w:val="231F20"/>
        </w:rPr>
        <w:t>Each Initial Award and Annual Award will have a per Share exercise</w:t>
      </w:r>
    </w:p>
    <w:p>
      <w:pPr>
        <w:spacing w:after="0" w:line="43" w:lineRule="exact"/>
        <w:rPr>
          <w:rFonts w:ascii="Arial" w:cs="Arial" w:eastAsia="Arial" w:hAnsi="Arial"/>
          <w:sz w:val="19"/>
          <w:szCs w:val="19"/>
          <w:b w:val="1"/>
          <w:bCs w:val="1"/>
          <w:color w:val="231F20"/>
        </w:rPr>
      </w:pPr>
    </w:p>
    <w:p>
      <w:pPr>
        <w:ind w:left="140"/>
        <w:spacing w:after="0"/>
        <w:rPr>
          <w:rFonts w:ascii="Arial" w:cs="Arial" w:eastAsia="Arial" w:hAnsi="Arial"/>
          <w:sz w:val="19"/>
          <w:szCs w:val="19"/>
          <w:b w:val="1"/>
          <w:bCs w:val="1"/>
          <w:color w:val="231F20"/>
        </w:rPr>
      </w:pPr>
      <w:r>
        <w:rPr>
          <w:rFonts w:ascii="Arial" w:cs="Arial" w:eastAsia="Arial" w:hAnsi="Arial"/>
          <w:sz w:val="23"/>
          <w:szCs w:val="23"/>
          <w:b w:val="1"/>
          <w:bCs w:val="1"/>
          <w:color w:val="231F20"/>
        </w:rPr>
        <w:t>price equal to 100% of the Fair Market Value per Share on the grant date.</w:t>
      </w:r>
    </w:p>
    <w:p>
      <w:pPr>
        <w:spacing w:after="0" w:line="241" w:lineRule="exact"/>
        <w:rPr>
          <w:rFonts w:ascii="Arial" w:cs="Arial" w:eastAsia="Arial" w:hAnsi="Arial"/>
          <w:sz w:val="19"/>
          <w:szCs w:val="19"/>
          <w:b w:val="1"/>
          <w:bCs w:val="1"/>
          <w:color w:val="231F20"/>
        </w:rPr>
      </w:pPr>
    </w:p>
    <w:p>
      <w:pPr>
        <w:jc w:val="both"/>
        <w:ind w:left="140" w:right="140" w:firstLine="700"/>
        <w:spacing w:after="0" w:line="241" w:lineRule="auto"/>
        <w:tabs>
          <w:tab w:leader="none" w:pos="1537" w:val="left"/>
        </w:tabs>
        <w:numPr>
          <w:ilvl w:val="0"/>
          <w:numId w:val="53"/>
        </w:numPr>
        <w:rPr>
          <w:rFonts w:ascii="Arial" w:cs="Arial" w:eastAsia="Arial" w:hAnsi="Arial"/>
          <w:sz w:val="23"/>
          <w:szCs w:val="23"/>
          <w:b w:val="1"/>
          <w:bCs w:val="1"/>
          <w:color w:val="231F20"/>
        </w:rPr>
      </w:pPr>
      <w:r>
        <w:rPr>
          <w:rFonts w:ascii="Arial" w:cs="Arial" w:eastAsia="Arial" w:hAnsi="Arial"/>
          <w:sz w:val="23"/>
          <w:szCs w:val="23"/>
          <w:b w:val="1"/>
          <w:bCs w:val="1"/>
          <w:u w:val="single" w:color="auto"/>
          <w:color w:val="231F20"/>
        </w:rPr>
        <w:t>Change in Control</w:t>
      </w:r>
      <w:r>
        <w:rPr>
          <w:rFonts w:ascii="Arial" w:cs="Arial" w:eastAsia="Arial" w:hAnsi="Arial"/>
          <w:sz w:val="23"/>
          <w:szCs w:val="23"/>
          <w:b w:val="1"/>
          <w:bCs w:val="1"/>
          <w:color w:val="231F20"/>
        </w:rPr>
        <w:t>. In the event of a Change in Control, each Outside Director will fully vest in their outstanding Company equity awards, including any Initial Award and Annual Award, provided that the Outside Director continues to be an Outside Director through the date of such Change in Control.</w:t>
      </w:r>
    </w:p>
    <w:p>
      <w:pPr>
        <w:spacing w:after="0" w:line="240" w:lineRule="exact"/>
        <w:rPr>
          <w:rFonts w:ascii="Arial" w:cs="Arial" w:eastAsia="Arial" w:hAnsi="Arial"/>
          <w:sz w:val="23"/>
          <w:szCs w:val="23"/>
          <w:b w:val="1"/>
          <w:bCs w:val="1"/>
          <w:color w:val="231F20"/>
        </w:rPr>
      </w:pPr>
    </w:p>
    <w:p>
      <w:pPr>
        <w:jc w:val="both"/>
        <w:ind w:left="140" w:right="140" w:firstLine="700"/>
        <w:spacing w:after="0" w:line="267" w:lineRule="exact"/>
        <w:tabs>
          <w:tab w:leader="none" w:pos="1537" w:val="left"/>
        </w:tabs>
        <w:numPr>
          <w:ilvl w:val="0"/>
          <w:numId w:val="53"/>
        </w:numPr>
        <w:rPr>
          <w:rFonts w:ascii="Arial" w:cs="Arial" w:eastAsia="Arial" w:hAnsi="Arial"/>
          <w:sz w:val="19"/>
          <w:szCs w:val="19"/>
          <w:b w:val="1"/>
          <w:bCs w:val="1"/>
          <w:color w:val="231F20"/>
        </w:rPr>
      </w:pPr>
      <w:r>
        <w:rPr>
          <w:rFonts w:ascii="Arial" w:cs="Arial" w:eastAsia="Arial" w:hAnsi="Arial"/>
          <w:sz w:val="19"/>
          <w:szCs w:val="19"/>
          <w:b w:val="1"/>
          <w:bCs w:val="1"/>
          <w:u w:val="single" w:color="auto"/>
          <w:color w:val="231F20"/>
        </w:rPr>
        <w:t>Annual Compensation Limit</w:t>
      </w:r>
      <w:r>
        <w:rPr>
          <w:rFonts w:ascii="Arial" w:cs="Arial" w:eastAsia="Arial" w:hAnsi="Arial"/>
          <w:sz w:val="19"/>
          <w:szCs w:val="19"/>
          <w:b w:val="1"/>
          <w:bCs w:val="1"/>
          <w:color w:val="231F20"/>
        </w:rPr>
        <w:t xml:space="preserve">. No Outside Director may be granted Awards with Values, and be provided any other compensation (including without limitation any cash retainers or fees) with amounts that, in any Fiscal Year, in the aggregate, exceed $1,000,000. Any Awards or other compensation provided to an individual (a) for their services as an Employee, or for their services as a Consultant other than as an Outside Director, or (b) before the Registration Date, will be excluded for purposes of this Section 5. For purposes of this Policy, </w:t>
      </w:r>
      <w:r>
        <w:rPr>
          <w:rFonts w:ascii="PMingLiU" w:cs="PMingLiU" w:eastAsia="PMingLiU" w:hAnsi="PMingLiU"/>
          <w:sz w:val="19"/>
          <w:szCs w:val="19"/>
          <w:b w:val="1"/>
          <w:bCs w:val="1"/>
          <w:color w:val="231F20"/>
        </w:rPr>
        <w:t></w:t>
      </w:r>
      <w:r>
        <w:rPr>
          <w:rFonts w:ascii="Arial" w:cs="Arial" w:eastAsia="Arial" w:hAnsi="Arial"/>
          <w:sz w:val="19"/>
          <w:szCs w:val="19"/>
          <w:b w:val="1"/>
          <w:bCs w:val="1"/>
          <w:u w:val="single" w:color="auto"/>
          <w:color w:val="231F20"/>
        </w:rPr>
        <w:t>Value</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means grant date fair value determined in accordance with U.S. generally accepted accounting principles.</w:t>
      </w:r>
    </w:p>
    <w:p>
      <w:pPr>
        <w:spacing w:after="0" w:line="244" w:lineRule="exact"/>
        <w:rPr>
          <w:rFonts w:ascii="Arial" w:cs="Arial" w:eastAsia="Arial" w:hAnsi="Arial"/>
          <w:sz w:val="19"/>
          <w:szCs w:val="19"/>
          <w:b w:val="1"/>
          <w:bCs w:val="1"/>
          <w:color w:val="231F20"/>
        </w:rPr>
      </w:pPr>
    </w:p>
    <w:p>
      <w:pPr>
        <w:jc w:val="both"/>
        <w:ind w:left="140" w:right="140" w:firstLine="700"/>
        <w:spacing w:after="0" w:line="264" w:lineRule="exact"/>
        <w:tabs>
          <w:tab w:leader="none" w:pos="1537" w:val="left"/>
        </w:tabs>
        <w:numPr>
          <w:ilvl w:val="0"/>
          <w:numId w:val="53"/>
        </w:numPr>
        <w:rPr>
          <w:rFonts w:ascii="Arial" w:cs="Arial" w:eastAsia="Arial" w:hAnsi="Arial"/>
          <w:sz w:val="23"/>
          <w:szCs w:val="23"/>
          <w:b w:val="1"/>
          <w:bCs w:val="1"/>
          <w:color w:val="231F20"/>
        </w:rPr>
      </w:pPr>
      <w:r>
        <w:rPr>
          <w:rFonts w:ascii="Arial" w:cs="Arial" w:eastAsia="Arial" w:hAnsi="Arial"/>
          <w:sz w:val="23"/>
          <w:szCs w:val="23"/>
          <w:b w:val="1"/>
          <w:bCs w:val="1"/>
          <w:u w:val="single" w:color="auto"/>
          <w:color w:val="231F20"/>
        </w:rPr>
        <w:t>Travel Expenses</w:t>
      </w:r>
      <w:r>
        <w:rPr>
          <w:rFonts w:ascii="Arial" w:cs="Arial" w:eastAsia="Arial" w:hAnsi="Arial"/>
          <w:sz w:val="23"/>
          <w:szCs w:val="23"/>
          <w:b w:val="1"/>
          <w:bCs w:val="1"/>
          <w:color w:val="231F20"/>
        </w:rPr>
        <w:t>. Each Outside Director</w:t>
      </w:r>
      <w:r>
        <w:rPr>
          <w:rFonts w:ascii="PMingLiU" w:cs="PMingLiU" w:eastAsia="PMingLiU" w:hAnsi="PMingLiU"/>
          <w:sz w:val="23"/>
          <w:szCs w:val="23"/>
          <w:b w:val="1"/>
          <w:bCs w:val="1"/>
          <w:color w:val="231F20"/>
        </w:rPr>
        <w:t></w:t>
      </w:r>
      <w:r>
        <w:rPr>
          <w:rFonts w:ascii="Arial" w:cs="Arial" w:eastAsia="Arial" w:hAnsi="Arial"/>
          <w:sz w:val="23"/>
          <w:szCs w:val="23"/>
          <w:b w:val="1"/>
          <w:bCs w:val="1"/>
          <w:color w:val="231F20"/>
        </w:rPr>
        <w:t>s reasonable, customary and documented travel expenses to meetings of the Board and its committees, as applicable, will be reimbursed by the Company.</w:t>
      </w:r>
    </w:p>
    <w:p>
      <w:pPr>
        <w:spacing w:after="0" w:line="245" w:lineRule="exact"/>
        <w:rPr>
          <w:rFonts w:ascii="Arial" w:cs="Arial" w:eastAsia="Arial" w:hAnsi="Arial"/>
          <w:sz w:val="23"/>
          <w:szCs w:val="23"/>
          <w:b w:val="1"/>
          <w:bCs w:val="1"/>
          <w:color w:val="231F20"/>
        </w:rPr>
      </w:pPr>
    </w:p>
    <w:p>
      <w:pPr>
        <w:jc w:val="both"/>
        <w:ind w:left="140" w:right="140" w:firstLine="700"/>
        <w:spacing w:after="0" w:line="270" w:lineRule="auto"/>
        <w:tabs>
          <w:tab w:leader="none" w:pos="1537" w:val="left"/>
        </w:tabs>
        <w:numPr>
          <w:ilvl w:val="0"/>
          <w:numId w:val="53"/>
        </w:numPr>
        <w:rPr>
          <w:rFonts w:ascii="Arial" w:cs="Arial" w:eastAsia="Arial" w:hAnsi="Arial"/>
          <w:sz w:val="21"/>
          <w:szCs w:val="21"/>
          <w:b w:val="1"/>
          <w:bCs w:val="1"/>
          <w:color w:val="231F20"/>
        </w:rPr>
      </w:pPr>
      <w:r>
        <w:rPr>
          <w:rFonts w:ascii="Arial" w:cs="Arial" w:eastAsia="Arial" w:hAnsi="Arial"/>
          <w:sz w:val="21"/>
          <w:szCs w:val="21"/>
          <w:b w:val="1"/>
          <w:bCs w:val="1"/>
          <w:u w:val="single" w:color="auto"/>
          <w:color w:val="231F20"/>
        </w:rPr>
        <w:t>Additional Provisions</w:t>
      </w:r>
      <w:r>
        <w:rPr>
          <w:rFonts w:ascii="Arial" w:cs="Arial" w:eastAsia="Arial" w:hAnsi="Arial"/>
          <w:sz w:val="21"/>
          <w:szCs w:val="21"/>
          <w:b w:val="1"/>
          <w:bCs w:val="1"/>
          <w:color w:val="231F20"/>
        </w:rPr>
        <w:t>. All provisions of the Plan not inconsistent with this Policy will apply to Awards granted to Outside Directors. Each Award granted under this Policy will be granted under the Plan and will be subject to the applicable Award Agreement adopted by the Board or its Compensation Committee for use under the Plan.</w:t>
      </w:r>
    </w:p>
    <w:p>
      <w:pPr>
        <w:spacing w:after="0" w:line="216" w:lineRule="exact"/>
        <w:rPr>
          <w:rFonts w:ascii="Arial" w:cs="Arial" w:eastAsia="Arial" w:hAnsi="Arial"/>
          <w:sz w:val="21"/>
          <w:szCs w:val="21"/>
          <w:b w:val="1"/>
          <w:bCs w:val="1"/>
          <w:color w:val="231F20"/>
        </w:rPr>
      </w:pPr>
    </w:p>
    <w:p>
      <w:pPr>
        <w:jc w:val="both"/>
        <w:ind w:left="140" w:right="140" w:firstLine="700"/>
        <w:spacing w:after="0" w:line="302" w:lineRule="auto"/>
        <w:tabs>
          <w:tab w:leader="none" w:pos="1537" w:val="left"/>
        </w:tabs>
        <w:numPr>
          <w:ilvl w:val="0"/>
          <w:numId w:val="53"/>
        </w:numPr>
        <w:rPr>
          <w:rFonts w:ascii="Arial" w:cs="Arial" w:eastAsia="Arial" w:hAnsi="Arial"/>
          <w:sz w:val="19"/>
          <w:szCs w:val="19"/>
          <w:b w:val="1"/>
          <w:bCs w:val="1"/>
          <w:color w:val="231F20"/>
        </w:rPr>
      </w:pPr>
      <w:r>
        <w:rPr>
          <w:rFonts w:ascii="Arial" w:cs="Arial" w:eastAsia="Arial" w:hAnsi="Arial"/>
          <w:sz w:val="19"/>
          <w:szCs w:val="19"/>
          <w:b w:val="1"/>
          <w:bCs w:val="1"/>
          <w:u w:val="single" w:color="auto"/>
          <w:color w:val="231F20"/>
        </w:rPr>
        <w:t>Adjustments</w:t>
      </w:r>
      <w:r>
        <w:rPr>
          <w:rFonts w:ascii="Arial" w:cs="Arial" w:eastAsia="Arial" w:hAnsi="Arial"/>
          <w:sz w:val="19"/>
          <w:szCs w:val="19"/>
          <w:b w:val="1"/>
          <w:bCs w:val="1"/>
          <w:color w:val="231F20"/>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ordinary dividends or other ordinary distributions), the Administrator, in order to prevent diminution or enlargement of</w:t>
      </w:r>
    </w:p>
    <w:p>
      <w:pPr>
        <w:sectPr>
          <w:pgSz w:w="12240" w:h="15840" w:orient="portrait"/>
          <w:cols w:equalWidth="0" w:num="1">
            <w:col w:w="9360"/>
          </w:cols>
          <w:pgMar w:left="1440" w:top="1440" w:right="1440" w:bottom="388"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231F20"/>
        </w:rPr>
        <w:t>3</w:t>
      </w:r>
    </w:p>
    <w:p>
      <w:pPr>
        <w:sectPr>
          <w:pgSz w:w="12240" w:h="15840" w:orient="portrait"/>
          <w:cols w:equalWidth="0" w:num="1">
            <w:col w:w="9360"/>
          </w:cols>
          <w:pgMar w:left="1440" w:top="1440" w:right="1440" w:bottom="388" w:gutter="0" w:footer="0" w:header="0"/>
          <w:type w:val="continuous"/>
        </w:sectPr>
      </w:pPr>
    </w:p>
    <w:bookmarkStart w:id="168" w:name="page169"/>
    <w:bookmarkEnd w:id="168"/>
    <w:p>
      <w:pPr>
        <w:spacing w:after="0" w:line="205" w:lineRule="exact"/>
        <w:rPr>
          <w:sz w:val="20"/>
          <w:szCs w:val="20"/>
          <w:color w:val="auto"/>
        </w:rPr>
      </w:pPr>
    </w:p>
    <w:p>
      <w:pPr>
        <w:jc w:val="both"/>
        <w:ind w:left="140" w:right="140"/>
        <w:spacing w:after="0" w:line="335" w:lineRule="auto"/>
        <w:rPr>
          <w:sz w:val="20"/>
          <w:szCs w:val="20"/>
          <w:color w:val="auto"/>
        </w:rPr>
      </w:pPr>
      <w:r>
        <w:rPr>
          <w:rFonts w:ascii="Arial" w:cs="Arial" w:eastAsia="Arial" w:hAnsi="Arial"/>
          <w:sz w:val="19"/>
          <w:szCs w:val="19"/>
          <w:b w:val="1"/>
          <w:bCs w:val="1"/>
          <w:color w:val="231F20"/>
        </w:rPr>
        <w:t>the benefits or potential benefits intended to be made available under this Policy, will adjust the number, class, and price of shares of stock issuable pursuant to Awards granted under this Policy.</w:t>
      </w:r>
    </w:p>
    <w:p>
      <w:pPr>
        <w:spacing w:after="0" w:line="158" w:lineRule="exact"/>
        <w:rPr>
          <w:sz w:val="20"/>
          <w:szCs w:val="20"/>
          <w:color w:val="auto"/>
        </w:rPr>
      </w:pPr>
    </w:p>
    <w:p>
      <w:pPr>
        <w:jc w:val="both"/>
        <w:ind w:left="140" w:right="140" w:firstLine="700"/>
        <w:spacing w:after="0" w:line="267" w:lineRule="exact"/>
        <w:tabs>
          <w:tab w:leader="none" w:pos="1537" w:val="left"/>
        </w:tabs>
        <w:numPr>
          <w:ilvl w:val="0"/>
          <w:numId w:val="54"/>
        </w:numPr>
        <w:rPr>
          <w:rFonts w:ascii="Arial" w:cs="Arial" w:eastAsia="Arial" w:hAnsi="Arial"/>
          <w:sz w:val="20"/>
          <w:szCs w:val="20"/>
          <w:b w:val="1"/>
          <w:bCs w:val="1"/>
          <w:color w:val="231F20"/>
        </w:rPr>
      </w:pPr>
      <w:r>
        <w:rPr>
          <w:rFonts w:ascii="Arial" w:cs="Arial" w:eastAsia="Arial" w:hAnsi="Arial"/>
          <w:sz w:val="20"/>
          <w:szCs w:val="20"/>
          <w:b w:val="1"/>
          <w:bCs w:val="1"/>
          <w:u w:val="single" w:color="auto"/>
          <w:color w:val="231F20"/>
        </w:rPr>
        <w:t>Section 409A</w:t>
      </w:r>
      <w:r>
        <w:rPr>
          <w:rFonts w:ascii="Arial" w:cs="Arial" w:eastAsia="Arial" w:hAnsi="Arial"/>
          <w:sz w:val="20"/>
          <w:szCs w:val="20"/>
          <w:b w:val="1"/>
          <w:bCs w:val="1"/>
          <w:color w:val="231F20"/>
        </w:rPr>
        <w:t>. In no event will cash compensation or expense reimbursement payments under this Policy be paid after the later of (i) the fifteenth (15</w:t>
      </w:r>
      <w:r>
        <w:rPr>
          <w:rFonts w:ascii="Arial" w:cs="Arial" w:eastAsia="Arial" w:hAnsi="Arial"/>
          <w:sz w:val="26"/>
          <w:szCs w:val="26"/>
          <w:b w:val="1"/>
          <w:bCs w:val="1"/>
          <w:color w:val="231F20"/>
          <w:vertAlign w:val="superscript"/>
        </w:rPr>
        <w:t>th</w:t>
      </w:r>
      <w:r>
        <w:rPr>
          <w:rFonts w:ascii="Arial" w:cs="Arial" w:eastAsia="Arial" w:hAnsi="Arial"/>
          <w:sz w:val="20"/>
          <w:szCs w:val="20"/>
          <w:b w:val="1"/>
          <w:bCs w:val="1"/>
          <w:color w:val="231F20"/>
        </w:rPr>
        <w:t>) day of the third (3</w:t>
      </w:r>
      <w:r>
        <w:rPr>
          <w:rFonts w:ascii="Arial" w:cs="Arial" w:eastAsia="Arial" w:hAnsi="Arial"/>
          <w:sz w:val="26"/>
          <w:szCs w:val="26"/>
          <w:b w:val="1"/>
          <w:bCs w:val="1"/>
          <w:color w:val="231F20"/>
          <w:vertAlign w:val="superscript"/>
        </w:rPr>
        <w:t>rd</w:t>
      </w:r>
      <w:r>
        <w:rPr>
          <w:rFonts w:ascii="Arial" w:cs="Arial" w:eastAsia="Arial" w:hAnsi="Arial"/>
          <w:sz w:val="20"/>
          <w:szCs w:val="20"/>
          <w:b w:val="1"/>
          <w:bCs w:val="1"/>
          <w:color w:val="231F20"/>
        </w:rPr>
        <w:t>) month following the end of the Company</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s taxable year in which the compensation is earned or expenses are incurred, as applicable, or (ii) the fifteenth (15</w:t>
      </w:r>
      <w:r>
        <w:rPr>
          <w:rFonts w:ascii="Arial" w:cs="Arial" w:eastAsia="Arial" w:hAnsi="Arial"/>
          <w:sz w:val="26"/>
          <w:szCs w:val="26"/>
          <w:b w:val="1"/>
          <w:bCs w:val="1"/>
          <w:color w:val="231F20"/>
          <w:vertAlign w:val="superscript"/>
        </w:rPr>
        <w:t>th</w:t>
      </w:r>
      <w:r>
        <w:rPr>
          <w:rFonts w:ascii="Arial" w:cs="Arial" w:eastAsia="Arial" w:hAnsi="Arial"/>
          <w:sz w:val="20"/>
          <w:szCs w:val="20"/>
          <w:b w:val="1"/>
          <w:bCs w:val="1"/>
          <w:color w:val="231F20"/>
        </w:rPr>
        <w:t>) day of the third (3</w:t>
      </w:r>
      <w:r>
        <w:rPr>
          <w:rFonts w:ascii="Arial" w:cs="Arial" w:eastAsia="Arial" w:hAnsi="Arial"/>
          <w:sz w:val="26"/>
          <w:szCs w:val="26"/>
          <w:b w:val="1"/>
          <w:bCs w:val="1"/>
          <w:color w:val="231F20"/>
          <w:vertAlign w:val="superscript"/>
        </w:rPr>
        <w:t>rd</w:t>
      </w:r>
      <w:r>
        <w:rPr>
          <w:rFonts w:ascii="Arial" w:cs="Arial" w:eastAsia="Arial" w:hAnsi="Arial"/>
          <w:sz w:val="20"/>
          <w:szCs w:val="20"/>
          <w:b w:val="1"/>
          <w:bCs w:val="1"/>
          <w:color w:val="231F20"/>
        </w:rPr>
        <w:t xml:space="preserve">) month following the end of the calendar year in which the compensation is earned or expenses are incurred, as applicable, in compliance with the </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short-term deferral</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 xml:space="preserve"> exception under Section 409A. It is the intent of this Policy that this Policy and all payments hereunder be exempt from or otherwise comply with the requirements of Section 409A so that none of the compensation provided hereunder will be subject to the additional tax imposed under Section 409A, and any ambiguities or ambiguous terms herein will be interpreted to be so exempt or comply. In no event will the Company or any of its Parent or Subsidiaries have any responsibility, liability, or obligation to reimburse, indemnify, or hold harmless an Outside Director (or any other person) for any taxes imposed or other costs incurred as a result of Section 409A.</w:t>
      </w:r>
    </w:p>
    <w:p>
      <w:pPr>
        <w:spacing w:after="0" w:line="244" w:lineRule="exact"/>
        <w:rPr>
          <w:rFonts w:ascii="Arial" w:cs="Arial" w:eastAsia="Arial" w:hAnsi="Arial"/>
          <w:sz w:val="20"/>
          <w:szCs w:val="20"/>
          <w:b w:val="1"/>
          <w:bCs w:val="1"/>
          <w:color w:val="231F20"/>
        </w:rPr>
      </w:pPr>
    </w:p>
    <w:p>
      <w:pPr>
        <w:ind w:left="1540" w:hanging="700"/>
        <w:spacing w:after="0" w:line="243" w:lineRule="exact"/>
        <w:tabs>
          <w:tab w:leader="none" w:pos="1540" w:val="left"/>
        </w:tabs>
        <w:numPr>
          <w:ilvl w:val="0"/>
          <w:numId w:val="54"/>
        </w:numPr>
        <w:rPr>
          <w:rFonts w:ascii="Arial" w:cs="Arial" w:eastAsia="Arial" w:hAnsi="Arial"/>
          <w:sz w:val="20"/>
          <w:szCs w:val="20"/>
          <w:b w:val="1"/>
          <w:bCs w:val="1"/>
          <w:color w:val="231F20"/>
        </w:rPr>
      </w:pPr>
      <w:r>
        <w:rPr>
          <w:rFonts w:ascii="Arial" w:cs="Arial" w:eastAsia="Arial" w:hAnsi="Arial"/>
          <w:sz w:val="20"/>
          <w:szCs w:val="20"/>
          <w:b w:val="1"/>
          <w:bCs w:val="1"/>
          <w:u w:val="single" w:color="auto"/>
          <w:color w:val="231F20"/>
        </w:rPr>
        <w:t>Stockholder Approval</w:t>
      </w:r>
      <w:r>
        <w:rPr>
          <w:rFonts w:ascii="Arial" w:cs="Arial" w:eastAsia="Arial" w:hAnsi="Arial"/>
          <w:sz w:val="20"/>
          <w:szCs w:val="20"/>
          <w:b w:val="1"/>
          <w:bCs w:val="1"/>
          <w:color w:val="231F20"/>
        </w:rPr>
        <w:t>.  This Policy was previously approved by the Company</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s</w:t>
      </w:r>
    </w:p>
    <w:p>
      <w:pPr>
        <w:spacing w:after="0" w:line="17" w:lineRule="exact"/>
        <w:rPr>
          <w:rFonts w:ascii="Arial" w:cs="Arial" w:eastAsia="Arial" w:hAnsi="Arial"/>
          <w:sz w:val="20"/>
          <w:szCs w:val="20"/>
          <w:b w:val="1"/>
          <w:bCs w:val="1"/>
          <w:color w:val="231F20"/>
        </w:rPr>
      </w:pPr>
    </w:p>
    <w:p>
      <w:pPr>
        <w:ind w:left="140"/>
        <w:spacing w:after="0"/>
        <w:rPr>
          <w:rFonts w:ascii="Arial" w:cs="Arial" w:eastAsia="Arial" w:hAnsi="Arial"/>
          <w:sz w:val="20"/>
          <w:szCs w:val="20"/>
          <w:b w:val="1"/>
          <w:bCs w:val="1"/>
          <w:color w:val="231F20"/>
        </w:rPr>
      </w:pPr>
      <w:r>
        <w:rPr>
          <w:rFonts w:ascii="Arial" w:cs="Arial" w:eastAsia="Arial" w:hAnsi="Arial"/>
          <w:sz w:val="23"/>
          <w:szCs w:val="23"/>
          <w:b w:val="1"/>
          <w:bCs w:val="1"/>
          <w:color w:val="231F20"/>
        </w:rPr>
        <w:t>stockholders.</w:t>
      </w:r>
    </w:p>
    <w:p>
      <w:pPr>
        <w:spacing w:after="0" w:line="244" w:lineRule="exact"/>
        <w:rPr>
          <w:rFonts w:ascii="Arial" w:cs="Arial" w:eastAsia="Arial" w:hAnsi="Arial"/>
          <w:sz w:val="20"/>
          <w:szCs w:val="20"/>
          <w:b w:val="1"/>
          <w:bCs w:val="1"/>
          <w:color w:val="231F20"/>
        </w:rPr>
      </w:pPr>
    </w:p>
    <w:p>
      <w:pPr>
        <w:jc w:val="both"/>
        <w:ind w:left="140" w:right="140" w:firstLine="700"/>
        <w:spacing w:after="0" w:line="267" w:lineRule="exact"/>
        <w:tabs>
          <w:tab w:leader="none" w:pos="1537" w:val="left"/>
        </w:tabs>
        <w:numPr>
          <w:ilvl w:val="0"/>
          <w:numId w:val="54"/>
        </w:numPr>
        <w:rPr>
          <w:rFonts w:ascii="Arial" w:cs="Arial" w:eastAsia="Arial" w:hAnsi="Arial"/>
          <w:sz w:val="21"/>
          <w:szCs w:val="21"/>
          <w:b w:val="1"/>
          <w:bCs w:val="1"/>
          <w:color w:val="231F20"/>
        </w:rPr>
      </w:pPr>
      <w:r>
        <w:rPr>
          <w:rFonts w:ascii="Arial" w:cs="Arial" w:eastAsia="Arial" w:hAnsi="Arial"/>
          <w:sz w:val="21"/>
          <w:szCs w:val="21"/>
          <w:b w:val="1"/>
          <w:bCs w:val="1"/>
          <w:u w:val="single" w:color="auto"/>
          <w:color w:val="231F20"/>
        </w:rPr>
        <w:t>Revisions</w:t>
      </w:r>
      <w:r>
        <w:rPr>
          <w:rFonts w:ascii="Arial" w:cs="Arial" w:eastAsia="Arial" w:hAnsi="Arial"/>
          <w:sz w:val="21"/>
          <w:szCs w:val="21"/>
          <w:b w:val="1"/>
          <w:bCs w:val="1"/>
          <w:color w:val="231F20"/>
        </w:rPr>
        <w:t>. The Board may amend, alter, suspend or terminate this Policy at any time and for any reason, including without limitation changing the terms of Initial Awards and Annual Awards. Further, the Board may provide for cash, equity, or other compensation to Outside Directors in addition to the compensation provided under this Policy.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s or the Compensation Committee</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s ability to exercise the powers granted to it under the Plan with respect to Awards granted under the Plan pursuant to this Policy before the date of such termination.</w:t>
      </w:r>
    </w:p>
    <w:p>
      <w:pPr>
        <w:spacing w:after="0" w:line="237" w:lineRule="exact"/>
        <w:rPr>
          <w:rFonts w:ascii="Arial" w:cs="Arial" w:eastAsia="Arial" w:hAnsi="Arial"/>
          <w:sz w:val="21"/>
          <w:szCs w:val="21"/>
          <w:b w:val="1"/>
          <w:bCs w:val="1"/>
          <w:color w:val="231F20"/>
        </w:rPr>
      </w:pPr>
    </w:p>
    <w:p>
      <w:pPr>
        <w:ind w:left="3920"/>
        <w:spacing w:after="0"/>
        <w:rPr>
          <w:rFonts w:ascii="Arial" w:cs="Arial" w:eastAsia="Arial" w:hAnsi="Arial"/>
          <w:sz w:val="21"/>
          <w:szCs w:val="21"/>
          <w:b w:val="1"/>
          <w:bCs w:val="1"/>
          <w:color w:val="231F20"/>
        </w:rPr>
      </w:pPr>
      <w:r>
        <w:rPr>
          <w:rFonts w:ascii="Arial" w:cs="Arial" w:eastAsia="Arial" w:hAnsi="Arial"/>
          <w:sz w:val="23"/>
          <w:szCs w:val="23"/>
          <w:b w:val="1"/>
          <w:bCs w:val="1"/>
          <w:color w:val="231F20"/>
        </w:rPr>
        <w:t>***</w:t>
      </w:r>
    </w:p>
    <w:p>
      <w:pPr>
        <w:sectPr>
          <w:pgSz w:w="12240" w:h="15840" w:orient="portrait"/>
          <w:cols w:equalWidth="0" w:num="1">
            <w:col w:w="9360"/>
          </w:cols>
          <w:pgMar w:left="1440" w:top="1440" w:right="1440" w:bottom="3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231F20"/>
        </w:rPr>
        <w:t>4</w:t>
      </w:r>
    </w:p>
    <w:p>
      <w:pPr>
        <w:sectPr>
          <w:pgSz w:w="12240" w:h="15840" w:orient="portrait"/>
          <w:cols w:equalWidth="0" w:num="1">
            <w:col w:w="9360"/>
          </w:cols>
          <w:pgMar w:left="1440" w:top="1440" w:right="1440" w:bottom="388" w:gutter="0" w:footer="0" w:header="0"/>
          <w:type w:val="continuous"/>
        </w:sectPr>
      </w:pPr>
    </w:p>
    <w:bookmarkStart w:id="169" w:name="page170"/>
    <w:bookmarkEnd w:id="169"/>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231F20"/>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59"/>
        <w:spacing w:after="0"/>
        <w:rPr>
          <w:sz w:val="20"/>
          <w:szCs w:val="20"/>
          <w:color w:val="auto"/>
        </w:rPr>
      </w:pPr>
      <w:r>
        <w:rPr>
          <w:rFonts w:ascii="Arial" w:cs="Arial" w:eastAsia="Arial" w:hAnsi="Arial"/>
          <w:sz w:val="23"/>
          <w:szCs w:val="23"/>
          <w:b w:val="1"/>
          <w:bCs w:val="1"/>
          <w:color w:val="231F20"/>
        </w:rPr>
        <w:t>ALX ONCOLOGY HOLDINGS INC.</w:t>
      </w:r>
    </w:p>
    <w:p>
      <w:pPr>
        <w:spacing w:after="0" w:line="271" w:lineRule="exact"/>
        <w:rPr>
          <w:sz w:val="20"/>
          <w:szCs w:val="20"/>
          <w:color w:val="auto"/>
        </w:rPr>
      </w:pPr>
    </w:p>
    <w:p>
      <w:pPr>
        <w:ind w:left="3740"/>
        <w:spacing w:after="0"/>
        <w:rPr>
          <w:sz w:val="20"/>
          <w:szCs w:val="20"/>
          <w:color w:val="auto"/>
        </w:rPr>
      </w:pPr>
      <w:r>
        <w:rPr>
          <w:rFonts w:ascii="Arial" w:cs="Arial" w:eastAsia="Arial" w:hAnsi="Arial"/>
          <w:sz w:val="23"/>
          <w:szCs w:val="23"/>
          <w:b w:val="1"/>
          <w:bCs w:val="1"/>
          <w:color w:val="231F20"/>
        </w:rPr>
        <w:t>___________________</w:t>
      </w:r>
    </w:p>
    <w:p>
      <w:pPr>
        <w:spacing w:after="0" w:line="235" w:lineRule="exact"/>
        <w:rPr>
          <w:sz w:val="20"/>
          <w:szCs w:val="20"/>
          <w:color w:val="auto"/>
        </w:rPr>
      </w:pPr>
    </w:p>
    <w:p>
      <w:pPr>
        <w:ind w:left="3300"/>
        <w:spacing w:after="0"/>
        <w:rPr>
          <w:sz w:val="20"/>
          <w:szCs w:val="20"/>
          <w:color w:val="auto"/>
        </w:rPr>
      </w:pPr>
      <w:r>
        <w:rPr>
          <w:rFonts w:ascii="Arial" w:cs="Arial" w:eastAsia="Arial" w:hAnsi="Arial"/>
          <w:sz w:val="23"/>
          <w:szCs w:val="23"/>
          <w:b w:val="1"/>
          <w:bCs w:val="1"/>
          <w:color w:val="231F20"/>
        </w:rPr>
        <w:t>INSIDER TRADING POLICY</w:t>
      </w:r>
    </w:p>
    <w:p>
      <w:pPr>
        <w:spacing w:after="0" w:line="120" w:lineRule="exact"/>
        <w:rPr>
          <w:sz w:val="20"/>
          <w:szCs w:val="20"/>
          <w:color w:val="auto"/>
        </w:rPr>
      </w:pPr>
    </w:p>
    <w:p>
      <w:pPr>
        <w:ind w:left="4600"/>
        <w:spacing w:after="0"/>
        <w:rPr>
          <w:sz w:val="20"/>
          <w:szCs w:val="20"/>
          <w:color w:val="auto"/>
        </w:rPr>
      </w:pPr>
      <w:r>
        <w:rPr>
          <w:rFonts w:ascii="Arial" w:cs="Arial" w:eastAsia="Arial" w:hAnsi="Arial"/>
          <w:sz w:val="23"/>
          <w:szCs w:val="23"/>
          <w:b w:val="1"/>
          <w:bCs w:val="1"/>
          <w:color w:val="231F20"/>
        </w:rPr>
        <w:t>AND</w:t>
      </w:r>
    </w:p>
    <w:p>
      <w:pPr>
        <w:spacing w:after="0" w:line="122" w:lineRule="exact"/>
        <w:rPr>
          <w:sz w:val="20"/>
          <w:szCs w:val="20"/>
          <w:color w:val="auto"/>
        </w:rPr>
      </w:pPr>
    </w:p>
    <w:p>
      <w:pPr>
        <w:ind w:left="3000"/>
        <w:spacing w:after="0"/>
        <w:rPr>
          <w:sz w:val="20"/>
          <w:szCs w:val="20"/>
          <w:color w:val="auto"/>
        </w:rPr>
      </w:pPr>
      <w:r>
        <w:rPr>
          <w:rFonts w:ascii="Arial" w:cs="Arial" w:eastAsia="Arial" w:hAnsi="Arial"/>
          <w:sz w:val="23"/>
          <w:szCs w:val="23"/>
          <w:b w:val="1"/>
          <w:bCs w:val="1"/>
          <w:color w:val="231F20"/>
        </w:rPr>
        <w:t>GUIDELINES WITH RESPECT TO</w:t>
      </w:r>
    </w:p>
    <w:p>
      <w:pPr>
        <w:spacing w:after="0" w:line="2" w:lineRule="exact"/>
        <w:rPr>
          <w:sz w:val="20"/>
          <w:szCs w:val="20"/>
          <w:color w:val="auto"/>
        </w:rPr>
      </w:pPr>
    </w:p>
    <w:p>
      <w:pPr>
        <w:jc w:val="center"/>
        <w:ind w:right="-159"/>
        <w:spacing w:after="0"/>
        <w:rPr>
          <w:sz w:val="20"/>
          <w:szCs w:val="20"/>
          <w:color w:val="auto"/>
        </w:rPr>
      </w:pPr>
      <w:r>
        <w:rPr>
          <w:rFonts w:ascii="Arial" w:cs="Arial" w:eastAsia="Arial" w:hAnsi="Arial"/>
          <w:sz w:val="23"/>
          <w:szCs w:val="23"/>
          <w:b w:val="1"/>
          <w:bCs w:val="1"/>
          <w:color w:val="231F20"/>
        </w:rPr>
        <w:t>CERTAIN TRANSACTIONS IN SECURITIES</w:t>
      </w:r>
    </w:p>
    <w:p>
      <w:pPr>
        <w:spacing w:after="0" w:line="271" w:lineRule="exact"/>
        <w:rPr>
          <w:sz w:val="20"/>
          <w:szCs w:val="20"/>
          <w:color w:val="auto"/>
        </w:rPr>
      </w:pPr>
    </w:p>
    <w:p>
      <w:pPr>
        <w:ind w:left="3740"/>
        <w:spacing w:after="0"/>
        <w:rPr>
          <w:sz w:val="20"/>
          <w:szCs w:val="20"/>
          <w:color w:val="auto"/>
        </w:rPr>
      </w:pPr>
      <w:r>
        <w:rPr>
          <w:rFonts w:ascii="Arial" w:cs="Arial" w:eastAsia="Arial" w:hAnsi="Arial"/>
          <w:sz w:val="23"/>
          <w:szCs w:val="23"/>
          <w:b w:val="1"/>
          <w:bCs w:val="1"/>
          <w:color w:val="231F20"/>
        </w:rPr>
        <w:t>___________________</w:t>
      </w:r>
    </w:p>
    <w:p>
      <w:pPr>
        <w:spacing w:after="0" w:line="271" w:lineRule="exact"/>
        <w:rPr>
          <w:sz w:val="20"/>
          <w:szCs w:val="20"/>
          <w:color w:val="auto"/>
        </w:rPr>
      </w:pPr>
    </w:p>
    <w:p>
      <w:pPr>
        <w:jc w:val="center"/>
        <w:ind w:right="-159"/>
        <w:spacing w:after="0"/>
        <w:rPr>
          <w:sz w:val="20"/>
          <w:szCs w:val="20"/>
          <w:color w:val="auto"/>
        </w:rPr>
      </w:pPr>
      <w:r>
        <w:rPr>
          <w:rFonts w:ascii="Arial" w:cs="Arial" w:eastAsia="Arial" w:hAnsi="Arial"/>
          <w:sz w:val="23"/>
          <w:szCs w:val="23"/>
          <w:b w:val="1"/>
          <w:bCs w:val="1"/>
          <w:color w:val="231F20"/>
        </w:rPr>
        <w:t>(Adopted and approved June 25, 2020 and</w:t>
      </w:r>
    </w:p>
    <w:p>
      <w:pPr>
        <w:spacing w:after="0" w:line="11" w:lineRule="exact"/>
        <w:rPr>
          <w:sz w:val="20"/>
          <w:szCs w:val="20"/>
          <w:color w:val="auto"/>
        </w:rPr>
      </w:pPr>
    </w:p>
    <w:p>
      <w:pPr>
        <w:jc w:val="center"/>
        <w:ind w:right="-159"/>
        <w:spacing w:after="0" w:line="243" w:lineRule="exact"/>
        <w:rPr>
          <w:sz w:val="20"/>
          <w:szCs w:val="20"/>
          <w:color w:val="auto"/>
        </w:rPr>
      </w:pPr>
      <w:r>
        <w:rPr>
          <w:rFonts w:ascii="Arial" w:cs="Arial" w:eastAsia="Arial" w:hAnsi="Arial"/>
          <w:sz w:val="20"/>
          <w:szCs w:val="20"/>
          <w:b w:val="1"/>
          <w:bCs w:val="1"/>
          <w:color w:val="231F20"/>
        </w:rPr>
        <w:t>effective as of the Company</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s initial public offering, as amended on March 14, 2023)</w:t>
      </w:r>
    </w:p>
    <w:p>
      <w:pPr>
        <w:sectPr>
          <w:pgSz w:w="12240" w:h="15840" w:orient="portrait"/>
          <w:cols w:equalWidth="0" w:num="1">
            <w:col w:w="9560"/>
          </w:cols>
          <w:pgMar w:left="1440" w:top="1440" w:right="1240" w:bottom="1440" w:gutter="0" w:footer="0" w:header="0"/>
        </w:sectPr>
      </w:pPr>
    </w:p>
    <w:bookmarkStart w:id="170" w:name="page171"/>
    <w:bookmarkEnd w:id="170"/>
    <w:p>
      <w:pPr>
        <w:spacing w:after="0" w:line="200" w:lineRule="exact"/>
        <w:rPr>
          <w:sz w:val="20"/>
          <w:szCs w:val="20"/>
          <w:color w:val="auto"/>
        </w:rPr>
      </w:pPr>
    </w:p>
    <w:p>
      <w:pPr>
        <w:spacing w:after="0" w:line="277" w:lineRule="exact"/>
        <w:rPr>
          <w:sz w:val="20"/>
          <w:szCs w:val="20"/>
          <w:color w:val="auto"/>
        </w:rPr>
      </w:pPr>
    </w:p>
    <w:p>
      <w:pPr>
        <w:ind w:left="3700"/>
        <w:spacing w:after="0"/>
        <w:rPr>
          <w:sz w:val="20"/>
          <w:szCs w:val="20"/>
          <w:color w:val="auto"/>
        </w:rPr>
      </w:pPr>
      <w:r>
        <w:rPr>
          <w:rFonts w:ascii="Arial" w:cs="Arial" w:eastAsia="Arial" w:hAnsi="Arial"/>
          <w:sz w:val="21"/>
          <w:szCs w:val="21"/>
          <w:b w:val="1"/>
          <w:bCs w:val="1"/>
          <w:u w:val="single" w:color="auto"/>
          <w:color w:val="231F20"/>
        </w:rPr>
        <w:t>TABLE OF CONTENTS</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21"/>
          <w:szCs w:val="21"/>
          <w:b w:val="1"/>
          <w:bCs w:val="1"/>
          <w:u w:val="single" w:color="auto"/>
          <w:color w:val="231F20"/>
        </w:rPr>
        <w:t>Page</w:t>
      </w:r>
    </w:p>
    <w:p>
      <w:pPr>
        <w:spacing w:after="0" w:line="236" w:lineRule="exact"/>
        <w:rPr>
          <w:sz w:val="20"/>
          <w:szCs w:val="20"/>
          <w:color w:val="auto"/>
        </w:rPr>
      </w:pPr>
    </w:p>
    <w:p>
      <w:pPr>
        <w:ind w:left="140"/>
        <w:spacing w:after="0"/>
        <w:tabs>
          <w:tab w:leader="dot" w:pos="9440" w:val="left"/>
        </w:tabs>
        <w:rPr>
          <w:sz w:val="20"/>
          <w:szCs w:val="20"/>
          <w:color w:val="auto"/>
        </w:rPr>
      </w:pPr>
      <w:r>
        <w:rPr>
          <w:rFonts w:ascii="Arial" w:cs="Arial" w:eastAsia="Arial" w:hAnsi="Arial"/>
          <w:sz w:val="21"/>
          <w:szCs w:val="21"/>
          <w:b w:val="1"/>
          <w:bCs w:val="1"/>
          <w:color w:val="231F20"/>
        </w:rPr>
        <w:t>INTRODUCTION</w:t>
      </w:r>
      <w:r>
        <w:rPr>
          <w:sz w:val="20"/>
          <w:szCs w:val="20"/>
          <w:color w:val="auto"/>
        </w:rPr>
        <w:tab/>
      </w:r>
      <w:r>
        <w:rPr>
          <w:rFonts w:ascii="Arial" w:cs="Arial" w:eastAsia="Arial" w:hAnsi="Arial"/>
          <w:sz w:val="17"/>
          <w:szCs w:val="17"/>
          <w:b w:val="1"/>
          <w:bCs w:val="1"/>
          <w:color w:val="231F20"/>
        </w:rPr>
        <w:t>1</w:t>
      </w:r>
    </w:p>
    <w:p>
      <w:pPr>
        <w:spacing w:after="0" w:line="3" w:lineRule="exact"/>
        <w:rPr>
          <w:sz w:val="20"/>
          <w:szCs w:val="20"/>
          <w:color w:val="auto"/>
        </w:rPr>
      </w:pPr>
    </w:p>
    <w:p>
      <w:pPr>
        <w:ind w:left="840"/>
        <w:spacing w:after="0"/>
        <w:tabs>
          <w:tab w:leader="dot" w:pos="9440" w:val="left"/>
        </w:tabs>
        <w:rPr>
          <w:sz w:val="20"/>
          <w:szCs w:val="20"/>
          <w:color w:val="auto"/>
        </w:rPr>
      </w:pPr>
      <w:r>
        <w:rPr>
          <w:rFonts w:ascii="Arial" w:cs="Arial" w:eastAsia="Arial" w:hAnsi="Arial"/>
          <w:sz w:val="21"/>
          <w:szCs w:val="21"/>
          <w:b w:val="1"/>
          <w:bCs w:val="1"/>
          <w:color w:val="231F20"/>
        </w:rPr>
        <w:t>Legal prohibitions on insider trading</w:t>
      </w:r>
      <w:r>
        <w:rPr>
          <w:sz w:val="20"/>
          <w:szCs w:val="20"/>
          <w:color w:val="auto"/>
        </w:rPr>
        <w:tab/>
      </w:r>
      <w:r>
        <w:rPr>
          <w:rFonts w:ascii="Arial" w:cs="Arial" w:eastAsia="Arial" w:hAnsi="Arial"/>
          <w:sz w:val="17"/>
          <w:szCs w:val="17"/>
          <w:b w:val="1"/>
          <w:bCs w:val="1"/>
          <w:color w:val="231F20"/>
        </w:rPr>
        <w:t>1</w:t>
      </w:r>
    </w:p>
    <w:p>
      <w:pPr>
        <w:spacing w:after="0" w:line="3" w:lineRule="exact"/>
        <w:rPr>
          <w:sz w:val="20"/>
          <w:szCs w:val="20"/>
          <w:color w:val="auto"/>
        </w:rPr>
      </w:pPr>
    </w:p>
    <w:p>
      <w:pPr>
        <w:ind w:left="840"/>
        <w:spacing w:after="0"/>
        <w:tabs>
          <w:tab w:leader="dot" w:pos="9440" w:val="left"/>
        </w:tabs>
        <w:rPr>
          <w:sz w:val="20"/>
          <w:szCs w:val="20"/>
          <w:color w:val="auto"/>
        </w:rPr>
      </w:pPr>
      <w:r>
        <w:rPr>
          <w:rFonts w:ascii="Arial" w:cs="Arial" w:eastAsia="Arial" w:hAnsi="Arial"/>
          <w:sz w:val="21"/>
          <w:szCs w:val="21"/>
          <w:b w:val="1"/>
          <w:bCs w:val="1"/>
          <w:color w:val="231F20"/>
        </w:rPr>
        <w:t>Detection and prosecution of insider trading</w:t>
      </w:r>
      <w:r>
        <w:rPr>
          <w:sz w:val="20"/>
          <w:szCs w:val="20"/>
          <w:color w:val="auto"/>
        </w:rPr>
        <w:tab/>
      </w:r>
      <w:r>
        <w:rPr>
          <w:rFonts w:ascii="Arial" w:cs="Arial" w:eastAsia="Arial" w:hAnsi="Arial"/>
          <w:sz w:val="17"/>
          <w:szCs w:val="17"/>
          <w:b w:val="1"/>
          <w:bCs w:val="1"/>
          <w:color w:val="231F20"/>
        </w:rPr>
        <w:t>1</w:t>
      </w:r>
    </w:p>
    <w:p>
      <w:pPr>
        <w:spacing w:after="0" w:line="6" w:lineRule="exact"/>
        <w:rPr>
          <w:sz w:val="20"/>
          <w:szCs w:val="20"/>
          <w:color w:val="auto"/>
        </w:rPr>
      </w:pPr>
    </w:p>
    <w:p>
      <w:pPr>
        <w:ind w:left="840"/>
        <w:spacing w:after="0"/>
        <w:tabs>
          <w:tab w:leader="dot" w:pos="9440" w:val="left"/>
        </w:tabs>
        <w:rPr>
          <w:sz w:val="20"/>
          <w:szCs w:val="20"/>
          <w:color w:val="auto"/>
        </w:rPr>
      </w:pPr>
      <w:r>
        <w:rPr>
          <w:rFonts w:ascii="Arial" w:cs="Arial" w:eastAsia="Arial" w:hAnsi="Arial"/>
          <w:sz w:val="21"/>
          <w:szCs w:val="21"/>
          <w:b w:val="1"/>
          <w:bCs w:val="1"/>
          <w:color w:val="231F20"/>
        </w:rPr>
        <w:t>Penalties for violation of insider trading laws and this Policy</w:t>
      </w:r>
      <w:r>
        <w:rPr>
          <w:sz w:val="20"/>
          <w:szCs w:val="20"/>
          <w:color w:val="auto"/>
        </w:rPr>
        <w:tab/>
      </w:r>
      <w:r>
        <w:rPr>
          <w:rFonts w:ascii="Arial" w:cs="Arial" w:eastAsia="Arial" w:hAnsi="Arial"/>
          <w:sz w:val="17"/>
          <w:szCs w:val="17"/>
          <w:b w:val="1"/>
          <w:bCs w:val="1"/>
          <w:color w:val="231F20"/>
        </w:rPr>
        <w:t>1</w:t>
      </w:r>
    </w:p>
    <w:p>
      <w:pPr>
        <w:spacing w:after="0" w:line="3" w:lineRule="exact"/>
        <w:rPr>
          <w:sz w:val="20"/>
          <w:szCs w:val="20"/>
          <w:color w:val="auto"/>
        </w:rPr>
      </w:pPr>
    </w:p>
    <w:p>
      <w:pPr>
        <w:ind w:left="840"/>
        <w:spacing w:after="0"/>
        <w:tabs>
          <w:tab w:leader="dot" w:pos="9440" w:val="left"/>
        </w:tabs>
        <w:rPr>
          <w:sz w:val="20"/>
          <w:szCs w:val="20"/>
          <w:color w:val="auto"/>
        </w:rPr>
      </w:pPr>
      <w:r>
        <w:rPr>
          <w:rFonts w:ascii="Arial" w:cs="Arial" w:eastAsia="Arial" w:hAnsi="Arial"/>
          <w:sz w:val="21"/>
          <w:szCs w:val="21"/>
          <w:b w:val="1"/>
          <w:bCs w:val="1"/>
          <w:color w:val="231F20"/>
        </w:rPr>
        <w:t>Compliance Officers</w:t>
      </w:r>
      <w:r>
        <w:rPr>
          <w:sz w:val="20"/>
          <w:szCs w:val="20"/>
          <w:color w:val="auto"/>
        </w:rPr>
        <w:tab/>
      </w:r>
      <w:r>
        <w:rPr>
          <w:rFonts w:ascii="Arial" w:cs="Arial" w:eastAsia="Arial" w:hAnsi="Arial"/>
          <w:sz w:val="17"/>
          <w:szCs w:val="17"/>
          <w:b w:val="1"/>
          <w:bCs w:val="1"/>
          <w:color w:val="231F20"/>
        </w:rPr>
        <w:t>2</w:t>
      </w:r>
    </w:p>
    <w:p>
      <w:pPr>
        <w:spacing w:after="0" w:line="3" w:lineRule="exact"/>
        <w:rPr>
          <w:sz w:val="20"/>
          <w:szCs w:val="20"/>
          <w:color w:val="auto"/>
        </w:rPr>
      </w:pPr>
    </w:p>
    <w:p>
      <w:pPr>
        <w:ind w:left="840"/>
        <w:spacing w:after="0"/>
        <w:tabs>
          <w:tab w:leader="dot" w:pos="9440" w:val="left"/>
        </w:tabs>
        <w:rPr>
          <w:sz w:val="20"/>
          <w:szCs w:val="20"/>
          <w:color w:val="auto"/>
        </w:rPr>
      </w:pPr>
      <w:r>
        <w:rPr>
          <w:rFonts w:ascii="Arial" w:cs="Arial" w:eastAsia="Arial" w:hAnsi="Arial"/>
          <w:sz w:val="21"/>
          <w:szCs w:val="21"/>
          <w:b w:val="1"/>
          <w:bCs w:val="1"/>
          <w:color w:val="231F20"/>
        </w:rPr>
        <w:t>Reporting violations</w:t>
      </w:r>
      <w:r>
        <w:rPr>
          <w:sz w:val="20"/>
          <w:szCs w:val="20"/>
          <w:color w:val="auto"/>
        </w:rPr>
        <w:tab/>
      </w:r>
      <w:r>
        <w:rPr>
          <w:rFonts w:ascii="Arial" w:cs="Arial" w:eastAsia="Arial" w:hAnsi="Arial"/>
          <w:sz w:val="17"/>
          <w:szCs w:val="17"/>
          <w:b w:val="1"/>
          <w:bCs w:val="1"/>
          <w:color w:val="231F20"/>
        </w:rPr>
        <w:t>2</w:t>
      </w:r>
    </w:p>
    <w:p>
      <w:pPr>
        <w:spacing w:after="0" w:line="3" w:lineRule="exact"/>
        <w:rPr>
          <w:sz w:val="20"/>
          <w:szCs w:val="20"/>
          <w:color w:val="auto"/>
        </w:rPr>
      </w:pPr>
    </w:p>
    <w:p>
      <w:pPr>
        <w:ind w:left="840"/>
        <w:spacing w:after="0"/>
        <w:tabs>
          <w:tab w:leader="dot" w:pos="9440" w:val="left"/>
        </w:tabs>
        <w:rPr>
          <w:sz w:val="20"/>
          <w:szCs w:val="20"/>
          <w:color w:val="auto"/>
        </w:rPr>
      </w:pPr>
      <w:r>
        <w:rPr>
          <w:rFonts w:ascii="Arial" w:cs="Arial" w:eastAsia="Arial" w:hAnsi="Arial"/>
          <w:sz w:val="21"/>
          <w:szCs w:val="21"/>
          <w:b w:val="1"/>
          <w:bCs w:val="1"/>
          <w:color w:val="231F20"/>
        </w:rPr>
        <w:t>Personal responsibility</w:t>
      </w:r>
      <w:r>
        <w:rPr>
          <w:sz w:val="20"/>
          <w:szCs w:val="20"/>
          <w:color w:val="auto"/>
        </w:rPr>
        <w:tab/>
      </w:r>
      <w:r>
        <w:rPr>
          <w:rFonts w:ascii="Arial" w:cs="Arial" w:eastAsia="Arial" w:hAnsi="Arial"/>
          <w:sz w:val="17"/>
          <w:szCs w:val="17"/>
          <w:b w:val="1"/>
          <w:bCs w:val="1"/>
          <w:color w:val="231F20"/>
        </w:rPr>
        <w:t>2</w:t>
      </w:r>
    </w:p>
    <w:p>
      <w:pPr>
        <w:spacing w:after="0" w:line="238" w:lineRule="exact"/>
        <w:rPr>
          <w:sz w:val="20"/>
          <w:szCs w:val="20"/>
          <w:color w:val="auto"/>
        </w:rPr>
      </w:pPr>
    </w:p>
    <w:p>
      <w:pPr>
        <w:ind w:left="140"/>
        <w:spacing w:after="0"/>
        <w:tabs>
          <w:tab w:leader="dot" w:pos="9440" w:val="left"/>
        </w:tabs>
        <w:rPr>
          <w:sz w:val="20"/>
          <w:szCs w:val="20"/>
          <w:color w:val="auto"/>
        </w:rPr>
      </w:pPr>
      <w:r>
        <w:rPr>
          <w:rFonts w:ascii="Arial" w:cs="Arial" w:eastAsia="Arial" w:hAnsi="Arial"/>
          <w:sz w:val="21"/>
          <w:szCs w:val="21"/>
          <w:b w:val="1"/>
          <w:bCs w:val="1"/>
          <w:color w:val="231F20"/>
        </w:rPr>
        <w:t>PERSONS AND TRANSACTIONS COVERED BY THIS POLICY</w:t>
      </w:r>
      <w:r>
        <w:rPr>
          <w:sz w:val="20"/>
          <w:szCs w:val="20"/>
          <w:color w:val="auto"/>
        </w:rPr>
        <w:tab/>
      </w:r>
      <w:r>
        <w:rPr>
          <w:rFonts w:ascii="Arial" w:cs="Arial" w:eastAsia="Arial" w:hAnsi="Arial"/>
          <w:sz w:val="17"/>
          <w:szCs w:val="17"/>
          <w:b w:val="1"/>
          <w:bCs w:val="1"/>
          <w:color w:val="231F20"/>
        </w:rPr>
        <w:t>4</w:t>
      </w:r>
    </w:p>
    <w:p>
      <w:pPr>
        <w:spacing w:after="0" w:line="3" w:lineRule="exact"/>
        <w:rPr>
          <w:sz w:val="20"/>
          <w:szCs w:val="20"/>
          <w:color w:val="auto"/>
        </w:rPr>
      </w:pPr>
    </w:p>
    <w:p>
      <w:pPr>
        <w:ind w:left="840"/>
        <w:spacing w:after="0"/>
        <w:tabs>
          <w:tab w:leader="dot" w:pos="9440" w:val="left"/>
        </w:tabs>
        <w:rPr>
          <w:sz w:val="20"/>
          <w:szCs w:val="20"/>
          <w:color w:val="auto"/>
        </w:rPr>
      </w:pPr>
      <w:r>
        <w:rPr>
          <w:rFonts w:ascii="Arial" w:cs="Arial" w:eastAsia="Arial" w:hAnsi="Arial"/>
          <w:sz w:val="21"/>
          <w:szCs w:val="21"/>
          <w:b w:val="1"/>
          <w:bCs w:val="1"/>
          <w:color w:val="231F20"/>
        </w:rPr>
        <w:t>Persons covered by this Policy</w:t>
      </w:r>
      <w:r>
        <w:rPr>
          <w:sz w:val="20"/>
          <w:szCs w:val="20"/>
          <w:color w:val="auto"/>
        </w:rPr>
        <w:tab/>
      </w:r>
      <w:r>
        <w:rPr>
          <w:rFonts w:ascii="Arial" w:cs="Arial" w:eastAsia="Arial" w:hAnsi="Arial"/>
          <w:sz w:val="17"/>
          <w:szCs w:val="17"/>
          <w:b w:val="1"/>
          <w:bCs w:val="1"/>
          <w:color w:val="231F20"/>
        </w:rPr>
        <w:t>4</w:t>
      </w:r>
    </w:p>
    <w:p>
      <w:pPr>
        <w:spacing w:after="0" w:line="3" w:lineRule="exact"/>
        <w:rPr>
          <w:sz w:val="20"/>
          <w:szCs w:val="20"/>
          <w:color w:val="auto"/>
        </w:rPr>
      </w:pPr>
    </w:p>
    <w:p>
      <w:pPr>
        <w:ind w:left="840"/>
        <w:spacing w:after="0"/>
        <w:tabs>
          <w:tab w:leader="dot" w:pos="9440" w:val="left"/>
        </w:tabs>
        <w:rPr>
          <w:sz w:val="20"/>
          <w:szCs w:val="20"/>
          <w:color w:val="auto"/>
        </w:rPr>
      </w:pPr>
      <w:r>
        <w:rPr>
          <w:rFonts w:ascii="Arial" w:cs="Arial" w:eastAsia="Arial" w:hAnsi="Arial"/>
          <w:sz w:val="21"/>
          <w:szCs w:val="21"/>
          <w:b w:val="1"/>
          <w:bCs w:val="1"/>
          <w:color w:val="231F20"/>
        </w:rPr>
        <w:t>Types of transactions covered by this Policy</w:t>
      </w:r>
      <w:r>
        <w:rPr>
          <w:sz w:val="20"/>
          <w:szCs w:val="20"/>
          <w:color w:val="auto"/>
        </w:rPr>
        <w:tab/>
      </w:r>
      <w:r>
        <w:rPr>
          <w:rFonts w:ascii="Arial" w:cs="Arial" w:eastAsia="Arial" w:hAnsi="Arial"/>
          <w:sz w:val="17"/>
          <w:szCs w:val="17"/>
          <w:b w:val="1"/>
          <w:bCs w:val="1"/>
          <w:color w:val="231F20"/>
        </w:rPr>
        <w:t>4</w:t>
      </w:r>
    </w:p>
    <w:p>
      <w:pPr>
        <w:spacing w:after="0" w:line="3" w:lineRule="exact"/>
        <w:rPr>
          <w:sz w:val="20"/>
          <w:szCs w:val="20"/>
          <w:color w:val="auto"/>
        </w:rPr>
      </w:pPr>
    </w:p>
    <w:p>
      <w:pPr>
        <w:ind w:left="840"/>
        <w:spacing w:after="0"/>
        <w:tabs>
          <w:tab w:leader="dot" w:pos="9440" w:val="left"/>
        </w:tabs>
        <w:rPr>
          <w:sz w:val="20"/>
          <w:szCs w:val="20"/>
          <w:color w:val="auto"/>
        </w:rPr>
      </w:pPr>
      <w:r>
        <w:rPr>
          <w:rFonts w:ascii="Arial" w:cs="Arial" w:eastAsia="Arial" w:hAnsi="Arial"/>
          <w:sz w:val="21"/>
          <w:szCs w:val="21"/>
          <w:b w:val="1"/>
          <w:bCs w:val="1"/>
          <w:color w:val="231F20"/>
        </w:rPr>
        <w:t>Responsibilities regarding the nonpublic information of other companies</w:t>
      </w:r>
      <w:r>
        <w:rPr>
          <w:sz w:val="20"/>
          <w:szCs w:val="20"/>
          <w:color w:val="auto"/>
        </w:rPr>
        <w:tab/>
      </w:r>
      <w:r>
        <w:rPr>
          <w:rFonts w:ascii="Arial" w:cs="Arial" w:eastAsia="Arial" w:hAnsi="Arial"/>
          <w:sz w:val="17"/>
          <w:szCs w:val="17"/>
          <w:b w:val="1"/>
          <w:bCs w:val="1"/>
          <w:color w:val="231F20"/>
        </w:rPr>
        <w:t>4</w:t>
      </w:r>
    </w:p>
    <w:p>
      <w:pPr>
        <w:spacing w:after="0" w:line="6" w:lineRule="exact"/>
        <w:rPr>
          <w:sz w:val="20"/>
          <w:szCs w:val="20"/>
          <w:color w:val="auto"/>
        </w:rPr>
      </w:pPr>
    </w:p>
    <w:p>
      <w:pPr>
        <w:ind w:left="840"/>
        <w:spacing w:after="0"/>
        <w:tabs>
          <w:tab w:leader="dot" w:pos="9440" w:val="left"/>
        </w:tabs>
        <w:rPr>
          <w:sz w:val="20"/>
          <w:szCs w:val="20"/>
          <w:color w:val="auto"/>
        </w:rPr>
      </w:pPr>
      <w:r>
        <w:rPr>
          <w:rFonts w:ascii="Arial" w:cs="Arial" w:eastAsia="Arial" w:hAnsi="Arial"/>
          <w:sz w:val="21"/>
          <w:szCs w:val="21"/>
          <w:b w:val="1"/>
          <w:bCs w:val="1"/>
          <w:color w:val="231F20"/>
        </w:rPr>
        <w:t>Applicability of this Policy after your departure</w:t>
      </w:r>
      <w:r>
        <w:rPr>
          <w:sz w:val="20"/>
          <w:szCs w:val="20"/>
          <w:color w:val="auto"/>
        </w:rPr>
        <w:tab/>
      </w:r>
      <w:r>
        <w:rPr>
          <w:rFonts w:ascii="Arial" w:cs="Arial" w:eastAsia="Arial" w:hAnsi="Arial"/>
          <w:sz w:val="17"/>
          <w:szCs w:val="17"/>
          <w:b w:val="1"/>
          <w:bCs w:val="1"/>
          <w:color w:val="231F20"/>
        </w:rPr>
        <w:t>4</w:t>
      </w:r>
    </w:p>
    <w:p>
      <w:pPr>
        <w:spacing w:after="0" w:line="236" w:lineRule="exact"/>
        <w:rPr>
          <w:sz w:val="20"/>
          <w:szCs w:val="20"/>
          <w:color w:val="auto"/>
        </w:rPr>
      </w:pPr>
    </w:p>
    <w:p>
      <w:pPr>
        <w:ind w:left="140"/>
        <w:spacing w:after="0"/>
        <w:tabs>
          <w:tab w:leader="dot" w:pos="9440" w:val="left"/>
        </w:tabs>
        <w:rPr>
          <w:sz w:val="20"/>
          <w:szCs w:val="20"/>
          <w:color w:val="auto"/>
        </w:rPr>
      </w:pPr>
      <w:r>
        <w:rPr>
          <w:rFonts w:ascii="Arial" w:cs="Arial" w:eastAsia="Arial" w:hAnsi="Arial"/>
          <w:sz w:val="21"/>
          <w:szCs w:val="21"/>
          <w:b w:val="1"/>
          <w:bCs w:val="1"/>
          <w:color w:val="231F20"/>
        </w:rPr>
        <w:t>MATERIAL NONPUBLIC INFORMATION</w:t>
      </w:r>
      <w:r>
        <w:rPr>
          <w:sz w:val="20"/>
          <w:szCs w:val="20"/>
          <w:color w:val="auto"/>
        </w:rPr>
        <w:tab/>
      </w:r>
      <w:r>
        <w:rPr>
          <w:rFonts w:ascii="Arial" w:cs="Arial" w:eastAsia="Arial" w:hAnsi="Arial"/>
          <w:sz w:val="17"/>
          <w:szCs w:val="17"/>
          <w:b w:val="1"/>
          <w:bCs w:val="1"/>
          <w:color w:val="231F20"/>
        </w:rPr>
        <w:t>6</w:t>
      </w:r>
    </w:p>
    <w:p>
      <w:pPr>
        <w:ind w:left="840"/>
        <w:spacing w:after="0" w:line="244" w:lineRule="exact"/>
        <w:tabs>
          <w:tab w:leader="dot" w:pos="9440" w:val="left"/>
        </w:tabs>
        <w:rPr>
          <w:sz w:val="20"/>
          <w:szCs w:val="20"/>
          <w:color w:val="auto"/>
        </w:rPr>
      </w:pP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Material</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 xml:space="preserve"> information</w:t>
      </w:r>
      <w:r>
        <w:rPr>
          <w:sz w:val="20"/>
          <w:szCs w:val="20"/>
          <w:color w:val="auto"/>
        </w:rPr>
        <w:tab/>
      </w:r>
      <w:r>
        <w:rPr>
          <w:rFonts w:ascii="Arial" w:cs="Arial" w:eastAsia="Arial" w:hAnsi="Arial"/>
          <w:sz w:val="17"/>
          <w:szCs w:val="17"/>
          <w:b w:val="1"/>
          <w:bCs w:val="1"/>
          <w:color w:val="231F20"/>
        </w:rPr>
        <w:t>6</w:t>
      </w:r>
    </w:p>
    <w:p>
      <w:pPr>
        <w:ind w:left="840"/>
        <w:spacing w:after="0" w:line="245" w:lineRule="exact"/>
        <w:tabs>
          <w:tab w:leader="dot" w:pos="9440" w:val="left"/>
        </w:tabs>
        <w:rPr>
          <w:sz w:val="20"/>
          <w:szCs w:val="20"/>
          <w:color w:val="auto"/>
        </w:rPr>
      </w:pP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Nonpublic</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 xml:space="preserve"> information</w:t>
      </w:r>
      <w:r>
        <w:rPr>
          <w:sz w:val="20"/>
          <w:szCs w:val="20"/>
          <w:color w:val="auto"/>
        </w:rPr>
        <w:tab/>
      </w:r>
      <w:r>
        <w:rPr>
          <w:rFonts w:ascii="Arial" w:cs="Arial" w:eastAsia="Arial" w:hAnsi="Arial"/>
          <w:sz w:val="17"/>
          <w:szCs w:val="17"/>
          <w:b w:val="1"/>
          <w:bCs w:val="1"/>
          <w:color w:val="231F20"/>
        </w:rPr>
        <w:t>7</w:t>
      </w:r>
    </w:p>
    <w:p>
      <w:pPr>
        <w:spacing w:after="0" w:line="239" w:lineRule="exact"/>
        <w:rPr>
          <w:sz w:val="20"/>
          <w:szCs w:val="20"/>
          <w:color w:val="auto"/>
        </w:rPr>
      </w:pPr>
    </w:p>
    <w:p>
      <w:pPr>
        <w:ind w:left="140"/>
        <w:spacing w:after="0"/>
        <w:tabs>
          <w:tab w:leader="dot" w:pos="9440" w:val="left"/>
        </w:tabs>
        <w:rPr>
          <w:sz w:val="20"/>
          <w:szCs w:val="20"/>
          <w:color w:val="auto"/>
        </w:rPr>
      </w:pPr>
      <w:r>
        <w:rPr>
          <w:rFonts w:ascii="Arial" w:cs="Arial" w:eastAsia="Arial" w:hAnsi="Arial"/>
          <w:sz w:val="21"/>
          <w:szCs w:val="21"/>
          <w:b w:val="1"/>
          <w:bCs w:val="1"/>
          <w:color w:val="231F20"/>
        </w:rPr>
        <w:t>POLICIES REGARDING MATERIAL NONPUBLIC INFORMATION</w:t>
      </w:r>
      <w:r>
        <w:rPr>
          <w:sz w:val="20"/>
          <w:szCs w:val="20"/>
          <w:color w:val="auto"/>
        </w:rPr>
        <w:tab/>
      </w:r>
      <w:r>
        <w:rPr>
          <w:rFonts w:ascii="Arial" w:cs="Arial" w:eastAsia="Arial" w:hAnsi="Arial"/>
          <w:sz w:val="17"/>
          <w:szCs w:val="17"/>
          <w:b w:val="1"/>
          <w:bCs w:val="1"/>
          <w:color w:val="231F20"/>
        </w:rPr>
        <w:t>8</w:t>
      </w:r>
    </w:p>
    <w:p>
      <w:pPr>
        <w:spacing w:after="0" w:line="3" w:lineRule="exact"/>
        <w:rPr>
          <w:sz w:val="20"/>
          <w:szCs w:val="20"/>
          <w:color w:val="auto"/>
        </w:rPr>
      </w:pPr>
    </w:p>
    <w:p>
      <w:pPr>
        <w:ind w:left="840"/>
        <w:spacing w:after="0"/>
        <w:tabs>
          <w:tab w:leader="dot" w:pos="9440" w:val="left"/>
        </w:tabs>
        <w:rPr>
          <w:sz w:val="20"/>
          <w:szCs w:val="20"/>
          <w:color w:val="auto"/>
        </w:rPr>
      </w:pPr>
      <w:r>
        <w:rPr>
          <w:rFonts w:ascii="Arial" w:cs="Arial" w:eastAsia="Arial" w:hAnsi="Arial"/>
          <w:sz w:val="21"/>
          <w:szCs w:val="21"/>
          <w:b w:val="1"/>
          <w:bCs w:val="1"/>
          <w:color w:val="231F20"/>
        </w:rPr>
        <w:t>Confidentiality of nonpublic information</w:t>
      </w:r>
      <w:r>
        <w:rPr>
          <w:sz w:val="20"/>
          <w:szCs w:val="20"/>
          <w:color w:val="auto"/>
        </w:rPr>
        <w:tab/>
      </w:r>
      <w:r>
        <w:rPr>
          <w:rFonts w:ascii="Arial" w:cs="Arial" w:eastAsia="Arial" w:hAnsi="Arial"/>
          <w:sz w:val="17"/>
          <w:szCs w:val="17"/>
          <w:b w:val="1"/>
          <w:bCs w:val="1"/>
          <w:color w:val="231F20"/>
        </w:rPr>
        <w:t>8</w:t>
      </w:r>
    </w:p>
    <w:p>
      <w:pPr>
        <w:spacing w:after="0" w:line="3" w:lineRule="exact"/>
        <w:rPr>
          <w:sz w:val="20"/>
          <w:szCs w:val="20"/>
          <w:color w:val="auto"/>
        </w:rPr>
      </w:pPr>
    </w:p>
    <w:p>
      <w:pPr>
        <w:ind w:left="840"/>
        <w:spacing w:after="0"/>
        <w:tabs>
          <w:tab w:leader="dot" w:pos="9440" w:val="left"/>
        </w:tabs>
        <w:rPr>
          <w:sz w:val="20"/>
          <w:szCs w:val="20"/>
          <w:color w:val="auto"/>
        </w:rPr>
      </w:pPr>
      <w:r>
        <w:rPr>
          <w:rFonts w:ascii="Arial" w:cs="Arial" w:eastAsia="Arial" w:hAnsi="Arial"/>
          <w:sz w:val="21"/>
          <w:szCs w:val="21"/>
          <w:b w:val="1"/>
          <w:bCs w:val="1"/>
          <w:color w:val="231F20"/>
        </w:rPr>
        <w:t>No trading on material nonpublic information</w:t>
      </w:r>
      <w:r>
        <w:rPr>
          <w:sz w:val="20"/>
          <w:szCs w:val="20"/>
          <w:color w:val="auto"/>
        </w:rPr>
        <w:tab/>
      </w:r>
      <w:r>
        <w:rPr>
          <w:rFonts w:ascii="Arial" w:cs="Arial" w:eastAsia="Arial" w:hAnsi="Arial"/>
          <w:sz w:val="17"/>
          <w:szCs w:val="17"/>
          <w:b w:val="1"/>
          <w:bCs w:val="1"/>
          <w:color w:val="231F20"/>
        </w:rPr>
        <w:t>8</w:t>
      </w:r>
    </w:p>
    <w:p>
      <w:pPr>
        <w:spacing w:after="0" w:line="3" w:lineRule="exact"/>
        <w:rPr>
          <w:sz w:val="20"/>
          <w:szCs w:val="20"/>
          <w:color w:val="auto"/>
        </w:rPr>
      </w:pPr>
    </w:p>
    <w:p>
      <w:pPr>
        <w:ind w:left="840"/>
        <w:spacing w:after="0"/>
        <w:tabs>
          <w:tab w:leader="dot" w:pos="9440" w:val="left"/>
        </w:tabs>
        <w:rPr>
          <w:sz w:val="20"/>
          <w:szCs w:val="20"/>
          <w:color w:val="auto"/>
        </w:rPr>
      </w:pPr>
      <w:r>
        <w:rPr>
          <w:rFonts w:ascii="Arial" w:cs="Arial" w:eastAsia="Arial" w:hAnsi="Arial"/>
          <w:sz w:val="21"/>
          <w:szCs w:val="21"/>
          <w:b w:val="1"/>
          <w:bCs w:val="1"/>
          <w:color w:val="231F20"/>
        </w:rPr>
        <w:t>No disclosing material nonpublic information for the benefit of others</w:t>
      </w:r>
      <w:r>
        <w:rPr>
          <w:sz w:val="20"/>
          <w:szCs w:val="20"/>
          <w:color w:val="auto"/>
        </w:rPr>
        <w:tab/>
      </w:r>
      <w:r>
        <w:rPr>
          <w:rFonts w:ascii="Arial" w:cs="Arial" w:eastAsia="Arial" w:hAnsi="Arial"/>
          <w:sz w:val="17"/>
          <w:szCs w:val="17"/>
          <w:b w:val="1"/>
          <w:bCs w:val="1"/>
          <w:color w:val="231F20"/>
        </w:rPr>
        <w:t>8</w:t>
      </w:r>
    </w:p>
    <w:p>
      <w:pPr>
        <w:spacing w:after="0" w:line="6" w:lineRule="exact"/>
        <w:rPr>
          <w:sz w:val="20"/>
          <w:szCs w:val="20"/>
          <w:color w:val="auto"/>
        </w:rPr>
      </w:pPr>
    </w:p>
    <w:p>
      <w:pPr>
        <w:ind w:left="840"/>
        <w:spacing w:after="0"/>
        <w:tabs>
          <w:tab w:leader="dot" w:pos="9440" w:val="left"/>
        </w:tabs>
        <w:rPr>
          <w:sz w:val="20"/>
          <w:szCs w:val="20"/>
          <w:color w:val="auto"/>
        </w:rPr>
      </w:pPr>
      <w:r>
        <w:rPr>
          <w:rFonts w:ascii="Arial" w:cs="Arial" w:eastAsia="Arial" w:hAnsi="Arial"/>
          <w:sz w:val="21"/>
          <w:szCs w:val="21"/>
          <w:b w:val="1"/>
          <w:bCs w:val="1"/>
          <w:color w:val="231F20"/>
        </w:rPr>
        <w:t>Obligation to disclose material nonpublic information to the Company</w:t>
      </w:r>
      <w:r>
        <w:rPr>
          <w:sz w:val="20"/>
          <w:szCs w:val="20"/>
          <w:color w:val="auto"/>
        </w:rPr>
        <w:tab/>
      </w:r>
      <w:r>
        <w:rPr>
          <w:rFonts w:ascii="Arial" w:cs="Arial" w:eastAsia="Arial" w:hAnsi="Arial"/>
          <w:sz w:val="17"/>
          <w:szCs w:val="17"/>
          <w:b w:val="1"/>
          <w:bCs w:val="1"/>
          <w:color w:val="231F20"/>
        </w:rPr>
        <w:t>9</w:t>
      </w:r>
    </w:p>
    <w:p>
      <w:pPr>
        <w:spacing w:after="0" w:line="3" w:lineRule="exact"/>
        <w:rPr>
          <w:sz w:val="20"/>
          <w:szCs w:val="20"/>
          <w:color w:val="auto"/>
        </w:rPr>
      </w:pPr>
    </w:p>
    <w:p>
      <w:pPr>
        <w:ind w:left="840"/>
        <w:spacing w:after="0"/>
        <w:tabs>
          <w:tab w:leader="dot" w:pos="9440" w:val="left"/>
        </w:tabs>
        <w:rPr>
          <w:sz w:val="20"/>
          <w:szCs w:val="20"/>
          <w:color w:val="auto"/>
        </w:rPr>
      </w:pPr>
      <w:r>
        <w:rPr>
          <w:rFonts w:ascii="Arial" w:cs="Arial" w:eastAsia="Arial" w:hAnsi="Arial"/>
          <w:sz w:val="21"/>
          <w:szCs w:val="21"/>
          <w:b w:val="1"/>
          <w:bCs w:val="1"/>
          <w:color w:val="231F20"/>
        </w:rPr>
        <w:t>Responding to outside inquiries for information</w:t>
      </w:r>
      <w:r>
        <w:rPr>
          <w:sz w:val="20"/>
          <w:szCs w:val="20"/>
          <w:color w:val="auto"/>
        </w:rPr>
        <w:tab/>
      </w:r>
      <w:r>
        <w:rPr>
          <w:rFonts w:ascii="Arial" w:cs="Arial" w:eastAsia="Arial" w:hAnsi="Arial"/>
          <w:sz w:val="17"/>
          <w:szCs w:val="17"/>
          <w:b w:val="1"/>
          <w:bCs w:val="1"/>
          <w:color w:val="231F20"/>
        </w:rPr>
        <w:t>9</w:t>
      </w:r>
    </w:p>
    <w:p>
      <w:pPr>
        <w:spacing w:after="0" w:line="236" w:lineRule="exact"/>
        <w:rPr>
          <w:sz w:val="20"/>
          <w:szCs w:val="20"/>
          <w:color w:val="auto"/>
        </w:rPr>
      </w:pPr>
    </w:p>
    <w:p>
      <w:pPr>
        <w:ind w:left="140"/>
        <w:spacing w:after="0"/>
        <w:tabs>
          <w:tab w:leader="dot" w:pos="9320" w:val="left"/>
        </w:tabs>
        <w:rPr>
          <w:sz w:val="20"/>
          <w:szCs w:val="20"/>
          <w:color w:val="auto"/>
        </w:rPr>
      </w:pPr>
      <w:r>
        <w:rPr>
          <w:rFonts w:ascii="Arial" w:cs="Arial" w:eastAsia="Arial" w:hAnsi="Arial"/>
          <w:sz w:val="21"/>
          <w:szCs w:val="21"/>
          <w:b w:val="1"/>
          <w:bCs w:val="1"/>
          <w:color w:val="231F20"/>
        </w:rPr>
        <w:t>TRADING BLACKOUT PERIODS</w:t>
      </w:r>
      <w:r>
        <w:rPr>
          <w:sz w:val="20"/>
          <w:szCs w:val="20"/>
          <w:color w:val="auto"/>
        </w:rPr>
        <w:tab/>
      </w:r>
      <w:r>
        <w:rPr>
          <w:rFonts w:ascii="Arial" w:cs="Arial" w:eastAsia="Arial" w:hAnsi="Arial"/>
          <w:sz w:val="19"/>
          <w:szCs w:val="19"/>
          <w:b w:val="1"/>
          <w:bCs w:val="1"/>
          <w:color w:val="231F20"/>
        </w:rPr>
        <w:t>10</w:t>
      </w:r>
    </w:p>
    <w:p>
      <w:pPr>
        <w:spacing w:after="0" w:line="3" w:lineRule="exact"/>
        <w:rPr>
          <w:sz w:val="20"/>
          <w:szCs w:val="20"/>
          <w:color w:val="auto"/>
        </w:rPr>
      </w:pPr>
    </w:p>
    <w:p>
      <w:pPr>
        <w:ind w:left="840"/>
        <w:spacing w:after="0"/>
        <w:tabs>
          <w:tab w:leader="dot" w:pos="9320" w:val="left"/>
        </w:tabs>
        <w:rPr>
          <w:sz w:val="20"/>
          <w:szCs w:val="20"/>
          <w:color w:val="auto"/>
        </w:rPr>
      </w:pPr>
      <w:r>
        <w:rPr>
          <w:rFonts w:ascii="Arial" w:cs="Arial" w:eastAsia="Arial" w:hAnsi="Arial"/>
          <w:sz w:val="21"/>
          <w:szCs w:val="21"/>
          <w:b w:val="1"/>
          <w:bCs w:val="1"/>
          <w:color w:val="231F20"/>
        </w:rPr>
        <w:t>Quarterly blackout periods</w:t>
      </w:r>
      <w:r>
        <w:rPr>
          <w:sz w:val="20"/>
          <w:szCs w:val="20"/>
          <w:color w:val="auto"/>
        </w:rPr>
        <w:tab/>
      </w:r>
      <w:r>
        <w:rPr>
          <w:rFonts w:ascii="Arial" w:cs="Arial" w:eastAsia="Arial" w:hAnsi="Arial"/>
          <w:sz w:val="19"/>
          <w:szCs w:val="19"/>
          <w:b w:val="1"/>
          <w:bCs w:val="1"/>
          <w:color w:val="231F20"/>
        </w:rPr>
        <w:t>10</w:t>
      </w:r>
    </w:p>
    <w:p>
      <w:pPr>
        <w:spacing w:after="0" w:line="6" w:lineRule="exact"/>
        <w:rPr>
          <w:sz w:val="20"/>
          <w:szCs w:val="20"/>
          <w:color w:val="auto"/>
        </w:rPr>
      </w:pPr>
    </w:p>
    <w:p>
      <w:pPr>
        <w:ind w:left="840"/>
        <w:spacing w:after="0"/>
        <w:tabs>
          <w:tab w:leader="dot" w:pos="9320" w:val="left"/>
        </w:tabs>
        <w:rPr>
          <w:sz w:val="20"/>
          <w:szCs w:val="20"/>
          <w:color w:val="auto"/>
        </w:rPr>
      </w:pPr>
      <w:r>
        <w:rPr>
          <w:rFonts w:ascii="Arial" w:cs="Arial" w:eastAsia="Arial" w:hAnsi="Arial"/>
          <w:sz w:val="21"/>
          <w:szCs w:val="21"/>
          <w:b w:val="1"/>
          <w:bCs w:val="1"/>
          <w:color w:val="231F20"/>
        </w:rPr>
        <w:t>Special blackout periods</w:t>
      </w:r>
      <w:r>
        <w:rPr>
          <w:sz w:val="20"/>
          <w:szCs w:val="20"/>
          <w:color w:val="auto"/>
        </w:rPr>
        <w:tab/>
      </w:r>
      <w:r>
        <w:rPr>
          <w:rFonts w:ascii="Arial" w:cs="Arial" w:eastAsia="Arial" w:hAnsi="Arial"/>
          <w:sz w:val="19"/>
          <w:szCs w:val="19"/>
          <w:b w:val="1"/>
          <w:bCs w:val="1"/>
          <w:color w:val="231F20"/>
        </w:rPr>
        <w:t>10</w:t>
      </w:r>
    </w:p>
    <w:p>
      <w:pPr>
        <w:spacing w:after="0" w:line="3" w:lineRule="exact"/>
        <w:rPr>
          <w:sz w:val="20"/>
          <w:szCs w:val="20"/>
          <w:color w:val="auto"/>
        </w:rPr>
      </w:pPr>
    </w:p>
    <w:p>
      <w:pPr>
        <w:ind w:left="840"/>
        <w:spacing w:after="0"/>
        <w:tabs>
          <w:tab w:leader="dot" w:pos="9320" w:val="left"/>
        </w:tabs>
        <w:rPr>
          <w:sz w:val="20"/>
          <w:szCs w:val="20"/>
          <w:color w:val="auto"/>
        </w:rPr>
      </w:pPr>
      <w:r>
        <w:rPr>
          <w:rFonts w:ascii="Arial" w:cs="Arial" w:eastAsia="Arial" w:hAnsi="Arial"/>
          <w:sz w:val="21"/>
          <w:szCs w:val="21"/>
          <w:b w:val="1"/>
          <w:bCs w:val="1"/>
          <w:color w:val="231F20"/>
        </w:rPr>
        <w:t>Regulation BTR blackouts</w:t>
      </w:r>
      <w:r>
        <w:rPr>
          <w:sz w:val="20"/>
          <w:szCs w:val="20"/>
          <w:color w:val="auto"/>
        </w:rPr>
        <w:tab/>
      </w:r>
      <w:r>
        <w:rPr>
          <w:rFonts w:ascii="Arial" w:cs="Arial" w:eastAsia="Arial" w:hAnsi="Arial"/>
          <w:sz w:val="19"/>
          <w:szCs w:val="19"/>
          <w:b w:val="1"/>
          <w:bCs w:val="1"/>
          <w:color w:val="231F20"/>
        </w:rPr>
        <w:t>11</w:t>
      </w:r>
    </w:p>
    <w:p>
      <w:pPr>
        <w:ind w:left="840"/>
        <w:spacing w:after="0" w:line="244" w:lineRule="exact"/>
        <w:tabs>
          <w:tab w:leader="dot" w:pos="9320" w:val="left"/>
        </w:tabs>
        <w:rPr>
          <w:sz w:val="20"/>
          <w:szCs w:val="20"/>
          <w:color w:val="auto"/>
        </w:rPr>
      </w:pPr>
      <w:r>
        <w:rPr>
          <w:rFonts w:ascii="Arial" w:cs="Arial" w:eastAsia="Arial" w:hAnsi="Arial"/>
          <w:sz w:val="21"/>
          <w:szCs w:val="21"/>
          <w:b w:val="1"/>
          <w:bCs w:val="1"/>
          <w:color w:val="231F20"/>
        </w:rPr>
        <w:t xml:space="preserve">No </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safe harbors</w:t>
      </w:r>
      <w:r>
        <w:rPr>
          <w:rFonts w:ascii="PMingLiU" w:cs="PMingLiU" w:eastAsia="PMingLiU" w:hAnsi="PMingLiU"/>
          <w:sz w:val="21"/>
          <w:szCs w:val="21"/>
          <w:b w:val="1"/>
          <w:bCs w:val="1"/>
          <w:color w:val="231F20"/>
        </w:rPr>
        <w:t></w:t>
      </w:r>
      <w:r>
        <w:rPr>
          <w:sz w:val="20"/>
          <w:szCs w:val="20"/>
          <w:color w:val="auto"/>
        </w:rPr>
        <w:tab/>
      </w:r>
      <w:r>
        <w:rPr>
          <w:rFonts w:ascii="Arial" w:cs="Arial" w:eastAsia="Arial" w:hAnsi="Arial"/>
          <w:sz w:val="19"/>
          <w:szCs w:val="19"/>
          <w:b w:val="1"/>
          <w:bCs w:val="1"/>
          <w:color w:val="231F20"/>
        </w:rPr>
        <w:t>11</w:t>
      </w:r>
    </w:p>
    <w:p>
      <w:pPr>
        <w:spacing w:after="0" w:line="237" w:lineRule="exact"/>
        <w:rPr>
          <w:sz w:val="20"/>
          <w:szCs w:val="20"/>
          <w:color w:val="auto"/>
        </w:rPr>
      </w:pPr>
    </w:p>
    <w:p>
      <w:pPr>
        <w:ind w:left="140"/>
        <w:spacing w:after="0"/>
        <w:tabs>
          <w:tab w:leader="dot" w:pos="9320" w:val="left"/>
        </w:tabs>
        <w:rPr>
          <w:sz w:val="20"/>
          <w:szCs w:val="20"/>
          <w:color w:val="auto"/>
        </w:rPr>
      </w:pPr>
      <w:r>
        <w:rPr>
          <w:rFonts w:ascii="Arial" w:cs="Arial" w:eastAsia="Arial" w:hAnsi="Arial"/>
          <w:sz w:val="21"/>
          <w:szCs w:val="21"/>
          <w:b w:val="1"/>
          <w:bCs w:val="1"/>
          <w:color w:val="231F20"/>
        </w:rPr>
        <w:t>PRE-CLEARANCE OF TRADES</w:t>
      </w:r>
      <w:r>
        <w:rPr>
          <w:sz w:val="20"/>
          <w:szCs w:val="20"/>
          <w:color w:val="auto"/>
        </w:rPr>
        <w:tab/>
      </w:r>
      <w:r>
        <w:rPr>
          <w:rFonts w:ascii="Arial" w:cs="Arial" w:eastAsia="Arial" w:hAnsi="Arial"/>
          <w:sz w:val="19"/>
          <w:szCs w:val="19"/>
          <w:b w:val="1"/>
          <w:bCs w:val="1"/>
          <w:color w:val="231F20"/>
        </w:rPr>
        <w:t>12</w:t>
      </w:r>
    </w:p>
    <w:p>
      <w:pPr>
        <w:spacing w:after="0" w:line="239" w:lineRule="exact"/>
        <w:rPr>
          <w:sz w:val="20"/>
          <w:szCs w:val="20"/>
          <w:color w:val="auto"/>
        </w:rPr>
      </w:pPr>
    </w:p>
    <w:p>
      <w:pPr>
        <w:ind w:left="140"/>
        <w:spacing w:after="0"/>
        <w:tabs>
          <w:tab w:leader="dot" w:pos="9320" w:val="left"/>
        </w:tabs>
        <w:rPr>
          <w:sz w:val="20"/>
          <w:szCs w:val="20"/>
          <w:color w:val="auto"/>
        </w:rPr>
      </w:pPr>
      <w:r>
        <w:rPr>
          <w:rFonts w:ascii="Arial" w:cs="Arial" w:eastAsia="Arial" w:hAnsi="Arial"/>
          <w:sz w:val="21"/>
          <w:szCs w:val="21"/>
          <w:b w:val="1"/>
          <w:bCs w:val="1"/>
          <w:color w:val="231F20"/>
        </w:rPr>
        <w:t>ADDITIONAL RESTRICTIONS AND GUIDANCE</w:t>
      </w:r>
      <w:r>
        <w:rPr>
          <w:sz w:val="20"/>
          <w:szCs w:val="20"/>
          <w:color w:val="auto"/>
        </w:rPr>
        <w:tab/>
      </w:r>
      <w:r>
        <w:rPr>
          <w:rFonts w:ascii="Arial" w:cs="Arial" w:eastAsia="Arial" w:hAnsi="Arial"/>
          <w:sz w:val="19"/>
          <w:szCs w:val="19"/>
          <w:b w:val="1"/>
          <w:bCs w:val="1"/>
          <w:color w:val="231F20"/>
        </w:rPr>
        <w:t>13</w:t>
      </w:r>
    </w:p>
    <w:p>
      <w:pPr>
        <w:spacing w:after="0" w:line="3" w:lineRule="exact"/>
        <w:rPr>
          <w:sz w:val="20"/>
          <w:szCs w:val="20"/>
          <w:color w:val="auto"/>
        </w:rPr>
      </w:pPr>
    </w:p>
    <w:p>
      <w:pPr>
        <w:ind w:left="840"/>
        <w:spacing w:after="0"/>
        <w:tabs>
          <w:tab w:leader="dot" w:pos="9320" w:val="left"/>
        </w:tabs>
        <w:rPr>
          <w:sz w:val="20"/>
          <w:szCs w:val="20"/>
          <w:color w:val="auto"/>
        </w:rPr>
      </w:pPr>
      <w:r>
        <w:rPr>
          <w:rFonts w:ascii="Arial" w:cs="Arial" w:eastAsia="Arial" w:hAnsi="Arial"/>
          <w:sz w:val="21"/>
          <w:szCs w:val="21"/>
          <w:b w:val="1"/>
          <w:bCs w:val="1"/>
          <w:color w:val="231F20"/>
        </w:rPr>
        <w:t>Short sales</w:t>
      </w:r>
      <w:r>
        <w:rPr>
          <w:sz w:val="20"/>
          <w:szCs w:val="20"/>
          <w:color w:val="auto"/>
        </w:rPr>
        <w:tab/>
      </w:r>
      <w:r>
        <w:rPr>
          <w:rFonts w:ascii="Arial" w:cs="Arial" w:eastAsia="Arial" w:hAnsi="Arial"/>
          <w:sz w:val="19"/>
          <w:szCs w:val="19"/>
          <w:b w:val="1"/>
          <w:bCs w:val="1"/>
          <w:color w:val="231F20"/>
        </w:rPr>
        <w:t>13</w:t>
      </w:r>
    </w:p>
    <w:p>
      <w:pPr>
        <w:spacing w:after="0" w:line="3" w:lineRule="exact"/>
        <w:rPr>
          <w:sz w:val="20"/>
          <w:szCs w:val="20"/>
          <w:color w:val="auto"/>
        </w:rPr>
      </w:pPr>
    </w:p>
    <w:p>
      <w:pPr>
        <w:ind w:left="840"/>
        <w:spacing w:after="0"/>
        <w:tabs>
          <w:tab w:leader="dot" w:pos="9320" w:val="left"/>
        </w:tabs>
        <w:rPr>
          <w:sz w:val="20"/>
          <w:szCs w:val="20"/>
          <w:color w:val="auto"/>
        </w:rPr>
      </w:pPr>
      <w:r>
        <w:rPr>
          <w:rFonts w:ascii="Arial" w:cs="Arial" w:eastAsia="Arial" w:hAnsi="Arial"/>
          <w:sz w:val="21"/>
          <w:szCs w:val="21"/>
          <w:b w:val="1"/>
          <w:bCs w:val="1"/>
          <w:color w:val="231F20"/>
        </w:rPr>
        <w:t>Derivative securities and hedging transactions</w:t>
      </w:r>
      <w:r>
        <w:rPr>
          <w:sz w:val="20"/>
          <w:szCs w:val="20"/>
          <w:color w:val="auto"/>
        </w:rPr>
        <w:tab/>
      </w:r>
      <w:r>
        <w:rPr>
          <w:rFonts w:ascii="Arial" w:cs="Arial" w:eastAsia="Arial" w:hAnsi="Arial"/>
          <w:sz w:val="19"/>
          <w:szCs w:val="19"/>
          <w:b w:val="1"/>
          <w:bCs w:val="1"/>
          <w:color w:val="231F20"/>
        </w:rPr>
        <w:t>13</w:t>
      </w:r>
    </w:p>
    <w:p>
      <w:pPr>
        <w:spacing w:after="0" w:line="3" w:lineRule="exact"/>
        <w:rPr>
          <w:sz w:val="20"/>
          <w:szCs w:val="20"/>
          <w:color w:val="auto"/>
        </w:rPr>
      </w:pPr>
    </w:p>
    <w:p>
      <w:pPr>
        <w:ind w:left="840"/>
        <w:spacing w:after="0"/>
        <w:tabs>
          <w:tab w:leader="dot" w:pos="9320" w:val="left"/>
        </w:tabs>
        <w:rPr>
          <w:sz w:val="20"/>
          <w:szCs w:val="20"/>
          <w:color w:val="auto"/>
        </w:rPr>
      </w:pPr>
      <w:r>
        <w:rPr>
          <w:rFonts w:ascii="Arial" w:cs="Arial" w:eastAsia="Arial" w:hAnsi="Arial"/>
          <w:sz w:val="21"/>
          <w:szCs w:val="21"/>
          <w:b w:val="1"/>
          <w:bCs w:val="1"/>
          <w:color w:val="231F20"/>
        </w:rPr>
        <w:t>Using Company securities as collateral for loans</w:t>
      </w:r>
      <w:r>
        <w:rPr>
          <w:sz w:val="20"/>
          <w:szCs w:val="20"/>
          <w:color w:val="auto"/>
        </w:rPr>
        <w:tab/>
      </w:r>
      <w:r>
        <w:rPr>
          <w:rFonts w:ascii="Arial" w:cs="Arial" w:eastAsia="Arial" w:hAnsi="Arial"/>
          <w:sz w:val="19"/>
          <w:szCs w:val="19"/>
          <w:b w:val="1"/>
          <w:bCs w:val="1"/>
          <w:color w:val="231F20"/>
        </w:rPr>
        <w:t>13</w:t>
      </w:r>
    </w:p>
    <w:p>
      <w:pPr>
        <w:spacing w:after="0" w:line="6" w:lineRule="exact"/>
        <w:rPr>
          <w:sz w:val="20"/>
          <w:szCs w:val="20"/>
          <w:color w:val="auto"/>
        </w:rPr>
      </w:pPr>
    </w:p>
    <w:p>
      <w:pPr>
        <w:ind w:left="840"/>
        <w:spacing w:after="0"/>
        <w:tabs>
          <w:tab w:leader="dot" w:pos="9320" w:val="left"/>
        </w:tabs>
        <w:rPr>
          <w:sz w:val="20"/>
          <w:szCs w:val="20"/>
          <w:color w:val="auto"/>
        </w:rPr>
      </w:pPr>
      <w:r>
        <w:rPr>
          <w:rFonts w:ascii="Arial" w:cs="Arial" w:eastAsia="Arial" w:hAnsi="Arial"/>
          <w:sz w:val="21"/>
          <w:szCs w:val="21"/>
          <w:b w:val="1"/>
          <w:bCs w:val="1"/>
          <w:color w:val="231F20"/>
        </w:rPr>
        <w:t>Holding Company securities in margin accounts</w:t>
      </w:r>
      <w:r>
        <w:rPr>
          <w:sz w:val="20"/>
          <w:szCs w:val="20"/>
          <w:color w:val="auto"/>
        </w:rPr>
        <w:tab/>
      </w:r>
      <w:r>
        <w:rPr>
          <w:rFonts w:ascii="Arial" w:cs="Arial" w:eastAsia="Arial" w:hAnsi="Arial"/>
          <w:sz w:val="19"/>
          <w:szCs w:val="19"/>
          <w:b w:val="1"/>
          <w:bCs w:val="1"/>
          <w:color w:val="231F20"/>
        </w:rPr>
        <w:t>14</w:t>
      </w:r>
    </w:p>
    <w:p>
      <w:pPr>
        <w:spacing w:after="0" w:line="3" w:lineRule="exact"/>
        <w:rPr>
          <w:sz w:val="20"/>
          <w:szCs w:val="20"/>
          <w:color w:val="auto"/>
        </w:rPr>
      </w:pPr>
    </w:p>
    <w:p>
      <w:pPr>
        <w:ind w:left="840"/>
        <w:spacing w:after="0"/>
        <w:tabs>
          <w:tab w:leader="dot" w:pos="9320" w:val="left"/>
        </w:tabs>
        <w:rPr>
          <w:sz w:val="20"/>
          <w:szCs w:val="20"/>
          <w:color w:val="auto"/>
        </w:rPr>
      </w:pPr>
      <w:r>
        <w:rPr>
          <w:rFonts w:ascii="Arial" w:cs="Arial" w:eastAsia="Arial" w:hAnsi="Arial"/>
          <w:sz w:val="21"/>
          <w:szCs w:val="21"/>
          <w:b w:val="1"/>
          <w:bCs w:val="1"/>
          <w:color w:val="231F20"/>
        </w:rPr>
        <w:t>Placing open orders with brokers</w:t>
      </w:r>
      <w:r>
        <w:rPr>
          <w:sz w:val="20"/>
          <w:szCs w:val="20"/>
          <w:color w:val="auto"/>
        </w:rPr>
        <w:tab/>
      </w:r>
      <w:r>
        <w:rPr>
          <w:rFonts w:ascii="Arial" w:cs="Arial" w:eastAsia="Arial" w:hAnsi="Arial"/>
          <w:sz w:val="19"/>
          <w:szCs w:val="19"/>
          <w:b w:val="1"/>
          <w:bCs w:val="1"/>
          <w:color w:val="231F20"/>
        </w:rPr>
        <w:t>14</w:t>
      </w:r>
    </w:p>
    <w:p>
      <w:pPr>
        <w:spacing w:after="0" w:line="236" w:lineRule="exact"/>
        <w:rPr>
          <w:sz w:val="20"/>
          <w:szCs w:val="20"/>
          <w:color w:val="auto"/>
        </w:rPr>
      </w:pPr>
    </w:p>
    <w:p>
      <w:pPr>
        <w:ind w:left="140"/>
        <w:spacing w:after="0"/>
        <w:tabs>
          <w:tab w:leader="dot" w:pos="9320" w:val="left"/>
        </w:tabs>
        <w:rPr>
          <w:sz w:val="20"/>
          <w:szCs w:val="20"/>
          <w:color w:val="auto"/>
        </w:rPr>
      </w:pPr>
      <w:r>
        <w:rPr>
          <w:rFonts w:ascii="Arial" w:cs="Arial" w:eastAsia="Arial" w:hAnsi="Arial"/>
          <w:sz w:val="21"/>
          <w:szCs w:val="21"/>
          <w:b w:val="1"/>
          <w:bCs w:val="1"/>
          <w:color w:val="231F20"/>
        </w:rPr>
        <w:t>LIMITED EXCEPTIONS</w:t>
      </w:r>
      <w:r>
        <w:rPr>
          <w:sz w:val="20"/>
          <w:szCs w:val="20"/>
          <w:color w:val="auto"/>
        </w:rPr>
        <w:tab/>
      </w:r>
      <w:r>
        <w:rPr>
          <w:rFonts w:ascii="Arial" w:cs="Arial" w:eastAsia="Arial" w:hAnsi="Arial"/>
          <w:sz w:val="19"/>
          <w:szCs w:val="19"/>
          <w:b w:val="1"/>
          <w:bCs w:val="1"/>
          <w:color w:val="231F20"/>
        </w:rPr>
        <w:t>15</w:t>
      </w:r>
    </w:p>
    <w:p>
      <w:pPr>
        <w:spacing w:after="0" w:line="3" w:lineRule="exact"/>
        <w:rPr>
          <w:sz w:val="20"/>
          <w:szCs w:val="20"/>
          <w:color w:val="auto"/>
        </w:rPr>
      </w:pPr>
    </w:p>
    <w:p>
      <w:pPr>
        <w:ind w:left="840"/>
        <w:spacing w:after="0"/>
        <w:tabs>
          <w:tab w:leader="dot" w:pos="9320" w:val="left"/>
        </w:tabs>
        <w:rPr>
          <w:sz w:val="20"/>
          <w:szCs w:val="20"/>
          <w:color w:val="auto"/>
        </w:rPr>
      </w:pPr>
      <w:r>
        <w:rPr>
          <w:rFonts w:ascii="Arial" w:cs="Arial" w:eastAsia="Arial" w:hAnsi="Arial"/>
          <w:sz w:val="21"/>
          <w:szCs w:val="21"/>
          <w:b w:val="1"/>
          <w:bCs w:val="1"/>
          <w:color w:val="231F20"/>
        </w:rPr>
        <w:t>Transactions pursuant to a trading plan that complies with SEC rules</w:t>
      </w:r>
      <w:r>
        <w:rPr>
          <w:sz w:val="20"/>
          <w:szCs w:val="20"/>
          <w:color w:val="auto"/>
        </w:rPr>
        <w:tab/>
      </w:r>
      <w:r>
        <w:rPr>
          <w:rFonts w:ascii="Arial" w:cs="Arial" w:eastAsia="Arial" w:hAnsi="Arial"/>
          <w:sz w:val="19"/>
          <w:szCs w:val="19"/>
          <w:b w:val="1"/>
          <w:bCs w:val="1"/>
          <w:color w:val="231F20"/>
        </w:rPr>
        <w:t>15</w:t>
      </w:r>
    </w:p>
    <w:p>
      <w:pPr>
        <w:spacing w:after="0" w:line="6" w:lineRule="exact"/>
        <w:rPr>
          <w:sz w:val="20"/>
          <w:szCs w:val="20"/>
          <w:color w:val="auto"/>
        </w:rPr>
      </w:pPr>
    </w:p>
    <w:p>
      <w:pPr>
        <w:ind w:left="840"/>
        <w:spacing w:after="0"/>
        <w:tabs>
          <w:tab w:leader="dot" w:pos="9320" w:val="left"/>
        </w:tabs>
        <w:rPr>
          <w:sz w:val="20"/>
          <w:szCs w:val="20"/>
          <w:color w:val="auto"/>
        </w:rPr>
      </w:pPr>
      <w:r>
        <w:rPr>
          <w:rFonts w:ascii="Arial" w:cs="Arial" w:eastAsia="Arial" w:hAnsi="Arial"/>
          <w:sz w:val="21"/>
          <w:szCs w:val="21"/>
          <w:b w:val="1"/>
          <w:bCs w:val="1"/>
          <w:color w:val="231F20"/>
        </w:rPr>
        <w:t>Receipt and vesting of stock options, restricted stock units, and restricted stock</w:t>
      </w:r>
      <w:r>
        <w:rPr>
          <w:sz w:val="20"/>
          <w:szCs w:val="20"/>
          <w:color w:val="auto"/>
        </w:rPr>
        <w:tab/>
      </w:r>
      <w:r>
        <w:rPr>
          <w:rFonts w:ascii="Arial" w:cs="Arial" w:eastAsia="Arial" w:hAnsi="Arial"/>
          <w:sz w:val="19"/>
          <w:szCs w:val="19"/>
          <w:b w:val="1"/>
          <w:bCs w:val="1"/>
          <w:color w:val="231F20"/>
        </w:rPr>
        <w:t>15</w:t>
      </w:r>
    </w:p>
    <w:p>
      <w:pPr>
        <w:spacing w:after="0" w:line="3" w:lineRule="exact"/>
        <w:rPr>
          <w:sz w:val="20"/>
          <w:szCs w:val="20"/>
          <w:color w:val="auto"/>
        </w:rPr>
      </w:pPr>
    </w:p>
    <w:p>
      <w:pPr>
        <w:ind w:left="840"/>
        <w:spacing w:after="0"/>
        <w:tabs>
          <w:tab w:leader="dot" w:pos="9320" w:val="left"/>
        </w:tabs>
        <w:rPr>
          <w:sz w:val="20"/>
          <w:szCs w:val="20"/>
          <w:color w:val="auto"/>
        </w:rPr>
      </w:pPr>
      <w:r>
        <w:rPr>
          <w:rFonts w:ascii="Arial" w:cs="Arial" w:eastAsia="Arial" w:hAnsi="Arial"/>
          <w:sz w:val="21"/>
          <w:szCs w:val="21"/>
          <w:b w:val="1"/>
          <w:bCs w:val="1"/>
          <w:color w:val="231F20"/>
        </w:rPr>
        <w:t>Exercise of stock options for cash and tax withholding requirements</w:t>
      </w:r>
      <w:r>
        <w:rPr>
          <w:sz w:val="20"/>
          <w:szCs w:val="20"/>
          <w:color w:val="auto"/>
        </w:rPr>
        <w:tab/>
      </w:r>
      <w:r>
        <w:rPr>
          <w:rFonts w:ascii="Arial" w:cs="Arial" w:eastAsia="Arial" w:hAnsi="Arial"/>
          <w:sz w:val="19"/>
          <w:szCs w:val="19"/>
          <w:b w:val="1"/>
          <w:bCs w:val="1"/>
          <w:color w:val="231F20"/>
        </w:rPr>
        <w:t>16</w:t>
      </w:r>
    </w:p>
    <w:p>
      <w:pPr>
        <w:spacing w:after="0" w:line="3" w:lineRule="exact"/>
        <w:rPr>
          <w:sz w:val="20"/>
          <w:szCs w:val="20"/>
          <w:color w:val="auto"/>
        </w:rPr>
      </w:pPr>
    </w:p>
    <w:p>
      <w:pPr>
        <w:ind w:left="840"/>
        <w:spacing w:after="0"/>
        <w:tabs>
          <w:tab w:leader="dot" w:pos="9320" w:val="left"/>
        </w:tabs>
        <w:rPr>
          <w:sz w:val="20"/>
          <w:szCs w:val="20"/>
          <w:color w:val="auto"/>
        </w:rPr>
      </w:pPr>
      <w:r>
        <w:rPr>
          <w:rFonts w:ascii="Arial" w:cs="Arial" w:eastAsia="Arial" w:hAnsi="Arial"/>
          <w:sz w:val="21"/>
          <w:szCs w:val="21"/>
          <w:b w:val="1"/>
          <w:bCs w:val="1"/>
          <w:color w:val="231F20"/>
        </w:rPr>
        <w:t>Purchases from the employee stock purchase plan</w:t>
      </w:r>
      <w:r>
        <w:rPr>
          <w:sz w:val="20"/>
          <w:szCs w:val="20"/>
          <w:color w:val="auto"/>
        </w:rPr>
        <w:tab/>
      </w:r>
      <w:r>
        <w:rPr>
          <w:rFonts w:ascii="Arial" w:cs="Arial" w:eastAsia="Arial" w:hAnsi="Arial"/>
          <w:sz w:val="19"/>
          <w:szCs w:val="19"/>
          <w:b w:val="1"/>
          <w:bCs w:val="1"/>
          <w:color w:val="231F20"/>
        </w:rPr>
        <w:t>16</w:t>
      </w:r>
    </w:p>
    <w:p>
      <w:pPr>
        <w:spacing w:after="0" w:line="3" w:lineRule="exact"/>
        <w:rPr>
          <w:sz w:val="20"/>
          <w:szCs w:val="20"/>
          <w:color w:val="auto"/>
        </w:rPr>
      </w:pPr>
    </w:p>
    <w:p>
      <w:pPr>
        <w:ind w:left="840"/>
        <w:spacing w:after="0"/>
        <w:tabs>
          <w:tab w:leader="dot" w:pos="9320" w:val="left"/>
        </w:tabs>
        <w:rPr>
          <w:sz w:val="20"/>
          <w:szCs w:val="20"/>
          <w:color w:val="auto"/>
        </w:rPr>
      </w:pPr>
      <w:r>
        <w:rPr>
          <w:rFonts w:ascii="Arial" w:cs="Arial" w:eastAsia="Arial" w:hAnsi="Arial"/>
          <w:sz w:val="21"/>
          <w:szCs w:val="21"/>
          <w:b w:val="1"/>
          <w:bCs w:val="1"/>
          <w:color w:val="231F20"/>
        </w:rPr>
        <w:t>Certain 401(k) plan transactions</w:t>
      </w:r>
      <w:r>
        <w:rPr>
          <w:sz w:val="20"/>
          <w:szCs w:val="20"/>
          <w:color w:val="auto"/>
        </w:rPr>
        <w:tab/>
      </w:r>
      <w:r>
        <w:rPr>
          <w:rFonts w:ascii="Arial" w:cs="Arial" w:eastAsia="Arial" w:hAnsi="Arial"/>
          <w:sz w:val="19"/>
          <w:szCs w:val="19"/>
          <w:b w:val="1"/>
          <w:bCs w:val="1"/>
          <w:color w:val="231F20"/>
        </w:rPr>
        <w:t>16</w:t>
      </w:r>
    </w:p>
    <w:p>
      <w:pPr>
        <w:spacing w:after="0" w:line="6" w:lineRule="exact"/>
        <w:rPr>
          <w:sz w:val="20"/>
          <w:szCs w:val="20"/>
          <w:color w:val="auto"/>
        </w:rPr>
      </w:pPr>
    </w:p>
    <w:p>
      <w:pPr>
        <w:ind w:left="840"/>
        <w:spacing w:after="0"/>
        <w:tabs>
          <w:tab w:leader="dot" w:pos="9320" w:val="left"/>
        </w:tabs>
        <w:rPr>
          <w:sz w:val="20"/>
          <w:szCs w:val="20"/>
          <w:color w:val="auto"/>
        </w:rPr>
      </w:pPr>
      <w:r>
        <w:rPr>
          <w:rFonts w:ascii="Arial" w:cs="Arial" w:eastAsia="Arial" w:hAnsi="Arial"/>
          <w:sz w:val="21"/>
          <w:szCs w:val="21"/>
          <w:b w:val="1"/>
          <w:bCs w:val="1"/>
          <w:color w:val="231F20"/>
        </w:rPr>
        <w:t>Stock splits, stock dividends and similar transactions</w:t>
      </w:r>
      <w:r>
        <w:rPr>
          <w:sz w:val="20"/>
          <w:szCs w:val="20"/>
          <w:color w:val="auto"/>
        </w:rPr>
        <w:tab/>
      </w:r>
      <w:r>
        <w:rPr>
          <w:rFonts w:ascii="Arial" w:cs="Arial" w:eastAsia="Arial" w:hAnsi="Arial"/>
          <w:sz w:val="19"/>
          <w:szCs w:val="19"/>
          <w:b w:val="1"/>
          <w:bCs w:val="1"/>
          <w:color w:val="231F20"/>
        </w:rPr>
        <w:t>17</w:t>
      </w:r>
    </w:p>
    <w:p>
      <w:pPr>
        <w:sectPr>
          <w:pgSz w:w="12240" w:h="15840" w:orient="portrait"/>
          <w:cols w:equalWidth="0" w:num="1">
            <w:col w:w="9560"/>
          </w:cols>
          <w:pgMar w:left="1440" w:top="1440" w:right="1240" w:bottom="1440" w:gutter="0" w:footer="0" w:header="0"/>
        </w:sectPr>
      </w:pPr>
    </w:p>
    <w:bookmarkStart w:id="171" w:name="page172"/>
    <w:bookmarkEnd w:id="171"/>
    <w:p>
      <w:pPr>
        <w:ind w:left="3700"/>
        <w:spacing w:after="0"/>
        <w:rPr>
          <w:sz w:val="20"/>
          <w:szCs w:val="20"/>
          <w:color w:val="auto"/>
        </w:rPr>
      </w:pPr>
      <w:r>
        <w:rPr>
          <w:rFonts w:ascii="Arial" w:cs="Arial" w:eastAsia="Arial" w:hAnsi="Arial"/>
          <w:sz w:val="21"/>
          <w:szCs w:val="21"/>
          <w:b w:val="1"/>
          <w:bCs w:val="1"/>
          <w:u w:val="single" w:color="auto"/>
          <w:color w:val="231F20"/>
        </w:rPr>
        <w:t>TABLE OF CONTENTS</w:t>
      </w:r>
    </w:p>
    <w:p>
      <w:pPr>
        <w:spacing w:after="0" w:line="3" w:lineRule="exact"/>
        <w:rPr>
          <w:sz w:val="20"/>
          <w:szCs w:val="20"/>
          <w:color w:val="auto"/>
        </w:rPr>
      </w:pPr>
    </w:p>
    <w:p>
      <w:pPr>
        <w:ind w:left="4340"/>
        <w:spacing w:after="0"/>
        <w:rPr>
          <w:sz w:val="20"/>
          <w:szCs w:val="20"/>
          <w:color w:val="auto"/>
        </w:rPr>
      </w:pPr>
      <w:r>
        <w:rPr>
          <w:rFonts w:ascii="Arial" w:cs="Arial" w:eastAsia="Arial" w:hAnsi="Arial"/>
          <w:sz w:val="21"/>
          <w:szCs w:val="21"/>
          <w:b w:val="1"/>
          <w:bCs w:val="1"/>
          <w:color w:val="231F20"/>
        </w:rPr>
        <w:t>(Continued)</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21"/>
          <w:szCs w:val="21"/>
          <w:b w:val="1"/>
          <w:bCs w:val="1"/>
          <w:u w:val="single" w:color="auto"/>
          <w:color w:val="231F20"/>
        </w:rPr>
        <w:t>Page</w:t>
      </w:r>
    </w:p>
    <w:p>
      <w:pPr>
        <w:spacing w:after="0" w:line="243" w:lineRule="exact"/>
        <w:rPr>
          <w:sz w:val="20"/>
          <w:szCs w:val="20"/>
          <w:color w:val="auto"/>
        </w:rPr>
      </w:pPr>
    </w:p>
    <w:p>
      <w:pPr>
        <w:ind w:left="840"/>
        <w:spacing w:after="0"/>
        <w:tabs>
          <w:tab w:leader="dot" w:pos="9320" w:val="left"/>
        </w:tabs>
        <w:rPr>
          <w:sz w:val="20"/>
          <w:szCs w:val="20"/>
          <w:color w:val="auto"/>
        </w:rPr>
      </w:pPr>
      <w:r>
        <w:rPr>
          <w:rFonts w:ascii="Arial" w:cs="Arial" w:eastAsia="Arial" w:hAnsi="Arial"/>
          <w:sz w:val="21"/>
          <w:szCs w:val="21"/>
          <w:b w:val="1"/>
          <w:bCs w:val="1"/>
          <w:color w:val="231F20"/>
        </w:rPr>
        <w:t>Estate planning</w:t>
      </w:r>
      <w:r>
        <w:rPr>
          <w:sz w:val="20"/>
          <w:szCs w:val="20"/>
          <w:color w:val="auto"/>
        </w:rPr>
        <w:tab/>
      </w:r>
      <w:r>
        <w:rPr>
          <w:rFonts w:ascii="Arial" w:cs="Arial" w:eastAsia="Arial" w:hAnsi="Arial"/>
          <w:sz w:val="19"/>
          <w:szCs w:val="19"/>
          <w:b w:val="1"/>
          <w:bCs w:val="1"/>
          <w:color w:val="231F20"/>
        </w:rPr>
        <w:t>17</w:t>
      </w:r>
    </w:p>
    <w:p>
      <w:pPr>
        <w:spacing w:after="0" w:line="6" w:lineRule="exact"/>
        <w:rPr>
          <w:sz w:val="20"/>
          <w:szCs w:val="20"/>
          <w:color w:val="auto"/>
        </w:rPr>
      </w:pPr>
    </w:p>
    <w:p>
      <w:pPr>
        <w:ind w:left="840"/>
        <w:spacing w:after="0"/>
        <w:tabs>
          <w:tab w:leader="dot" w:pos="9320" w:val="left"/>
        </w:tabs>
        <w:rPr>
          <w:sz w:val="20"/>
          <w:szCs w:val="20"/>
          <w:color w:val="auto"/>
        </w:rPr>
      </w:pPr>
      <w:r>
        <w:rPr>
          <w:rFonts w:ascii="Arial" w:cs="Arial" w:eastAsia="Arial" w:hAnsi="Arial"/>
          <w:sz w:val="21"/>
          <w:szCs w:val="21"/>
          <w:b w:val="1"/>
          <w:bCs w:val="1"/>
          <w:color w:val="231F20"/>
        </w:rPr>
        <w:t>Other exceptions</w:t>
      </w:r>
      <w:r>
        <w:rPr>
          <w:sz w:val="20"/>
          <w:szCs w:val="20"/>
          <w:color w:val="auto"/>
        </w:rPr>
        <w:tab/>
      </w:r>
      <w:r>
        <w:rPr>
          <w:rFonts w:ascii="Arial" w:cs="Arial" w:eastAsia="Arial" w:hAnsi="Arial"/>
          <w:sz w:val="19"/>
          <w:szCs w:val="19"/>
          <w:b w:val="1"/>
          <w:bCs w:val="1"/>
          <w:color w:val="231F20"/>
        </w:rPr>
        <w:t>17</w:t>
      </w:r>
    </w:p>
    <w:p>
      <w:pPr>
        <w:spacing w:after="0" w:line="236" w:lineRule="exact"/>
        <w:rPr>
          <w:sz w:val="20"/>
          <w:szCs w:val="20"/>
          <w:color w:val="auto"/>
        </w:rPr>
      </w:pPr>
    </w:p>
    <w:p>
      <w:pPr>
        <w:ind w:left="140"/>
        <w:spacing w:after="0"/>
        <w:tabs>
          <w:tab w:leader="dot" w:pos="9320" w:val="left"/>
        </w:tabs>
        <w:rPr>
          <w:sz w:val="20"/>
          <w:szCs w:val="20"/>
          <w:color w:val="auto"/>
        </w:rPr>
      </w:pPr>
      <w:r>
        <w:rPr>
          <w:rFonts w:ascii="Arial" w:cs="Arial" w:eastAsia="Arial" w:hAnsi="Arial"/>
          <w:sz w:val="21"/>
          <w:szCs w:val="21"/>
          <w:b w:val="1"/>
          <w:bCs w:val="1"/>
          <w:color w:val="231F20"/>
        </w:rPr>
        <w:t>COMPLIANCE WITH SECTION 16 OF THE SECURITIES EXCHANGE ACT</w:t>
      </w:r>
      <w:r>
        <w:rPr>
          <w:sz w:val="20"/>
          <w:szCs w:val="20"/>
          <w:color w:val="auto"/>
        </w:rPr>
        <w:tab/>
      </w:r>
      <w:r>
        <w:rPr>
          <w:rFonts w:ascii="Arial" w:cs="Arial" w:eastAsia="Arial" w:hAnsi="Arial"/>
          <w:sz w:val="19"/>
          <w:szCs w:val="19"/>
          <w:b w:val="1"/>
          <w:bCs w:val="1"/>
          <w:color w:val="231F20"/>
        </w:rPr>
        <w:t>18</w:t>
      </w:r>
    </w:p>
    <w:p>
      <w:pPr>
        <w:spacing w:after="0" w:line="3" w:lineRule="exact"/>
        <w:rPr>
          <w:sz w:val="20"/>
          <w:szCs w:val="20"/>
          <w:color w:val="auto"/>
        </w:rPr>
      </w:pPr>
    </w:p>
    <w:p>
      <w:pPr>
        <w:ind w:left="840"/>
        <w:spacing w:after="0"/>
        <w:tabs>
          <w:tab w:leader="dot" w:pos="9320" w:val="left"/>
        </w:tabs>
        <w:rPr>
          <w:sz w:val="20"/>
          <w:szCs w:val="20"/>
          <w:color w:val="auto"/>
        </w:rPr>
      </w:pPr>
      <w:r>
        <w:rPr>
          <w:rFonts w:ascii="Arial" w:cs="Arial" w:eastAsia="Arial" w:hAnsi="Arial"/>
          <w:sz w:val="21"/>
          <w:szCs w:val="21"/>
          <w:b w:val="1"/>
          <w:bCs w:val="1"/>
          <w:color w:val="231F20"/>
        </w:rPr>
        <w:t>Obligations under Section 16</w:t>
      </w:r>
      <w:r>
        <w:rPr>
          <w:sz w:val="20"/>
          <w:szCs w:val="20"/>
          <w:color w:val="auto"/>
        </w:rPr>
        <w:tab/>
      </w:r>
      <w:r>
        <w:rPr>
          <w:rFonts w:ascii="Arial" w:cs="Arial" w:eastAsia="Arial" w:hAnsi="Arial"/>
          <w:sz w:val="19"/>
          <w:szCs w:val="19"/>
          <w:b w:val="1"/>
          <w:bCs w:val="1"/>
          <w:color w:val="231F20"/>
        </w:rPr>
        <w:t>18</w:t>
      </w:r>
    </w:p>
    <w:p>
      <w:pPr>
        <w:spacing w:after="0" w:line="3" w:lineRule="exact"/>
        <w:rPr>
          <w:sz w:val="20"/>
          <w:szCs w:val="20"/>
          <w:color w:val="auto"/>
        </w:rPr>
      </w:pPr>
    </w:p>
    <w:p>
      <w:pPr>
        <w:ind w:left="840"/>
        <w:spacing w:after="0"/>
        <w:tabs>
          <w:tab w:leader="dot" w:pos="9320" w:val="left"/>
        </w:tabs>
        <w:rPr>
          <w:sz w:val="20"/>
          <w:szCs w:val="20"/>
          <w:color w:val="auto"/>
        </w:rPr>
      </w:pPr>
      <w:r>
        <w:rPr>
          <w:rFonts w:ascii="Arial" w:cs="Arial" w:eastAsia="Arial" w:hAnsi="Arial"/>
          <w:sz w:val="21"/>
          <w:szCs w:val="21"/>
          <w:b w:val="1"/>
          <w:bCs w:val="1"/>
          <w:color w:val="231F20"/>
        </w:rPr>
        <w:t>Notification requirements to facilitate Section 16 reporting</w:t>
      </w:r>
      <w:r>
        <w:rPr>
          <w:sz w:val="20"/>
          <w:szCs w:val="20"/>
          <w:color w:val="auto"/>
        </w:rPr>
        <w:tab/>
      </w:r>
      <w:r>
        <w:rPr>
          <w:rFonts w:ascii="Arial" w:cs="Arial" w:eastAsia="Arial" w:hAnsi="Arial"/>
          <w:sz w:val="19"/>
          <w:szCs w:val="19"/>
          <w:b w:val="1"/>
          <w:bCs w:val="1"/>
          <w:color w:val="231F20"/>
        </w:rPr>
        <w:t>18</w:t>
      </w:r>
    </w:p>
    <w:p>
      <w:pPr>
        <w:spacing w:after="0" w:line="6" w:lineRule="exact"/>
        <w:rPr>
          <w:sz w:val="20"/>
          <w:szCs w:val="20"/>
          <w:color w:val="auto"/>
        </w:rPr>
      </w:pPr>
    </w:p>
    <w:p>
      <w:pPr>
        <w:ind w:left="840"/>
        <w:spacing w:after="0"/>
        <w:tabs>
          <w:tab w:leader="dot" w:pos="9320" w:val="left"/>
        </w:tabs>
        <w:rPr>
          <w:sz w:val="20"/>
          <w:szCs w:val="20"/>
          <w:color w:val="auto"/>
        </w:rPr>
      </w:pPr>
      <w:r>
        <w:rPr>
          <w:rFonts w:ascii="Arial" w:cs="Arial" w:eastAsia="Arial" w:hAnsi="Arial"/>
          <w:sz w:val="21"/>
          <w:szCs w:val="21"/>
          <w:b w:val="1"/>
          <w:bCs w:val="1"/>
          <w:color w:val="231F20"/>
        </w:rPr>
        <w:t>Personal responsibility</w:t>
      </w:r>
      <w:r>
        <w:rPr>
          <w:sz w:val="20"/>
          <w:szCs w:val="20"/>
          <w:color w:val="auto"/>
        </w:rPr>
        <w:tab/>
      </w:r>
      <w:r>
        <w:rPr>
          <w:rFonts w:ascii="Arial" w:cs="Arial" w:eastAsia="Arial" w:hAnsi="Arial"/>
          <w:sz w:val="19"/>
          <w:szCs w:val="19"/>
          <w:b w:val="1"/>
          <w:bCs w:val="1"/>
          <w:color w:val="231F20"/>
        </w:rPr>
        <w:t>18</w:t>
      </w:r>
    </w:p>
    <w:p>
      <w:pPr>
        <w:spacing w:after="0" w:line="236" w:lineRule="exact"/>
        <w:rPr>
          <w:sz w:val="20"/>
          <w:szCs w:val="20"/>
          <w:color w:val="auto"/>
        </w:rPr>
      </w:pPr>
    </w:p>
    <w:p>
      <w:pPr>
        <w:ind w:left="140"/>
        <w:spacing w:after="0"/>
        <w:tabs>
          <w:tab w:leader="dot" w:pos="9320" w:val="left"/>
        </w:tabs>
        <w:rPr>
          <w:sz w:val="20"/>
          <w:szCs w:val="20"/>
          <w:color w:val="auto"/>
        </w:rPr>
      </w:pPr>
      <w:r>
        <w:rPr>
          <w:rFonts w:ascii="Arial" w:cs="Arial" w:eastAsia="Arial" w:hAnsi="Arial"/>
          <w:sz w:val="21"/>
          <w:szCs w:val="21"/>
          <w:b w:val="1"/>
          <w:bCs w:val="1"/>
          <w:color w:val="231F20"/>
        </w:rPr>
        <w:t>ADDITIONAL INFORMATION</w:t>
      </w:r>
      <w:r>
        <w:rPr>
          <w:sz w:val="20"/>
          <w:szCs w:val="20"/>
          <w:color w:val="auto"/>
        </w:rPr>
        <w:tab/>
      </w:r>
      <w:r>
        <w:rPr>
          <w:rFonts w:ascii="Arial" w:cs="Arial" w:eastAsia="Arial" w:hAnsi="Arial"/>
          <w:sz w:val="19"/>
          <w:szCs w:val="19"/>
          <w:b w:val="1"/>
          <w:bCs w:val="1"/>
          <w:color w:val="231F20"/>
        </w:rPr>
        <w:t>19</w:t>
      </w:r>
    </w:p>
    <w:p>
      <w:pPr>
        <w:spacing w:after="0" w:line="3" w:lineRule="exact"/>
        <w:rPr>
          <w:sz w:val="20"/>
          <w:szCs w:val="20"/>
          <w:color w:val="auto"/>
        </w:rPr>
      </w:pPr>
    </w:p>
    <w:p>
      <w:pPr>
        <w:ind w:left="840"/>
        <w:spacing w:after="0"/>
        <w:tabs>
          <w:tab w:leader="dot" w:pos="9320" w:val="left"/>
        </w:tabs>
        <w:rPr>
          <w:sz w:val="20"/>
          <w:szCs w:val="20"/>
          <w:color w:val="auto"/>
        </w:rPr>
      </w:pPr>
      <w:r>
        <w:rPr>
          <w:rFonts w:ascii="Arial" w:cs="Arial" w:eastAsia="Arial" w:hAnsi="Arial"/>
          <w:sz w:val="21"/>
          <w:szCs w:val="21"/>
          <w:b w:val="1"/>
          <w:bCs w:val="1"/>
          <w:color w:val="231F20"/>
        </w:rPr>
        <w:t>Delivery of Policy</w:t>
      </w:r>
      <w:r>
        <w:rPr>
          <w:sz w:val="20"/>
          <w:szCs w:val="20"/>
          <w:color w:val="auto"/>
        </w:rPr>
        <w:tab/>
      </w:r>
      <w:r>
        <w:rPr>
          <w:rFonts w:ascii="Arial" w:cs="Arial" w:eastAsia="Arial" w:hAnsi="Arial"/>
          <w:sz w:val="19"/>
          <w:szCs w:val="19"/>
          <w:b w:val="1"/>
          <w:bCs w:val="1"/>
          <w:color w:val="231F20"/>
        </w:rPr>
        <w:t>19</w:t>
      </w:r>
    </w:p>
    <w:p>
      <w:pPr>
        <w:spacing w:after="0" w:line="3" w:lineRule="exact"/>
        <w:rPr>
          <w:sz w:val="20"/>
          <w:szCs w:val="20"/>
          <w:color w:val="auto"/>
        </w:rPr>
      </w:pPr>
    </w:p>
    <w:p>
      <w:pPr>
        <w:ind w:left="840"/>
        <w:spacing w:after="0"/>
        <w:tabs>
          <w:tab w:leader="dot" w:pos="9320" w:val="left"/>
        </w:tabs>
        <w:rPr>
          <w:sz w:val="20"/>
          <w:szCs w:val="20"/>
          <w:color w:val="auto"/>
        </w:rPr>
      </w:pPr>
      <w:r>
        <w:rPr>
          <w:rFonts w:ascii="Arial" w:cs="Arial" w:eastAsia="Arial" w:hAnsi="Arial"/>
          <w:sz w:val="21"/>
          <w:szCs w:val="21"/>
          <w:b w:val="1"/>
          <w:bCs w:val="1"/>
          <w:color w:val="231F20"/>
        </w:rPr>
        <w:t>Amendments</w:t>
      </w:r>
      <w:r>
        <w:rPr>
          <w:sz w:val="20"/>
          <w:szCs w:val="20"/>
          <w:color w:val="auto"/>
        </w:rPr>
        <w:tab/>
      </w:r>
      <w:r>
        <w:rPr>
          <w:rFonts w:ascii="Arial" w:cs="Arial" w:eastAsia="Arial" w:hAnsi="Arial"/>
          <w:sz w:val="19"/>
          <w:szCs w:val="19"/>
          <w:b w:val="1"/>
          <w:bCs w:val="1"/>
          <w:color w:val="231F20"/>
        </w:rPr>
        <w:t>19</w:t>
      </w:r>
    </w:p>
    <w:p>
      <w:pPr>
        <w:spacing w:after="0" w:line="6" w:lineRule="exact"/>
        <w:rPr>
          <w:sz w:val="20"/>
          <w:szCs w:val="20"/>
          <w:color w:val="auto"/>
        </w:rPr>
      </w:pPr>
    </w:p>
    <w:p>
      <w:pPr>
        <w:ind w:left="840"/>
        <w:spacing w:after="0"/>
        <w:tabs>
          <w:tab w:leader="dot" w:pos="9320" w:val="left"/>
        </w:tabs>
        <w:rPr>
          <w:sz w:val="20"/>
          <w:szCs w:val="20"/>
          <w:color w:val="auto"/>
        </w:rPr>
      </w:pPr>
      <w:r>
        <w:rPr>
          <w:rFonts w:ascii="Arial" w:cs="Arial" w:eastAsia="Arial" w:hAnsi="Arial"/>
          <w:sz w:val="21"/>
          <w:szCs w:val="21"/>
          <w:b w:val="1"/>
          <w:bCs w:val="1"/>
          <w:color w:val="231F20"/>
        </w:rPr>
        <w:t>Current Version of Policy</w:t>
      </w:r>
      <w:r>
        <w:rPr>
          <w:sz w:val="20"/>
          <w:szCs w:val="20"/>
          <w:color w:val="auto"/>
        </w:rPr>
        <w:tab/>
      </w:r>
      <w:r>
        <w:rPr>
          <w:rFonts w:ascii="Arial" w:cs="Arial" w:eastAsia="Arial" w:hAnsi="Arial"/>
          <w:sz w:val="19"/>
          <w:szCs w:val="19"/>
          <w:b w:val="1"/>
          <w:bCs w:val="1"/>
          <w:color w:val="231F20"/>
        </w:rPr>
        <w:t>19</w:t>
      </w:r>
    </w:p>
    <w:p>
      <w:pPr>
        <w:spacing w:after="0" w:line="227" w:lineRule="exact"/>
        <w:rPr>
          <w:sz w:val="20"/>
          <w:szCs w:val="20"/>
          <w:color w:val="auto"/>
        </w:rPr>
      </w:pPr>
    </w:p>
    <w:p>
      <w:pPr>
        <w:ind w:left="140"/>
        <w:spacing w:after="0"/>
        <w:rPr>
          <w:sz w:val="20"/>
          <w:szCs w:val="20"/>
          <w:color w:val="auto"/>
        </w:rPr>
      </w:pPr>
      <w:r>
        <w:rPr>
          <w:rFonts w:ascii="Arial" w:cs="Arial" w:eastAsia="Arial" w:hAnsi="Arial"/>
          <w:sz w:val="21"/>
          <w:szCs w:val="21"/>
          <w:b w:val="1"/>
          <w:bCs w:val="1"/>
          <w:color w:val="231F20"/>
        </w:rPr>
        <w:t>SCHEDULE I (Pre-Clearance Checklist)</w:t>
      </w:r>
    </w:p>
    <w:p>
      <w:pPr>
        <w:spacing w:after="0" w:line="248" w:lineRule="exact"/>
        <w:rPr>
          <w:sz w:val="20"/>
          <w:szCs w:val="20"/>
          <w:color w:val="auto"/>
        </w:rPr>
      </w:pPr>
    </w:p>
    <w:p>
      <w:pPr>
        <w:ind w:left="140"/>
        <w:spacing w:after="0"/>
        <w:rPr>
          <w:sz w:val="20"/>
          <w:szCs w:val="20"/>
          <w:color w:val="auto"/>
        </w:rPr>
      </w:pPr>
      <w:r>
        <w:rPr>
          <w:rFonts w:ascii="Arial" w:cs="Arial" w:eastAsia="Arial" w:hAnsi="Arial"/>
          <w:sz w:val="21"/>
          <w:szCs w:val="21"/>
          <w:b w:val="1"/>
          <w:bCs w:val="1"/>
          <w:color w:val="231F20"/>
        </w:rPr>
        <w:t>SCHEDULE II (Requirements for Trading Plans)</w:t>
      </w:r>
    </w:p>
    <w:p>
      <w:pPr>
        <w:spacing w:after="0" w:line="250" w:lineRule="exact"/>
        <w:rPr>
          <w:sz w:val="20"/>
          <w:szCs w:val="20"/>
          <w:color w:val="auto"/>
        </w:rPr>
      </w:pPr>
    </w:p>
    <w:p>
      <w:pPr>
        <w:ind w:left="140"/>
        <w:spacing w:after="0"/>
        <w:rPr>
          <w:sz w:val="20"/>
          <w:szCs w:val="20"/>
          <w:color w:val="auto"/>
        </w:rPr>
      </w:pPr>
      <w:r>
        <w:rPr>
          <w:rFonts w:ascii="Arial" w:cs="Arial" w:eastAsia="Arial" w:hAnsi="Arial"/>
          <w:sz w:val="21"/>
          <w:szCs w:val="21"/>
          <w:b w:val="1"/>
          <w:bCs w:val="1"/>
          <w:color w:val="231F20"/>
        </w:rPr>
        <w:t>SCHEDULE III (Guidelines for Preparing Trading Plans)</w:t>
      </w:r>
    </w:p>
    <w:p>
      <w:pPr>
        <w:sectPr>
          <w:pgSz w:w="12240" w:h="15840" w:orient="portrait"/>
          <w:cols w:equalWidth="0" w:num="1">
            <w:col w:w="9560"/>
          </w:cols>
          <w:pgMar w:left="1440" w:top="939" w:right="1240" w:bottom="3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80"/>
        <w:spacing w:after="0"/>
        <w:rPr>
          <w:sz w:val="20"/>
          <w:szCs w:val="20"/>
          <w:color w:val="auto"/>
        </w:rPr>
      </w:pPr>
      <w:r>
        <w:rPr>
          <w:rFonts w:ascii="Arial" w:cs="Arial" w:eastAsia="Arial" w:hAnsi="Arial"/>
          <w:sz w:val="21"/>
          <w:szCs w:val="21"/>
          <w:b w:val="1"/>
          <w:bCs w:val="1"/>
          <w:color w:val="231F20"/>
        </w:rPr>
        <w:t>-ii-</w:t>
      </w:r>
    </w:p>
    <w:p>
      <w:pPr>
        <w:sectPr>
          <w:pgSz w:w="12240" w:h="15840" w:orient="portrait"/>
          <w:cols w:equalWidth="0" w:num="1">
            <w:col w:w="9560"/>
          </w:cols>
          <w:pgMar w:left="1440" w:top="939" w:right="1240" w:bottom="371" w:gutter="0" w:footer="0" w:header="0"/>
          <w:type w:val="continuous"/>
        </w:sectPr>
      </w:pPr>
    </w:p>
    <w:bookmarkStart w:id="172" w:name="page173"/>
    <w:bookmarkEnd w:id="172"/>
    <w:p>
      <w:pPr>
        <w:spacing w:after="0" w:line="57"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231F20"/>
        </w:rPr>
        <w:t>INTRODUCTION</w:t>
      </w:r>
    </w:p>
    <w:p>
      <w:pPr>
        <w:spacing w:after="0" w:line="244" w:lineRule="exact"/>
        <w:rPr>
          <w:sz w:val="20"/>
          <w:szCs w:val="20"/>
          <w:color w:val="auto"/>
        </w:rPr>
      </w:pPr>
    </w:p>
    <w:p>
      <w:pPr>
        <w:jc w:val="both"/>
        <w:ind w:left="140" w:right="140" w:firstLine="348"/>
        <w:spacing w:after="0" w:line="265" w:lineRule="exact"/>
        <w:rPr>
          <w:sz w:val="20"/>
          <w:szCs w:val="20"/>
          <w:color w:val="auto"/>
        </w:rPr>
      </w:pPr>
      <w:r>
        <w:rPr>
          <w:rFonts w:ascii="Arial" w:cs="Arial" w:eastAsia="Arial" w:hAnsi="Arial"/>
          <w:sz w:val="20"/>
          <w:szCs w:val="20"/>
          <w:b w:val="1"/>
          <w:bCs w:val="1"/>
          <w:color w:val="231F20"/>
        </w:rPr>
        <w:t xml:space="preserve">ALX Oncology Holdings Inc. (together with its subsidiaries, the </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Company</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 xml:space="preserve">) opposes the unauthorized disclosure of any nonpublic information acquired in the course of your service with the Company and the misuse of material nonpublic information in securities trading. Any such actions will be deemed violations of this Insider Trading Policy (this </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Policy</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w:t>
      </w:r>
    </w:p>
    <w:p>
      <w:pPr>
        <w:spacing w:after="0" w:line="237"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231F20"/>
        </w:rPr>
        <w:t>Legal prohibitions on insider trading</w:t>
      </w:r>
    </w:p>
    <w:p>
      <w:pPr>
        <w:spacing w:after="0" w:line="244" w:lineRule="exact"/>
        <w:rPr>
          <w:sz w:val="20"/>
          <w:szCs w:val="20"/>
          <w:color w:val="auto"/>
        </w:rPr>
      </w:pPr>
    </w:p>
    <w:p>
      <w:pPr>
        <w:jc w:val="both"/>
        <w:ind w:left="140" w:right="140" w:firstLine="348"/>
        <w:spacing w:after="0" w:line="266" w:lineRule="exact"/>
        <w:rPr>
          <w:sz w:val="20"/>
          <w:szCs w:val="20"/>
          <w:color w:val="auto"/>
        </w:rPr>
      </w:pPr>
      <w:r>
        <w:rPr>
          <w:rFonts w:ascii="Arial" w:cs="Arial" w:eastAsia="Arial" w:hAnsi="Arial"/>
          <w:sz w:val="22"/>
          <w:szCs w:val="22"/>
          <w:b w:val="1"/>
          <w:bCs w:val="1"/>
          <w:color w:val="231F20"/>
        </w:rPr>
        <w:t xml:space="preserve">The antifraud provisions of U.S. federal securities laws prohibit directors, officers, employees and other individuals who possess material nonpublic information from trading on the basis of that information. Transactions will be considered </w:t>
      </w:r>
      <w:r>
        <w:rPr>
          <w:rFonts w:ascii="PMingLiU" w:cs="PMingLiU" w:eastAsia="PMingLiU" w:hAnsi="PMingLiU"/>
          <w:sz w:val="22"/>
          <w:szCs w:val="22"/>
          <w:b w:val="1"/>
          <w:bCs w:val="1"/>
          <w:color w:val="231F20"/>
        </w:rPr>
        <w:t></w:t>
      </w:r>
      <w:r>
        <w:rPr>
          <w:rFonts w:ascii="Arial" w:cs="Arial" w:eastAsia="Arial" w:hAnsi="Arial"/>
          <w:sz w:val="22"/>
          <w:szCs w:val="22"/>
          <w:b w:val="1"/>
          <w:bCs w:val="1"/>
          <w:color w:val="231F20"/>
        </w:rPr>
        <w:t>on the basis of</w:t>
      </w:r>
      <w:r>
        <w:rPr>
          <w:rFonts w:ascii="PMingLiU" w:cs="PMingLiU" w:eastAsia="PMingLiU" w:hAnsi="PMingLiU"/>
          <w:sz w:val="22"/>
          <w:szCs w:val="22"/>
          <w:b w:val="1"/>
          <w:bCs w:val="1"/>
          <w:color w:val="231F20"/>
        </w:rPr>
        <w:t></w:t>
      </w:r>
      <w:r>
        <w:rPr>
          <w:rFonts w:ascii="Arial" w:cs="Arial" w:eastAsia="Arial" w:hAnsi="Arial"/>
          <w:sz w:val="22"/>
          <w:szCs w:val="22"/>
          <w:b w:val="1"/>
          <w:bCs w:val="1"/>
          <w:color w:val="231F20"/>
        </w:rPr>
        <w:t xml:space="preserve"> material nonpublic information if the person engaged in the transaction was aware of the material nonpublic information at the time of the transaction. It is not a defense that the person did not </w:t>
      </w:r>
      <w:r>
        <w:rPr>
          <w:rFonts w:ascii="PMingLiU" w:cs="PMingLiU" w:eastAsia="PMingLiU" w:hAnsi="PMingLiU"/>
          <w:sz w:val="22"/>
          <w:szCs w:val="22"/>
          <w:b w:val="1"/>
          <w:bCs w:val="1"/>
          <w:color w:val="231F20"/>
        </w:rPr>
        <w:t></w:t>
      </w:r>
      <w:r>
        <w:rPr>
          <w:rFonts w:ascii="Arial" w:cs="Arial" w:eastAsia="Arial" w:hAnsi="Arial"/>
          <w:sz w:val="22"/>
          <w:szCs w:val="22"/>
          <w:b w:val="1"/>
          <w:bCs w:val="1"/>
          <w:color w:val="231F20"/>
        </w:rPr>
        <w:t>use</w:t>
      </w:r>
      <w:r>
        <w:rPr>
          <w:rFonts w:ascii="PMingLiU" w:cs="PMingLiU" w:eastAsia="PMingLiU" w:hAnsi="PMingLiU"/>
          <w:sz w:val="22"/>
          <w:szCs w:val="22"/>
          <w:b w:val="1"/>
          <w:bCs w:val="1"/>
          <w:color w:val="231F20"/>
        </w:rPr>
        <w:t></w:t>
      </w:r>
      <w:r>
        <w:rPr>
          <w:rFonts w:ascii="Arial" w:cs="Arial" w:eastAsia="Arial" w:hAnsi="Arial"/>
          <w:sz w:val="22"/>
          <w:szCs w:val="22"/>
          <w:b w:val="1"/>
          <w:bCs w:val="1"/>
          <w:color w:val="231F20"/>
        </w:rPr>
        <w:t xml:space="preserve"> the information for purposes of the transaction.</w:t>
      </w:r>
    </w:p>
    <w:p>
      <w:pPr>
        <w:spacing w:after="0" w:line="247" w:lineRule="exact"/>
        <w:rPr>
          <w:sz w:val="20"/>
          <w:szCs w:val="20"/>
          <w:color w:val="auto"/>
        </w:rPr>
      </w:pPr>
    </w:p>
    <w:p>
      <w:pPr>
        <w:jc w:val="both"/>
        <w:ind w:left="140" w:right="140" w:firstLine="348"/>
        <w:spacing w:after="0" w:line="266" w:lineRule="exact"/>
        <w:rPr>
          <w:sz w:val="20"/>
          <w:szCs w:val="20"/>
          <w:color w:val="auto"/>
        </w:rPr>
      </w:pPr>
      <w:r>
        <w:rPr>
          <w:rFonts w:ascii="Arial" w:cs="Arial" w:eastAsia="Arial" w:hAnsi="Arial"/>
          <w:sz w:val="20"/>
          <w:szCs w:val="20"/>
          <w:b w:val="1"/>
          <w:bCs w:val="1"/>
          <w:color w:val="231F20"/>
        </w:rPr>
        <w:t xml:space="preserve">Disclosing material nonpublic information directly or indirectly to others who then trade based on that information or making recommendations or expressing opinions as to transactions in securities while aware of material nonpublic information (which is sometime referred to as </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tipping</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 is also illegal. Both the person who provides the information, recommendation or opinion and the person who trades based on it may be liable.</w:t>
      </w:r>
    </w:p>
    <w:p>
      <w:pPr>
        <w:spacing w:after="0" w:line="245" w:lineRule="exact"/>
        <w:rPr>
          <w:sz w:val="20"/>
          <w:szCs w:val="20"/>
          <w:color w:val="auto"/>
        </w:rPr>
      </w:pPr>
    </w:p>
    <w:p>
      <w:pPr>
        <w:jc w:val="both"/>
        <w:ind w:left="140" w:right="140" w:firstLine="348"/>
        <w:spacing w:after="0" w:line="262" w:lineRule="exact"/>
        <w:rPr>
          <w:sz w:val="20"/>
          <w:szCs w:val="20"/>
          <w:color w:val="auto"/>
        </w:rPr>
      </w:pPr>
      <w:r>
        <w:rPr>
          <w:rFonts w:ascii="Arial" w:cs="Arial" w:eastAsia="Arial" w:hAnsi="Arial"/>
          <w:sz w:val="21"/>
          <w:szCs w:val="21"/>
          <w:b w:val="1"/>
          <w:bCs w:val="1"/>
          <w:color w:val="231F20"/>
        </w:rPr>
        <w:t xml:space="preserve">These illegal activities are commonly referred to as </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insider trading</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 State securities laws and securities laws of other jurisdictions also impose restrictions on insider trading.</w:t>
      </w:r>
    </w:p>
    <w:p>
      <w:pPr>
        <w:spacing w:after="0" w:line="245" w:lineRule="exact"/>
        <w:rPr>
          <w:sz w:val="20"/>
          <w:szCs w:val="20"/>
          <w:color w:val="auto"/>
        </w:rPr>
      </w:pPr>
    </w:p>
    <w:p>
      <w:pPr>
        <w:jc w:val="both"/>
        <w:ind w:left="140" w:right="140" w:firstLine="348"/>
        <w:spacing w:after="0" w:line="264" w:lineRule="exact"/>
        <w:rPr>
          <w:sz w:val="20"/>
          <w:szCs w:val="20"/>
          <w:color w:val="auto"/>
        </w:rPr>
      </w:pPr>
      <w:r>
        <w:rPr>
          <w:rFonts w:ascii="Arial" w:cs="Arial" w:eastAsia="Arial" w:hAnsi="Arial"/>
          <w:sz w:val="20"/>
          <w:szCs w:val="20"/>
          <w:b w:val="1"/>
          <w:bCs w:val="1"/>
          <w:color w:val="231F20"/>
        </w:rPr>
        <w:t xml:space="preserve">In addition, a company, as well as individual directors, officers and other supervisory personnel, may be subject to liability as </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controlling persons</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 xml:space="preserve"> for failure to take appropriate steps to prevent insider trading by those under their supervision, influence or control.</w:t>
      </w:r>
    </w:p>
    <w:p>
      <w:pPr>
        <w:spacing w:after="0" w:line="237"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231F20"/>
        </w:rPr>
        <w:t>Detection and prosecution of insider trading</w:t>
      </w:r>
    </w:p>
    <w:p>
      <w:pPr>
        <w:spacing w:after="0" w:line="244" w:lineRule="exact"/>
        <w:rPr>
          <w:sz w:val="20"/>
          <w:szCs w:val="20"/>
          <w:color w:val="auto"/>
        </w:rPr>
      </w:pPr>
    </w:p>
    <w:p>
      <w:pPr>
        <w:jc w:val="both"/>
        <w:ind w:left="140" w:right="140" w:firstLine="350"/>
        <w:spacing w:after="0" w:line="266" w:lineRule="exact"/>
        <w:rPr>
          <w:sz w:val="20"/>
          <w:szCs w:val="20"/>
          <w:color w:val="auto"/>
        </w:rPr>
      </w:pPr>
      <w:r>
        <w:rPr>
          <w:rFonts w:ascii="Arial" w:cs="Arial" w:eastAsia="Arial" w:hAnsi="Arial"/>
          <w:sz w:val="21"/>
          <w:szCs w:val="21"/>
          <w:b w:val="1"/>
          <w:bCs w:val="1"/>
          <w:color w:val="231F20"/>
        </w:rPr>
        <w:t xml:space="preserve">The U.S. Securities and Exchange Commission (the </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SEC</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 The Financial Industry Regulatory Authority (</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FINRA</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 and the stock exchanges use sophisticated electronic surveillance techniques to investigate and detect insider trading, and the SEC and the U.S. Department of Justice pursue insider trading violations vigorously. Cases involving trading through foreign accounts, trading by family members and friends and trading involving only a small number of shares have been successfully prosecuted.</w:t>
      </w:r>
    </w:p>
    <w:p>
      <w:pPr>
        <w:spacing w:after="0" w:line="240"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231F20"/>
        </w:rPr>
        <w:t>Penalties for violation of insider trading laws and this Policy</w:t>
      </w:r>
    </w:p>
    <w:p>
      <w:pPr>
        <w:spacing w:after="0" w:line="244" w:lineRule="exact"/>
        <w:rPr>
          <w:sz w:val="20"/>
          <w:szCs w:val="20"/>
          <w:color w:val="auto"/>
        </w:rPr>
      </w:pPr>
    </w:p>
    <w:p>
      <w:pPr>
        <w:jc w:val="both"/>
        <w:ind w:left="140" w:right="140" w:firstLine="350"/>
        <w:spacing w:after="0" w:line="237" w:lineRule="auto"/>
        <w:rPr>
          <w:sz w:val="20"/>
          <w:szCs w:val="20"/>
          <w:color w:val="auto"/>
        </w:rPr>
      </w:pPr>
      <w:r>
        <w:rPr>
          <w:rFonts w:ascii="Arial" w:cs="Arial" w:eastAsia="Arial" w:hAnsi="Arial"/>
          <w:sz w:val="23"/>
          <w:szCs w:val="23"/>
          <w:b w:val="1"/>
          <w:bCs w:val="1"/>
          <w:color w:val="231F20"/>
        </w:rPr>
        <w:t>Civil and criminal penalties. As of the effective date of this Policy, potential penalties for insider trading violations under U.S. federal securities laws include:</w:t>
      </w:r>
    </w:p>
    <w:p>
      <w:pPr>
        <w:spacing w:after="0" w:line="124" w:lineRule="exact"/>
        <w:rPr>
          <w:sz w:val="20"/>
          <w:szCs w:val="20"/>
          <w:color w:val="auto"/>
        </w:rPr>
      </w:pPr>
    </w:p>
    <w:p>
      <w:pPr>
        <w:ind w:left="1540" w:hanging="352"/>
        <w:spacing w:after="0"/>
        <w:tabs>
          <w:tab w:leader="none" w:pos="1540" w:val="left"/>
        </w:tabs>
        <w:numPr>
          <w:ilvl w:val="0"/>
          <w:numId w:val="55"/>
        </w:numPr>
        <w:rPr>
          <w:rFonts w:ascii="PMingLiU" w:cs="PMingLiU" w:eastAsia="PMingLiU" w:hAnsi="PMingLiU"/>
          <w:sz w:val="23"/>
          <w:szCs w:val="23"/>
          <w:b w:val="1"/>
          <w:bCs w:val="1"/>
          <w:color w:val="231F20"/>
        </w:rPr>
      </w:pPr>
      <w:r>
        <w:rPr>
          <w:rFonts w:ascii="Arial" w:cs="Arial" w:eastAsia="Arial" w:hAnsi="Arial"/>
          <w:sz w:val="23"/>
          <w:szCs w:val="23"/>
          <w:b w:val="1"/>
          <w:bCs w:val="1"/>
          <w:color w:val="231F20"/>
        </w:rPr>
        <w:t>damages in a private lawsuit;</w:t>
      </w:r>
    </w:p>
    <w:p>
      <w:pPr>
        <w:spacing w:after="0" w:line="122" w:lineRule="exact"/>
        <w:rPr>
          <w:rFonts w:ascii="PMingLiU" w:cs="PMingLiU" w:eastAsia="PMingLiU" w:hAnsi="PMingLiU"/>
          <w:sz w:val="23"/>
          <w:szCs w:val="23"/>
          <w:b w:val="1"/>
          <w:bCs w:val="1"/>
          <w:color w:val="231F20"/>
        </w:rPr>
      </w:pPr>
    </w:p>
    <w:p>
      <w:pPr>
        <w:ind w:left="1540" w:hanging="352"/>
        <w:spacing w:after="0"/>
        <w:tabs>
          <w:tab w:leader="none" w:pos="1540" w:val="left"/>
        </w:tabs>
        <w:numPr>
          <w:ilvl w:val="0"/>
          <w:numId w:val="55"/>
        </w:numPr>
        <w:rPr>
          <w:rFonts w:ascii="PMingLiU" w:cs="PMingLiU" w:eastAsia="PMingLiU" w:hAnsi="PMingLiU"/>
          <w:sz w:val="23"/>
          <w:szCs w:val="23"/>
          <w:b w:val="1"/>
          <w:bCs w:val="1"/>
          <w:color w:val="231F20"/>
        </w:rPr>
      </w:pPr>
      <w:r>
        <w:rPr>
          <w:rFonts w:ascii="Arial" w:cs="Arial" w:eastAsia="Arial" w:hAnsi="Arial"/>
          <w:sz w:val="23"/>
          <w:szCs w:val="23"/>
          <w:b w:val="1"/>
          <w:bCs w:val="1"/>
          <w:color w:val="231F20"/>
        </w:rPr>
        <w:t>disgorging any profits made or losses avoided;</w:t>
      </w:r>
    </w:p>
    <w:p>
      <w:pPr>
        <w:spacing w:after="0" w:line="122" w:lineRule="exact"/>
        <w:rPr>
          <w:rFonts w:ascii="PMingLiU" w:cs="PMingLiU" w:eastAsia="PMingLiU" w:hAnsi="PMingLiU"/>
          <w:sz w:val="23"/>
          <w:szCs w:val="23"/>
          <w:b w:val="1"/>
          <w:bCs w:val="1"/>
          <w:color w:val="231F20"/>
        </w:rPr>
      </w:pPr>
    </w:p>
    <w:p>
      <w:pPr>
        <w:ind w:left="1540" w:hanging="352"/>
        <w:spacing w:after="0"/>
        <w:tabs>
          <w:tab w:leader="none" w:pos="1540" w:val="left"/>
        </w:tabs>
        <w:numPr>
          <w:ilvl w:val="0"/>
          <w:numId w:val="55"/>
        </w:numPr>
        <w:rPr>
          <w:rFonts w:ascii="PMingLiU" w:cs="PMingLiU" w:eastAsia="PMingLiU" w:hAnsi="PMingLiU"/>
          <w:sz w:val="23"/>
          <w:szCs w:val="23"/>
          <w:b w:val="1"/>
          <w:bCs w:val="1"/>
          <w:color w:val="231F20"/>
        </w:rPr>
      </w:pPr>
      <w:r>
        <w:rPr>
          <w:rFonts w:ascii="Arial" w:cs="Arial" w:eastAsia="Arial" w:hAnsi="Arial"/>
          <w:sz w:val="23"/>
          <w:szCs w:val="23"/>
          <w:b w:val="1"/>
          <w:bCs w:val="1"/>
          <w:color w:val="231F20"/>
        </w:rPr>
        <w:t>imprisonment for up to 20 years;</w:t>
      </w:r>
    </w:p>
    <w:p>
      <w:pPr>
        <w:spacing w:after="0" w:line="143" w:lineRule="exact"/>
        <w:rPr>
          <w:rFonts w:ascii="PMingLiU" w:cs="PMingLiU" w:eastAsia="PMingLiU" w:hAnsi="PMingLiU"/>
          <w:sz w:val="23"/>
          <w:szCs w:val="23"/>
          <w:b w:val="1"/>
          <w:bCs w:val="1"/>
          <w:color w:val="231F20"/>
        </w:rPr>
      </w:pPr>
    </w:p>
    <w:p>
      <w:pPr>
        <w:ind w:left="1540" w:hanging="352"/>
        <w:spacing w:after="0"/>
        <w:tabs>
          <w:tab w:leader="none" w:pos="1540" w:val="left"/>
        </w:tabs>
        <w:numPr>
          <w:ilvl w:val="0"/>
          <w:numId w:val="55"/>
        </w:numPr>
        <w:rPr>
          <w:rFonts w:ascii="PMingLiU" w:cs="PMingLiU" w:eastAsia="PMingLiU" w:hAnsi="PMingLiU"/>
          <w:sz w:val="21"/>
          <w:szCs w:val="21"/>
          <w:b w:val="1"/>
          <w:bCs w:val="1"/>
          <w:color w:val="231F20"/>
        </w:rPr>
      </w:pPr>
      <w:r>
        <w:rPr>
          <w:rFonts w:ascii="Arial" w:cs="Arial" w:eastAsia="Arial" w:hAnsi="Arial"/>
          <w:sz w:val="21"/>
          <w:szCs w:val="21"/>
          <w:b w:val="1"/>
          <w:bCs w:val="1"/>
          <w:color w:val="231F20"/>
        </w:rPr>
        <w:t>criminal fines of up to $5 million for individuals and $25 million for entities;</w:t>
      </w:r>
    </w:p>
    <w:p>
      <w:pPr>
        <w:sectPr>
          <w:pgSz w:w="12240" w:h="15840" w:orient="portrait"/>
          <w:cols w:equalWidth="0" w:num="1">
            <w:col w:w="9360"/>
          </w:cols>
          <w:pgMar w:left="1440" w:top="1440" w:right="1440" w:bottom="38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-1-</w:t>
      </w:r>
    </w:p>
    <w:p>
      <w:pPr>
        <w:sectPr>
          <w:pgSz w:w="12240" w:h="15840" w:orient="portrait"/>
          <w:cols w:equalWidth="0" w:num="1">
            <w:col w:w="9360"/>
          </w:cols>
          <w:pgMar w:left="1440" w:top="1440" w:right="1440" w:bottom="389" w:gutter="0" w:footer="0" w:header="0"/>
          <w:type w:val="continuous"/>
        </w:sectPr>
      </w:pPr>
    </w:p>
    <w:bookmarkStart w:id="173" w:name="page174"/>
    <w:bookmarkEnd w:id="173"/>
    <w:p>
      <w:pPr>
        <w:spacing w:after="0" w:line="59" w:lineRule="exact"/>
        <w:rPr>
          <w:sz w:val="20"/>
          <w:szCs w:val="20"/>
          <w:color w:val="auto"/>
        </w:rPr>
      </w:pPr>
    </w:p>
    <w:p>
      <w:pPr>
        <w:ind w:left="1540" w:hanging="352"/>
        <w:spacing w:after="0"/>
        <w:tabs>
          <w:tab w:leader="none" w:pos="1540" w:val="left"/>
        </w:tabs>
        <w:numPr>
          <w:ilvl w:val="0"/>
          <w:numId w:val="56"/>
        </w:numPr>
        <w:rPr>
          <w:rFonts w:ascii="PMingLiU" w:cs="PMingLiU" w:eastAsia="PMingLiU" w:hAnsi="PMingLiU"/>
          <w:sz w:val="23"/>
          <w:szCs w:val="23"/>
          <w:b w:val="1"/>
          <w:bCs w:val="1"/>
          <w:color w:val="231F20"/>
        </w:rPr>
      </w:pPr>
      <w:r>
        <w:rPr>
          <w:rFonts w:ascii="Arial" w:cs="Arial" w:eastAsia="Arial" w:hAnsi="Arial"/>
          <w:sz w:val="23"/>
          <w:szCs w:val="23"/>
          <w:b w:val="1"/>
          <w:bCs w:val="1"/>
          <w:color w:val="231F20"/>
        </w:rPr>
        <w:t>civil fines of up to three times the profit gained or loss avoided;</w:t>
      </w:r>
    </w:p>
    <w:p>
      <w:pPr>
        <w:spacing w:after="0" w:line="134" w:lineRule="exact"/>
        <w:rPr>
          <w:rFonts w:ascii="PMingLiU" w:cs="PMingLiU" w:eastAsia="PMingLiU" w:hAnsi="PMingLiU"/>
          <w:sz w:val="23"/>
          <w:szCs w:val="23"/>
          <w:b w:val="1"/>
          <w:bCs w:val="1"/>
          <w:color w:val="231F20"/>
        </w:rPr>
      </w:pPr>
    </w:p>
    <w:p>
      <w:pPr>
        <w:ind w:left="1540" w:hanging="352"/>
        <w:spacing w:after="0"/>
        <w:tabs>
          <w:tab w:leader="none" w:pos="1540" w:val="left"/>
        </w:tabs>
        <w:numPr>
          <w:ilvl w:val="0"/>
          <w:numId w:val="56"/>
        </w:numPr>
        <w:rPr>
          <w:rFonts w:ascii="PMingLiU" w:cs="PMingLiU" w:eastAsia="PMingLiU" w:hAnsi="PMingLiU"/>
          <w:sz w:val="22"/>
          <w:szCs w:val="22"/>
          <w:b w:val="1"/>
          <w:bCs w:val="1"/>
          <w:color w:val="231F20"/>
        </w:rPr>
      </w:pPr>
      <w:r>
        <w:rPr>
          <w:rFonts w:ascii="Arial" w:cs="Arial" w:eastAsia="Arial" w:hAnsi="Arial"/>
          <w:sz w:val="22"/>
          <w:szCs w:val="22"/>
          <w:b w:val="1"/>
          <w:bCs w:val="1"/>
          <w:color w:val="231F20"/>
        </w:rPr>
        <w:t>a bar against serving as an officer or director of a public company; and</w:t>
      </w:r>
    </w:p>
    <w:p>
      <w:pPr>
        <w:spacing w:after="0" w:line="122" w:lineRule="exact"/>
        <w:rPr>
          <w:rFonts w:ascii="PMingLiU" w:cs="PMingLiU" w:eastAsia="PMingLiU" w:hAnsi="PMingLiU"/>
          <w:sz w:val="22"/>
          <w:szCs w:val="22"/>
          <w:b w:val="1"/>
          <w:bCs w:val="1"/>
          <w:color w:val="231F20"/>
        </w:rPr>
      </w:pPr>
    </w:p>
    <w:p>
      <w:pPr>
        <w:ind w:left="1540" w:hanging="352"/>
        <w:spacing w:after="0"/>
        <w:tabs>
          <w:tab w:leader="none" w:pos="1540" w:val="left"/>
        </w:tabs>
        <w:numPr>
          <w:ilvl w:val="0"/>
          <w:numId w:val="56"/>
        </w:numPr>
        <w:rPr>
          <w:rFonts w:ascii="PMingLiU" w:cs="PMingLiU" w:eastAsia="PMingLiU" w:hAnsi="PMingLiU"/>
          <w:sz w:val="23"/>
          <w:szCs w:val="23"/>
          <w:b w:val="1"/>
          <w:bCs w:val="1"/>
          <w:color w:val="231F20"/>
        </w:rPr>
      </w:pPr>
      <w:r>
        <w:rPr>
          <w:rFonts w:ascii="Arial" w:cs="Arial" w:eastAsia="Arial" w:hAnsi="Arial"/>
          <w:sz w:val="23"/>
          <w:szCs w:val="23"/>
          <w:b w:val="1"/>
          <w:bCs w:val="1"/>
          <w:color w:val="231F20"/>
        </w:rPr>
        <w:t>an injunction against future violations.</w:t>
      </w:r>
    </w:p>
    <w:p>
      <w:pPr>
        <w:spacing w:after="0" w:line="127" w:lineRule="exact"/>
        <w:rPr>
          <w:sz w:val="20"/>
          <w:szCs w:val="20"/>
          <w:color w:val="auto"/>
        </w:rPr>
      </w:pPr>
    </w:p>
    <w:p>
      <w:pPr>
        <w:jc w:val="both"/>
        <w:ind w:left="140" w:right="140" w:firstLine="348"/>
        <w:spacing w:after="0" w:line="264" w:lineRule="exact"/>
        <w:rPr>
          <w:sz w:val="20"/>
          <w:szCs w:val="20"/>
          <w:color w:val="auto"/>
        </w:rPr>
      </w:pPr>
      <w:r>
        <w:rPr>
          <w:rFonts w:ascii="Arial" w:cs="Arial" w:eastAsia="Arial" w:hAnsi="Arial"/>
          <w:sz w:val="23"/>
          <w:szCs w:val="23"/>
          <w:b w:val="1"/>
          <w:bCs w:val="1"/>
          <w:color w:val="231F20"/>
        </w:rPr>
        <w:t>Civil and criminal penalties also apply to tipping. The SEC has imposed large penalties in tipping cases even when the disclosing person did not trade or gain any benefit from another person</w:t>
      </w:r>
      <w:r>
        <w:rPr>
          <w:rFonts w:ascii="PMingLiU" w:cs="PMingLiU" w:eastAsia="PMingLiU" w:hAnsi="PMingLiU"/>
          <w:sz w:val="23"/>
          <w:szCs w:val="23"/>
          <w:b w:val="1"/>
          <w:bCs w:val="1"/>
          <w:color w:val="231F20"/>
        </w:rPr>
        <w:t></w:t>
      </w:r>
      <w:r>
        <w:rPr>
          <w:rFonts w:ascii="Arial" w:cs="Arial" w:eastAsia="Arial" w:hAnsi="Arial"/>
          <w:sz w:val="23"/>
          <w:szCs w:val="23"/>
          <w:b w:val="1"/>
          <w:bCs w:val="1"/>
          <w:color w:val="231F20"/>
        </w:rPr>
        <w:t>s trading.</w:t>
      </w:r>
    </w:p>
    <w:p>
      <w:pPr>
        <w:spacing w:after="0" w:line="246" w:lineRule="exact"/>
        <w:rPr>
          <w:sz w:val="20"/>
          <w:szCs w:val="20"/>
          <w:color w:val="auto"/>
        </w:rPr>
      </w:pPr>
    </w:p>
    <w:p>
      <w:pPr>
        <w:jc w:val="both"/>
        <w:ind w:left="140" w:right="140" w:firstLine="348"/>
        <w:spacing w:after="0" w:line="265" w:lineRule="exact"/>
        <w:rPr>
          <w:sz w:val="20"/>
          <w:szCs w:val="20"/>
          <w:color w:val="auto"/>
        </w:rPr>
      </w:pPr>
      <w:r>
        <w:rPr>
          <w:rFonts w:ascii="Arial" w:cs="Arial" w:eastAsia="Arial" w:hAnsi="Arial"/>
          <w:sz w:val="23"/>
          <w:szCs w:val="23"/>
          <w:b w:val="1"/>
          <w:bCs w:val="1"/>
          <w:color w:val="231F20"/>
        </w:rPr>
        <w:t xml:space="preserve">Controlling person liability. As of the effective date of this Policy, the penalty for </w:t>
      </w:r>
      <w:r>
        <w:rPr>
          <w:rFonts w:ascii="PMingLiU" w:cs="PMingLiU" w:eastAsia="PMingLiU" w:hAnsi="PMingLiU"/>
          <w:sz w:val="23"/>
          <w:szCs w:val="23"/>
          <w:b w:val="1"/>
          <w:bCs w:val="1"/>
          <w:color w:val="231F20"/>
        </w:rPr>
        <w:t></w:t>
      </w:r>
      <w:r>
        <w:rPr>
          <w:rFonts w:ascii="Arial" w:cs="Arial" w:eastAsia="Arial" w:hAnsi="Arial"/>
          <w:sz w:val="23"/>
          <w:szCs w:val="23"/>
          <w:b w:val="1"/>
          <w:bCs w:val="1"/>
          <w:color w:val="231F20"/>
        </w:rPr>
        <w:t>controlling person</w:t>
      </w:r>
      <w:r>
        <w:rPr>
          <w:rFonts w:ascii="PMingLiU" w:cs="PMingLiU" w:eastAsia="PMingLiU" w:hAnsi="PMingLiU"/>
          <w:sz w:val="23"/>
          <w:szCs w:val="23"/>
          <w:b w:val="1"/>
          <w:bCs w:val="1"/>
          <w:color w:val="231F20"/>
        </w:rPr>
        <w:t></w:t>
      </w:r>
      <w:r>
        <w:rPr>
          <w:rFonts w:ascii="Arial" w:cs="Arial" w:eastAsia="Arial" w:hAnsi="Arial"/>
          <w:sz w:val="23"/>
          <w:szCs w:val="23"/>
          <w:b w:val="1"/>
          <w:bCs w:val="1"/>
          <w:color w:val="231F20"/>
        </w:rPr>
        <w:t xml:space="preserve"> liability is a civil fine of up to the greater of $1.425 million or three times the profit gained or loss avoided as a result of the insider trading violations, as well as potential criminal fines and imprisonment.</w:t>
      </w:r>
    </w:p>
    <w:p>
      <w:pPr>
        <w:spacing w:after="0" w:line="244" w:lineRule="exact"/>
        <w:rPr>
          <w:sz w:val="20"/>
          <w:szCs w:val="20"/>
          <w:color w:val="auto"/>
        </w:rPr>
      </w:pPr>
    </w:p>
    <w:p>
      <w:pPr>
        <w:jc w:val="both"/>
        <w:ind w:left="140" w:right="140" w:firstLine="348"/>
        <w:spacing w:after="0" w:line="266" w:lineRule="exact"/>
        <w:rPr>
          <w:sz w:val="20"/>
          <w:szCs w:val="20"/>
          <w:color w:val="auto"/>
        </w:rPr>
      </w:pPr>
      <w:r>
        <w:rPr>
          <w:rFonts w:ascii="Arial" w:cs="Arial" w:eastAsia="Arial" w:hAnsi="Arial"/>
          <w:sz w:val="20"/>
          <w:szCs w:val="20"/>
          <w:b w:val="1"/>
          <w:bCs w:val="1"/>
          <w:color w:val="231F20"/>
        </w:rPr>
        <w:t>Company disciplinary actions. If the Company has a reasonable basis to conclude that you have failed to comply with this Policy, you may be subject to disciplinary action by the Company, up to and including dismissal for cause, regardless of whether or not your failure to comply with this Policy results in a violation of law. It is not necessary for the Company to wait for the filing or conclusion of any civil or criminal action against an alleged violator before taking disciplinary action. In addition, the Company may give stop transfer and other instructions to the Company</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s transfer agent to enforce compliance with this Policy.</w:t>
      </w:r>
    </w:p>
    <w:p>
      <w:pPr>
        <w:spacing w:after="0" w:line="241"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231F20"/>
        </w:rPr>
        <w:t>Compliance Officers</w:t>
      </w:r>
    </w:p>
    <w:p>
      <w:pPr>
        <w:spacing w:after="0" w:line="242" w:lineRule="exact"/>
        <w:rPr>
          <w:sz w:val="20"/>
          <w:szCs w:val="20"/>
          <w:color w:val="auto"/>
        </w:rPr>
      </w:pPr>
    </w:p>
    <w:p>
      <w:pPr>
        <w:jc w:val="both"/>
        <w:ind w:left="140" w:right="140" w:firstLine="348"/>
        <w:spacing w:after="0" w:line="266" w:lineRule="exact"/>
        <w:rPr>
          <w:sz w:val="20"/>
          <w:szCs w:val="20"/>
          <w:color w:val="auto"/>
        </w:rPr>
      </w:pPr>
      <w:r>
        <w:rPr>
          <w:rFonts w:ascii="Arial" w:cs="Arial" w:eastAsia="Arial" w:hAnsi="Arial"/>
          <w:sz w:val="21"/>
          <w:szCs w:val="21"/>
          <w:b w:val="1"/>
          <w:bCs w:val="1"/>
          <w:color w:val="231F20"/>
        </w:rPr>
        <w:t xml:space="preserve">Please direct any questions, requests or reports as to any of the matters discussed in this Policy to the Chief Executive Officer or Chief Financial Officer of the Company (each, a </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Compliance Officer</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 xml:space="preserve"> and collectively, the </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Compliance Officers</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 The Compliance Officers are generally responsible for the administration of this Policy. The Compliance Officers may select others to assist with the execution of his or her duties.</w:t>
      </w:r>
    </w:p>
    <w:p>
      <w:pPr>
        <w:spacing w:after="0" w:line="238"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231F20"/>
        </w:rPr>
        <w:t>Reporting violations</w:t>
      </w:r>
    </w:p>
    <w:p>
      <w:pPr>
        <w:spacing w:after="0" w:line="244" w:lineRule="exact"/>
        <w:rPr>
          <w:sz w:val="20"/>
          <w:szCs w:val="20"/>
          <w:color w:val="auto"/>
        </w:rPr>
      </w:pPr>
    </w:p>
    <w:p>
      <w:pPr>
        <w:jc w:val="both"/>
        <w:ind w:left="140" w:right="140" w:firstLine="348"/>
        <w:spacing w:after="0" w:line="298" w:lineRule="auto"/>
        <w:rPr>
          <w:sz w:val="20"/>
          <w:szCs w:val="20"/>
          <w:color w:val="auto"/>
        </w:rPr>
      </w:pPr>
      <w:r>
        <w:rPr>
          <w:rFonts w:ascii="Arial" w:cs="Arial" w:eastAsia="Arial" w:hAnsi="Arial"/>
          <w:sz w:val="19"/>
          <w:szCs w:val="19"/>
          <w:b w:val="1"/>
          <w:bCs w:val="1"/>
          <w:color w:val="231F20"/>
        </w:rPr>
        <w:t>It is your responsibility to help enforce this Policy. You should be alert to possible violations and promptly report violations or suspected violations of this Policy to a Compliance Officer. If your situation requires that your identity be kept secret, your anonymity will be preserved to the greatest extent reasonably possible, or otherwise permitted by law. If you wish to remain anonymous, send a letter addressed to a Compliance Officer at ALX Oncology Holdings Inc., 323 Allerton Avenue, South San Francisco, California, 94080, or contact the whistleblower hotline, by online web portal at https://www.whistleblowerservices.com/ALXO or by phone at 833-976-2062. If a Compliance Officer is implicated in your report, then you should report it through the whistleblower hotline. If you make an anonymous report, please provide as much detail as possible, including any evidence that you believe may be relevant to the issue.</w:t>
      </w:r>
    </w:p>
    <w:p>
      <w:pPr>
        <w:spacing w:after="0" w:line="189"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231F20"/>
        </w:rPr>
        <w:t>Personal responsibility</w:t>
      </w:r>
    </w:p>
    <w:p>
      <w:pPr>
        <w:spacing w:after="0" w:line="244" w:lineRule="exact"/>
        <w:rPr>
          <w:sz w:val="20"/>
          <w:szCs w:val="20"/>
          <w:color w:val="auto"/>
        </w:rPr>
      </w:pPr>
    </w:p>
    <w:p>
      <w:pPr>
        <w:jc w:val="both"/>
        <w:ind w:left="140" w:right="140" w:firstLine="348"/>
        <w:spacing w:after="0" w:line="315" w:lineRule="auto"/>
        <w:rPr>
          <w:sz w:val="20"/>
          <w:szCs w:val="20"/>
          <w:color w:val="auto"/>
        </w:rPr>
      </w:pPr>
      <w:r>
        <w:rPr>
          <w:rFonts w:ascii="Arial" w:cs="Arial" w:eastAsia="Arial" w:hAnsi="Arial"/>
          <w:sz w:val="19"/>
          <w:szCs w:val="19"/>
          <w:b w:val="1"/>
          <w:bCs w:val="1"/>
          <w:color w:val="231F20"/>
        </w:rPr>
        <w:t>The ultimate responsibility for complying with this Policy and applicable laws and regulations rests with you. You should use your best judgment at all times and consult with your legal and financial advisors, as needed. We advise you to seek assistance if you have any questions at all.</w:t>
      </w:r>
    </w:p>
    <w:p>
      <w:pPr>
        <w:sectPr>
          <w:pgSz w:w="12240" w:h="15840" w:orient="portrait"/>
          <w:cols w:equalWidth="0" w:num="1">
            <w:col w:w="9360"/>
          </w:cols>
          <w:pgMar w:left="1440" w:top="1440" w:right="1440" w:bottom="3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900"/>
        <w:spacing w:after="0"/>
        <w:rPr>
          <w:sz w:val="20"/>
          <w:szCs w:val="20"/>
          <w:color w:val="auto"/>
        </w:rPr>
      </w:pPr>
      <w:r>
        <w:rPr>
          <w:rFonts w:ascii="Arial" w:cs="Arial" w:eastAsia="Arial" w:hAnsi="Arial"/>
          <w:sz w:val="21"/>
          <w:szCs w:val="21"/>
          <w:b w:val="1"/>
          <w:bCs w:val="1"/>
          <w:color w:val="231F20"/>
        </w:rPr>
        <w:t>-2-</w:t>
      </w:r>
    </w:p>
    <w:p>
      <w:pPr>
        <w:sectPr>
          <w:pgSz w:w="12240" w:h="15840" w:orient="portrait"/>
          <w:cols w:equalWidth="0" w:num="1">
            <w:col w:w="9360"/>
          </w:cols>
          <w:pgMar w:left="1440" w:top="1440" w:right="1440" w:bottom="371" w:gutter="0" w:footer="0" w:header="0"/>
          <w:type w:val="continuous"/>
        </w:sectPr>
      </w:pPr>
    </w:p>
    <w:bookmarkStart w:id="174" w:name="page175"/>
    <w:bookmarkEnd w:id="174"/>
    <w:p>
      <w:pPr>
        <w:spacing w:after="0" w:line="64" w:lineRule="exact"/>
        <w:rPr>
          <w:sz w:val="20"/>
          <w:szCs w:val="20"/>
          <w:color w:val="auto"/>
        </w:rPr>
      </w:pPr>
    </w:p>
    <w:p>
      <w:pPr>
        <w:ind w:left="140" w:right="140"/>
        <w:spacing w:after="0" w:line="238" w:lineRule="auto"/>
        <w:rPr>
          <w:sz w:val="20"/>
          <w:szCs w:val="20"/>
          <w:color w:val="auto"/>
        </w:rPr>
      </w:pPr>
      <w:r>
        <w:rPr>
          <w:rFonts w:ascii="Arial" w:cs="Arial" w:eastAsia="Arial" w:hAnsi="Arial"/>
          <w:sz w:val="23"/>
          <w:szCs w:val="23"/>
          <w:b w:val="1"/>
          <w:bCs w:val="1"/>
          <w:color w:val="231F20"/>
        </w:rPr>
        <w:t>The rules relating to insider trading can be complex, and a violation of insider trading laws can carry severe consequences.</w:t>
      </w:r>
    </w:p>
    <w:p>
      <w:pPr>
        <w:sectPr>
          <w:pgSz w:w="12240" w:h="15840" w:orient="portrait"/>
          <w:cols w:equalWidth="0" w:num="1">
            <w:col w:w="9360"/>
          </w:cols>
          <w:pgMar w:left="1440" w:top="1440" w:right="1440" w:bottom="3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900"/>
        <w:spacing w:after="0"/>
        <w:rPr>
          <w:sz w:val="20"/>
          <w:szCs w:val="20"/>
          <w:color w:val="auto"/>
        </w:rPr>
      </w:pPr>
      <w:r>
        <w:rPr>
          <w:rFonts w:ascii="Arial" w:cs="Arial" w:eastAsia="Arial" w:hAnsi="Arial"/>
          <w:sz w:val="21"/>
          <w:szCs w:val="21"/>
          <w:b w:val="1"/>
          <w:bCs w:val="1"/>
          <w:color w:val="231F20"/>
        </w:rPr>
        <w:t>-3-</w:t>
      </w:r>
    </w:p>
    <w:p>
      <w:pPr>
        <w:sectPr>
          <w:pgSz w:w="12240" w:h="15840" w:orient="portrait"/>
          <w:cols w:equalWidth="0" w:num="1">
            <w:col w:w="9360"/>
          </w:cols>
          <w:pgMar w:left="1440" w:top="1440" w:right="1440" w:bottom="371" w:gutter="0" w:footer="0" w:header="0"/>
          <w:type w:val="continuous"/>
        </w:sectPr>
      </w:pPr>
    </w:p>
    <w:bookmarkStart w:id="175" w:name="page176"/>
    <w:bookmarkEnd w:id="175"/>
    <w:p>
      <w:pPr>
        <w:spacing w:after="0" w:line="64" w:lineRule="exact"/>
        <w:rPr>
          <w:sz w:val="20"/>
          <w:szCs w:val="20"/>
          <w:color w:val="auto"/>
        </w:rPr>
      </w:pPr>
    </w:p>
    <w:p>
      <w:pPr>
        <w:ind w:left="140" w:right="1320" w:firstLine="1176"/>
        <w:spacing w:after="0" w:line="445" w:lineRule="auto"/>
        <w:rPr>
          <w:sz w:val="20"/>
          <w:szCs w:val="20"/>
          <w:color w:val="auto"/>
        </w:rPr>
      </w:pPr>
      <w:r>
        <w:rPr>
          <w:rFonts w:ascii="Arial" w:cs="Arial" w:eastAsia="Arial" w:hAnsi="Arial"/>
          <w:sz w:val="23"/>
          <w:szCs w:val="23"/>
          <w:b w:val="1"/>
          <w:bCs w:val="1"/>
          <w:color w:val="231F20"/>
        </w:rPr>
        <w:t>PERSONS AND TRANSACTIONS COVERED BY THIS POLICY Persons covered by this Policy</w:t>
      </w:r>
    </w:p>
    <w:p>
      <w:pPr>
        <w:spacing w:after="0" w:line="1" w:lineRule="exact"/>
        <w:rPr>
          <w:sz w:val="20"/>
          <w:szCs w:val="20"/>
          <w:color w:val="auto"/>
        </w:rPr>
      </w:pPr>
    </w:p>
    <w:p>
      <w:pPr>
        <w:jc w:val="both"/>
        <w:ind w:left="140" w:right="140" w:firstLine="348"/>
        <w:spacing w:after="0" w:line="266" w:lineRule="exact"/>
        <w:rPr>
          <w:sz w:val="20"/>
          <w:szCs w:val="20"/>
          <w:color w:val="auto"/>
        </w:rPr>
      </w:pPr>
      <w:r>
        <w:rPr>
          <w:rFonts w:ascii="Arial" w:cs="Arial" w:eastAsia="Arial" w:hAnsi="Arial"/>
          <w:sz w:val="19"/>
          <w:szCs w:val="19"/>
          <w:b w:val="1"/>
          <w:bCs w:val="1"/>
          <w:color w:val="231F20"/>
        </w:rPr>
        <w:t xml:space="preserve">This Policy applies to all directors, officers, employees, consultants, contractors and advisors of the Company. References in this Policy to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you</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(as well as general references to directors, officers, employees, consultants, contractors and advisors of the Company) should also be understood to include members of your immediate family, persons with whom you share a household, persons who are your economic dependents and any other individuals or entities whose transactions in securities you influence, direct or control (including, for example, a venture or other investment fund, if you influence, direct or control transactions by the fund). You are responsible for making sure that these other individuals and entities comply with this Policy.</w:t>
      </w:r>
    </w:p>
    <w:p>
      <w:pPr>
        <w:spacing w:after="0" w:line="243"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231F20"/>
        </w:rPr>
        <w:t>Types of transactions covered by this Policy</w:t>
      </w:r>
    </w:p>
    <w:p>
      <w:pPr>
        <w:spacing w:after="0" w:line="222" w:lineRule="exact"/>
        <w:rPr>
          <w:sz w:val="20"/>
          <w:szCs w:val="20"/>
          <w:color w:val="auto"/>
        </w:rPr>
      </w:pPr>
    </w:p>
    <w:p>
      <w:pPr>
        <w:jc w:val="both"/>
        <w:ind w:left="140" w:right="140" w:firstLine="350"/>
        <w:spacing w:after="0" w:line="267" w:lineRule="exact"/>
        <w:rPr>
          <w:sz w:val="20"/>
          <w:szCs w:val="20"/>
          <w:color w:val="auto"/>
        </w:rPr>
      </w:pPr>
      <w:r>
        <w:rPr>
          <w:rFonts w:ascii="Arial" w:cs="Arial" w:eastAsia="Arial" w:hAnsi="Arial"/>
          <w:sz w:val="19"/>
          <w:szCs w:val="19"/>
          <w:b w:val="1"/>
          <w:bCs w:val="1"/>
          <w:color w:val="231F20"/>
        </w:rPr>
        <w:t xml:space="preserve">Except as discussed in the section entitled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Limited Exceptions</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this Policy applies to all transactions involving the securities of the Company or the securities of other companies as to which you possess material nonpublic information obtained in the course of your service with the Company. This Policy therefore applies to purchases, sales and other transfers of common stock, options, restricted stock units, warrants, preferred stock, debt securities (such as debentures, bonds and notes) and other securities of the Company and such other companies, whether direct or indirect (including transactions made on your behalf by money managers), and any offer to engage in the foregoing transactions. This Policy also applies to any disposition in the form of a gift of any securities of the Company and any distribution to holders of interests in an entity if the entity is subject to this Policy. This Policy also applies to any arrangements that affect economic exposure to changes in the prices of these securities. These arrangements may include, among other things, transactions in derivative securities (such as exchange-traded put or call options, swaps, caps and collars), hedging and pledging transactions, short sales and certain decisions with respect to participation in benefit plans, and any offer to engage in the foregoing transactions. You should note that there are no exceptions from insider trading laws or this Policy based on the size of the transaction or the type of consideration received.</w:t>
      </w:r>
    </w:p>
    <w:p>
      <w:pPr>
        <w:spacing w:after="0" w:line="242"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231F20"/>
        </w:rPr>
        <w:t>Responsibilities regarding the nonpublic information of other companies</w:t>
      </w:r>
    </w:p>
    <w:p>
      <w:pPr>
        <w:spacing w:after="0" w:line="222" w:lineRule="exact"/>
        <w:rPr>
          <w:sz w:val="20"/>
          <w:szCs w:val="20"/>
          <w:color w:val="auto"/>
        </w:rPr>
      </w:pPr>
    </w:p>
    <w:p>
      <w:pPr>
        <w:jc w:val="both"/>
        <w:ind w:left="140" w:right="140" w:firstLine="350"/>
        <w:spacing w:after="0" w:line="265" w:lineRule="exact"/>
        <w:rPr>
          <w:sz w:val="20"/>
          <w:szCs w:val="20"/>
          <w:color w:val="auto"/>
        </w:rPr>
      </w:pPr>
      <w:r>
        <w:rPr>
          <w:rFonts w:ascii="Arial" w:cs="Arial" w:eastAsia="Arial" w:hAnsi="Arial"/>
          <w:sz w:val="22"/>
          <w:szCs w:val="22"/>
          <w:b w:val="1"/>
          <w:bCs w:val="1"/>
          <w:color w:val="231F20"/>
        </w:rPr>
        <w:t>This Policy prohibits the unauthorized disclosure or other misuse of any nonpublic information of other companies, such as the Company</w:t>
      </w:r>
      <w:r>
        <w:rPr>
          <w:rFonts w:ascii="PMingLiU" w:cs="PMingLiU" w:eastAsia="PMingLiU" w:hAnsi="PMingLiU"/>
          <w:sz w:val="22"/>
          <w:szCs w:val="22"/>
          <w:b w:val="1"/>
          <w:bCs w:val="1"/>
          <w:color w:val="231F20"/>
        </w:rPr>
        <w:t></w:t>
      </w:r>
      <w:r>
        <w:rPr>
          <w:rFonts w:ascii="Arial" w:cs="Arial" w:eastAsia="Arial" w:hAnsi="Arial"/>
          <w:sz w:val="22"/>
          <w:szCs w:val="22"/>
          <w:b w:val="1"/>
          <w:bCs w:val="1"/>
          <w:color w:val="231F20"/>
        </w:rPr>
        <w:t>s distributors, vendors, customers, collaborators, suppliers and competitors. This Policy also prohibits insider trading and tipping based on the material nonpublic information of other companies.</w:t>
      </w:r>
    </w:p>
    <w:p>
      <w:pPr>
        <w:spacing w:after="0" w:line="236"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231F20"/>
        </w:rPr>
        <w:t>Applicability of this Policy after your departure</w:t>
      </w:r>
    </w:p>
    <w:p>
      <w:pPr>
        <w:spacing w:after="0" w:line="244" w:lineRule="exact"/>
        <w:rPr>
          <w:sz w:val="20"/>
          <w:szCs w:val="20"/>
          <w:color w:val="auto"/>
        </w:rPr>
      </w:pPr>
    </w:p>
    <w:p>
      <w:pPr>
        <w:jc w:val="both"/>
        <w:ind w:left="140" w:right="140"/>
        <w:spacing w:after="0" w:line="266" w:lineRule="exact"/>
        <w:rPr>
          <w:sz w:val="20"/>
          <w:szCs w:val="20"/>
          <w:color w:val="auto"/>
        </w:rPr>
      </w:pPr>
      <w:r>
        <w:rPr>
          <w:rFonts w:ascii="Arial" w:cs="Arial" w:eastAsia="Arial" w:hAnsi="Arial"/>
          <w:sz w:val="20"/>
          <w:szCs w:val="20"/>
          <w:b w:val="1"/>
          <w:bCs w:val="1"/>
          <w:color w:val="231F20"/>
        </w:rPr>
        <w:t>You are expected to comply with this Policy until such time as you are no longer affiliated with the Company. Regardless of whether you are employed or affiliated with the Company, if you are aware of material nonpublic information, you will be subject to the insider trading laws and you may not trade in ALX Oncology Holdings</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 xml:space="preserve"> securities or in the securities from which you have obtained material nonpublic information in the course of performing</w:t>
      </w:r>
    </w:p>
    <w:p>
      <w:pPr>
        <w:sectPr>
          <w:pgSz w:w="12240" w:h="15840" w:orient="portrait"/>
          <w:cols w:equalWidth="0" w:num="1">
            <w:col w:w="9360"/>
          </w:cols>
          <w:pgMar w:left="1440" w:top="1440" w:right="1440" w:bottom="3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900"/>
        <w:spacing w:after="0"/>
        <w:rPr>
          <w:sz w:val="20"/>
          <w:szCs w:val="20"/>
          <w:color w:val="auto"/>
        </w:rPr>
      </w:pPr>
      <w:r>
        <w:rPr>
          <w:rFonts w:ascii="Arial" w:cs="Arial" w:eastAsia="Arial" w:hAnsi="Arial"/>
          <w:sz w:val="21"/>
          <w:szCs w:val="21"/>
          <w:b w:val="1"/>
          <w:bCs w:val="1"/>
          <w:color w:val="231F20"/>
        </w:rPr>
        <w:t>-4-</w:t>
      </w:r>
    </w:p>
    <w:p>
      <w:pPr>
        <w:sectPr>
          <w:pgSz w:w="12240" w:h="15840" w:orient="portrait"/>
          <w:cols w:equalWidth="0" w:num="1">
            <w:col w:w="9360"/>
          </w:cols>
          <w:pgMar w:left="1440" w:top="1440" w:right="1440" w:bottom="371" w:gutter="0" w:footer="0" w:header="0"/>
          <w:type w:val="continuous"/>
        </w:sectPr>
      </w:pPr>
    </w:p>
    <w:bookmarkStart w:id="176" w:name="page177"/>
    <w:bookmarkEnd w:id="176"/>
    <w:p>
      <w:pPr>
        <w:spacing w:after="0" w:line="64" w:lineRule="exact"/>
        <w:rPr>
          <w:sz w:val="20"/>
          <w:szCs w:val="20"/>
          <w:color w:val="auto"/>
        </w:rPr>
      </w:pPr>
    </w:p>
    <w:p>
      <w:pPr>
        <w:jc w:val="both"/>
        <w:ind w:left="140" w:right="140"/>
        <w:spacing w:after="0" w:line="259" w:lineRule="auto"/>
        <w:rPr>
          <w:sz w:val="20"/>
          <w:szCs w:val="20"/>
          <w:color w:val="auto"/>
        </w:rPr>
      </w:pPr>
      <w:r>
        <w:rPr>
          <w:rFonts w:ascii="Arial" w:cs="Arial" w:eastAsia="Arial" w:hAnsi="Arial"/>
          <w:sz w:val="22"/>
          <w:szCs w:val="22"/>
          <w:b w:val="1"/>
          <w:bCs w:val="1"/>
          <w:color w:val="231F20"/>
        </w:rPr>
        <w:t>services for ALX Oncology Holdings until after that information has become public or is no longer material. There are no exceptions based on personal circumstances.</w:t>
      </w:r>
    </w:p>
    <w:p>
      <w:pPr>
        <w:spacing w:after="0" w:line="222" w:lineRule="exact"/>
        <w:rPr>
          <w:sz w:val="20"/>
          <w:szCs w:val="20"/>
          <w:color w:val="auto"/>
        </w:rPr>
      </w:pPr>
    </w:p>
    <w:p>
      <w:pPr>
        <w:jc w:val="both"/>
        <w:ind w:left="140" w:right="140" w:firstLine="348"/>
        <w:spacing w:after="0" w:line="289" w:lineRule="auto"/>
        <w:rPr>
          <w:sz w:val="20"/>
          <w:szCs w:val="20"/>
          <w:color w:val="auto"/>
        </w:rPr>
      </w:pPr>
      <w:r>
        <w:rPr>
          <w:rFonts w:ascii="Arial" w:cs="Arial" w:eastAsia="Arial" w:hAnsi="Arial"/>
          <w:sz w:val="20"/>
          <w:szCs w:val="20"/>
          <w:b w:val="1"/>
          <w:bCs w:val="1"/>
          <w:color w:val="231F20"/>
        </w:rPr>
        <w:t>There may be instances where you suffer financial harm or other hardship or are otherwise required to forego a planned transaction because of the restrictions imposed by this Policy. Personal financial emergency or other personal circumstances are not mitigating factors under securities laws and will not excuse a failure to comply with this Policy.</w:t>
      </w:r>
    </w:p>
    <w:p>
      <w:pPr>
        <w:sectPr>
          <w:pgSz w:w="12240" w:h="15840" w:orient="portrait"/>
          <w:cols w:equalWidth="0" w:num="1">
            <w:col w:w="9360"/>
          </w:cols>
          <w:pgMar w:left="1440" w:top="1440" w:right="1440" w:bottom="3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900"/>
        <w:spacing w:after="0"/>
        <w:rPr>
          <w:sz w:val="20"/>
          <w:szCs w:val="20"/>
          <w:color w:val="auto"/>
        </w:rPr>
      </w:pPr>
      <w:r>
        <w:rPr>
          <w:rFonts w:ascii="Arial" w:cs="Arial" w:eastAsia="Arial" w:hAnsi="Arial"/>
          <w:sz w:val="21"/>
          <w:szCs w:val="21"/>
          <w:b w:val="1"/>
          <w:bCs w:val="1"/>
          <w:color w:val="231F20"/>
        </w:rPr>
        <w:t>-5-</w:t>
      </w:r>
    </w:p>
    <w:p>
      <w:pPr>
        <w:sectPr>
          <w:pgSz w:w="12240" w:h="15840" w:orient="portrait"/>
          <w:cols w:equalWidth="0" w:num="1">
            <w:col w:w="9360"/>
          </w:cols>
          <w:pgMar w:left="1440" w:top="1440" w:right="1440" w:bottom="371" w:gutter="0" w:footer="0" w:header="0"/>
          <w:type w:val="continuous"/>
        </w:sectPr>
      </w:pPr>
    </w:p>
    <w:bookmarkStart w:id="177" w:name="page178"/>
    <w:bookmarkEnd w:id="177"/>
    <w:p>
      <w:pPr>
        <w:spacing w:after="0" w:line="64" w:lineRule="exact"/>
        <w:rPr>
          <w:sz w:val="20"/>
          <w:szCs w:val="20"/>
          <w:color w:val="auto"/>
        </w:rPr>
      </w:pPr>
    </w:p>
    <w:p>
      <w:pPr>
        <w:ind w:left="140" w:right="2420" w:firstLine="2275"/>
        <w:spacing w:after="0" w:line="380" w:lineRule="exact"/>
        <w:rPr>
          <w:sz w:val="20"/>
          <w:szCs w:val="20"/>
          <w:color w:val="auto"/>
        </w:rPr>
      </w:pPr>
      <w:r>
        <w:rPr>
          <w:rFonts w:ascii="Arial" w:cs="Arial" w:eastAsia="Arial" w:hAnsi="Arial"/>
          <w:sz w:val="23"/>
          <w:szCs w:val="23"/>
          <w:b w:val="1"/>
          <w:bCs w:val="1"/>
          <w:color w:val="231F20"/>
        </w:rPr>
        <w:t xml:space="preserve">MATERIAL NONPUBLIC INFORMATION </w:t>
      </w:r>
      <w:r>
        <w:rPr>
          <w:rFonts w:ascii="PMingLiU" w:cs="PMingLiU" w:eastAsia="PMingLiU" w:hAnsi="PMingLiU"/>
          <w:sz w:val="23"/>
          <w:szCs w:val="23"/>
          <w:b w:val="1"/>
          <w:bCs w:val="1"/>
          <w:color w:val="231F20"/>
        </w:rPr>
        <w:t></w:t>
      </w:r>
      <w:r>
        <w:rPr>
          <w:rFonts w:ascii="Arial" w:cs="Arial" w:eastAsia="Arial" w:hAnsi="Arial"/>
          <w:sz w:val="23"/>
          <w:szCs w:val="23"/>
          <w:b w:val="1"/>
          <w:bCs w:val="1"/>
          <w:color w:val="231F20"/>
        </w:rPr>
        <w:t>Material</w:t>
      </w:r>
      <w:r>
        <w:rPr>
          <w:rFonts w:ascii="PMingLiU" w:cs="PMingLiU" w:eastAsia="PMingLiU" w:hAnsi="PMingLiU"/>
          <w:sz w:val="23"/>
          <w:szCs w:val="23"/>
          <w:b w:val="1"/>
          <w:bCs w:val="1"/>
          <w:color w:val="231F20"/>
        </w:rPr>
        <w:t></w:t>
      </w:r>
      <w:r>
        <w:rPr>
          <w:rFonts w:ascii="Arial" w:cs="Arial" w:eastAsia="Arial" w:hAnsi="Arial"/>
          <w:sz w:val="23"/>
          <w:szCs w:val="23"/>
          <w:b w:val="1"/>
          <w:bCs w:val="1"/>
          <w:color w:val="231F20"/>
        </w:rPr>
        <w:t xml:space="preserve"> information</w:t>
      </w:r>
    </w:p>
    <w:p>
      <w:pPr>
        <w:spacing w:after="0" w:line="243" w:lineRule="exact"/>
        <w:rPr>
          <w:sz w:val="20"/>
          <w:szCs w:val="20"/>
          <w:color w:val="auto"/>
        </w:rPr>
      </w:pPr>
    </w:p>
    <w:p>
      <w:pPr>
        <w:jc w:val="both"/>
        <w:ind w:left="140" w:right="140" w:firstLine="348"/>
        <w:spacing w:after="0" w:line="254" w:lineRule="auto"/>
        <w:rPr>
          <w:sz w:val="20"/>
          <w:szCs w:val="20"/>
          <w:color w:val="auto"/>
        </w:rPr>
      </w:pPr>
      <w:r>
        <w:rPr>
          <w:rFonts w:ascii="Arial" w:cs="Arial" w:eastAsia="Arial" w:hAnsi="Arial"/>
          <w:sz w:val="22"/>
          <w:szCs w:val="22"/>
          <w:b w:val="1"/>
          <w:bCs w:val="1"/>
          <w:color w:val="231F20"/>
        </w:rPr>
        <w:t>Information should be regarded as material if there is a substantial likelihood that a reasonable investor would consider it important in deciding whether to buy, hold or sell securities or would view the information as significantly altering the total mix of information in the marketplace about the issuer of the security. In general, any information that could reasonably be expected to affect the market price of a security is likely to be material. Either positive or negative information may be material.</w:t>
      </w:r>
    </w:p>
    <w:p>
      <w:pPr>
        <w:spacing w:after="0" w:line="234" w:lineRule="exact"/>
        <w:rPr>
          <w:sz w:val="20"/>
          <w:szCs w:val="20"/>
          <w:color w:val="auto"/>
        </w:rPr>
      </w:pPr>
    </w:p>
    <w:p>
      <w:pPr>
        <w:jc w:val="both"/>
        <w:ind w:left="140" w:right="140" w:firstLine="348"/>
        <w:spacing w:after="0" w:line="262" w:lineRule="exact"/>
        <w:rPr>
          <w:sz w:val="20"/>
          <w:szCs w:val="20"/>
          <w:color w:val="auto"/>
        </w:rPr>
      </w:pPr>
      <w:r>
        <w:rPr>
          <w:rFonts w:ascii="Arial" w:cs="Arial" w:eastAsia="Arial" w:hAnsi="Arial"/>
          <w:sz w:val="19"/>
          <w:szCs w:val="19"/>
          <w:b w:val="1"/>
          <w:bCs w:val="1"/>
          <w:color w:val="231F20"/>
        </w:rPr>
        <w:t xml:space="preserve">It is not possible to define all categories of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material</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information. However, some examples of information that would often be regarded as material include information with respect to:</w:t>
      </w:r>
    </w:p>
    <w:p>
      <w:pPr>
        <w:spacing w:after="0" w:line="122" w:lineRule="exact"/>
        <w:rPr>
          <w:sz w:val="20"/>
          <w:szCs w:val="20"/>
          <w:color w:val="auto"/>
        </w:rPr>
      </w:pPr>
    </w:p>
    <w:p>
      <w:pPr>
        <w:ind w:left="1540" w:hanging="352"/>
        <w:spacing w:after="0"/>
        <w:tabs>
          <w:tab w:leader="none" w:pos="1540" w:val="left"/>
        </w:tabs>
        <w:numPr>
          <w:ilvl w:val="0"/>
          <w:numId w:val="57"/>
        </w:numPr>
        <w:rPr>
          <w:rFonts w:ascii="PMingLiU" w:cs="PMingLiU" w:eastAsia="PMingLiU" w:hAnsi="PMingLiU"/>
          <w:sz w:val="23"/>
          <w:szCs w:val="23"/>
          <w:b w:val="1"/>
          <w:bCs w:val="1"/>
          <w:color w:val="231F20"/>
        </w:rPr>
      </w:pPr>
      <w:r>
        <w:rPr>
          <w:rFonts w:ascii="Arial" w:cs="Arial" w:eastAsia="Arial" w:hAnsi="Arial"/>
          <w:sz w:val="23"/>
          <w:szCs w:val="23"/>
          <w:b w:val="1"/>
          <w:bCs w:val="1"/>
          <w:color w:val="231F20"/>
        </w:rPr>
        <w:t>Clinical trial results;</w:t>
      </w:r>
    </w:p>
    <w:p>
      <w:pPr>
        <w:spacing w:after="0" w:line="143" w:lineRule="exact"/>
        <w:rPr>
          <w:rFonts w:ascii="PMingLiU" w:cs="PMingLiU" w:eastAsia="PMingLiU" w:hAnsi="PMingLiU"/>
          <w:sz w:val="23"/>
          <w:szCs w:val="23"/>
          <w:b w:val="1"/>
          <w:bCs w:val="1"/>
          <w:color w:val="231F20"/>
        </w:rPr>
      </w:pPr>
    </w:p>
    <w:p>
      <w:pPr>
        <w:ind w:left="1540" w:right="140" w:hanging="352"/>
        <w:spacing w:after="0" w:line="232" w:lineRule="auto"/>
        <w:tabs>
          <w:tab w:leader="none" w:pos="1540" w:val="left"/>
        </w:tabs>
        <w:numPr>
          <w:ilvl w:val="0"/>
          <w:numId w:val="57"/>
        </w:numPr>
        <w:rPr>
          <w:rFonts w:ascii="PMingLiU" w:cs="PMingLiU" w:eastAsia="PMingLiU" w:hAnsi="PMingLiU"/>
          <w:sz w:val="23"/>
          <w:szCs w:val="23"/>
          <w:b w:val="1"/>
          <w:bCs w:val="1"/>
          <w:color w:val="231F20"/>
        </w:rPr>
      </w:pPr>
      <w:r>
        <w:rPr>
          <w:rFonts w:ascii="Arial" w:cs="Arial" w:eastAsia="Arial" w:hAnsi="Arial"/>
          <w:sz w:val="23"/>
          <w:szCs w:val="23"/>
          <w:b w:val="1"/>
          <w:bCs w:val="1"/>
          <w:color w:val="231F20"/>
        </w:rPr>
        <w:t>Significant developments in research and development or relating to intellectual property;</w:t>
      </w:r>
    </w:p>
    <w:p>
      <w:pPr>
        <w:spacing w:after="0" w:line="144" w:lineRule="exact"/>
        <w:rPr>
          <w:rFonts w:ascii="PMingLiU" w:cs="PMingLiU" w:eastAsia="PMingLiU" w:hAnsi="PMingLiU"/>
          <w:sz w:val="23"/>
          <w:szCs w:val="23"/>
          <w:b w:val="1"/>
          <w:bCs w:val="1"/>
          <w:color w:val="231F20"/>
        </w:rPr>
      </w:pPr>
    </w:p>
    <w:p>
      <w:pPr>
        <w:jc w:val="both"/>
        <w:ind w:left="1540" w:right="140" w:hanging="352"/>
        <w:spacing w:after="0" w:line="235" w:lineRule="auto"/>
        <w:tabs>
          <w:tab w:leader="none" w:pos="1540" w:val="left"/>
        </w:tabs>
        <w:numPr>
          <w:ilvl w:val="0"/>
          <w:numId w:val="57"/>
        </w:numPr>
        <w:rPr>
          <w:rFonts w:ascii="PMingLiU" w:cs="PMingLiU" w:eastAsia="PMingLiU" w:hAnsi="PMingLiU"/>
          <w:sz w:val="23"/>
          <w:szCs w:val="23"/>
          <w:b w:val="1"/>
          <w:bCs w:val="1"/>
          <w:color w:val="231F20"/>
        </w:rPr>
      </w:pPr>
      <w:r>
        <w:rPr>
          <w:rFonts w:ascii="Arial" w:cs="Arial" w:eastAsia="Arial" w:hAnsi="Arial"/>
          <w:sz w:val="23"/>
          <w:szCs w:val="23"/>
          <w:b w:val="1"/>
          <w:bCs w:val="1"/>
          <w:color w:val="231F20"/>
        </w:rPr>
        <w:t>Financial results, financial condition, earnings pre-announcements, guidance, projections or forecasts, particularly if inconsistent with the expectations of the investment community;</w:t>
      </w:r>
    </w:p>
    <w:p>
      <w:pPr>
        <w:spacing w:after="0" w:line="145" w:lineRule="exact"/>
        <w:rPr>
          <w:rFonts w:ascii="PMingLiU" w:cs="PMingLiU" w:eastAsia="PMingLiU" w:hAnsi="PMingLiU"/>
          <w:sz w:val="23"/>
          <w:szCs w:val="23"/>
          <w:b w:val="1"/>
          <w:bCs w:val="1"/>
          <w:color w:val="231F20"/>
        </w:rPr>
      </w:pPr>
    </w:p>
    <w:p>
      <w:pPr>
        <w:ind w:left="1540" w:right="140" w:hanging="352"/>
        <w:spacing w:after="0" w:line="231" w:lineRule="auto"/>
        <w:tabs>
          <w:tab w:leader="none" w:pos="1540" w:val="left"/>
        </w:tabs>
        <w:numPr>
          <w:ilvl w:val="0"/>
          <w:numId w:val="57"/>
        </w:numPr>
        <w:rPr>
          <w:rFonts w:ascii="PMingLiU" w:cs="PMingLiU" w:eastAsia="PMingLiU" w:hAnsi="PMingLiU"/>
          <w:sz w:val="23"/>
          <w:szCs w:val="23"/>
          <w:b w:val="1"/>
          <w:bCs w:val="1"/>
          <w:color w:val="231F20"/>
        </w:rPr>
      </w:pPr>
      <w:r>
        <w:rPr>
          <w:rFonts w:ascii="Arial" w:cs="Arial" w:eastAsia="Arial" w:hAnsi="Arial"/>
          <w:sz w:val="23"/>
          <w:szCs w:val="23"/>
          <w:b w:val="1"/>
          <w:bCs w:val="1"/>
          <w:color w:val="231F20"/>
        </w:rPr>
        <w:t>Restatements of financial results, or material impairments, write-offs or restructurings;</w:t>
      </w:r>
    </w:p>
    <w:p>
      <w:pPr>
        <w:spacing w:after="0" w:line="144" w:lineRule="exact"/>
        <w:rPr>
          <w:rFonts w:ascii="PMingLiU" w:cs="PMingLiU" w:eastAsia="PMingLiU" w:hAnsi="PMingLiU"/>
          <w:sz w:val="23"/>
          <w:szCs w:val="23"/>
          <w:b w:val="1"/>
          <w:bCs w:val="1"/>
          <w:color w:val="231F20"/>
        </w:rPr>
      </w:pPr>
    </w:p>
    <w:p>
      <w:pPr>
        <w:ind w:left="1540" w:right="140" w:hanging="352"/>
        <w:spacing w:after="0" w:line="232" w:lineRule="auto"/>
        <w:tabs>
          <w:tab w:leader="none" w:pos="1540" w:val="left"/>
        </w:tabs>
        <w:numPr>
          <w:ilvl w:val="0"/>
          <w:numId w:val="57"/>
        </w:numPr>
        <w:rPr>
          <w:rFonts w:ascii="PMingLiU" w:cs="PMingLiU" w:eastAsia="PMingLiU" w:hAnsi="PMingLiU"/>
          <w:sz w:val="23"/>
          <w:szCs w:val="23"/>
          <w:b w:val="1"/>
          <w:bCs w:val="1"/>
          <w:color w:val="231F20"/>
        </w:rPr>
      </w:pPr>
      <w:r>
        <w:rPr>
          <w:rFonts w:ascii="Arial" w:cs="Arial" w:eastAsia="Arial" w:hAnsi="Arial"/>
          <w:sz w:val="23"/>
          <w:szCs w:val="23"/>
          <w:b w:val="1"/>
          <w:bCs w:val="1"/>
          <w:color w:val="231F20"/>
        </w:rPr>
        <w:t>Changes in independent auditors, or notification that the Company may no longer rely on an audit report;</w:t>
      </w:r>
    </w:p>
    <w:p>
      <w:pPr>
        <w:spacing w:after="0" w:line="123" w:lineRule="exact"/>
        <w:rPr>
          <w:rFonts w:ascii="PMingLiU" w:cs="PMingLiU" w:eastAsia="PMingLiU" w:hAnsi="PMingLiU"/>
          <w:sz w:val="23"/>
          <w:szCs w:val="23"/>
          <w:b w:val="1"/>
          <w:bCs w:val="1"/>
          <w:color w:val="231F20"/>
        </w:rPr>
      </w:pPr>
    </w:p>
    <w:p>
      <w:pPr>
        <w:ind w:left="1540" w:hanging="352"/>
        <w:spacing w:after="0"/>
        <w:tabs>
          <w:tab w:leader="none" w:pos="1540" w:val="left"/>
        </w:tabs>
        <w:numPr>
          <w:ilvl w:val="0"/>
          <w:numId w:val="57"/>
        </w:numPr>
        <w:rPr>
          <w:rFonts w:ascii="PMingLiU" w:cs="PMingLiU" w:eastAsia="PMingLiU" w:hAnsi="PMingLiU"/>
          <w:sz w:val="23"/>
          <w:szCs w:val="23"/>
          <w:b w:val="1"/>
          <w:bCs w:val="1"/>
          <w:color w:val="231F20"/>
        </w:rPr>
      </w:pPr>
      <w:r>
        <w:rPr>
          <w:rFonts w:ascii="Arial" w:cs="Arial" w:eastAsia="Arial" w:hAnsi="Arial"/>
          <w:sz w:val="23"/>
          <w:szCs w:val="23"/>
          <w:b w:val="1"/>
          <w:bCs w:val="1"/>
          <w:color w:val="231F20"/>
        </w:rPr>
        <w:t>Significant changes in business plans or budgets;</w:t>
      </w:r>
    </w:p>
    <w:p>
      <w:pPr>
        <w:spacing w:after="0" w:line="143" w:lineRule="exact"/>
        <w:rPr>
          <w:rFonts w:ascii="PMingLiU" w:cs="PMingLiU" w:eastAsia="PMingLiU" w:hAnsi="PMingLiU"/>
          <w:sz w:val="23"/>
          <w:szCs w:val="23"/>
          <w:b w:val="1"/>
          <w:bCs w:val="1"/>
          <w:color w:val="231F20"/>
        </w:rPr>
      </w:pPr>
    </w:p>
    <w:p>
      <w:pPr>
        <w:ind w:left="1540" w:right="140" w:hanging="352"/>
        <w:spacing w:after="0" w:line="231" w:lineRule="auto"/>
        <w:tabs>
          <w:tab w:leader="none" w:pos="1540" w:val="left"/>
        </w:tabs>
        <w:numPr>
          <w:ilvl w:val="0"/>
          <w:numId w:val="57"/>
        </w:numPr>
        <w:rPr>
          <w:rFonts w:ascii="PMingLiU" w:cs="PMingLiU" w:eastAsia="PMingLiU" w:hAnsi="PMingLiU"/>
          <w:sz w:val="23"/>
          <w:szCs w:val="23"/>
          <w:b w:val="1"/>
          <w:bCs w:val="1"/>
          <w:color w:val="231F20"/>
        </w:rPr>
      </w:pPr>
      <w:r>
        <w:rPr>
          <w:rFonts w:ascii="Arial" w:cs="Arial" w:eastAsia="Arial" w:hAnsi="Arial"/>
          <w:sz w:val="23"/>
          <w:szCs w:val="23"/>
          <w:b w:val="1"/>
          <w:bCs w:val="1"/>
          <w:color w:val="231F20"/>
        </w:rPr>
        <w:t>Creation of significant financial obligations, or any significant default under or acceleration of any financial obligation;</w:t>
      </w:r>
    </w:p>
    <w:p>
      <w:pPr>
        <w:spacing w:after="0" w:line="123" w:lineRule="exact"/>
        <w:rPr>
          <w:rFonts w:ascii="PMingLiU" w:cs="PMingLiU" w:eastAsia="PMingLiU" w:hAnsi="PMingLiU"/>
          <w:sz w:val="23"/>
          <w:szCs w:val="23"/>
          <w:b w:val="1"/>
          <w:bCs w:val="1"/>
          <w:color w:val="231F20"/>
        </w:rPr>
      </w:pPr>
    </w:p>
    <w:p>
      <w:pPr>
        <w:ind w:left="1540" w:hanging="352"/>
        <w:spacing w:after="0"/>
        <w:tabs>
          <w:tab w:leader="none" w:pos="1540" w:val="left"/>
        </w:tabs>
        <w:numPr>
          <w:ilvl w:val="0"/>
          <w:numId w:val="57"/>
        </w:numPr>
        <w:rPr>
          <w:rFonts w:ascii="PMingLiU" w:cs="PMingLiU" w:eastAsia="PMingLiU" w:hAnsi="PMingLiU"/>
          <w:sz w:val="23"/>
          <w:szCs w:val="23"/>
          <w:b w:val="1"/>
          <w:bCs w:val="1"/>
          <w:color w:val="231F20"/>
        </w:rPr>
      </w:pPr>
      <w:r>
        <w:rPr>
          <w:rFonts w:ascii="Arial" w:cs="Arial" w:eastAsia="Arial" w:hAnsi="Arial"/>
          <w:sz w:val="23"/>
          <w:szCs w:val="23"/>
          <w:b w:val="1"/>
          <w:bCs w:val="1"/>
          <w:color w:val="231F20"/>
        </w:rPr>
        <w:t>Impending bankruptcy or financial liquidity problems;</w:t>
      </w:r>
    </w:p>
    <w:p>
      <w:pPr>
        <w:spacing w:after="0" w:line="143" w:lineRule="exact"/>
        <w:rPr>
          <w:rFonts w:ascii="PMingLiU" w:cs="PMingLiU" w:eastAsia="PMingLiU" w:hAnsi="PMingLiU"/>
          <w:sz w:val="23"/>
          <w:szCs w:val="23"/>
          <w:b w:val="1"/>
          <w:bCs w:val="1"/>
          <w:color w:val="231F20"/>
        </w:rPr>
      </w:pPr>
    </w:p>
    <w:p>
      <w:pPr>
        <w:jc w:val="both"/>
        <w:ind w:left="1540" w:right="140" w:hanging="352"/>
        <w:spacing w:after="0" w:line="287" w:lineRule="auto"/>
        <w:tabs>
          <w:tab w:leader="none" w:pos="1540" w:val="left"/>
        </w:tabs>
        <w:numPr>
          <w:ilvl w:val="0"/>
          <w:numId w:val="57"/>
        </w:numPr>
        <w:rPr>
          <w:rFonts w:ascii="PMingLiU" w:cs="PMingLiU" w:eastAsia="PMingLiU" w:hAnsi="PMingLiU"/>
          <w:sz w:val="20"/>
          <w:szCs w:val="20"/>
          <w:b w:val="1"/>
          <w:bCs w:val="1"/>
          <w:color w:val="231F20"/>
        </w:rPr>
      </w:pPr>
      <w:r>
        <w:rPr>
          <w:rFonts w:ascii="Arial" w:cs="Arial" w:eastAsia="Arial" w:hAnsi="Arial"/>
          <w:sz w:val="20"/>
          <w:szCs w:val="20"/>
          <w:b w:val="1"/>
          <w:bCs w:val="1"/>
          <w:color w:val="231F20"/>
        </w:rPr>
        <w:t>Significant developments involving business relationships, including execution, modification or termination of significant agreements or orders with customers, suppliers, distributors, manufacturers or other business partners;</w:t>
      </w:r>
    </w:p>
    <w:p>
      <w:pPr>
        <w:spacing w:after="0" w:line="98" w:lineRule="exact"/>
        <w:rPr>
          <w:rFonts w:ascii="PMingLiU" w:cs="PMingLiU" w:eastAsia="PMingLiU" w:hAnsi="PMingLiU"/>
          <w:sz w:val="20"/>
          <w:szCs w:val="20"/>
          <w:b w:val="1"/>
          <w:bCs w:val="1"/>
          <w:color w:val="231F20"/>
        </w:rPr>
      </w:pPr>
    </w:p>
    <w:p>
      <w:pPr>
        <w:ind w:left="1540" w:right="140" w:hanging="352"/>
        <w:spacing w:after="0" w:line="244" w:lineRule="auto"/>
        <w:tabs>
          <w:tab w:leader="none" w:pos="1540" w:val="left"/>
        </w:tabs>
        <w:numPr>
          <w:ilvl w:val="0"/>
          <w:numId w:val="57"/>
        </w:numPr>
        <w:rPr>
          <w:rFonts w:ascii="PMingLiU" w:cs="PMingLiU" w:eastAsia="PMingLiU" w:hAnsi="PMingLiU"/>
          <w:sz w:val="22"/>
          <w:szCs w:val="22"/>
          <w:b w:val="1"/>
          <w:bCs w:val="1"/>
          <w:color w:val="231F20"/>
        </w:rPr>
      </w:pPr>
      <w:r>
        <w:rPr>
          <w:rFonts w:ascii="Arial" w:cs="Arial" w:eastAsia="Arial" w:hAnsi="Arial"/>
          <w:sz w:val="22"/>
          <w:szCs w:val="22"/>
          <w:b w:val="1"/>
          <w:bCs w:val="1"/>
          <w:color w:val="231F20"/>
        </w:rPr>
        <w:t>Product introductions, modifications, defects or recalls or significant pricing changes or other product announcements of a significant nature;</w:t>
      </w:r>
    </w:p>
    <w:p>
      <w:pPr>
        <w:spacing w:after="0" w:line="139" w:lineRule="exact"/>
        <w:rPr>
          <w:rFonts w:ascii="PMingLiU" w:cs="PMingLiU" w:eastAsia="PMingLiU" w:hAnsi="PMingLiU"/>
          <w:sz w:val="22"/>
          <w:szCs w:val="22"/>
          <w:b w:val="1"/>
          <w:bCs w:val="1"/>
          <w:color w:val="231F20"/>
        </w:rPr>
      </w:pPr>
    </w:p>
    <w:p>
      <w:pPr>
        <w:ind w:left="1540" w:hanging="352"/>
        <w:spacing w:after="0"/>
        <w:tabs>
          <w:tab w:leader="none" w:pos="1540" w:val="left"/>
        </w:tabs>
        <w:numPr>
          <w:ilvl w:val="0"/>
          <w:numId w:val="57"/>
        </w:numPr>
        <w:rPr>
          <w:rFonts w:ascii="PMingLiU" w:cs="PMingLiU" w:eastAsia="PMingLiU" w:hAnsi="PMingLiU"/>
          <w:sz w:val="21"/>
          <w:szCs w:val="21"/>
          <w:b w:val="1"/>
          <w:bCs w:val="1"/>
          <w:color w:val="231F20"/>
        </w:rPr>
      </w:pPr>
      <w:r>
        <w:rPr>
          <w:rFonts w:ascii="Arial" w:cs="Arial" w:eastAsia="Arial" w:hAnsi="Arial"/>
          <w:sz w:val="21"/>
          <w:szCs w:val="21"/>
          <w:b w:val="1"/>
          <w:bCs w:val="1"/>
          <w:color w:val="231F20"/>
        </w:rPr>
        <w:t>Significant legal or regulatory developments, whether actual or threatened;</w:t>
      </w:r>
    </w:p>
    <w:p>
      <w:pPr>
        <w:spacing w:after="0" w:line="146" w:lineRule="exact"/>
        <w:rPr>
          <w:rFonts w:ascii="PMingLiU" w:cs="PMingLiU" w:eastAsia="PMingLiU" w:hAnsi="PMingLiU"/>
          <w:sz w:val="21"/>
          <w:szCs w:val="21"/>
          <w:b w:val="1"/>
          <w:bCs w:val="1"/>
          <w:color w:val="231F20"/>
        </w:rPr>
      </w:pPr>
    </w:p>
    <w:p>
      <w:pPr>
        <w:jc w:val="both"/>
        <w:ind w:left="1540" w:right="140" w:hanging="352"/>
        <w:spacing w:after="0" w:line="266" w:lineRule="exact"/>
        <w:tabs>
          <w:tab w:leader="none" w:pos="1540" w:val="left"/>
        </w:tabs>
        <w:numPr>
          <w:ilvl w:val="0"/>
          <w:numId w:val="57"/>
        </w:numPr>
        <w:rPr>
          <w:rFonts w:ascii="PMingLiU" w:cs="PMingLiU" w:eastAsia="PMingLiU" w:hAnsi="PMingLiU"/>
          <w:sz w:val="20"/>
          <w:szCs w:val="20"/>
          <w:b w:val="1"/>
          <w:bCs w:val="1"/>
          <w:color w:val="231F20"/>
        </w:rPr>
      </w:pPr>
      <w:r>
        <w:rPr>
          <w:rFonts w:ascii="Arial" w:cs="Arial" w:eastAsia="Arial" w:hAnsi="Arial"/>
          <w:sz w:val="20"/>
          <w:szCs w:val="20"/>
          <w:b w:val="1"/>
          <w:bCs w:val="1"/>
          <w:color w:val="231F20"/>
        </w:rPr>
        <w:t>Major events involving the Company</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s securities, including calls of securities for redemption, adoption of stock repurchase programs, option repricings, stock splits, changes in dividend policies, public or private securities offerings, modification to the rights of security holders or notice of delisting;</w:t>
      </w:r>
    </w:p>
    <w:p>
      <w:pPr>
        <w:spacing w:after="0" w:line="144" w:lineRule="exact"/>
        <w:rPr>
          <w:rFonts w:ascii="PMingLiU" w:cs="PMingLiU" w:eastAsia="PMingLiU" w:hAnsi="PMingLiU"/>
          <w:sz w:val="20"/>
          <w:szCs w:val="20"/>
          <w:b w:val="1"/>
          <w:bCs w:val="1"/>
          <w:color w:val="231F20"/>
        </w:rPr>
      </w:pPr>
    </w:p>
    <w:p>
      <w:pPr>
        <w:jc w:val="both"/>
        <w:ind w:left="1540" w:right="140" w:hanging="352"/>
        <w:spacing w:after="0" w:line="285" w:lineRule="auto"/>
        <w:tabs>
          <w:tab w:leader="none" w:pos="1540" w:val="left"/>
        </w:tabs>
        <w:numPr>
          <w:ilvl w:val="0"/>
          <w:numId w:val="57"/>
        </w:numPr>
        <w:rPr>
          <w:rFonts w:ascii="PMingLiU" w:cs="PMingLiU" w:eastAsia="PMingLiU" w:hAnsi="PMingLiU"/>
          <w:sz w:val="20"/>
          <w:szCs w:val="20"/>
          <w:b w:val="1"/>
          <w:bCs w:val="1"/>
          <w:color w:val="231F20"/>
        </w:rPr>
      </w:pPr>
      <w:r>
        <w:rPr>
          <w:rFonts w:ascii="Arial" w:cs="Arial" w:eastAsia="Arial" w:hAnsi="Arial"/>
          <w:sz w:val="20"/>
          <w:szCs w:val="20"/>
          <w:b w:val="1"/>
          <w:bCs w:val="1"/>
          <w:color w:val="231F20"/>
        </w:rPr>
        <w:t>Significant corporate events, such as a pending or proposed merger, joint venture or tender offer, a significant investment, the acquisition or disposition of a significant business or asset or a change in control of the company;</w:t>
      </w:r>
    </w:p>
    <w:p>
      <w:pPr>
        <w:spacing w:after="0" w:line="101" w:lineRule="exact"/>
        <w:rPr>
          <w:rFonts w:ascii="PMingLiU" w:cs="PMingLiU" w:eastAsia="PMingLiU" w:hAnsi="PMingLiU"/>
          <w:sz w:val="20"/>
          <w:szCs w:val="20"/>
          <w:b w:val="1"/>
          <w:bCs w:val="1"/>
          <w:color w:val="231F20"/>
        </w:rPr>
      </w:pPr>
    </w:p>
    <w:p>
      <w:pPr>
        <w:ind w:left="1540" w:hanging="352"/>
        <w:spacing w:after="0"/>
        <w:tabs>
          <w:tab w:leader="none" w:pos="1540" w:val="left"/>
        </w:tabs>
        <w:numPr>
          <w:ilvl w:val="0"/>
          <w:numId w:val="57"/>
        </w:numPr>
        <w:rPr>
          <w:rFonts w:ascii="PMingLiU" w:cs="PMingLiU" w:eastAsia="PMingLiU" w:hAnsi="PMingLiU"/>
          <w:sz w:val="20"/>
          <w:szCs w:val="20"/>
          <w:b w:val="1"/>
          <w:bCs w:val="1"/>
          <w:color w:val="231F20"/>
        </w:rPr>
      </w:pPr>
      <w:r>
        <w:rPr>
          <w:rFonts w:ascii="Arial" w:cs="Arial" w:eastAsia="Arial" w:hAnsi="Arial"/>
          <w:sz w:val="20"/>
          <w:szCs w:val="20"/>
          <w:b w:val="1"/>
          <w:bCs w:val="1"/>
          <w:color w:val="231F20"/>
        </w:rPr>
        <w:t>Major personnel changes, such as changes in senior management or layoffs;</w:t>
      </w:r>
    </w:p>
    <w:p>
      <w:pPr>
        <w:sectPr>
          <w:pgSz w:w="12240" w:h="15840" w:orient="portrait"/>
          <w:cols w:equalWidth="0" w:num="1">
            <w:col w:w="9360"/>
          </w:cols>
          <w:pgMar w:left="1440" w:top="1440" w:right="1440" w:bottom="371" w:gutter="0" w:footer="0" w:header="0"/>
        </w:sectPr>
      </w:pPr>
    </w:p>
    <w:p>
      <w:pPr>
        <w:spacing w:after="0" w:line="200" w:lineRule="exact"/>
        <w:rPr>
          <w:sz w:val="20"/>
          <w:szCs w:val="20"/>
          <w:color w:val="auto"/>
        </w:rPr>
      </w:pPr>
    </w:p>
    <w:p>
      <w:pPr>
        <w:spacing w:after="0" w:line="249" w:lineRule="exact"/>
        <w:rPr>
          <w:sz w:val="20"/>
          <w:szCs w:val="20"/>
          <w:color w:val="auto"/>
        </w:rPr>
      </w:pPr>
    </w:p>
    <w:p>
      <w:pPr>
        <w:ind w:left="4900"/>
        <w:spacing w:after="0"/>
        <w:rPr>
          <w:sz w:val="20"/>
          <w:szCs w:val="20"/>
          <w:color w:val="auto"/>
        </w:rPr>
      </w:pPr>
      <w:r>
        <w:rPr>
          <w:rFonts w:ascii="Arial" w:cs="Arial" w:eastAsia="Arial" w:hAnsi="Arial"/>
          <w:sz w:val="21"/>
          <w:szCs w:val="21"/>
          <w:b w:val="1"/>
          <w:bCs w:val="1"/>
          <w:color w:val="231F20"/>
        </w:rPr>
        <w:t>-6-</w:t>
      </w:r>
    </w:p>
    <w:p>
      <w:pPr>
        <w:sectPr>
          <w:pgSz w:w="12240" w:h="15840" w:orient="portrait"/>
          <w:cols w:equalWidth="0" w:num="1">
            <w:col w:w="9360"/>
          </w:cols>
          <w:pgMar w:left="1440" w:top="1440" w:right="1440" w:bottom="371" w:gutter="0" w:footer="0" w:header="0"/>
          <w:type w:val="continuous"/>
        </w:sectPr>
      </w:pPr>
    </w:p>
    <w:bookmarkStart w:id="178" w:name="page179"/>
    <w:bookmarkEnd w:id="178"/>
    <w:p>
      <w:pPr>
        <w:spacing w:after="0" w:line="59" w:lineRule="exact"/>
        <w:rPr>
          <w:sz w:val="20"/>
          <w:szCs w:val="20"/>
          <w:color w:val="auto"/>
        </w:rPr>
      </w:pPr>
    </w:p>
    <w:p>
      <w:pPr>
        <w:ind w:left="1540" w:hanging="352"/>
        <w:spacing w:after="0"/>
        <w:tabs>
          <w:tab w:leader="none" w:pos="1540" w:val="left"/>
        </w:tabs>
        <w:numPr>
          <w:ilvl w:val="0"/>
          <w:numId w:val="58"/>
        </w:numPr>
        <w:rPr>
          <w:rFonts w:ascii="PMingLiU" w:cs="PMingLiU" w:eastAsia="PMingLiU" w:hAnsi="PMingLiU"/>
          <w:sz w:val="23"/>
          <w:szCs w:val="23"/>
          <w:b w:val="1"/>
          <w:bCs w:val="1"/>
          <w:color w:val="231F20"/>
        </w:rPr>
      </w:pPr>
      <w:r>
        <w:rPr>
          <w:rFonts w:ascii="Arial" w:cs="Arial" w:eastAsia="Arial" w:hAnsi="Arial"/>
          <w:sz w:val="23"/>
          <w:szCs w:val="23"/>
          <w:b w:val="1"/>
          <w:bCs w:val="1"/>
          <w:color w:val="231F20"/>
        </w:rPr>
        <w:t>Data breaches or other cybersecurity events;</w:t>
      </w:r>
    </w:p>
    <w:p>
      <w:pPr>
        <w:spacing w:after="0" w:line="143" w:lineRule="exact"/>
        <w:rPr>
          <w:rFonts w:ascii="PMingLiU" w:cs="PMingLiU" w:eastAsia="PMingLiU" w:hAnsi="PMingLiU"/>
          <w:sz w:val="23"/>
          <w:szCs w:val="23"/>
          <w:b w:val="1"/>
          <w:bCs w:val="1"/>
          <w:color w:val="231F20"/>
        </w:rPr>
      </w:pPr>
    </w:p>
    <w:p>
      <w:pPr>
        <w:ind w:left="1540" w:hanging="352"/>
        <w:spacing w:after="0"/>
        <w:tabs>
          <w:tab w:leader="none" w:pos="1540" w:val="left"/>
        </w:tabs>
        <w:numPr>
          <w:ilvl w:val="0"/>
          <w:numId w:val="58"/>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Updates regarding any prior material disclosure that has materially changed; and</w:t>
      </w:r>
    </w:p>
    <w:p>
      <w:pPr>
        <w:spacing w:after="0" w:line="149" w:lineRule="exact"/>
        <w:rPr>
          <w:rFonts w:ascii="PMingLiU" w:cs="PMingLiU" w:eastAsia="PMingLiU" w:hAnsi="PMingLiU"/>
          <w:sz w:val="19"/>
          <w:szCs w:val="19"/>
          <w:b w:val="1"/>
          <w:bCs w:val="1"/>
          <w:color w:val="231F20"/>
        </w:rPr>
      </w:pPr>
    </w:p>
    <w:p>
      <w:pPr>
        <w:ind w:left="1540" w:hanging="352"/>
        <w:spacing w:after="0"/>
        <w:tabs>
          <w:tab w:leader="none" w:pos="1540" w:val="left"/>
        </w:tabs>
        <w:numPr>
          <w:ilvl w:val="0"/>
          <w:numId w:val="58"/>
        </w:numPr>
        <w:rPr>
          <w:rFonts w:ascii="PMingLiU" w:cs="PMingLiU" w:eastAsia="PMingLiU" w:hAnsi="PMingLiU"/>
          <w:sz w:val="23"/>
          <w:szCs w:val="23"/>
          <w:b w:val="1"/>
          <w:bCs w:val="1"/>
          <w:color w:val="231F20"/>
        </w:rPr>
      </w:pPr>
      <w:r>
        <w:rPr>
          <w:rFonts w:ascii="Arial" w:cs="Arial" w:eastAsia="Arial" w:hAnsi="Arial"/>
          <w:sz w:val="23"/>
          <w:szCs w:val="23"/>
          <w:b w:val="1"/>
          <w:bCs w:val="1"/>
          <w:color w:val="231F20"/>
        </w:rPr>
        <w:t>The existence of a special blackout period.</w:t>
      </w:r>
    </w:p>
    <w:p>
      <w:pPr>
        <w:spacing w:after="0" w:line="244" w:lineRule="exact"/>
        <w:rPr>
          <w:sz w:val="20"/>
          <w:szCs w:val="20"/>
          <w:color w:val="auto"/>
        </w:rPr>
      </w:pPr>
    </w:p>
    <w:p>
      <w:pPr>
        <w:jc w:val="both"/>
        <w:ind w:left="140" w:right="140" w:firstLine="348"/>
        <w:spacing w:after="0" w:line="264" w:lineRule="exact"/>
        <w:rPr>
          <w:sz w:val="20"/>
          <w:szCs w:val="20"/>
          <w:color w:val="auto"/>
        </w:rPr>
      </w:pPr>
      <w:r>
        <w:rPr>
          <w:rFonts w:ascii="Arial" w:cs="Arial" w:eastAsia="Arial" w:hAnsi="Arial"/>
          <w:sz w:val="20"/>
          <w:szCs w:val="20"/>
          <w:b w:val="1"/>
          <w:bCs w:val="1"/>
          <w:color w:val="231F20"/>
        </w:rPr>
        <w:t xml:space="preserve">If you have any questions as to whether information should be considered </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material</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 you should consult with a Compliance Officer. In general, it is advisable to resolve any close questions as to the materiality of any information by assuming that the information is material.</w:t>
      </w:r>
    </w:p>
    <w:p>
      <w:pPr>
        <w:spacing w:after="0" w:line="223" w:lineRule="exact"/>
        <w:rPr>
          <w:sz w:val="20"/>
          <w:szCs w:val="20"/>
          <w:color w:val="auto"/>
        </w:rPr>
      </w:pPr>
    </w:p>
    <w:p>
      <w:pPr>
        <w:ind w:left="140"/>
        <w:spacing w:after="0" w:line="279" w:lineRule="exact"/>
        <w:rPr>
          <w:sz w:val="20"/>
          <w:szCs w:val="20"/>
          <w:color w:val="auto"/>
        </w:rPr>
      </w:pPr>
      <w:r>
        <w:rPr>
          <w:rFonts w:ascii="PMingLiU" w:cs="PMingLiU" w:eastAsia="PMingLiU" w:hAnsi="PMingLiU"/>
          <w:sz w:val="23"/>
          <w:szCs w:val="23"/>
          <w:b w:val="1"/>
          <w:bCs w:val="1"/>
          <w:color w:val="231F20"/>
        </w:rPr>
        <w:t></w:t>
      </w:r>
      <w:r>
        <w:rPr>
          <w:rFonts w:ascii="Arial" w:cs="Arial" w:eastAsia="Arial" w:hAnsi="Arial"/>
          <w:sz w:val="23"/>
          <w:szCs w:val="23"/>
          <w:b w:val="1"/>
          <w:bCs w:val="1"/>
          <w:color w:val="231F20"/>
        </w:rPr>
        <w:t>Nonpublic</w:t>
      </w:r>
      <w:r>
        <w:rPr>
          <w:rFonts w:ascii="PMingLiU" w:cs="PMingLiU" w:eastAsia="PMingLiU" w:hAnsi="PMingLiU"/>
          <w:sz w:val="23"/>
          <w:szCs w:val="23"/>
          <w:b w:val="1"/>
          <w:bCs w:val="1"/>
          <w:color w:val="231F20"/>
        </w:rPr>
        <w:t></w:t>
      </w:r>
      <w:r>
        <w:rPr>
          <w:rFonts w:ascii="Arial" w:cs="Arial" w:eastAsia="Arial" w:hAnsi="Arial"/>
          <w:sz w:val="23"/>
          <w:szCs w:val="23"/>
          <w:b w:val="1"/>
          <w:bCs w:val="1"/>
          <w:color w:val="231F20"/>
        </w:rPr>
        <w:t xml:space="preserve"> information</w:t>
      </w:r>
    </w:p>
    <w:p>
      <w:pPr>
        <w:spacing w:after="0" w:line="244" w:lineRule="exact"/>
        <w:rPr>
          <w:sz w:val="20"/>
          <w:szCs w:val="20"/>
          <w:color w:val="auto"/>
        </w:rPr>
      </w:pPr>
    </w:p>
    <w:p>
      <w:pPr>
        <w:jc w:val="both"/>
        <w:ind w:left="140" w:right="140" w:firstLine="348"/>
        <w:spacing w:after="0" w:line="300" w:lineRule="auto"/>
        <w:rPr>
          <w:sz w:val="20"/>
          <w:szCs w:val="20"/>
          <w:color w:val="auto"/>
        </w:rPr>
      </w:pPr>
      <w:r>
        <w:rPr>
          <w:rFonts w:ascii="Arial" w:cs="Arial" w:eastAsia="Arial" w:hAnsi="Arial"/>
          <w:sz w:val="19"/>
          <w:szCs w:val="19"/>
          <w:b w:val="1"/>
          <w:bCs w:val="1"/>
          <w:color w:val="231F20"/>
        </w:rPr>
        <w:t>Information is considered nonpublic if the information has not been broadly disseminated to the public for a sufficient period to be reflected in the price of the security. As a general rule, information should be considered nonpublic until the start of the second full trading day after the information is broadly distributed to the public in a press release, a public filing with the SEC, a pre-announced public webcast or another broad, non-exclusionary form of public communication. However, depending upon the form of the announcement and the nature of the information, it is possible that information may not be fully absorbed by the marketplace until a later time. Any questions as to whether information is nonpublic should be directed to a Compliance Officer.</w:t>
      </w:r>
    </w:p>
    <w:p>
      <w:pPr>
        <w:spacing w:after="0" w:line="189" w:lineRule="exact"/>
        <w:rPr>
          <w:sz w:val="20"/>
          <w:szCs w:val="20"/>
          <w:color w:val="auto"/>
        </w:rPr>
      </w:pPr>
    </w:p>
    <w:p>
      <w:pPr>
        <w:jc w:val="both"/>
        <w:ind w:left="140" w:right="140" w:firstLine="350"/>
        <w:spacing w:after="0" w:line="265" w:lineRule="exact"/>
        <w:rPr>
          <w:sz w:val="20"/>
          <w:szCs w:val="20"/>
          <w:color w:val="auto"/>
        </w:rPr>
      </w:pPr>
      <w:r>
        <w:rPr>
          <w:rFonts w:ascii="Arial" w:cs="Arial" w:eastAsia="Arial" w:hAnsi="Arial"/>
          <w:sz w:val="23"/>
          <w:szCs w:val="23"/>
          <w:b w:val="1"/>
          <w:bCs w:val="1"/>
          <w:color w:val="231F20"/>
        </w:rPr>
        <w:t xml:space="preserve">The term </w:t>
      </w:r>
      <w:r>
        <w:rPr>
          <w:rFonts w:ascii="PMingLiU" w:cs="PMingLiU" w:eastAsia="PMingLiU" w:hAnsi="PMingLiU"/>
          <w:sz w:val="23"/>
          <w:szCs w:val="23"/>
          <w:b w:val="1"/>
          <w:bCs w:val="1"/>
          <w:color w:val="231F20"/>
        </w:rPr>
        <w:t></w:t>
      </w:r>
      <w:r>
        <w:rPr>
          <w:rFonts w:ascii="Arial" w:cs="Arial" w:eastAsia="Arial" w:hAnsi="Arial"/>
          <w:sz w:val="23"/>
          <w:szCs w:val="23"/>
          <w:b w:val="1"/>
          <w:bCs w:val="1"/>
          <w:color w:val="231F20"/>
        </w:rPr>
        <w:t>trading day</w:t>
      </w:r>
      <w:r>
        <w:rPr>
          <w:rFonts w:ascii="PMingLiU" w:cs="PMingLiU" w:eastAsia="PMingLiU" w:hAnsi="PMingLiU"/>
          <w:sz w:val="23"/>
          <w:szCs w:val="23"/>
          <w:b w:val="1"/>
          <w:bCs w:val="1"/>
          <w:color w:val="231F20"/>
        </w:rPr>
        <w:t></w:t>
      </w:r>
      <w:r>
        <w:rPr>
          <w:rFonts w:ascii="Arial" w:cs="Arial" w:eastAsia="Arial" w:hAnsi="Arial"/>
          <w:sz w:val="23"/>
          <w:szCs w:val="23"/>
          <w:b w:val="1"/>
          <w:bCs w:val="1"/>
          <w:color w:val="231F20"/>
        </w:rPr>
        <w:t xml:space="preserve"> means a day on which national stock exchanges and the National Association of Securities Dealers, Inc. Automated Quotation System are open for trading. A </w:t>
      </w:r>
      <w:r>
        <w:rPr>
          <w:rFonts w:ascii="PMingLiU" w:cs="PMingLiU" w:eastAsia="PMingLiU" w:hAnsi="PMingLiU"/>
          <w:sz w:val="23"/>
          <w:szCs w:val="23"/>
          <w:b w:val="1"/>
          <w:bCs w:val="1"/>
          <w:color w:val="231F20"/>
        </w:rPr>
        <w:t></w:t>
      </w:r>
      <w:r>
        <w:rPr>
          <w:rFonts w:ascii="Arial" w:cs="Arial" w:eastAsia="Arial" w:hAnsi="Arial"/>
          <w:sz w:val="23"/>
          <w:szCs w:val="23"/>
          <w:b w:val="1"/>
          <w:bCs w:val="1"/>
          <w:color w:val="231F20"/>
        </w:rPr>
        <w:t>full</w:t>
      </w:r>
      <w:r>
        <w:rPr>
          <w:rFonts w:ascii="PMingLiU" w:cs="PMingLiU" w:eastAsia="PMingLiU" w:hAnsi="PMingLiU"/>
          <w:sz w:val="23"/>
          <w:szCs w:val="23"/>
          <w:b w:val="1"/>
          <w:bCs w:val="1"/>
          <w:color w:val="231F20"/>
        </w:rPr>
        <w:t></w:t>
      </w:r>
      <w:r>
        <w:rPr>
          <w:rFonts w:ascii="Arial" w:cs="Arial" w:eastAsia="Arial" w:hAnsi="Arial"/>
          <w:sz w:val="23"/>
          <w:szCs w:val="23"/>
          <w:b w:val="1"/>
          <w:bCs w:val="1"/>
          <w:color w:val="231F20"/>
        </w:rPr>
        <w:t xml:space="preserve"> trading day has elapsed when, after the public disclosure, trading in the relevant security has opened and then closed.</w:t>
      </w:r>
    </w:p>
    <w:p>
      <w:pPr>
        <w:sectPr>
          <w:pgSz w:w="12240" w:h="15840" w:orient="portrait"/>
          <w:cols w:equalWidth="0" w:num="1">
            <w:col w:w="9360"/>
          </w:cols>
          <w:pgMar w:left="1440" w:top="1440" w:right="1440" w:bottom="3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900"/>
        <w:spacing w:after="0"/>
        <w:rPr>
          <w:sz w:val="20"/>
          <w:szCs w:val="20"/>
          <w:color w:val="auto"/>
        </w:rPr>
      </w:pPr>
      <w:r>
        <w:rPr>
          <w:rFonts w:ascii="Arial" w:cs="Arial" w:eastAsia="Arial" w:hAnsi="Arial"/>
          <w:sz w:val="21"/>
          <w:szCs w:val="21"/>
          <w:b w:val="1"/>
          <w:bCs w:val="1"/>
          <w:color w:val="231F20"/>
        </w:rPr>
        <w:t>-7-</w:t>
      </w:r>
    </w:p>
    <w:p>
      <w:pPr>
        <w:sectPr>
          <w:pgSz w:w="12240" w:h="15840" w:orient="portrait"/>
          <w:cols w:equalWidth="0" w:num="1">
            <w:col w:w="9360"/>
          </w:cols>
          <w:pgMar w:left="1440" w:top="1440" w:right="1440" w:bottom="371" w:gutter="0" w:footer="0" w:header="0"/>
          <w:type w:val="continuous"/>
        </w:sectPr>
      </w:pPr>
    </w:p>
    <w:bookmarkStart w:id="179" w:name="page180"/>
    <w:bookmarkEnd w:id="179"/>
    <w:p>
      <w:pPr>
        <w:spacing w:after="0" w:line="64" w:lineRule="exact"/>
        <w:rPr>
          <w:sz w:val="20"/>
          <w:szCs w:val="20"/>
          <w:color w:val="auto"/>
        </w:rPr>
      </w:pPr>
    </w:p>
    <w:p>
      <w:pPr>
        <w:ind w:left="140" w:right="1080" w:firstLine="938"/>
        <w:spacing w:after="0" w:line="448" w:lineRule="auto"/>
        <w:rPr>
          <w:sz w:val="20"/>
          <w:szCs w:val="20"/>
          <w:color w:val="auto"/>
        </w:rPr>
      </w:pPr>
      <w:r>
        <w:rPr>
          <w:rFonts w:ascii="Arial" w:cs="Arial" w:eastAsia="Arial" w:hAnsi="Arial"/>
          <w:sz w:val="23"/>
          <w:szCs w:val="23"/>
          <w:b w:val="1"/>
          <w:bCs w:val="1"/>
          <w:color w:val="231F20"/>
        </w:rPr>
        <w:t>POLICIES REGARDING MATERIAL NONPUBLIC INFORMATION Confidentiality of nonpublic information</w:t>
      </w:r>
    </w:p>
    <w:p>
      <w:pPr>
        <w:spacing w:after="0" w:line="13" w:lineRule="exact"/>
        <w:rPr>
          <w:sz w:val="20"/>
          <w:szCs w:val="20"/>
          <w:color w:val="auto"/>
        </w:rPr>
      </w:pPr>
    </w:p>
    <w:p>
      <w:pPr>
        <w:jc w:val="both"/>
        <w:ind w:left="140" w:right="140" w:firstLine="350"/>
        <w:spacing w:after="0" w:line="269" w:lineRule="auto"/>
        <w:rPr>
          <w:sz w:val="20"/>
          <w:szCs w:val="20"/>
          <w:color w:val="auto"/>
        </w:rPr>
      </w:pPr>
      <w:r>
        <w:rPr>
          <w:rFonts w:ascii="Arial" w:cs="Arial" w:eastAsia="Arial" w:hAnsi="Arial"/>
          <w:sz w:val="21"/>
          <w:szCs w:val="21"/>
          <w:b w:val="1"/>
          <w:bCs w:val="1"/>
          <w:color w:val="231F20"/>
        </w:rPr>
        <w:t>The unauthorized use or disclosure of nonpublic information relating to the Company or other companies is prohibited. All nonpublic information you acquire in the course of your service with the Company may only be used for legitimate Company business purposes. In addition, nonpublic information of others should be handled in accordance with the terms of any relevant nondisclosure agreements, and the use of any such nonpublic information should be limited to the purpose for which it was disclosed.</w:t>
      </w:r>
    </w:p>
    <w:p>
      <w:pPr>
        <w:spacing w:after="0" w:line="217" w:lineRule="exact"/>
        <w:rPr>
          <w:sz w:val="20"/>
          <w:szCs w:val="20"/>
          <w:color w:val="auto"/>
        </w:rPr>
      </w:pPr>
    </w:p>
    <w:p>
      <w:pPr>
        <w:jc w:val="both"/>
        <w:ind w:left="140" w:right="140" w:firstLine="350"/>
        <w:spacing w:after="0" w:line="267" w:lineRule="exact"/>
        <w:rPr>
          <w:sz w:val="20"/>
          <w:szCs w:val="20"/>
          <w:color w:val="auto"/>
        </w:rPr>
      </w:pPr>
      <w:r>
        <w:rPr>
          <w:rFonts w:ascii="Arial" w:cs="Arial" w:eastAsia="Arial" w:hAnsi="Arial"/>
          <w:sz w:val="21"/>
          <w:szCs w:val="21"/>
          <w:b w:val="1"/>
          <w:bCs w:val="1"/>
          <w:color w:val="231F20"/>
        </w:rPr>
        <w:t>You must use all reasonable efforts to safeguard nonpublic information in the Company</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s possession. You may not disclose nonpublic information about the Company or any other company, unless required by law, or unless (i) disclosure is required for legitimate Company business purposes, (ii) you are authorized to disclose the information and (iii) appropriate steps have been taken to prevent misuse of that information (including entering into an appropriate nondisclosure agreement that restricts the disclosure and use of the information, if applicable). This restriction also applies to internal communications within the Company and to communications with consultants, contractors and advisors of the Company. In cases where disclosing nonpublic information to third parties is required, you should coordinate with a Compliance Officer.</w:t>
      </w:r>
    </w:p>
    <w:p>
      <w:pPr>
        <w:spacing w:after="0" w:line="248" w:lineRule="exact"/>
        <w:rPr>
          <w:sz w:val="20"/>
          <w:szCs w:val="20"/>
          <w:color w:val="auto"/>
        </w:rPr>
      </w:pPr>
    </w:p>
    <w:p>
      <w:pPr>
        <w:jc w:val="both"/>
        <w:ind w:left="140" w:right="140" w:firstLine="350"/>
        <w:spacing w:after="0" w:line="271" w:lineRule="auto"/>
        <w:rPr>
          <w:sz w:val="20"/>
          <w:szCs w:val="20"/>
          <w:color w:val="auto"/>
        </w:rPr>
      </w:pPr>
      <w:r>
        <w:rPr>
          <w:rFonts w:ascii="Arial" w:cs="Arial" w:eastAsia="Arial" w:hAnsi="Arial"/>
          <w:sz w:val="21"/>
          <w:szCs w:val="21"/>
          <w:b w:val="1"/>
          <w:bCs w:val="1"/>
          <w:color w:val="231F20"/>
        </w:rPr>
        <w:t>All directors, officers, employees, consultants, contractors and advisors of the Company are required to sign and comply with an At Will Employment, Confidential Information, Invention Assignment, and Arbitration Agreement, or in the case of consultants, contractors and advisors, an agreement that has substantially similar terms.</w:t>
      </w:r>
    </w:p>
    <w:p>
      <w:pPr>
        <w:spacing w:after="0" w:line="205"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231F20"/>
        </w:rPr>
        <w:t>No trading on material nonpublic information</w:t>
      </w:r>
    </w:p>
    <w:p>
      <w:pPr>
        <w:spacing w:after="0" w:line="244" w:lineRule="exact"/>
        <w:rPr>
          <w:sz w:val="20"/>
          <w:szCs w:val="20"/>
          <w:color w:val="auto"/>
        </w:rPr>
      </w:pPr>
    </w:p>
    <w:p>
      <w:pPr>
        <w:jc w:val="both"/>
        <w:ind w:left="140" w:right="140" w:firstLine="350"/>
        <w:spacing w:after="0" w:line="264" w:lineRule="exact"/>
        <w:rPr>
          <w:sz w:val="20"/>
          <w:szCs w:val="20"/>
          <w:color w:val="auto"/>
        </w:rPr>
      </w:pPr>
      <w:r>
        <w:rPr>
          <w:rFonts w:ascii="Arial" w:cs="Arial" w:eastAsia="Arial" w:hAnsi="Arial"/>
          <w:sz w:val="21"/>
          <w:szCs w:val="21"/>
          <w:b w:val="1"/>
          <w:bCs w:val="1"/>
          <w:color w:val="231F20"/>
        </w:rPr>
        <w:t xml:space="preserve">Except as discussed in the section entitled </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Limited Exceptions</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 you may not, directly or indirectly through others, engage in any transaction involving the Company</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 xml:space="preserve">s securities while aware of material nonpublic information relating to the Company. It is not an excuse that you did not </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use</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 xml:space="preserve"> the information in your transaction.</w:t>
      </w:r>
    </w:p>
    <w:p>
      <w:pPr>
        <w:spacing w:after="0" w:line="248" w:lineRule="exact"/>
        <w:rPr>
          <w:sz w:val="20"/>
          <w:szCs w:val="20"/>
          <w:color w:val="auto"/>
        </w:rPr>
      </w:pPr>
    </w:p>
    <w:p>
      <w:pPr>
        <w:jc w:val="both"/>
        <w:ind w:left="140" w:right="140" w:firstLine="350"/>
        <w:spacing w:after="0" w:line="266" w:lineRule="exact"/>
        <w:rPr>
          <w:sz w:val="20"/>
          <w:szCs w:val="20"/>
          <w:color w:val="auto"/>
        </w:rPr>
      </w:pPr>
      <w:r>
        <w:rPr>
          <w:rFonts w:ascii="Arial" w:cs="Arial" w:eastAsia="Arial" w:hAnsi="Arial"/>
          <w:sz w:val="20"/>
          <w:szCs w:val="20"/>
          <w:b w:val="1"/>
          <w:bCs w:val="1"/>
          <w:color w:val="231F20"/>
        </w:rPr>
        <w:t xml:space="preserve">Similarly, you may not engage in transactions involving the securities of any other company if you are aware of material nonpublic information about that company (except to the extent the transactions are analogous to those presented in the section entitled </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Limited Exceptions</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 xml:space="preserve">). For example, you may be involved in a proposed transaction involving a prospective business relationship or transaction with another company. If information about that transaction constitutes material nonpublic information for that other company, you would be prohibited from engaging in transactions involving the securities of that other company (as well as transactions involving Company securities, if that information is material to the Company). It is important to note that </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materiality</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 xml:space="preserve"> is different for different companies. Information that is not material to the Company may be material to another company.</w:t>
      </w:r>
    </w:p>
    <w:p>
      <w:pPr>
        <w:sectPr>
          <w:pgSz w:w="12240" w:h="15840" w:orient="portrait"/>
          <w:cols w:equalWidth="0" w:num="1">
            <w:col w:w="9360"/>
          </w:cols>
          <w:pgMar w:left="1440" w:top="1440" w:right="1440" w:bottom="3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900"/>
        <w:spacing w:after="0"/>
        <w:rPr>
          <w:sz w:val="20"/>
          <w:szCs w:val="20"/>
          <w:color w:val="auto"/>
        </w:rPr>
      </w:pPr>
      <w:r>
        <w:rPr>
          <w:rFonts w:ascii="Arial" w:cs="Arial" w:eastAsia="Arial" w:hAnsi="Arial"/>
          <w:sz w:val="21"/>
          <w:szCs w:val="21"/>
          <w:b w:val="1"/>
          <w:bCs w:val="1"/>
          <w:color w:val="231F20"/>
        </w:rPr>
        <w:t>-8-</w:t>
      </w:r>
    </w:p>
    <w:p>
      <w:pPr>
        <w:sectPr>
          <w:pgSz w:w="12240" w:h="15840" w:orient="portrait"/>
          <w:cols w:equalWidth="0" w:num="1">
            <w:col w:w="9360"/>
          </w:cols>
          <w:pgMar w:left="1440" w:top="1440" w:right="1440" w:bottom="371" w:gutter="0" w:footer="0" w:header="0"/>
          <w:type w:val="continuous"/>
        </w:sectPr>
      </w:pPr>
    </w:p>
    <w:bookmarkStart w:id="180" w:name="page181"/>
    <w:bookmarkEnd w:id="180"/>
    <w:p>
      <w:pPr>
        <w:spacing w:after="0" w:line="57"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231F20"/>
        </w:rPr>
        <w:t>No disclosing material nonpublic information for the benefit of others</w:t>
      </w:r>
    </w:p>
    <w:p>
      <w:pPr>
        <w:spacing w:after="0" w:line="244" w:lineRule="exact"/>
        <w:rPr>
          <w:sz w:val="20"/>
          <w:szCs w:val="20"/>
          <w:color w:val="auto"/>
        </w:rPr>
      </w:pPr>
    </w:p>
    <w:p>
      <w:pPr>
        <w:jc w:val="both"/>
        <w:ind w:left="140" w:right="140" w:firstLine="348"/>
        <w:spacing w:after="0" w:line="268" w:lineRule="auto"/>
        <w:rPr>
          <w:sz w:val="20"/>
          <w:szCs w:val="20"/>
          <w:color w:val="auto"/>
        </w:rPr>
      </w:pPr>
      <w:r>
        <w:rPr>
          <w:rFonts w:ascii="Arial" w:cs="Arial" w:eastAsia="Arial" w:hAnsi="Arial"/>
          <w:sz w:val="21"/>
          <w:szCs w:val="21"/>
          <w:b w:val="1"/>
          <w:bCs w:val="1"/>
          <w:color w:val="231F20"/>
        </w:rPr>
        <w:t>You may not disclose material nonpublic information concerning the Company or any other company to friends, family members or any other person or entity not authorized to receive such information where such person or entity may benefit by trading on the basis of such information. In addition, you may not make recommendations or express opinions on the basis of material nonpublic information as to trading in the securities of companies to which such information relates. You are prohibited from engaging in these actions whether or not you derive any profit or personal benefit from doing so.</w:t>
      </w:r>
    </w:p>
    <w:p>
      <w:pPr>
        <w:spacing w:after="0" w:line="212"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231F20"/>
        </w:rPr>
        <w:t>Obligation to disclose material nonpublic information to the Company</w:t>
      </w:r>
    </w:p>
    <w:p>
      <w:pPr>
        <w:spacing w:after="0" w:line="242" w:lineRule="exact"/>
        <w:rPr>
          <w:sz w:val="20"/>
          <w:szCs w:val="20"/>
          <w:color w:val="auto"/>
        </w:rPr>
      </w:pPr>
    </w:p>
    <w:p>
      <w:pPr>
        <w:jc w:val="both"/>
        <w:ind w:left="140" w:right="140" w:firstLine="348"/>
        <w:spacing w:after="0" w:line="266" w:lineRule="exact"/>
        <w:rPr>
          <w:sz w:val="20"/>
          <w:szCs w:val="20"/>
          <w:color w:val="auto"/>
        </w:rPr>
      </w:pPr>
      <w:r>
        <w:rPr>
          <w:rFonts w:ascii="Arial" w:cs="Arial" w:eastAsia="Arial" w:hAnsi="Arial"/>
          <w:sz w:val="21"/>
          <w:szCs w:val="21"/>
          <w:b w:val="1"/>
          <w:bCs w:val="1"/>
          <w:color w:val="231F20"/>
        </w:rPr>
        <w:t xml:space="preserve">You may not enter into any transaction, including those discussed in the section entitled </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Limited Exceptions</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 unless you have disclosed any material nonpublic information that you become aware of in the course of your service with the Company, and that senior management is not aware of, to a Compliance Officer. If you are a member of senior management, the information must be disclosed to the Chief Executive Officer, and if you are the Chief Executive Officer or a director, you must disclose the information to the Board of Directors, before any transaction is permissible.</w:t>
      </w:r>
    </w:p>
    <w:p>
      <w:pPr>
        <w:spacing w:after="0" w:line="241"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231F20"/>
        </w:rPr>
        <w:t>Responding to outside inquiries for information</w:t>
      </w:r>
    </w:p>
    <w:p>
      <w:pPr>
        <w:spacing w:after="0" w:line="244" w:lineRule="exact"/>
        <w:rPr>
          <w:sz w:val="20"/>
          <w:szCs w:val="20"/>
          <w:color w:val="auto"/>
        </w:rPr>
      </w:pPr>
    </w:p>
    <w:p>
      <w:pPr>
        <w:jc w:val="both"/>
        <w:ind w:left="140" w:right="140" w:firstLine="348"/>
        <w:spacing w:after="0" w:line="267" w:lineRule="exact"/>
        <w:rPr>
          <w:sz w:val="20"/>
          <w:szCs w:val="20"/>
          <w:color w:val="auto"/>
        </w:rPr>
      </w:pPr>
      <w:r>
        <w:rPr>
          <w:rFonts w:ascii="Arial" w:cs="Arial" w:eastAsia="Arial" w:hAnsi="Arial"/>
          <w:sz w:val="19"/>
          <w:szCs w:val="19"/>
          <w:b w:val="1"/>
          <w:bCs w:val="1"/>
          <w:color w:val="231F20"/>
        </w:rPr>
        <w:t>In the event you receive an inquiry from someone outside of the Company, such as a stock analyst, for information, you should refer the inquiry to the Chief Financial Officer or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Head of Investor Relations, if any. The Company is required under Regulation FD (Fair Disclosure) of the U.S. federal securities laws to avoid the selective disclosure of material nonpublic information. In general, the regulation provides that when a public company discloses material nonpublic information, it must provide broad, non-exclusionary access to the information. Violations of this regulation can subject the company to SEC enforcement actions, which may result in injunctions and severe monetary penalties. The Company has established procedures for releasing material information in a manner that is designed to achieve broad public dissemination of the information immediately upon its release in compliance with applicable law. Please consult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External Communications Policy for more details.</w:t>
      </w:r>
    </w:p>
    <w:p>
      <w:pPr>
        <w:sectPr>
          <w:pgSz w:w="12240" w:h="15840" w:orient="portrait"/>
          <w:cols w:equalWidth="0" w:num="1">
            <w:col w:w="9360"/>
          </w:cols>
          <w:pgMar w:left="1440" w:top="1440" w:right="1440" w:bottom="3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900"/>
        <w:spacing w:after="0"/>
        <w:rPr>
          <w:sz w:val="20"/>
          <w:szCs w:val="20"/>
          <w:color w:val="auto"/>
        </w:rPr>
      </w:pPr>
      <w:r>
        <w:rPr>
          <w:rFonts w:ascii="Arial" w:cs="Arial" w:eastAsia="Arial" w:hAnsi="Arial"/>
          <w:sz w:val="21"/>
          <w:szCs w:val="21"/>
          <w:b w:val="1"/>
          <w:bCs w:val="1"/>
          <w:color w:val="231F20"/>
        </w:rPr>
        <w:t>-9-</w:t>
      </w:r>
    </w:p>
    <w:p>
      <w:pPr>
        <w:sectPr>
          <w:pgSz w:w="12240" w:h="15840" w:orient="portrait"/>
          <w:cols w:equalWidth="0" w:num="1">
            <w:col w:w="9360"/>
          </w:cols>
          <w:pgMar w:left="1440" w:top="1440" w:right="1440" w:bottom="371" w:gutter="0" w:footer="0" w:header="0"/>
          <w:type w:val="continuous"/>
        </w:sectPr>
      </w:pPr>
    </w:p>
    <w:bookmarkStart w:id="181" w:name="page182"/>
    <w:bookmarkEnd w:id="181"/>
    <w:p>
      <w:pPr>
        <w:spacing w:after="0" w:line="57"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231F20"/>
        </w:rPr>
        <w:t>TRADING BLACKOUT PERIODS</w:t>
      </w:r>
    </w:p>
    <w:p>
      <w:pPr>
        <w:spacing w:after="0" w:line="244" w:lineRule="exact"/>
        <w:rPr>
          <w:sz w:val="20"/>
          <w:szCs w:val="20"/>
          <w:color w:val="auto"/>
        </w:rPr>
      </w:pPr>
    </w:p>
    <w:p>
      <w:pPr>
        <w:jc w:val="both"/>
        <w:ind w:left="140" w:right="140" w:firstLine="348"/>
        <w:spacing w:after="0" w:line="266" w:lineRule="exact"/>
        <w:rPr>
          <w:sz w:val="20"/>
          <w:szCs w:val="20"/>
          <w:color w:val="auto"/>
        </w:rPr>
      </w:pPr>
      <w:r>
        <w:rPr>
          <w:rFonts w:ascii="Arial" w:cs="Arial" w:eastAsia="Arial" w:hAnsi="Arial"/>
          <w:sz w:val="21"/>
          <w:szCs w:val="21"/>
          <w:b w:val="1"/>
          <w:bCs w:val="1"/>
          <w:color w:val="231F20"/>
        </w:rPr>
        <w:t>To limit the likelihood of trading at times when there is a significant risk of insider trading exposure, the Company has instituted quarterly trading blackout periods and may institute special trading blackout periods from time to time. In addition, to comply with applicable legal requirements, the Company may also institute blackout periods that prevent directors and officers from trading in Company securities at a time when employees are prevented from trading Company securities in the Company</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s 401(k) plan.</w:t>
      </w:r>
    </w:p>
    <w:p>
      <w:pPr>
        <w:spacing w:after="0" w:line="242" w:lineRule="exact"/>
        <w:rPr>
          <w:sz w:val="20"/>
          <w:szCs w:val="20"/>
          <w:color w:val="auto"/>
        </w:rPr>
      </w:pPr>
    </w:p>
    <w:p>
      <w:pPr>
        <w:jc w:val="both"/>
        <w:ind w:left="140" w:right="140" w:firstLine="348"/>
        <w:spacing w:after="0" w:line="239" w:lineRule="auto"/>
        <w:rPr>
          <w:sz w:val="20"/>
          <w:szCs w:val="20"/>
          <w:color w:val="auto"/>
        </w:rPr>
      </w:pPr>
      <w:r>
        <w:rPr>
          <w:rFonts w:ascii="Arial" w:cs="Arial" w:eastAsia="Arial" w:hAnsi="Arial"/>
          <w:sz w:val="23"/>
          <w:szCs w:val="23"/>
          <w:b w:val="1"/>
          <w:bCs w:val="1"/>
          <w:color w:val="231F20"/>
        </w:rPr>
        <w:t>It is important to note that whether or not you are subject to blackout periods, you remain subject to the prohibitions on trading on the basis of material nonpublic information and any other applicable restrictions in this Policy.</w:t>
      </w:r>
    </w:p>
    <w:p>
      <w:pPr>
        <w:spacing w:after="0" w:line="240"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231F20"/>
        </w:rPr>
        <w:t>Quarterly blackout periods</w:t>
      </w:r>
    </w:p>
    <w:p>
      <w:pPr>
        <w:spacing w:after="0" w:line="242" w:lineRule="exact"/>
        <w:rPr>
          <w:sz w:val="20"/>
          <w:szCs w:val="20"/>
          <w:color w:val="auto"/>
        </w:rPr>
      </w:pPr>
    </w:p>
    <w:p>
      <w:pPr>
        <w:jc w:val="both"/>
        <w:ind w:left="140" w:right="140" w:firstLine="348"/>
        <w:spacing w:after="0" w:line="266" w:lineRule="exact"/>
        <w:rPr>
          <w:sz w:val="20"/>
          <w:szCs w:val="20"/>
          <w:color w:val="auto"/>
        </w:rPr>
      </w:pPr>
      <w:r>
        <w:rPr>
          <w:rFonts w:ascii="Arial" w:cs="Arial" w:eastAsia="Arial" w:hAnsi="Arial"/>
          <w:sz w:val="20"/>
          <w:szCs w:val="20"/>
          <w:b w:val="1"/>
          <w:bCs w:val="1"/>
          <w:color w:val="231F20"/>
        </w:rPr>
        <w:t xml:space="preserve">Except as discussed in the section entitled </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Limited Exceptions</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 directors, executive officers and those employees, consultants, contractors and advisors identified by the Company, must refrain from conducting transactions involving the Company</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s securities during quarterly blackout periods. Even if you are not specifically identified as being subject to quarterly blackout periods, you should exercise caution when engaging in transactions during quarterly blackout periods because of the heightened risk of insider trading exposure.</w:t>
      </w:r>
    </w:p>
    <w:p>
      <w:pPr>
        <w:spacing w:after="0" w:line="249" w:lineRule="exact"/>
        <w:rPr>
          <w:sz w:val="20"/>
          <w:szCs w:val="20"/>
          <w:color w:val="auto"/>
        </w:rPr>
      </w:pPr>
    </w:p>
    <w:p>
      <w:pPr>
        <w:jc w:val="both"/>
        <w:ind w:left="140" w:right="140" w:firstLine="348"/>
        <w:spacing w:after="0" w:line="266" w:lineRule="exact"/>
        <w:rPr>
          <w:sz w:val="20"/>
          <w:szCs w:val="20"/>
          <w:color w:val="auto"/>
        </w:rPr>
      </w:pPr>
      <w:r>
        <w:rPr>
          <w:rFonts w:ascii="Arial" w:cs="Arial" w:eastAsia="Arial" w:hAnsi="Arial"/>
          <w:sz w:val="21"/>
          <w:szCs w:val="21"/>
          <w:b w:val="1"/>
          <w:bCs w:val="1"/>
          <w:color w:val="231F20"/>
        </w:rPr>
        <w:t>Quarterly blackout periods begin at the end of the trading day on the tenth trading day of each fiscal quarter and end at the start of the second full trading day following the date of public disclosure of the financial results for the previous fiscal quarter. This period is a particularly sensitive time for transactions involving the Company</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s securities from the perspective of compliance with applicable securities laws due to the fact that, during this period, individuals may often possess or have access to material nonpublic information relevant to the expected financial results for the quarter.</w:t>
      </w:r>
    </w:p>
    <w:p>
      <w:pPr>
        <w:spacing w:after="0" w:line="245" w:lineRule="exact"/>
        <w:rPr>
          <w:sz w:val="20"/>
          <w:szCs w:val="20"/>
          <w:color w:val="auto"/>
        </w:rPr>
      </w:pPr>
    </w:p>
    <w:p>
      <w:pPr>
        <w:jc w:val="both"/>
        <w:ind w:left="140" w:right="140" w:firstLine="348"/>
        <w:spacing w:after="0" w:line="264" w:lineRule="exact"/>
        <w:rPr>
          <w:sz w:val="20"/>
          <w:szCs w:val="20"/>
          <w:color w:val="auto"/>
        </w:rPr>
      </w:pPr>
      <w:r>
        <w:rPr>
          <w:rFonts w:ascii="Arial" w:cs="Arial" w:eastAsia="Arial" w:hAnsi="Arial"/>
          <w:sz w:val="20"/>
          <w:szCs w:val="20"/>
          <w:b w:val="1"/>
          <w:bCs w:val="1"/>
          <w:color w:val="231F20"/>
        </w:rPr>
        <w:t xml:space="preserve">Individuals subject to quarterly blackout periods will be informed by a Compliance Officer that they are listed on the covered persons list maintained by the Compliance Officers (the </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Covered Persons List</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 From time to time, the Company may revise the Covered Persons List.</w:t>
      </w:r>
    </w:p>
    <w:p>
      <w:pPr>
        <w:spacing w:after="0" w:line="240"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231F20"/>
        </w:rPr>
        <w:t>Special blackout periods</w:t>
      </w:r>
    </w:p>
    <w:p>
      <w:pPr>
        <w:spacing w:after="0" w:line="242" w:lineRule="exact"/>
        <w:rPr>
          <w:sz w:val="20"/>
          <w:szCs w:val="20"/>
          <w:color w:val="auto"/>
        </w:rPr>
      </w:pPr>
    </w:p>
    <w:p>
      <w:pPr>
        <w:jc w:val="both"/>
        <w:ind w:left="140" w:right="140" w:firstLine="348"/>
        <w:spacing w:after="0" w:line="267" w:lineRule="exact"/>
        <w:rPr>
          <w:sz w:val="20"/>
          <w:szCs w:val="20"/>
          <w:color w:val="auto"/>
        </w:rPr>
      </w:pPr>
      <w:r>
        <w:rPr>
          <w:rFonts w:ascii="Arial" w:cs="Arial" w:eastAsia="Arial" w:hAnsi="Arial"/>
          <w:sz w:val="21"/>
          <w:szCs w:val="21"/>
          <w:b w:val="1"/>
          <w:bCs w:val="1"/>
          <w:color w:val="231F20"/>
        </w:rPr>
        <w:t>From time to time, the Company may also prohibit directors, officers, employees, consultants, contractors and advisors from engaging in transactions involving the Company</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s securities when, in the judgment of a Compliance Officer, a trading blackout is warranted. The Company will generally impose special blackout periods when there are material developments known to the Company that have not yet been disclosed to the public. For example, the Company may impose a special blackout period in anticipation of announcing material clinical data results or a significant transaction or business development. However, special blackout periods may be declared for any reason.</w:t>
      </w:r>
    </w:p>
    <w:p>
      <w:pPr>
        <w:spacing w:after="0" w:line="245" w:lineRule="exact"/>
        <w:rPr>
          <w:sz w:val="20"/>
          <w:szCs w:val="20"/>
          <w:color w:val="auto"/>
        </w:rPr>
      </w:pPr>
    </w:p>
    <w:p>
      <w:pPr>
        <w:jc w:val="both"/>
        <w:ind w:left="140" w:right="140" w:firstLine="348"/>
        <w:spacing w:after="0" w:line="265" w:lineRule="exact"/>
        <w:rPr>
          <w:sz w:val="20"/>
          <w:szCs w:val="20"/>
          <w:color w:val="auto"/>
        </w:rPr>
      </w:pPr>
      <w:r>
        <w:rPr>
          <w:rFonts w:ascii="Arial" w:cs="Arial" w:eastAsia="Arial" w:hAnsi="Arial"/>
          <w:sz w:val="21"/>
          <w:szCs w:val="21"/>
          <w:b w:val="1"/>
          <w:bCs w:val="1"/>
          <w:color w:val="231F20"/>
        </w:rPr>
        <w:t>The Company will notify those persons subject to a special blackout period. Each person who has been so identified and notified by the Company may not engage in any transaction involving the Company</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s securities until instructed otherwise by a Compliance Officer, and should not disclose to others the fact of such suspension of trading.</w:t>
      </w:r>
    </w:p>
    <w:p>
      <w:pPr>
        <w:sectPr>
          <w:pgSz w:w="12240" w:h="15840" w:orient="portrait"/>
          <w:cols w:equalWidth="0" w:num="1">
            <w:col w:w="9360"/>
          </w:cols>
          <w:pgMar w:left="1440" w:top="1440" w:right="1440" w:bottom="389" w:gutter="0" w:footer="0" w:header="0"/>
        </w:sectPr>
      </w:pPr>
    </w:p>
    <w:p>
      <w:pPr>
        <w:spacing w:after="0" w:line="374" w:lineRule="exact"/>
        <w:rPr>
          <w:sz w:val="20"/>
          <w:szCs w:val="20"/>
          <w:color w:val="auto"/>
        </w:rPr>
      </w:pPr>
    </w:p>
    <w:p>
      <w:pPr>
        <w:ind w:left="4860"/>
        <w:spacing w:after="0"/>
        <w:rPr>
          <w:sz w:val="20"/>
          <w:szCs w:val="20"/>
          <w:color w:val="auto"/>
        </w:rPr>
      </w:pPr>
      <w:r>
        <w:rPr>
          <w:rFonts w:ascii="Arial" w:cs="Arial" w:eastAsia="Arial" w:hAnsi="Arial"/>
          <w:sz w:val="19"/>
          <w:szCs w:val="19"/>
          <w:b w:val="1"/>
          <w:bCs w:val="1"/>
          <w:color w:val="231F20"/>
        </w:rPr>
        <w:t>-10-</w:t>
      </w:r>
    </w:p>
    <w:p>
      <w:pPr>
        <w:sectPr>
          <w:pgSz w:w="12240" w:h="15840" w:orient="portrait"/>
          <w:cols w:equalWidth="0" w:num="1">
            <w:col w:w="9360"/>
          </w:cols>
          <w:pgMar w:left="1440" w:top="1440" w:right="1440" w:bottom="389" w:gutter="0" w:footer="0" w:header="0"/>
          <w:type w:val="continuous"/>
        </w:sectPr>
      </w:pPr>
    </w:p>
    <w:bookmarkStart w:id="182" w:name="page183"/>
    <w:bookmarkEnd w:id="182"/>
    <w:p>
      <w:pPr>
        <w:spacing w:after="0" w:line="57"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231F20"/>
        </w:rPr>
        <w:t>Regulation BTR blackouts</w:t>
      </w:r>
    </w:p>
    <w:p>
      <w:pPr>
        <w:spacing w:after="0" w:line="244" w:lineRule="exact"/>
        <w:rPr>
          <w:sz w:val="20"/>
          <w:szCs w:val="20"/>
          <w:color w:val="auto"/>
        </w:rPr>
      </w:pPr>
    </w:p>
    <w:p>
      <w:pPr>
        <w:jc w:val="both"/>
        <w:ind w:left="140" w:right="140" w:firstLine="348"/>
        <w:spacing w:after="0" w:line="282" w:lineRule="auto"/>
        <w:rPr>
          <w:sz w:val="20"/>
          <w:szCs w:val="20"/>
          <w:color w:val="auto"/>
        </w:rPr>
      </w:pPr>
      <w:r>
        <w:rPr>
          <w:rFonts w:ascii="Arial" w:cs="Arial" w:eastAsia="Arial" w:hAnsi="Arial"/>
          <w:sz w:val="20"/>
          <w:szCs w:val="20"/>
          <w:b w:val="1"/>
          <w:bCs w:val="1"/>
          <w:color w:val="231F20"/>
        </w:rPr>
        <w:t>Directors and executive officers may also be subject to trading blackouts pursuant to Regulation Blackout Trading Restriction, or Regulation BTR, under U.S. federal securities laws. In general, Regulation BTR prohibits any director or executive officer from engaging in certain transactions involving Company securities during periods when 401(k) plan participants are prevented from purchasing, selling or otherwise acquiring or transferring an interest in certain securities held in individual account plans. Any profits realized from a transaction that violates Regulation BTR are recoverable by the Company, regardless of the intentions of the director or officer effecting the transaction. In addition, individuals who engage in such transactions are subject to sanction by the SEC as well as potential criminal liability. The Company has provided, or will provide, separate memoranda and other appropriate materials to its directors and executive officers regarding compliance with Regulation BTR.</w:t>
      </w:r>
    </w:p>
    <w:p>
      <w:pPr>
        <w:spacing w:after="0" w:line="205" w:lineRule="exact"/>
        <w:rPr>
          <w:sz w:val="20"/>
          <w:szCs w:val="20"/>
          <w:color w:val="auto"/>
        </w:rPr>
      </w:pPr>
    </w:p>
    <w:p>
      <w:pPr>
        <w:jc w:val="both"/>
        <w:ind w:left="140" w:right="140" w:firstLine="348"/>
        <w:spacing w:after="0" w:line="255" w:lineRule="auto"/>
        <w:rPr>
          <w:sz w:val="20"/>
          <w:szCs w:val="20"/>
          <w:color w:val="auto"/>
        </w:rPr>
      </w:pPr>
      <w:r>
        <w:rPr>
          <w:rFonts w:ascii="Arial" w:cs="Arial" w:eastAsia="Arial" w:hAnsi="Arial"/>
          <w:sz w:val="22"/>
          <w:szCs w:val="22"/>
          <w:b w:val="1"/>
          <w:bCs w:val="1"/>
          <w:color w:val="231F20"/>
        </w:rPr>
        <w:t>The Company will notify directors and officers if they are subject to a blackout trading restriction under Regulation BTR. Failure to comply with an applicable trading blackout in accordance with Regulation BTR is a violation of law and this Policy.</w:t>
      </w:r>
    </w:p>
    <w:p>
      <w:pPr>
        <w:spacing w:after="0" w:line="207" w:lineRule="exact"/>
        <w:rPr>
          <w:sz w:val="20"/>
          <w:szCs w:val="20"/>
          <w:color w:val="auto"/>
        </w:rPr>
      </w:pPr>
    </w:p>
    <w:p>
      <w:pPr>
        <w:ind w:left="140"/>
        <w:spacing w:after="0" w:line="279" w:lineRule="exact"/>
        <w:rPr>
          <w:sz w:val="20"/>
          <w:szCs w:val="20"/>
          <w:color w:val="auto"/>
        </w:rPr>
      </w:pPr>
      <w:r>
        <w:rPr>
          <w:rFonts w:ascii="Arial" w:cs="Arial" w:eastAsia="Arial" w:hAnsi="Arial"/>
          <w:sz w:val="23"/>
          <w:szCs w:val="23"/>
          <w:b w:val="1"/>
          <w:bCs w:val="1"/>
          <w:color w:val="231F20"/>
        </w:rPr>
        <w:t xml:space="preserve">No </w:t>
      </w:r>
      <w:r>
        <w:rPr>
          <w:rFonts w:ascii="PMingLiU" w:cs="PMingLiU" w:eastAsia="PMingLiU" w:hAnsi="PMingLiU"/>
          <w:sz w:val="23"/>
          <w:szCs w:val="23"/>
          <w:b w:val="1"/>
          <w:bCs w:val="1"/>
          <w:color w:val="231F20"/>
        </w:rPr>
        <w:t></w:t>
      </w:r>
      <w:r>
        <w:rPr>
          <w:rFonts w:ascii="Arial" w:cs="Arial" w:eastAsia="Arial" w:hAnsi="Arial"/>
          <w:sz w:val="23"/>
          <w:szCs w:val="23"/>
          <w:b w:val="1"/>
          <w:bCs w:val="1"/>
          <w:color w:val="231F20"/>
        </w:rPr>
        <w:t>safe harbors</w:t>
      </w:r>
      <w:r>
        <w:rPr>
          <w:rFonts w:ascii="PMingLiU" w:cs="PMingLiU" w:eastAsia="PMingLiU" w:hAnsi="PMingLiU"/>
          <w:sz w:val="23"/>
          <w:szCs w:val="23"/>
          <w:b w:val="1"/>
          <w:bCs w:val="1"/>
          <w:color w:val="231F20"/>
        </w:rPr>
        <w:t></w:t>
      </w:r>
    </w:p>
    <w:p>
      <w:pPr>
        <w:spacing w:after="0" w:line="244" w:lineRule="exact"/>
        <w:rPr>
          <w:sz w:val="20"/>
          <w:szCs w:val="20"/>
          <w:color w:val="auto"/>
        </w:rPr>
      </w:pPr>
    </w:p>
    <w:p>
      <w:pPr>
        <w:jc w:val="both"/>
        <w:ind w:left="140" w:right="140" w:firstLine="348"/>
        <w:spacing w:after="0" w:line="266" w:lineRule="exact"/>
        <w:rPr>
          <w:sz w:val="20"/>
          <w:szCs w:val="20"/>
          <w:color w:val="auto"/>
        </w:rPr>
      </w:pPr>
      <w:r>
        <w:rPr>
          <w:rFonts w:ascii="Arial" w:cs="Arial" w:eastAsia="Arial" w:hAnsi="Arial"/>
          <w:sz w:val="20"/>
          <w:szCs w:val="20"/>
          <w:b w:val="1"/>
          <w:bCs w:val="1"/>
          <w:color w:val="231F20"/>
        </w:rPr>
        <w:t xml:space="preserve">There are no unconditional </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safe harbors</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 xml:space="preserve"> for trades made at particular times, and all persons subject to this Policy should exercise good judgment at all times. Even when a quarterly blackout period is not in effect, you may be prohibited from engaging in transactions involving the Company</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s securities because you possess material nonpublic information, are subject to a special blackout period or are otherwise restricted under this Policy.</w:t>
      </w:r>
    </w:p>
    <w:p>
      <w:pPr>
        <w:sectPr>
          <w:pgSz w:w="12240" w:h="15840" w:orient="portrait"/>
          <w:cols w:equalWidth="0" w:num="1">
            <w:col w:w="9360"/>
          </w:cols>
          <w:pgMar w:left="1440" w:top="1440" w:right="1440" w:bottom="38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860"/>
        <w:spacing w:after="0"/>
        <w:rPr>
          <w:sz w:val="20"/>
          <w:szCs w:val="20"/>
          <w:color w:val="auto"/>
        </w:rPr>
      </w:pPr>
      <w:r>
        <w:rPr>
          <w:rFonts w:ascii="Arial" w:cs="Arial" w:eastAsia="Arial" w:hAnsi="Arial"/>
          <w:sz w:val="19"/>
          <w:szCs w:val="19"/>
          <w:b w:val="1"/>
          <w:bCs w:val="1"/>
          <w:color w:val="231F20"/>
        </w:rPr>
        <w:t>-11-</w:t>
      </w:r>
    </w:p>
    <w:p>
      <w:pPr>
        <w:sectPr>
          <w:pgSz w:w="12240" w:h="15840" w:orient="portrait"/>
          <w:cols w:equalWidth="0" w:num="1">
            <w:col w:w="9360"/>
          </w:cols>
          <w:pgMar w:left="1440" w:top="1440" w:right="1440" w:bottom="389" w:gutter="0" w:footer="0" w:header="0"/>
          <w:type w:val="continuous"/>
        </w:sectPr>
      </w:pPr>
    </w:p>
    <w:bookmarkStart w:id="183" w:name="page184"/>
    <w:bookmarkEnd w:id="183"/>
    <w:p>
      <w:pPr>
        <w:spacing w:after="0" w:line="57"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231F20"/>
        </w:rPr>
        <w:t>PRE-CLEARANCE OF TRADES</w:t>
      </w:r>
    </w:p>
    <w:p>
      <w:pPr>
        <w:spacing w:after="0" w:line="244" w:lineRule="exact"/>
        <w:rPr>
          <w:sz w:val="20"/>
          <w:szCs w:val="20"/>
          <w:color w:val="auto"/>
        </w:rPr>
      </w:pPr>
    </w:p>
    <w:p>
      <w:pPr>
        <w:jc w:val="both"/>
        <w:ind w:left="140" w:right="140" w:firstLine="348"/>
        <w:spacing w:after="0" w:line="267" w:lineRule="exact"/>
        <w:rPr>
          <w:sz w:val="20"/>
          <w:szCs w:val="20"/>
          <w:color w:val="auto"/>
        </w:rPr>
      </w:pPr>
      <w:r>
        <w:rPr>
          <w:rFonts w:ascii="Arial" w:cs="Arial" w:eastAsia="Arial" w:hAnsi="Arial"/>
          <w:sz w:val="19"/>
          <w:szCs w:val="19"/>
          <w:b w:val="1"/>
          <w:bCs w:val="1"/>
          <w:color w:val="231F20"/>
        </w:rPr>
        <w:t xml:space="preserve">Except as discussed in the section entitled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Limited Exceptions</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directors, executive officers and any other persons identified on the Covered Persons List of this Policy as being subject to pre-clearance requirements must obtain pre-clearance prior to engaging in any transaction involving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securities. This is done by submitting a pre-clearance request on the form provided by a Compliance Officer to a Compliance Officer and obtaining the required signature from a Compliance Officer prior to the desired transaction date. The Compliance Officer should use the Pre-Clearance Checklist (see Schedule I) before signing a pre-clearance request. A Compliance Officer may not engage in a transaction involving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securities unless the Chief Executive Officer has pre-cleared the transaction or, in the case the Compliance Officer engaging in the transaction is the Chief Executive Officer, another Compliance Officer has pre-cleared the transaction. All trades must be executed within one week of any pre-clearance.</w:t>
      </w:r>
    </w:p>
    <w:p>
      <w:pPr>
        <w:spacing w:after="0" w:line="251" w:lineRule="exact"/>
        <w:rPr>
          <w:sz w:val="20"/>
          <w:szCs w:val="20"/>
          <w:color w:val="auto"/>
        </w:rPr>
      </w:pPr>
    </w:p>
    <w:p>
      <w:pPr>
        <w:jc w:val="both"/>
        <w:ind w:left="140" w:right="140" w:firstLine="348"/>
        <w:spacing w:after="0" w:line="267" w:lineRule="exact"/>
        <w:rPr>
          <w:sz w:val="20"/>
          <w:szCs w:val="20"/>
          <w:color w:val="auto"/>
        </w:rPr>
      </w:pPr>
      <w:r>
        <w:rPr>
          <w:rFonts w:ascii="Arial" w:cs="Arial" w:eastAsia="Arial" w:hAnsi="Arial"/>
          <w:sz w:val="21"/>
          <w:szCs w:val="21"/>
          <w:b w:val="1"/>
          <w:bCs w:val="1"/>
          <w:color w:val="231F20"/>
        </w:rPr>
        <w:t xml:space="preserve">These pre-clearance procedures are intended to decrease insider trading risks associated with transactions by individuals with regular or special access to material nonpublic information. In addition, requiring pre-clearance of transactions by directors and officers facilitates compliance with Rule 144 resale restrictions under the Securities Act of 1933, as amended, the liability and reporting provisions of Section 16 under the Securities Exchange Act of 1934, as amended (the </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Exchange Act</w:t>
      </w:r>
      <w:r>
        <w:rPr>
          <w:rFonts w:ascii="PMingLiU" w:cs="PMingLiU" w:eastAsia="PMingLiU" w:hAnsi="PMingLiU"/>
          <w:sz w:val="21"/>
          <w:szCs w:val="21"/>
          <w:b w:val="1"/>
          <w:bCs w:val="1"/>
          <w:color w:val="231F20"/>
        </w:rPr>
        <w:t></w:t>
      </w:r>
      <w:r>
        <w:rPr>
          <w:rFonts w:ascii="Arial" w:cs="Arial" w:eastAsia="Arial" w:hAnsi="Arial"/>
          <w:sz w:val="21"/>
          <w:szCs w:val="21"/>
          <w:b w:val="1"/>
          <w:bCs w:val="1"/>
          <w:color w:val="231F20"/>
        </w:rPr>
        <w:t>) and Regulation BTR. Pre-clearance of a trade, however, is not a defense to a claim of insider trading and does not excuse you from otherwise complying with insider trading laws or this Policy.</w:t>
      </w:r>
    </w:p>
    <w:p>
      <w:pPr>
        <w:spacing w:after="0" w:line="242" w:lineRule="exact"/>
        <w:rPr>
          <w:sz w:val="20"/>
          <w:szCs w:val="20"/>
          <w:color w:val="auto"/>
        </w:rPr>
      </w:pPr>
    </w:p>
    <w:p>
      <w:pPr>
        <w:jc w:val="both"/>
        <w:ind w:left="140" w:right="140" w:firstLine="348"/>
        <w:spacing w:after="0" w:line="238" w:lineRule="auto"/>
        <w:rPr>
          <w:sz w:val="20"/>
          <w:szCs w:val="20"/>
          <w:color w:val="auto"/>
        </w:rPr>
      </w:pPr>
      <w:r>
        <w:rPr>
          <w:rFonts w:ascii="Arial" w:cs="Arial" w:eastAsia="Arial" w:hAnsi="Arial"/>
          <w:sz w:val="23"/>
          <w:szCs w:val="23"/>
          <w:b w:val="1"/>
          <w:bCs w:val="1"/>
          <w:color w:val="231F20"/>
        </w:rPr>
        <w:t>A Compliance Officer is under no obligation to approve a transaction submitted for pre-clearance, and may determine not to permit the transaction.</w:t>
      </w:r>
    </w:p>
    <w:p>
      <w:pPr>
        <w:spacing w:after="0" w:line="243" w:lineRule="exact"/>
        <w:rPr>
          <w:sz w:val="20"/>
          <w:szCs w:val="20"/>
          <w:color w:val="auto"/>
        </w:rPr>
      </w:pPr>
    </w:p>
    <w:p>
      <w:pPr>
        <w:jc w:val="both"/>
        <w:ind w:left="140" w:right="140" w:firstLine="348"/>
        <w:spacing w:after="0" w:line="239" w:lineRule="auto"/>
        <w:rPr>
          <w:sz w:val="20"/>
          <w:szCs w:val="20"/>
          <w:color w:val="auto"/>
        </w:rPr>
      </w:pPr>
      <w:r>
        <w:rPr>
          <w:rFonts w:ascii="Arial" w:cs="Arial" w:eastAsia="Arial" w:hAnsi="Arial"/>
          <w:sz w:val="23"/>
          <w:szCs w:val="23"/>
          <w:b w:val="1"/>
          <w:bCs w:val="1"/>
          <w:color w:val="231F20"/>
        </w:rPr>
        <w:t>From time to time, the Company may identify other persons who should be subject to the pre-clearance requirements set forth above, and a Compliance Officer may update and revise the Covered Persons List as appropriate.</w:t>
      </w:r>
    </w:p>
    <w:p>
      <w:pPr>
        <w:sectPr>
          <w:pgSz w:w="12240" w:h="15840" w:orient="portrait"/>
          <w:cols w:equalWidth="0" w:num="1">
            <w:col w:w="9360"/>
          </w:cols>
          <w:pgMar w:left="1440" w:top="1440" w:right="1440" w:bottom="38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860"/>
        <w:spacing w:after="0"/>
        <w:rPr>
          <w:sz w:val="20"/>
          <w:szCs w:val="20"/>
          <w:color w:val="auto"/>
        </w:rPr>
      </w:pPr>
      <w:r>
        <w:rPr>
          <w:rFonts w:ascii="Arial" w:cs="Arial" w:eastAsia="Arial" w:hAnsi="Arial"/>
          <w:sz w:val="19"/>
          <w:szCs w:val="19"/>
          <w:b w:val="1"/>
          <w:bCs w:val="1"/>
          <w:color w:val="231F20"/>
        </w:rPr>
        <w:t>-12-</w:t>
      </w:r>
    </w:p>
    <w:p>
      <w:pPr>
        <w:sectPr>
          <w:pgSz w:w="12240" w:h="15840" w:orient="portrait"/>
          <w:cols w:equalWidth="0" w:num="1">
            <w:col w:w="9360"/>
          </w:cols>
          <w:pgMar w:left="1440" w:top="1440" w:right="1440" w:bottom="389" w:gutter="0" w:footer="0" w:header="0"/>
          <w:type w:val="continuous"/>
        </w:sectPr>
      </w:pPr>
    </w:p>
    <w:bookmarkStart w:id="184" w:name="page185"/>
    <w:bookmarkEnd w:id="184"/>
    <w:p>
      <w:pPr>
        <w:spacing w:after="0" w:line="57"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231F20"/>
        </w:rPr>
        <w:t>ADDITIONAL RESTRICTIONS AND GUIDANCE</w:t>
      </w:r>
    </w:p>
    <w:p>
      <w:pPr>
        <w:spacing w:after="0" w:line="244" w:lineRule="exact"/>
        <w:rPr>
          <w:sz w:val="20"/>
          <w:szCs w:val="20"/>
          <w:color w:val="auto"/>
        </w:rPr>
      </w:pPr>
    </w:p>
    <w:p>
      <w:pPr>
        <w:jc w:val="both"/>
        <w:ind w:left="140" w:right="140" w:firstLine="348"/>
        <w:spacing w:after="0" w:line="254" w:lineRule="auto"/>
        <w:rPr>
          <w:sz w:val="20"/>
          <w:szCs w:val="20"/>
          <w:color w:val="auto"/>
        </w:rPr>
      </w:pPr>
      <w:r>
        <w:rPr>
          <w:rFonts w:ascii="Arial" w:cs="Arial" w:eastAsia="Arial" w:hAnsi="Arial"/>
          <w:sz w:val="22"/>
          <w:szCs w:val="22"/>
          <w:b w:val="1"/>
          <w:bCs w:val="1"/>
          <w:color w:val="231F20"/>
        </w:rPr>
        <w:t>This section addresses certain types of transactions that may expose you and the Company to significant risks. You should understand that, even though a transaction may not be expressly prohibited by this section, you are responsible for ensuring that the transaction otherwise complies with other provisions in this Policy that may apply to the transaction, such as the general prohibition against insider trading as well as pre-clearance procedures and blackout periods, to the extent applicable.</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231F20"/>
        </w:rPr>
        <w:t>Short sales</w:t>
      </w:r>
    </w:p>
    <w:p>
      <w:pPr>
        <w:spacing w:after="0" w:line="244" w:lineRule="exact"/>
        <w:rPr>
          <w:sz w:val="20"/>
          <w:szCs w:val="20"/>
          <w:color w:val="auto"/>
        </w:rPr>
      </w:pPr>
    </w:p>
    <w:p>
      <w:pPr>
        <w:jc w:val="both"/>
        <w:ind w:left="140" w:right="140" w:firstLine="348"/>
        <w:spacing w:after="0" w:line="266" w:lineRule="exact"/>
        <w:rPr>
          <w:sz w:val="20"/>
          <w:szCs w:val="20"/>
          <w:color w:val="auto"/>
        </w:rPr>
      </w:pPr>
      <w:r>
        <w:rPr>
          <w:rFonts w:ascii="Arial" w:cs="Arial" w:eastAsia="Arial" w:hAnsi="Arial"/>
          <w:sz w:val="19"/>
          <w:szCs w:val="19"/>
          <w:b w:val="1"/>
          <w:bCs w:val="1"/>
          <w:color w:val="231F20"/>
        </w:rPr>
        <w:t xml:space="preserve">Short sales (i.e., the sale of a security that must be borrowed to make delivery) and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selling short against the box</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(i.e., a sale with a delayed delivery) with respect to Company securities are prohibited under this Policy. Short sales may signal to the market possible bad news about the Company or a general lack of confidence in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prospects, and an expectation that the value of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securities will decline. In addition, short sales are effectively a bet against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success and may reduce the seller</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incentive to improve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performance. Short sales may also create a suspicion that the seller is engaged in insider trading.</w:t>
      </w:r>
    </w:p>
    <w:p>
      <w:pPr>
        <w:spacing w:after="0" w:line="238"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231F20"/>
        </w:rPr>
        <w:t>Derivative securities and hedging transactions</w:t>
      </w:r>
    </w:p>
    <w:p>
      <w:pPr>
        <w:spacing w:after="0" w:line="244" w:lineRule="exact"/>
        <w:rPr>
          <w:sz w:val="20"/>
          <w:szCs w:val="20"/>
          <w:color w:val="auto"/>
        </w:rPr>
      </w:pPr>
    </w:p>
    <w:p>
      <w:pPr>
        <w:jc w:val="both"/>
        <w:ind w:left="140" w:right="140" w:firstLine="350"/>
        <w:spacing w:after="0" w:line="267" w:lineRule="exact"/>
        <w:rPr>
          <w:sz w:val="20"/>
          <w:szCs w:val="20"/>
          <w:color w:val="auto"/>
        </w:rPr>
      </w:pPr>
      <w:r>
        <w:rPr>
          <w:rFonts w:ascii="Arial" w:cs="Arial" w:eastAsia="Arial" w:hAnsi="Arial"/>
          <w:sz w:val="20"/>
          <w:szCs w:val="20"/>
          <w:b w:val="1"/>
          <w:bCs w:val="1"/>
          <w:color w:val="231F20"/>
        </w:rPr>
        <w:t>You are prohibited from engaging in transactions in publicly-traded options, such as puts and calls, and other derivative securities with respect to the Company</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 xml:space="preserve">s securities. This prohibition extends to any hedging or similar transaction designed to decrease the risks associated with holding Company securities. Stock options, stock appreciation rights and other securities issued pursuant to Company benefit plans or other compensatory arrangements with the Company are also subject to this prohibition; provided, however, as described in the </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Limited Exceptions</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 xml:space="preserve"> section of this Policy, you are not prohibited from exercising any stock options issued under any of the Company</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s benefit plans or other compensatory arrangements in accordance with the terms of such plans or arrangements.</w:t>
      </w:r>
    </w:p>
    <w:p>
      <w:pPr>
        <w:sectPr>
          <w:pgSz w:w="12240" w:h="15840" w:orient="portrait"/>
          <w:cols w:equalWidth="0" w:num="1">
            <w:col w:w="9360"/>
          </w:cols>
          <w:pgMar w:left="1440" w:top="1440" w:right="1440" w:bottom="38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860"/>
        <w:spacing w:after="0"/>
        <w:rPr>
          <w:sz w:val="20"/>
          <w:szCs w:val="20"/>
          <w:color w:val="auto"/>
        </w:rPr>
      </w:pPr>
      <w:r>
        <w:rPr>
          <w:rFonts w:ascii="Arial" w:cs="Arial" w:eastAsia="Arial" w:hAnsi="Arial"/>
          <w:sz w:val="19"/>
          <w:szCs w:val="19"/>
          <w:b w:val="1"/>
          <w:bCs w:val="1"/>
          <w:color w:val="231F20"/>
        </w:rPr>
        <w:t>-13-</w:t>
      </w:r>
    </w:p>
    <w:p>
      <w:pPr>
        <w:sectPr>
          <w:pgSz w:w="12240" w:h="15840" w:orient="portrait"/>
          <w:cols w:equalWidth="0" w:num="1">
            <w:col w:w="9360"/>
          </w:cols>
          <w:pgMar w:left="1440" w:top="1440" w:right="1440" w:bottom="389" w:gutter="0" w:footer="0" w:header="0"/>
          <w:type w:val="continuous"/>
        </w:sectPr>
      </w:pPr>
    </w:p>
    <w:bookmarkStart w:id="185" w:name="page186"/>
    <w:bookmarkEnd w:id="185"/>
    <w:p>
      <w:pPr>
        <w:spacing w:after="0" w:line="64" w:lineRule="exact"/>
        <w:rPr>
          <w:sz w:val="20"/>
          <w:szCs w:val="20"/>
          <w:color w:val="auto"/>
        </w:rPr>
      </w:pPr>
    </w:p>
    <w:p>
      <w:pPr>
        <w:jc w:val="both"/>
        <w:ind w:left="140" w:right="140" w:firstLine="348"/>
        <w:spacing w:after="0" w:line="266" w:lineRule="exact"/>
        <w:rPr>
          <w:sz w:val="20"/>
          <w:szCs w:val="20"/>
          <w:color w:val="auto"/>
        </w:rPr>
      </w:pPr>
      <w:r>
        <w:rPr>
          <w:rFonts w:ascii="Arial" w:cs="Arial" w:eastAsia="Arial" w:hAnsi="Arial"/>
          <w:sz w:val="20"/>
          <w:szCs w:val="20"/>
          <w:b w:val="1"/>
          <w:bCs w:val="1"/>
          <w:color w:val="231F20"/>
        </w:rPr>
        <w:t>Transactions in derivative securities may reflect a short-term and speculative interest in the Company</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s securities and may create the appearance of impropriety, even where a transaction does not involve trading on inside information. Trading in derivatives may also focus attention on short-term performance at the expense of the Company</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 xml:space="preserve">s long-term objectives. In addition, the application of securities laws to derivatives transactions can be complex, and persons engaging in derivatives transactions may subject themselves to an increased risk of violating securities laws. </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Guidelines for Preparing Trading Plans</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 xml:space="preserve"> are set forth in Schedule III.</w:t>
      </w:r>
    </w:p>
    <w:p>
      <w:pPr>
        <w:spacing w:after="0" w:line="240"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231F20"/>
        </w:rPr>
        <w:t>Using Company securities as collateral for loans</w:t>
      </w:r>
    </w:p>
    <w:p>
      <w:pPr>
        <w:spacing w:after="0" w:line="244" w:lineRule="exact"/>
        <w:rPr>
          <w:sz w:val="20"/>
          <w:szCs w:val="20"/>
          <w:color w:val="auto"/>
        </w:rPr>
      </w:pPr>
    </w:p>
    <w:p>
      <w:pPr>
        <w:jc w:val="both"/>
        <w:ind w:left="140" w:right="140" w:firstLine="348"/>
        <w:spacing w:after="0" w:line="268" w:lineRule="auto"/>
        <w:rPr>
          <w:sz w:val="20"/>
          <w:szCs w:val="20"/>
          <w:color w:val="auto"/>
        </w:rPr>
      </w:pPr>
      <w:r>
        <w:rPr>
          <w:rFonts w:ascii="Arial" w:cs="Arial" w:eastAsia="Arial" w:hAnsi="Arial"/>
          <w:sz w:val="21"/>
          <w:szCs w:val="21"/>
          <w:b w:val="1"/>
          <w:bCs w:val="1"/>
          <w:color w:val="231F20"/>
        </w:rPr>
        <w:t>You may not pledge Company securities as collateral for loans. If you default on the loan, the lender may sell the pledged securities as collateral in a foreclosure sale. The sale, even though not initiated at your request, is still considered a sale for your benefit and, if made at a time when you are aware of material nonpublic information or otherwise are not permitted to trade in Company securities, may result in inadvertent insider trading violations, Section 16 and Regulation BTR violations (for officers and directors), violations of this Policy and unfavorable publicity for you and the Company.</w:t>
      </w:r>
    </w:p>
    <w:p>
      <w:pPr>
        <w:spacing w:after="0" w:line="210"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231F20"/>
        </w:rPr>
        <w:t>Holding Company securities in margin accounts</w:t>
      </w:r>
    </w:p>
    <w:p>
      <w:pPr>
        <w:spacing w:after="0" w:line="244" w:lineRule="exact"/>
        <w:rPr>
          <w:sz w:val="20"/>
          <w:szCs w:val="20"/>
          <w:color w:val="auto"/>
        </w:rPr>
      </w:pPr>
    </w:p>
    <w:p>
      <w:pPr>
        <w:jc w:val="both"/>
        <w:ind w:left="140" w:right="140" w:firstLine="348"/>
        <w:spacing w:after="0" w:line="284" w:lineRule="auto"/>
        <w:rPr>
          <w:sz w:val="20"/>
          <w:szCs w:val="20"/>
          <w:color w:val="auto"/>
        </w:rPr>
      </w:pPr>
      <w:r>
        <w:rPr>
          <w:rFonts w:ascii="Arial" w:cs="Arial" w:eastAsia="Arial" w:hAnsi="Arial"/>
          <w:sz w:val="20"/>
          <w:szCs w:val="20"/>
          <w:b w:val="1"/>
          <w:bCs w:val="1"/>
          <w:color w:val="231F20"/>
        </w:rPr>
        <w:t>You may not hold Company securities in margin accounts. Under typical margin arrangements, if you fail to meet a margin call, the broker may be entitled to sell securities held in the margin account without your consent. The sale, even though not initiated at your request, is still considered a sale for your benefit and, if made at a time when you are aware of material nonpublic information or are otherwise not permitted to trade, may result in inadvertent insider trading violations, Section 16 and Regulation BTR violations (for officers and directors), violations of this Policy and unfavorable publicity for you and the Company.</w:t>
      </w:r>
    </w:p>
    <w:p>
      <w:pPr>
        <w:spacing w:after="0" w:line="195"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231F20"/>
        </w:rPr>
        <w:t>Placing open orders with brokers</w:t>
      </w:r>
    </w:p>
    <w:p>
      <w:pPr>
        <w:spacing w:after="0" w:line="242" w:lineRule="exact"/>
        <w:rPr>
          <w:sz w:val="20"/>
          <w:szCs w:val="20"/>
          <w:color w:val="auto"/>
        </w:rPr>
      </w:pPr>
    </w:p>
    <w:p>
      <w:pPr>
        <w:jc w:val="both"/>
        <w:ind w:left="140" w:right="140" w:firstLine="348"/>
        <w:spacing w:after="0" w:line="282" w:lineRule="auto"/>
        <w:rPr>
          <w:sz w:val="20"/>
          <w:szCs w:val="20"/>
          <w:color w:val="auto"/>
        </w:rPr>
      </w:pPr>
      <w:r>
        <w:rPr>
          <w:rFonts w:ascii="Arial" w:cs="Arial" w:eastAsia="Arial" w:hAnsi="Arial"/>
          <w:sz w:val="20"/>
          <w:szCs w:val="20"/>
          <w:b w:val="1"/>
          <w:bCs w:val="1"/>
          <w:color w:val="231F20"/>
        </w:rPr>
        <w:t>Except in accordance with an approved trading plan (as discussed below), you should exercise caution when placing open orders, such as limit orders or stop orders, with brokers, particularly where the order is likely to remain outstanding for an extended period of time. If you are subject to the blackout window, open orders should be canceled prior to entering a blackout window, as this may result in the execution of a trade at a time when you are aware of material nonpublic information or otherwise are not permitted to trade in Company securities, which may result in inadvertent insider trading violations, Section 16 and Regulation BTR violations (for officers and directors), violations of this Policy and unfavorable publicity for you and the Company. If you are subject to blackout periods or pre-clearance requirements, you should so inform any broker with whom you place any open order at the time it is placed.</w:t>
      </w:r>
    </w:p>
    <w:p>
      <w:pPr>
        <w:sectPr>
          <w:pgSz w:w="12240" w:h="15840" w:orient="portrait"/>
          <w:cols w:equalWidth="0" w:num="1">
            <w:col w:w="9360"/>
          </w:cols>
          <w:pgMar w:left="1440" w:top="1440" w:right="1440" w:bottom="38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860"/>
        <w:spacing w:after="0"/>
        <w:rPr>
          <w:sz w:val="20"/>
          <w:szCs w:val="20"/>
          <w:color w:val="auto"/>
        </w:rPr>
      </w:pPr>
      <w:r>
        <w:rPr>
          <w:rFonts w:ascii="Arial" w:cs="Arial" w:eastAsia="Arial" w:hAnsi="Arial"/>
          <w:sz w:val="19"/>
          <w:szCs w:val="19"/>
          <w:b w:val="1"/>
          <w:bCs w:val="1"/>
          <w:color w:val="231F20"/>
        </w:rPr>
        <w:t>-14-</w:t>
      </w:r>
    </w:p>
    <w:p>
      <w:pPr>
        <w:sectPr>
          <w:pgSz w:w="12240" w:h="15840" w:orient="portrait"/>
          <w:cols w:equalWidth="0" w:num="1">
            <w:col w:w="9360"/>
          </w:cols>
          <w:pgMar w:left="1440" w:top="1440" w:right="1440" w:bottom="389" w:gutter="0" w:footer="0" w:header="0"/>
          <w:type w:val="continuous"/>
        </w:sectPr>
      </w:pPr>
    </w:p>
    <w:bookmarkStart w:id="186" w:name="page187"/>
    <w:bookmarkEnd w:id="186"/>
    <w:p>
      <w:pPr>
        <w:spacing w:after="0" w:line="57"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231F20"/>
        </w:rPr>
        <w:t>LIMITED EXCEPTIONS</w:t>
      </w:r>
    </w:p>
    <w:p>
      <w:pPr>
        <w:spacing w:after="0" w:line="244" w:lineRule="exact"/>
        <w:rPr>
          <w:sz w:val="20"/>
          <w:szCs w:val="20"/>
          <w:color w:val="auto"/>
        </w:rPr>
      </w:pPr>
    </w:p>
    <w:p>
      <w:pPr>
        <w:jc w:val="both"/>
        <w:ind w:left="140" w:right="140" w:firstLine="348"/>
        <w:spacing w:after="0" w:line="266" w:lineRule="exact"/>
        <w:rPr>
          <w:sz w:val="20"/>
          <w:szCs w:val="20"/>
          <w:color w:val="auto"/>
        </w:rPr>
      </w:pPr>
      <w:r>
        <w:rPr>
          <w:rFonts w:ascii="Arial" w:cs="Arial" w:eastAsia="Arial" w:hAnsi="Arial"/>
          <w:sz w:val="20"/>
          <w:szCs w:val="20"/>
          <w:b w:val="1"/>
          <w:bCs w:val="1"/>
          <w:color w:val="231F20"/>
        </w:rPr>
        <w:t xml:space="preserve">The following are certain limited exceptions to the restrictions imposed by the Company under this Policy. Please be aware that even if a transaction is subject to an exception to this Policy, you will need to separately assess whether the transaction complies with applicable law. For example, even if a transaction is indicated as exempt from this Policy, you may need to comply with the </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short-swing</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 xml:space="preserve"> trading restrictions under Section 16 of the Exchange Act, to the extent applicable. You are responsible for complying with applicable law at all times.</w:t>
      </w:r>
    </w:p>
    <w:p>
      <w:pPr>
        <w:spacing w:after="0" w:line="236"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231F20"/>
        </w:rPr>
        <w:t>Transactions pursuant to a trading plan that complies with SEC rules</w:t>
      </w:r>
    </w:p>
    <w:p>
      <w:pPr>
        <w:spacing w:after="0" w:line="244" w:lineRule="exact"/>
        <w:rPr>
          <w:sz w:val="20"/>
          <w:szCs w:val="20"/>
          <w:color w:val="auto"/>
        </w:rPr>
      </w:pPr>
    </w:p>
    <w:p>
      <w:pPr>
        <w:jc w:val="both"/>
        <w:ind w:left="140" w:right="140" w:firstLine="348"/>
        <w:spacing w:after="0" w:line="299" w:lineRule="auto"/>
        <w:rPr>
          <w:sz w:val="20"/>
          <w:szCs w:val="20"/>
          <w:color w:val="auto"/>
        </w:rPr>
      </w:pPr>
      <w:r>
        <w:rPr>
          <w:rFonts w:ascii="Arial" w:cs="Arial" w:eastAsia="Arial" w:hAnsi="Arial"/>
          <w:sz w:val="19"/>
          <w:szCs w:val="19"/>
          <w:b w:val="1"/>
          <w:bCs w:val="1"/>
          <w:color w:val="231F20"/>
        </w:rPr>
        <w:t>The SEC has enacted rules that provide an affirmative defense against alleged violations of U.S. federal insider trading laws for transactions pursuant to trading plans that meet certain requirements. In general, these rules, as set forth in Rule 10b5-1 under the Exchange Act, provide for an affirmative defense if you enter into a contract, provide instructions or adopt a written plan for trading securities when you are not aware of material nonpublic information. The contract, instructions or plan must (i) specify the amount, price and date of the transaction, (ii) specify an objective method for determining the amount, price and date of the transaction and/or (iii) place any subsequent discretion for determining the amount, price and date of the transaction in another person who is not, at the time of the transaction, aware of material nonpublic information.</w:t>
      </w:r>
    </w:p>
    <w:p>
      <w:pPr>
        <w:spacing w:after="0" w:line="193" w:lineRule="exact"/>
        <w:rPr>
          <w:sz w:val="20"/>
          <w:szCs w:val="20"/>
          <w:color w:val="auto"/>
        </w:rPr>
      </w:pPr>
    </w:p>
    <w:p>
      <w:pPr>
        <w:jc w:val="both"/>
        <w:ind w:left="140" w:right="140" w:firstLine="348"/>
        <w:spacing w:after="0" w:line="267" w:lineRule="exact"/>
        <w:rPr>
          <w:sz w:val="20"/>
          <w:szCs w:val="20"/>
          <w:color w:val="auto"/>
        </w:rPr>
      </w:pPr>
      <w:r>
        <w:rPr>
          <w:rFonts w:ascii="Arial" w:cs="Arial" w:eastAsia="Arial" w:hAnsi="Arial"/>
          <w:sz w:val="20"/>
          <w:szCs w:val="20"/>
          <w:b w:val="1"/>
          <w:bCs w:val="1"/>
          <w:color w:val="231F20"/>
        </w:rPr>
        <w:t xml:space="preserve">Transactions made pursuant to a written trading plan that (i) complies with the affirmative defense set forth in Rule 10b5-1, (ii) complies with the </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Requirements for Trading Plans</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 xml:space="preserve"> set forth in Schedule II and (iii) is approved by a Compliance Officer, are not subject to the restrictions in this Policy against trades made while aware of material nonpublic information or to the pre-clearance procedures or blackout periods established under this Policy. If the Compliance Officer is the requester, then the Company</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s Chief Executive Officer, Chief Financial Officer, or their delegate, must approve the written 10b5-1 trading plan. In approving a trading plan, a Compliance Officer may, in furtherance of the objectives expressed in this Policy, impose criteria in addition to those set forth in Rule 10b5-1. You should therefore confer with a Compliance Officer prior to entering into any trading plan.</w:t>
      </w:r>
    </w:p>
    <w:p>
      <w:pPr>
        <w:spacing w:after="0" w:line="245" w:lineRule="exact"/>
        <w:rPr>
          <w:sz w:val="20"/>
          <w:szCs w:val="20"/>
          <w:color w:val="auto"/>
        </w:rPr>
      </w:pPr>
    </w:p>
    <w:p>
      <w:pPr>
        <w:jc w:val="both"/>
        <w:ind w:left="140" w:right="140" w:firstLine="348"/>
        <w:spacing w:after="0" w:line="269" w:lineRule="auto"/>
        <w:rPr>
          <w:sz w:val="20"/>
          <w:szCs w:val="20"/>
          <w:color w:val="auto"/>
        </w:rPr>
      </w:pPr>
      <w:r>
        <w:rPr>
          <w:rFonts w:ascii="Arial" w:cs="Arial" w:eastAsia="Arial" w:hAnsi="Arial"/>
          <w:sz w:val="21"/>
          <w:szCs w:val="21"/>
          <w:b w:val="1"/>
          <w:bCs w:val="1"/>
          <w:color w:val="231F20"/>
        </w:rPr>
        <w:t>The SEC rules regarding trading plans are complex and must be complied with completely to be effective. The description provided above is only a summary, and the Company strongly advises that you consult with your legal advisor if you intend to adopt a trading plan. While trading plans are subject to review and approval by the Company, the individual adopting the trading plan is ultimately responsible for compliance with Rule 10b5-1 and ensuring that the trading plan complies with this Policy.</w:t>
      </w:r>
    </w:p>
    <w:p>
      <w:pPr>
        <w:spacing w:after="0" w:line="214" w:lineRule="exact"/>
        <w:rPr>
          <w:sz w:val="20"/>
          <w:szCs w:val="20"/>
          <w:color w:val="auto"/>
        </w:rPr>
      </w:pPr>
    </w:p>
    <w:p>
      <w:pPr>
        <w:jc w:val="both"/>
        <w:ind w:left="140" w:right="140" w:firstLine="348"/>
        <w:spacing w:after="0" w:line="241" w:lineRule="auto"/>
        <w:rPr>
          <w:sz w:val="20"/>
          <w:szCs w:val="20"/>
          <w:color w:val="auto"/>
        </w:rPr>
      </w:pPr>
      <w:r>
        <w:rPr>
          <w:rFonts w:ascii="Arial" w:cs="Arial" w:eastAsia="Arial" w:hAnsi="Arial"/>
          <w:sz w:val="23"/>
          <w:szCs w:val="23"/>
          <w:b w:val="1"/>
          <w:bCs w:val="1"/>
          <w:color w:val="231F20"/>
        </w:rPr>
        <w:t>Trading plans must be filed with a Compliance Officer and must be accompanied with an executed certificate stating that the trading plan complies with Rule 10b5-1 and any other criteria established by the Company. The Company may publicly disclose information regarding trading plans that you may enter.</w:t>
      </w:r>
    </w:p>
    <w:p>
      <w:pPr>
        <w:spacing w:after="0" w:line="234"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231F20"/>
        </w:rPr>
        <w:t>Receipt and vesting of stock options, restricted stock units, and restricted stock</w:t>
      </w:r>
    </w:p>
    <w:p>
      <w:pPr>
        <w:spacing w:after="0" w:line="244" w:lineRule="exact"/>
        <w:rPr>
          <w:sz w:val="20"/>
          <w:szCs w:val="20"/>
          <w:color w:val="auto"/>
        </w:rPr>
      </w:pPr>
    </w:p>
    <w:p>
      <w:pPr>
        <w:jc w:val="both"/>
        <w:ind w:left="140" w:right="140" w:firstLine="348"/>
        <w:spacing w:after="0" w:line="315" w:lineRule="auto"/>
        <w:rPr>
          <w:sz w:val="20"/>
          <w:szCs w:val="20"/>
          <w:color w:val="auto"/>
        </w:rPr>
      </w:pPr>
      <w:r>
        <w:rPr>
          <w:rFonts w:ascii="Arial" w:cs="Arial" w:eastAsia="Arial" w:hAnsi="Arial"/>
          <w:sz w:val="19"/>
          <w:szCs w:val="19"/>
          <w:b w:val="1"/>
          <w:bCs w:val="1"/>
          <w:color w:val="231F20"/>
        </w:rPr>
        <w:t>The trading restrictions under this Policy do not apply to the acceptance or purchase of stock options, restricted stock units, restricted stock or other equity compensation awards issued or offered by the Company. The trading restrictions under this Policy also do not apply to the vesting,</w:t>
      </w:r>
    </w:p>
    <w:p>
      <w:pPr>
        <w:sectPr>
          <w:pgSz w:w="12240" w:h="15840" w:orient="portrait"/>
          <w:cols w:equalWidth="0" w:num="1">
            <w:col w:w="9360"/>
          </w:cols>
          <w:pgMar w:left="1440" w:top="1440" w:right="1440" w:bottom="389" w:gutter="0" w:footer="0" w:header="0"/>
        </w:sectPr>
      </w:pPr>
    </w:p>
    <w:p>
      <w:pPr>
        <w:spacing w:after="0" w:line="268" w:lineRule="exact"/>
        <w:rPr>
          <w:sz w:val="20"/>
          <w:szCs w:val="20"/>
          <w:color w:val="auto"/>
        </w:rPr>
      </w:pPr>
    </w:p>
    <w:p>
      <w:pPr>
        <w:ind w:left="4860"/>
        <w:spacing w:after="0"/>
        <w:rPr>
          <w:sz w:val="20"/>
          <w:szCs w:val="20"/>
          <w:color w:val="auto"/>
        </w:rPr>
      </w:pPr>
      <w:r>
        <w:rPr>
          <w:rFonts w:ascii="Arial" w:cs="Arial" w:eastAsia="Arial" w:hAnsi="Arial"/>
          <w:sz w:val="19"/>
          <w:szCs w:val="19"/>
          <w:b w:val="1"/>
          <w:bCs w:val="1"/>
          <w:color w:val="231F20"/>
        </w:rPr>
        <w:t>-15-</w:t>
      </w:r>
    </w:p>
    <w:p>
      <w:pPr>
        <w:sectPr>
          <w:pgSz w:w="12240" w:h="15840" w:orient="portrait"/>
          <w:cols w:equalWidth="0" w:num="1">
            <w:col w:w="9360"/>
          </w:cols>
          <w:pgMar w:left="1440" w:top="1440" w:right="1440" w:bottom="389" w:gutter="0" w:footer="0" w:header="0"/>
          <w:type w:val="continuous"/>
        </w:sectPr>
      </w:pPr>
    </w:p>
    <w:bookmarkStart w:id="187" w:name="page188"/>
    <w:bookmarkEnd w:id="187"/>
    <w:p>
      <w:pPr>
        <w:spacing w:after="0" w:line="64" w:lineRule="exact"/>
        <w:rPr>
          <w:sz w:val="20"/>
          <w:szCs w:val="20"/>
          <w:color w:val="auto"/>
        </w:rPr>
      </w:pPr>
    </w:p>
    <w:p>
      <w:pPr>
        <w:jc w:val="both"/>
        <w:ind w:left="140" w:right="140"/>
        <w:spacing w:after="0" w:line="315" w:lineRule="auto"/>
        <w:rPr>
          <w:sz w:val="20"/>
          <w:szCs w:val="20"/>
          <w:color w:val="auto"/>
        </w:rPr>
      </w:pPr>
      <w:r>
        <w:rPr>
          <w:rFonts w:ascii="Arial" w:cs="Arial" w:eastAsia="Arial" w:hAnsi="Arial"/>
          <w:sz w:val="19"/>
          <w:szCs w:val="19"/>
          <w:b w:val="1"/>
          <w:bCs w:val="1"/>
          <w:color w:val="231F20"/>
        </w:rPr>
        <w:t>cancellation or forfeiture of stock options, restricted stock units, restricted stock or other equity compensation awards from the Company in accordance with applicable plans and agreements; however, this exception does not apply to any market activity associated with such securities.</w:t>
      </w:r>
    </w:p>
    <w:p>
      <w:pPr>
        <w:spacing w:after="0" w:line="169"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231F20"/>
        </w:rPr>
        <w:t>Exercise of stock options for cash and tax withholding requirements</w:t>
      </w:r>
    </w:p>
    <w:p>
      <w:pPr>
        <w:spacing w:after="0" w:line="244" w:lineRule="exact"/>
        <w:rPr>
          <w:sz w:val="20"/>
          <w:szCs w:val="20"/>
          <w:color w:val="auto"/>
        </w:rPr>
      </w:pPr>
    </w:p>
    <w:p>
      <w:pPr>
        <w:jc w:val="both"/>
        <w:ind w:left="140" w:right="140" w:firstLine="348"/>
        <w:spacing w:after="0" w:line="266" w:lineRule="exact"/>
        <w:rPr>
          <w:sz w:val="20"/>
          <w:szCs w:val="20"/>
          <w:color w:val="auto"/>
        </w:rPr>
      </w:pPr>
      <w:r>
        <w:rPr>
          <w:rFonts w:ascii="Arial" w:cs="Arial" w:eastAsia="Arial" w:hAnsi="Arial"/>
          <w:sz w:val="19"/>
          <w:szCs w:val="19"/>
          <w:b w:val="1"/>
          <w:bCs w:val="1"/>
          <w:color w:val="231F20"/>
        </w:rPr>
        <w:t>The trading restrictions under this Policy do not apply to the exercise of stock options for cash under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stock option plans. However, the trading restrictions under this Policy do apply to market activity associated with the exercise of stock options under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stock option plans, such as (i) the sale of any securities issued upon the exercise of a stock option, (ii) a cashless exercise of a stock option through a broker, since this involves selling a portion of the underlying shares to cover the costs of exercise, and (iii) any other market sale for the purpose of generating the cash needed to pay the exercise price of an option.</w:t>
      </w:r>
    </w:p>
    <w:p>
      <w:pPr>
        <w:spacing w:after="0" w:line="248" w:lineRule="exact"/>
        <w:rPr>
          <w:sz w:val="20"/>
          <w:szCs w:val="20"/>
          <w:color w:val="auto"/>
        </w:rPr>
      </w:pPr>
    </w:p>
    <w:p>
      <w:pPr>
        <w:jc w:val="both"/>
        <w:ind w:left="140" w:right="140" w:firstLine="348"/>
        <w:spacing w:after="0" w:line="267" w:lineRule="exact"/>
        <w:rPr>
          <w:sz w:val="20"/>
          <w:szCs w:val="20"/>
          <w:color w:val="auto"/>
        </w:rPr>
      </w:pPr>
      <w:r>
        <w:rPr>
          <w:rFonts w:ascii="Arial" w:cs="Arial" w:eastAsia="Arial" w:hAnsi="Arial"/>
          <w:sz w:val="20"/>
          <w:szCs w:val="20"/>
          <w:b w:val="1"/>
          <w:bCs w:val="1"/>
          <w:color w:val="231F20"/>
        </w:rPr>
        <w:t>The trading restrictions under this Policy do not apply to net share withholding with respect to equity awards where shares are withheld by the Company in order to satisfy tax withholding requirements, (x) as required by either the Company</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s Board of Directors (or a committee thereof) or the award agreement governing such equity award or (y) as the individual elects, if permitted by the Company, so long as that election is irrevocable and made in writing at a time when a trading blackout is not in place and the individual is not in possession of material nonpublic information. Likewise, the trading restrictions under this Policy do not apply to sell to cover transactions where shares are sold on an individual</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s behalf upon vesting of equity awards sold in order to satisfy tax withholding requirements, (x) as required by either the Company</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s Board of Directors (or a committee thereof) or the award agreement governing such equity award or (y) as the individual elects, if permitted by the Company, so long as the election is irrevocable and made in writing at a time when a trading blackout is not in place and the individual is not in possession of material nonpublic information; however, this exception does not apply to any other sale of such securities.</w:t>
      </w:r>
    </w:p>
    <w:p>
      <w:pPr>
        <w:spacing w:after="0" w:line="243"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231F20"/>
        </w:rPr>
        <w:t>Purchases from the employee stock purchase plan</w:t>
      </w:r>
    </w:p>
    <w:p>
      <w:pPr>
        <w:spacing w:after="0" w:line="242" w:lineRule="exact"/>
        <w:rPr>
          <w:sz w:val="20"/>
          <w:szCs w:val="20"/>
          <w:color w:val="auto"/>
        </w:rPr>
      </w:pPr>
    </w:p>
    <w:p>
      <w:pPr>
        <w:jc w:val="both"/>
        <w:ind w:left="140" w:right="140" w:firstLine="348"/>
        <w:spacing w:after="0" w:line="264" w:lineRule="exact"/>
        <w:rPr>
          <w:sz w:val="20"/>
          <w:szCs w:val="20"/>
          <w:color w:val="auto"/>
        </w:rPr>
      </w:pPr>
      <w:r>
        <w:rPr>
          <w:rFonts w:ascii="Arial" w:cs="Arial" w:eastAsia="Arial" w:hAnsi="Arial"/>
          <w:sz w:val="20"/>
          <w:szCs w:val="20"/>
          <w:b w:val="1"/>
          <w:bCs w:val="1"/>
          <w:color w:val="231F20"/>
        </w:rPr>
        <w:t>The trading restrictions in this Policy do not apply to elections with respect to participation in the Company</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s employee stock purchase plan or to purchases of securities under the plan. However, the trading restrictions do apply to any subsequent sales of any such securities.</w:t>
      </w:r>
    </w:p>
    <w:p>
      <w:pPr>
        <w:sectPr>
          <w:pgSz w:w="12240" w:h="15840" w:orient="portrait"/>
          <w:cols w:equalWidth="0" w:num="1">
            <w:col w:w="9360"/>
          </w:cols>
          <w:pgMar w:left="1440" w:top="1440" w:right="1440" w:bottom="38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860"/>
        <w:spacing w:after="0"/>
        <w:rPr>
          <w:sz w:val="20"/>
          <w:szCs w:val="20"/>
          <w:color w:val="auto"/>
        </w:rPr>
      </w:pPr>
      <w:r>
        <w:rPr>
          <w:rFonts w:ascii="Arial" w:cs="Arial" w:eastAsia="Arial" w:hAnsi="Arial"/>
          <w:sz w:val="19"/>
          <w:szCs w:val="19"/>
          <w:b w:val="1"/>
          <w:bCs w:val="1"/>
          <w:color w:val="231F20"/>
        </w:rPr>
        <w:t>-16-</w:t>
      </w:r>
    </w:p>
    <w:p>
      <w:pPr>
        <w:sectPr>
          <w:pgSz w:w="12240" w:h="15840" w:orient="portrait"/>
          <w:cols w:equalWidth="0" w:num="1">
            <w:col w:w="9360"/>
          </w:cols>
          <w:pgMar w:left="1440" w:top="1440" w:right="1440" w:bottom="389" w:gutter="0" w:footer="0" w:header="0"/>
          <w:type w:val="continuous"/>
        </w:sectPr>
      </w:pPr>
    </w:p>
    <w:bookmarkStart w:id="188" w:name="page189"/>
    <w:bookmarkEnd w:id="188"/>
    <w:p>
      <w:pPr>
        <w:spacing w:after="0" w:line="57"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231F20"/>
        </w:rPr>
        <w:t>Certain 401(k) plan transactions</w:t>
      </w:r>
    </w:p>
    <w:p>
      <w:pPr>
        <w:spacing w:after="0" w:line="244" w:lineRule="exact"/>
        <w:rPr>
          <w:sz w:val="20"/>
          <w:szCs w:val="20"/>
          <w:color w:val="auto"/>
        </w:rPr>
      </w:pPr>
    </w:p>
    <w:p>
      <w:pPr>
        <w:jc w:val="both"/>
        <w:ind w:left="140" w:right="140" w:firstLine="348"/>
        <w:spacing w:after="0" w:line="282" w:lineRule="auto"/>
        <w:rPr>
          <w:sz w:val="20"/>
          <w:szCs w:val="20"/>
          <w:color w:val="auto"/>
        </w:rPr>
      </w:pPr>
      <w:r>
        <w:rPr>
          <w:rFonts w:ascii="Arial" w:cs="Arial" w:eastAsia="Arial" w:hAnsi="Arial"/>
          <w:sz w:val="20"/>
          <w:szCs w:val="20"/>
          <w:b w:val="1"/>
          <w:bCs w:val="1"/>
          <w:color w:val="231F20"/>
        </w:rPr>
        <w:t>The trading restrictions in this Policy do not apply to purchases of Company stock in the 401(k) plan resulting from periodic contributions to the plan based on your payroll contribution election. The trading restrictions do apply, however, to elections you make under the 401(k) plan to (i) increase or decrease the amount of your contributions under the 401(k) plan if such increase or decrease will increase or decrease the amount of your contributions that will be allocated to a Company stock fund, (ii) increase or decrease the percentage of your contributions that will be allocated to a Company stock fund, (iii) move balances into or out of a Company stock fund, (iv) borrow money against your 401(k) plan account if the loan will result in liquidation of some or all of your Company stock fund balance, and (v) pre-pay a plan loan if the pre-payment will result in the allocation of loan proceeds to a Company stock fund.</w:t>
      </w:r>
    </w:p>
    <w:p>
      <w:pPr>
        <w:spacing w:after="0" w:line="199"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231F20"/>
        </w:rPr>
        <w:t>Stock splits, stock dividends and similar transactions</w:t>
      </w:r>
    </w:p>
    <w:p>
      <w:pPr>
        <w:spacing w:after="0" w:line="244" w:lineRule="exact"/>
        <w:rPr>
          <w:sz w:val="20"/>
          <w:szCs w:val="20"/>
          <w:color w:val="auto"/>
        </w:rPr>
      </w:pPr>
    </w:p>
    <w:p>
      <w:pPr>
        <w:jc w:val="both"/>
        <w:ind w:left="140" w:right="140" w:firstLine="348"/>
        <w:spacing w:after="0" w:line="239" w:lineRule="auto"/>
        <w:rPr>
          <w:sz w:val="20"/>
          <w:szCs w:val="20"/>
          <w:color w:val="auto"/>
        </w:rPr>
      </w:pPr>
      <w:r>
        <w:rPr>
          <w:rFonts w:ascii="Arial" w:cs="Arial" w:eastAsia="Arial" w:hAnsi="Arial"/>
          <w:sz w:val="23"/>
          <w:szCs w:val="23"/>
          <w:b w:val="1"/>
          <w:bCs w:val="1"/>
          <w:color w:val="231F20"/>
        </w:rPr>
        <w:t>The trading restrictions under this Policy do not apply to a change in the number of securities held as a result of a stock split or stock dividend applying equally to all securities of a class, or similar transactions.</w:t>
      </w:r>
    </w:p>
    <w:p>
      <w:pPr>
        <w:spacing w:after="0" w:line="237"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231F20"/>
        </w:rPr>
        <w:t>Estate planning</w:t>
      </w:r>
    </w:p>
    <w:p>
      <w:pPr>
        <w:spacing w:after="0" w:line="244" w:lineRule="exact"/>
        <w:rPr>
          <w:sz w:val="20"/>
          <w:szCs w:val="20"/>
          <w:color w:val="auto"/>
        </w:rPr>
      </w:pPr>
    </w:p>
    <w:p>
      <w:pPr>
        <w:jc w:val="both"/>
        <w:ind w:left="140" w:right="140" w:firstLine="348"/>
        <w:spacing w:after="0" w:line="266" w:lineRule="exact"/>
        <w:rPr>
          <w:sz w:val="20"/>
          <w:szCs w:val="20"/>
          <w:color w:val="auto"/>
        </w:rPr>
      </w:pPr>
      <w:r>
        <w:rPr>
          <w:rFonts w:ascii="Arial" w:cs="Arial" w:eastAsia="Arial" w:hAnsi="Arial"/>
          <w:sz w:val="23"/>
          <w:szCs w:val="23"/>
          <w:b w:val="1"/>
          <w:bCs w:val="1"/>
          <w:color w:val="231F20"/>
        </w:rPr>
        <w:t>The trading restrictions under this Policy do not apply to transfers by will or the laws of descent or distribution and, provided that prior written notice is provided to a Compliance Officer, distributions or transfers (such as certain tax planning or estate planning transfers) that effect only a change in the form of beneficial interest without changing your pecuniary interest in the Company</w:t>
      </w:r>
      <w:r>
        <w:rPr>
          <w:rFonts w:ascii="PMingLiU" w:cs="PMingLiU" w:eastAsia="PMingLiU" w:hAnsi="PMingLiU"/>
          <w:sz w:val="23"/>
          <w:szCs w:val="23"/>
          <w:b w:val="1"/>
          <w:bCs w:val="1"/>
          <w:color w:val="231F20"/>
        </w:rPr>
        <w:t></w:t>
      </w:r>
      <w:r>
        <w:rPr>
          <w:rFonts w:ascii="Arial" w:cs="Arial" w:eastAsia="Arial" w:hAnsi="Arial"/>
          <w:sz w:val="23"/>
          <w:szCs w:val="23"/>
          <w:b w:val="1"/>
          <w:bCs w:val="1"/>
          <w:color w:val="231F20"/>
        </w:rPr>
        <w:t>s securities.</w:t>
      </w:r>
    </w:p>
    <w:p>
      <w:pPr>
        <w:spacing w:after="0" w:line="240"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231F20"/>
        </w:rPr>
        <w:t>Other exceptions</w:t>
      </w:r>
    </w:p>
    <w:p>
      <w:pPr>
        <w:spacing w:after="0" w:line="242" w:lineRule="exact"/>
        <w:rPr>
          <w:sz w:val="20"/>
          <w:szCs w:val="20"/>
          <w:color w:val="auto"/>
        </w:rPr>
      </w:pPr>
    </w:p>
    <w:p>
      <w:pPr>
        <w:jc w:val="both"/>
        <w:ind w:left="140" w:right="140" w:firstLine="348"/>
        <w:spacing w:after="0" w:line="338" w:lineRule="auto"/>
        <w:rPr>
          <w:sz w:val="20"/>
          <w:szCs w:val="20"/>
          <w:color w:val="auto"/>
        </w:rPr>
      </w:pPr>
      <w:r>
        <w:rPr>
          <w:rFonts w:ascii="Arial" w:cs="Arial" w:eastAsia="Arial" w:hAnsi="Arial"/>
          <w:sz w:val="19"/>
          <w:szCs w:val="19"/>
          <w:b w:val="1"/>
          <w:bCs w:val="1"/>
          <w:color w:val="231F20"/>
        </w:rPr>
        <w:t>Any other exception from this Policy must be approved by a Compliance Officer, in consultation with the Board of Directors or an independent committee of the Board of Directors.</w:t>
      </w:r>
    </w:p>
    <w:p>
      <w:pPr>
        <w:sectPr>
          <w:pgSz w:w="12240" w:h="15840" w:orient="portrait"/>
          <w:cols w:equalWidth="0" w:num="1">
            <w:col w:w="9360"/>
          </w:cols>
          <w:pgMar w:left="1440" w:top="1440" w:right="1440" w:bottom="38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860"/>
        <w:spacing w:after="0"/>
        <w:rPr>
          <w:sz w:val="20"/>
          <w:szCs w:val="20"/>
          <w:color w:val="auto"/>
        </w:rPr>
      </w:pPr>
      <w:r>
        <w:rPr>
          <w:rFonts w:ascii="Arial" w:cs="Arial" w:eastAsia="Arial" w:hAnsi="Arial"/>
          <w:sz w:val="19"/>
          <w:szCs w:val="19"/>
          <w:b w:val="1"/>
          <w:bCs w:val="1"/>
          <w:color w:val="231F20"/>
        </w:rPr>
        <w:t>-17-</w:t>
      </w:r>
    </w:p>
    <w:p>
      <w:pPr>
        <w:sectPr>
          <w:pgSz w:w="12240" w:h="15840" w:orient="portrait"/>
          <w:cols w:equalWidth="0" w:num="1">
            <w:col w:w="9360"/>
          </w:cols>
          <w:pgMar w:left="1440" w:top="1440" w:right="1440" w:bottom="389" w:gutter="0" w:footer="0" w:header="0"/>
          <w:type w:val="continuous"/>
        </w:sectPr>
      </w:pPr>
    </w:p>
    <w:bookmarkStart w:id="189" w:name="page190"/>
    <w:bookmarkEnd w:id="189"/>
    <w:p>
      <w:pPr>
        <w:spacing w:after="0" w:line="64" w:lineRule="exact"/>
        <w:rPr>
          <w:sz w:val="20"/>
          <w:szCs w:val="20"/>
          <w:color w:val="auto"/>
        </w:rPr>
      </w:pPr>
    </w:p>
    <w:p>
      <w:pPr>
        <w:ind w:left="140" w:right="640" w:firstLine="497"/>
        <w:spacing w:after="0" w:line="448" w:lineRule="auto"/>
        <w:rPr>
          <w:sz w:val="20"/>
          <w:szCs w:val="20"/>
          <w:color w:val="auto"/>
        </w:rPr>
      </w:pPr>
      <w:r>
        <w:rPr>
          <w:rFonts w:ascii="Arial" w:cs="Arial" w:eastAsia="Arial" w:hAnsi="Arial"/>
          <w:sz w:val="23"/>
          <w:szCs w:val="23"/>
          <w:b w:val="1"/>
          <w:bCs w:val="1"/>
          <w:color w:val="231F20"/>
        </w:rPr>
        <w:t>COMPLIANCE WITH SECTION 16 OF THE SECURITIES EXCHANGE ACT Obligations under Section 16</w:t>
      </w:r>
    </w:p>
    <w:p>
      <w:pPr>
        <w:spacing w:after="0" w:line="13" w:lineRule="exact"/>
        <w:rPr>
          <w:sz w:val="20"/>
          <w:szCs w:val="20"/>
          <w:color w:val="auto"/>
        </w:rPr>
      </w:pPr>
    </w:p>
    <w:p>
      <w:pPr>
        <w:jc w:val="both"/>
        <w:ind w:left="140" w:right="140" w:firstLine="348"/>
        <w:spacing w:after="0" w:line="266" w:lineRule="exact"/>
        <w:rPr>
          <w:sz w:val="20"/>
          <w:szCs w:val="20"/>
          <w:color w:val="auto"/>
        </w:rPr>
      </w:pPr>
      <w:r>
        <w:rPr>
          <w:rFonts w:ascii="Arial" w:cs="Arial" w:eastAsia="Arial" w:hAnsi="Arial"/>
          <w:sz w:val="19"/>
          <w:szCs w:val="19"/>
          <w:b w:val="1"/>
          <w:bCs w:val="1"/>
          <w:color w:val="231F20"/>
        </w:rPr>
        <w:t>All of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s officers and directors and certain other individuals are required to comply with Section 16 of the Securities Exchange Act of 1934, and related rules and regulations, which set forth (i) reporting obligations, (ii) limitations on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short-swing</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transactions, which are certain matching purchases and sales of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securities within a six-month period, and</w:t>
      </w:r>
    </w:p>
    <w:p>
      <w:pPr>
        <w:spacing w:after="0" w:line="12" w:lineRule="exact"/>
        <w:rPr>
          <w:sz w:val="20"/>
          <w:szCs w:val="20"/>
          <w:color w:val="auto"/>
        </w:rPr>
      </w:pPr>
    </w:p>
    <w:p>
      <w:pPr>
        <w:ind w:left="140" w:right="140" w:firstLine="2"/>
        <w:spacing w:after="0" w:line="237" w:lineRule="auto"/>
        <w:tabs>
          <w:tab w:leader="none" w:pos="547" w:val="left"/>
        </w:tabs>
        <w:numPr>
          <w:ilvl w:val="0"/>
          <w:numId w:val="59"/>
        </w:numPr>
        <w:rPr>
          <w:rFonts w:ascii="Arial" w:cs="Arial" w:eastAsia="Arial" w:hAnsi="Arial"/>
          <w:sz w:val="23"/>
          <w:szCs w:val="23"/>
          <w:b w:val="1"/>
          <w:bCs w:val="1"/>
          <w:color w:val="231F20"/>
        </w:rPr>
      </w:pPr>
      <w:r>
        <w:rPr>
          <w:rFonts w:ascii="Arial" w:cs="Arial" w:eastAsia="Arial" w:hAnsi="Arial"/>
          <w:sz w:val="23"/>
          <w:szCs w:val="23"/>
          <w:b w:val="1"/>
          <w:bCs w:val="1"/>
          <w:color w:val="231F20"/>
        </w:rPr>
        <w:t>limitations on short sales. The Company has provided, or will provide, memoranda and other materials addressing these matters.</w:t>
      </w:r>
    </w:p>
    <w:p>
      <w:pPr>
        <w:spacing w:after="0" w:line="239"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231F20"/>
        </w:rPr>
        <w:t>Notification requirements to facilitate Section 16 reporting</w:t>
      </w:r>
    </w:p>
    <w:p>
      <w:pPr>
        <w:spacing w:after="0" w:line="242" w:lineRule="exact"/>
        <w:rPr>
          <w:sz w:val="20"/>
          <w:szCs w:val="20"/>
          <w:color w:val="auto"/>
        </w:rPr>
      </w:pPr>
    </w:p>
    <w:p>
      <w:pPr>
        <w:jc w:val="both"/>
        <w:ind w:left="140" w:right="140" w:firstLine="348"/>
        <w:spacing w:after="0" w:line="266" w:lineRule="exact"/>
        <w:rPr>
          <w:sz w:val="20"/>
          <w:szCs w:val="20"/>
          <w:color w:val="auto"/>
        </w:rPr>
      </w:pPr>
      <w:r>
        <w:rPr>
          <w:rFonts w:ascii="Arial" w:cs="Arial" w:eastAsia="Arial" w:hAnsi="Arial"/>
          <w:sz w:val="19"/>
          <w:szCs w:val="19"/>
          <w:b w:val="1"/>
          <w:bCs w:val="1"/>
          <w:color w:val="231F20"/>
        </w:rPr>
        <w:t>To facilitate timely reporting of transactions pursuant to Section 16 requirements, each person subject to Section 16 reporting requirements must provide, or must ensure that his or her broker provides, the Company with detailed information (e.g., trade date, number of shares, exact price, etc.) regarding his or her transactions involving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securities, including gifts, transfers, pledges and transactions pursuant to a trading plan, both prior to (to confirm compliance with pre-clearance procedures, if applicable) and promptly following execution.</w:t>
      </w:r>
    </w:p>
    <w:p>
      <w:pPr>
        <w:spacing w:after="0" w:line="239"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231F20"/>
        </w:rPr>
        <w:t>Personal responsibility</w:t>
      </w:r>
    </w:p>
    <w:p>
      <w:pPr>
        <w:spacing w:after="0" w:line="244"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231F20"/>
        </w:rPr>
        <w:t>The obligation to file Section 16 reports, and to otherwise comply with Section 16, is personal.</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21"/>
          <w:szCs w:val="21"/>
          <w:b w:val="1"/>
          <w:bCs w:val="1"/>
          <w:color w:val="231F20"/>
        </w:rPr>
        <w:t>The Company is not responsible for the failure to comply with Section 16 requirements.</w:t>
      </w:r>
    </w:p>
    <w:p>
      <w:pPr>
        <w:sectPr>
          <w:pgSz w:w="12240" w:h="15840" w:orient="portrait"/>
          <w:cols w:equalWidth="0" w:num="1">
            <w:col w:w="9360"/>
          </w:cols>
          <w:pgMar w:left="1440" w:top="1440" w:right="1440" w:bottom="38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860"/>
        <w:spacing w:after="0"/>
        <w:rPr>
          <w:sz w:val="20"/>
          <w:szCs w:val="20"/>
          <w:color w:val="auto"/>
        </w:rPr>
      </w:pPr>
      <w:r>
        <w:rPr>
          <w:rFonts w:ascii="Arial" w:cs="Arial" w:eastAsia="Arial" w:hAnsi="Arial"/>
          <w:sz w:val="19"/>
          <w:szCs w:val="19"/>
          <w:b w:val="1"/>
          <w:bCs w:val="1"/>
          <w:color w:val="231F20"/>
        </w:rPr>
        <w:t>-18-</w:t>
      </w:r>
    </w:p>
    <w:p>
      <w:pPr>
        <w:sectPr>
          <w:pgSz w:w="12240" w:h="15840" w:orient="portrait"/>
          <w:cols w:equalWidth="0" w:num="1">
            <w:col w:w="9360"/>
          </w:cols>
          <w:pgMar w:left="1440" w:top="1440" w:right="1440" w:bottom="389" w:gutter="0" w:footer="0" w:header="0"/>
          <w:type w:val="continuous"/>
        </w:sectPr>
      </w:pPr>
    </w:p>
    <w:bookmarkStart w:id="190" w:name="page191"/>
    <w:bookmarkEnd w:id="190"/>
    <w:p>
      <w:pPr>
        <w:spacing w:after="0" w:line="57"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231F20"/>
        </w:rPr>
        <w:t>ADDITIONAL INFORMATION</w:t>
      </w:r>
    </w:p>
    <w:p>
      <w:pPr>
        <w:spacing w:after="0" w:line="237"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231F20"/>
        </w:rPr>
        <w:t>Delivery of Policy</w:t>
      </w:r>
    </w:p>
    <w:p>
      <w:pPr>
        <w:spacing w:after="0" w:line="242" w:lineRule="exact"/>
        <w:rPr>
          <w:sz w:val="20"/>
          <w:szCs w:val="20"/>
          <w:color w:val="auto"/>
        </w:rPr>
      </w:pPr>
    </w:p>
    <w:p>
      <w:pPr>
        <w:jc w:val="both"/>
        <w:ind w:left="140" w:right="140" w:firstLine="348"/>
        <w:spacing w:after="0" w:line="287" w:lineRule="auto"/>
        <w:rPr>
          <w:sz w:val="20"/>
          <w:szCs w:val="20"/>
          <w:color w:val="auto"/>
        </w:rPr>
      </w:pPr>
      <w:r>
        <w:rPr>
          <w:rFonts w:ascii="Arial" w:cs="Arial" w:eastAsia="Arial" w:hAnsi="Arial"/>
          <w:sz w:val="20"/>
          <w:szCs w:val="20"/>
          <w:b w:val="1"/>
          <w:bCs w:val="1"/>
          <w:color w:val="231F20"/>
        </w:rPr>
        <w:t>This Policy will be delivered to all directors, officers, employees, consultants, contractors and advisors of the Company when they commence service with the Company. In addition, this Policy (or a summary of this Policy) will be circulated periodically. Each director, officer, employee, consultant, contractor and advisor of the Company is required to acknowledge that he or she understands, and agrees to comply with, this Policy.</w:t>
      </w:r>
    </w:p>
    <w:p>
      <w:pPr>
        <w:spacing w:after="0" w:line="190"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231F20"/>
        </w:rPr>
        <w:t>Amendments</w:t>
      </w:r>
    </w:p>
    <w:p>
      <w:pPr>
        <w:spacing w:after="0" w:line="244" w:lineRule="exact"/>
        <w:rPr>
          <w:sz w:val="20"/>
          <w:szCs w:val="20"/>
          <w:color w:val="auto"/>
        </w:rPr>
      </w:pPr>
    </w:p>
    <w:p>
      <w:pPr>
        <w:jc w:val="both"/>
        <w:ind w:left="140" w:right="140" w:firstLine="348"/>
        <w:spacing w:after="0" w:line="288" w:lineRule="auto"/>
        <w:rPr>
          <w:sz w:val="20"/>
          <w:szCs w:val="20"/>
          <w:color w:val="auto"/>
        </w:rPr>
      </w:pPr>
      <w:r>
        <w:rPr>
          <w:rFonts w:ascii="Arial" w:cs="Arial" w:eastAsia="Arial" w:hAnsi="Arial"/>
          <w:sz w:val="20"/>
          <w:szCs w:val="20"/>
          <w:b w:val="1"/>
          <w:bCs w:val="1"/>
          <w:color w:val="231F20"/>
        </w:rPr>
        <w:t>We are committed to continuously reviewing and updating our policies and procedures. The Company therefore reserves the right to amend, alter or terminate this Policy at any time and for any reason, subject to applicable law. Unless otherwise permitted by this Policy, any amendments must be approved by the Board of Directors of the Company.</w:t>
      </w:r>
    </w:p>
    <w:p>
      <w:pPr>
        <w:spacing w:after="0" w:line="192"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231F20"/>
        </w:rPr>
        <w:t>Current Version of Policy</w:t>
      </w:r>
    </w:p>
    <w:p>
      <w:pPr>
        <w:spacing w:after="0" w:line="242" w:lineRule="exact"/>
        <w:rPr>
          <w:sz w:val="20"/>
          <w:szCs w:val="20"/>
          <w:color w:val="auto"/>
        </w:rPr>
      </w:pPr>
    </w:p>
    <w:p>
      <w:pPr>
        <w:jc w:val="both"/>
        <w:ind w:left="140" w:right="140" w:firstLine="348"/>
        <w:spacing w:after="0" w:line="263" w:lineRule="exact"/>
        <w:rPr>
          <w:sz w:val="20"/>
          <w:szCs w:val="20"/>
          <w:color w:val="auto"/>
        </w:rPr>
      </w:pPr>
      <w:r>
        <w:rPr>
          <w:rFonts w:ascii="Arial" w:cs="Arial" w:eastAsia="Arial" w:hAnsi="Arial"/>
          <w:sz w:val="23"/>
          <w:szCs w:val="23"/>
          <w:b w:val="1"/>
          <w:bCs w:val="1"/>
          <w:color w:val="231F20"/>
        </w:rPr>
        <w:t>A copy of the Company</w:t>
      </w:r>
      <w:r>
        <w:rPr>
          <w:rFonts w:ascii="PMingLiU" w:cs="PMingLiU" w:eastAsia="PMingLiU" w:hAnsi="PMingLiU"/>
          <w:sz w:val="23"/>
          <w:szCs w:val="23"/>
          <w:b w:val="1"/>
          <w:bCs w:val="1"/>
          <w:color w:val="231F20"/>
        </w:rPr>
        <w:t></w:t>
      </w:r>
      <w:r>
        <w:rPr>
          <w:rFonts w:ascii="Arial" w:cs="Arial" w:eastAsia="Arial" w:hAnsi="Arial"/>
          <w:sz w:val="23"/>
          <w:szCs w:val="23"/>
          <w:b w:val="1"/>
          <w:bCs w:val="1"/>
          <w:color w:val="231F20"/>
        </w:rPr>
        <w:t>s current policies regarding insider trading may be obtained by contacting a Compliance Officer.</w:t>
      </w:r>
    </w:p>
    <w:p>
      <w:pPr>
        <w:spacing w:after="0" w:line="236"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23"/>
          <w:szCs w:val="23"/>
          <w:b w:val="1"/>
          <w:bCs w:val="1"/>
          <w:color w:val="231F20"/>
        </w:rPr>
        <w:t>*</w:t>
        <w:tab/>
        <w:t>*</w:t>
        <w:tab/>
        <w:t>*</w:t>
      </w:r>
    </w:p>
    <w:p>
      <w:pPr>
        <w:spacing w:after="0" w:line="244" w:lineRule="exact"/>
        <w:rPr>
          <w:sz w:val="20"/>
          <w:szCs w:val="20"/>
          <w:color w:val="auto"/>
        </w:rPr>
      </w:pPr>
    </w:p>
    <w:p>
      <w:pPr>
        <w:jc w:val="both"/>
        <w:ind w:left="140" w:right="140" w:firstLine="348"/>
        <w:spacing w:after="0" w:line="267" w:lineRule="exact"/>
        <w:rPr>
          <w:sz w:val="20"/>
          <w:szCs w:val="20"/>
          <w:color w:val="auto"/>
        </w:rPr>
      </w:pPr>
      <w:r>
        <w:rPr>
          <w:rFonts w:ascii="Arial" w:cs="Arial" w:eastAsia="Arial" w:hAnsi="Arial"/>
          <w:sz w:val="20"/>
          <w:szCs w:val="20"/>
          <w:b w:val="1"/>
          <w:bCs w:val="1"/>
          <w:color w:val="231F20"/>
        </w:rPr>
        <w:t>Nothing in this Insider Trading Policy creates or implies an employment contract or term of employment. Employment at the Company is employment at-will. Employment at-will may be terminated with or without cause and with or without notice at any time by the employee or the Company. Nothing in this Insider Trading Policy shall limit the right to terminate employment at-will. No employee of the Company has any authority to enter into any agreement for employment for a specified period of time or to make any agreement or representation contrary to the Company</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s policy of employment at-will. Only the Chief Executive Officer of the Company has the authority to make any such agreement, which must be in writing.</w:t>
      </w:r>
    </w:p>
    <w:p>
      <w:pPr>
        <w:spacing w:after="0" w:line="244" w:lineRule="exact"/>
        <w:rPr>
          <w:sz w:val="20"/>
          <w:szCs w:val="20"/>
          <w:color w:val="auto"/>
        </w:rPr>
      </w:pPr>
    </w:p>
    <w:p>
      <w:pPr>
        <w:jc w:val="both"/>
        <w:ind w:left="140" w:right="140" w:firstLine="348"/>
        <w:spacing w:after="0" w:line="239" w:lineRule="auto"/>
        <w:rPr>
          <w:sz w:val="20"/>
          <w:szCs w:val="20"/>
          <w:color w:val="auto"/>
        </w:rPr>
      </w:pPr>
      <w:r>
        <w:rPr>
          <w:rFonts w:ascii="Arial" w:cs="Arial" w:eastAsia="Arial" w:hAnsi="Arial"/>
          <w:sz w:val="23"/>
          <w:szCs w:val="23"/>
          <w:b w:val="1"/>
          <w:bCs w:val="1"/>
          <w:color w:val="231F20"/>
        </w:rPr>
        <w:t>The policies in this Insider Trading Policy do not constitute a complete list of Company policies or a complete list of the types of conduct that can result in discipline, up to and including discharge.</w:t>
      </w:r>
    </w:p>
    <w:p>
      <w:pPr>
        <w:sectPr>
          <w:pgSz w:w="12240" w:h="15840" w:orient="portrait"/>
          <w:cols w:equalWidth="0" w:num="1">
            <w:col w:w="9360"/>
          </w:cols>
          <w:pgMar w:left="1440" w:top="1440" w:right="1440" w:bottom="38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860"/>
        <w:spacing w:after="0"/>
        <w:rPr>
          <w:sz w:val="20"/>
          <w:szCs w:val="20"/>
          <w:color w:val="auto"/>
        </w:rPr>
      </w:pPr>
      <w:r>
        <w:rPr>
          <w:rFonts w:ascii="Arial" w:cs="Arial" w:eastAsia="Arial" w:hAnsi="Arial"/>
          <w:sz w:val="19"/>
          <w:szCs w:val="19"/>
          <w:b w:val="1"/>
          <w:bCs w:val="1"/>
          <w:color w:val="231F20"/>
        </w:rPr>
        <w:t>-19-</w:t>
      </w:r>
    </w:p>
    <w:p>
      <w:pPr>
        <w:sectPr>
          <w:pgSz w:w="12240" w:h="15840" w:orient="portrait"/>
          <w:cols w:equalWidth="0" w:num="1">
            <w:col w:w="9360"/>
          </w:cols>
          <w:pgMar w:left="1440" w:top="1440" w:right="1440" w:bottom="389" w:gutter="0" w:footer="0" w:header="0"/>
          <w:type w:val="continuous"/>
        </w:sectPr>
      </w:pPr>
    </w:p>
    <w:bookmarkStart w:id="191" w:name="page192"/>
    <w:bookmarkEnd w:id="191"/>
    <w:p>
      <w:pPr>
        <w:spacing w:after="0" w:line="198" w:lineRule="exact"/>
        <w:rPr>
          <w:sz w:val="20"/>
          <w:szCs w:val="20"/>
          <w:color w:val="auto"/>
        </w:rPr>
      </w:pPr>
    </w:p>
    <w:p>
      <w:pPr>
        <w:jc w:val="center"/>
        <w:spacing w:after="0"/>
        <w:rPr>
          <w:sz w:val="20"/>
          <w:szCs w:val="20"/>
          <w:color w:val="auto"/>
        </w:rPr>
      </w:pPr>
      <w:r>
        <w:rPr>
          <w:rFonts w:ascii="Arial" w:cs="Arial" w:eastAsia="Arial" w:hAnsi="Arial"/>
          <w:sz w:val="23"/>
          <w:szCs w:val="23"/>
          <w:b w:val="1"/>
          <w:bCs w:val="1"/>
          <w:u w:val="single" w:color="auto"/>
          <w:color w:val="231F20"/>
        </w:rPr>
        <w:t>SCHEDULE I</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3"/>
          <w:szCs w:val="23"/>
          <w:b w:val="1"/>
          <w:bCs w:val="1"/>
          <w:u w:val="single" w:color="auto"/>
          <w:color w:val="231F20"/>
        </w:rPr>
        <w:t>ALX ONCOLOGY HOLDINGS INC.</w:t>
      </w:r>
    </w:p>
    <w:p>
      <w:pPr>
        <w:spacing w:after="0" w:line="220" w:lineRule="exact"/>
        <w:rPr>
          <w:sz w:val="20"/>
          <w:szCs w:val="20"/>
          <w:color w:val="auto"/>
        </w:rPr>
      </w:pPr>
    </w:p>
    <w:p>
      <w:pPr>
        <w:jc w:val="center"/>
        <w:spacing w:after="0" w:line="279" w:lineRule="exact"/>
        <w:rPr>
          <w:sz w:val="20"/>
          <w:szCs w:val="20"/>
          <w:color w:val="auto"/>
        </w:rPr>
      </w:pPr>
      <w:r>
        <w:rPr>
          <w:rFonts w:ascii="Arial" w:cs="Arial" w:eastAsia="Arial" w:hAnsi="Arial"/>
          <w:sz w:val="23"/>
          <w:szCs w:val="23"/>
          <w:b w:val="1"/>
          <w:bCs w:val="1"/>
          <w:u w:val="single" w:color="auto"/>
          <w:color w:val="231F20"/>
        </w:rPr>
        <w:t xml:space="preserve">INSIDER TRADING POLICY </w:t>
      </w:r>
      <w:r>
        <w:rPr>
          <w:rFonts w:ascii="PMingLiU" w:cs="PMingLiU" w:eastAsia="PMingLiU" w:hAnsi="PMingLiU"/>
          <w:sz w:val="23"/>
          <w:szCs w:val="23"/>
          <w:b w:val="1"/>
          <w:bCs w:val="1"/>
          <w:u w:val="single" w:color="auto"/>
          <w:color w:val="231F20"/>
        </w:rPr>
        <w:t></w:t>
      </w:r>
      <w:r>
        <w:rPr>
          <w:rFonts w:ascii="Arial" w:cs="Arial" w:eastAsia="Arial" w:hAnsi="Arial"/>
          <w:sz w:val="23"/>
          <w:szCs w:val="23"/>
          <w:b w:val="1"/>
          <w:bCs w:val="1"/>
          <w:u w:val="single" w:color="auto"/>
          <w:color w:val="231F20"/>
        </w:rPr>
        <w:t xml:space="preserve"> PRE-CLEARANCE CHECKLIST</w:t>
      </w:r>
    </w:p>
    <w:p>
      <w:pPr>
        <w:spacing w:after="0" w:line="359" w:lineRule="exact"/>
        <w:rPr>
          <w:sz w:val="20"/>
          <w:szCs w:val="20"/>
          <w:color w:val="auto"/>
        </w:rPr>
      </w:pPr>
    </w:p>
    <w:p>
      <w:pPr>
        <w:jc w:val="both"/>
        <w:ind w:left="900" w:right="480"/>
        <w:spacing w:after="0" w:line="238" w:lineRule="auto"/>
        <w:rPr>
          <w:sz w:val="20"/>
          <w:szCs w:val="20"/>
          <w:color w:val="auto"/>
        </w:rPr>
      </w:pPr>
      <w:r>
        <w:rPr>
          <w:rFonts w:ascii="Arial" w:cs="Arial" w:eastAsia="Arial" w:hAnsi="Arial"/>
          <w:sz w:val="23"/>
          <w:szCs w:val="23"/>
          <w:b w:val="1"/>
          <w:bCs w:val="1"/>
          <w:color w:val="231F20"/>
        </w:rPr>
        <w:t>No blackout period. The proposed trade will not be made during a quarterly or special blackout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-295910</wp:posOffset>
            </wp:positionV>
            <wp:extent cx="128905" cy="12890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08" w:lineRule="exact"/>
        <w:rPr>
          <w:sz w:val="20"/>
          <w:szCs w:val="20"/>
          <w:color w:val="auto"/>
        </w:rPr>
      </w:pPr>
    </w:p>
    <w:p>
      <w:pPr>
        <w:jc w:val="both"/>
        <w:ind w:left="900" w:right="500"/>
        <w:spacing w:after="0" w:line="237" w:lineRule="auto"/>
        <w:rPr>
          <w:sz w:val="20"/>
          <w:szCs w:val="20"/>
          <w:color w:val="auto"/>
        </w:rPr>
      </w:pPr>
      <w:r>
        <w:rPr>
          <w:rFonts w:ascii="Arial" w:cs="Arial" w:eastAsia="Arial" w:hAnsi="Arial"/>
          <w:sz w:val="23"/>
          <w:szCs w:val="23"/>
          <w:b w:val="1"/>
          <w:bCs w:val="1"/>
          <w:color w:val="231F20"/>
        </w:rPr>
        <w:t>No pension fund blackout under Regulation BTR.* There is no pension fund blackout period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-294005</wp:posOffset>
            </wp:positionV>
            <wp:extent cx="128905" cy="12890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08" w:lineRule="exact"/>
        <w:rPr>
          <w:sz w:val="20"/>
          <w:szCs w:val="20"/>
          <w:color w:val="auto"/>
        </w:rPr>
      </w:pPr>
    </w:p>
    <w:p>
      <w:pPr>
        <w:jc w:val="both"/>
        <w:ind w:left="900" w:right="480"/>
        <w:spacing w:after="0" w:line="259" w:lineRule="auto"/>
        <w:rPr>
          <w:sz w:val="20"/>
          <w:szCs w:val="20"/>
          <w:color w:val="auto"/>
        </w:rPr>
      </w:pPr>
      <w:r>
        <w:rPr>
          <w:rFonts w:ascii="Arial" w:cs="Arial" w:eastAsia="Arial" w:hAnsi="Arial"/>
          <w:sz w:val="22"/>
          <w:szCs w:val="22"/>
          <w:b w:val="1"/>
          <w:bCs w:val="1"/>
          <w:color w:val="231F20"/>
        </w:rPr>
        <w:t>No prohibition under Insider Trading Policy. The person confirmed that the proposed transaction is not prohibited under the 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-307975</wp:posOffset>
            </wp:positionV>
            <wp:extent cx="128905" cy="12890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87" w:lineRule="exact"/>
        <w:rPr>
          <w:sz w:val="20"/>
          <w:szCs w:val="20"/>
          <w:color w:val="auto"/>
        </w:rPr>
      </w:pPr>
    </w:p>
    <w:p>
      <w:pPr>
        <w:jc w:val="both"/>
        <w:ind w:left="900" w:right="480"/>
        <w:spacing w:after="0" w:line="239" w:lineRule="auto"/>
        <w:rPr>
          <w:sz w:val="20"/>
          <w:szCs w:val="20"/>
          <w:color w:val="auto"/>
        </w:rPr>
      </w:pPr>
      <w:r>
        <w:rPr>
          <w:rFonts w:ascii="Arial" w:cs="Arial" w:eastAsia="Arial" w:hAnsi="Arial"/>
          <w:sz w:val="23"/>
          <w:szCs w:val="23"/>
          <w:b w:val="1"/>
          <w:bCs w:val="1"/>
          <w:color w:val="231F20"/>
        </w:rPr>
        <w:t>Section 16 compliance.* The person confirmed that the proposed trade will not give rise to any potential liability under Section 16 as a result of matched past (or intended future)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-464185</wp:posOffset>
            </wp:positionV>
            <wp:extent cx="128905" cy="12890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09" w:lineRule="exact"/>
        <w:rPr>
          <w:sz w:val="20"/>
          <w:szCs w:val="20"/>
          <w:color w:val="auto"/>
        </w:rPr>
      </w:pPr>
    </w:p>
    <w:p>
      <w:pPr>
        <w:jc w:val="both"/>
        <w:ind w:left="900" w:right="480"/>
        <w:spacing w:after="0" w:line="238" w:lineRule="auto"/>
        <w:rPr>
          <w:sz w:val="20"/>
          <w:szCs w:val="20"/>
          <w:color w:val="auto"/>
        </w:rPr>
      </w:pPr>
      <w:r>
        <w:rPr>
          <w:rFonts w:ascii="Arial" w:cs="Arial" w:eastAsia="Arial" w:hAnsi="Arial"/>
          <w:sz w:val="23"/>
          <w:szCs w:val="23"/>
          <w:b w:val="1"/>
          <w:bCs w:val="1"/>
          <w:color w:val="231F20"/>
        </w:rPr>
        <w:t>Form 4 filing.* A Form 4 has been or will be completed and will be timely filed with the SEC,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-295910</wp:posOffset>
            </wp:positionV>
            <wp:extent cx="128905" cy="12890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01" w:lineRule="exact"/>
        <w:rPr>
          <w:sz w:val="20"/>
          <w:szCs w:val="20"/>
          <w:color w:val="auto"/>
        </w:rPr>
      </w:pPr>
    </w:p>
    <w:p>
      <w:pPr>
        <w:ind w:left="900"/>
        <w:spacing w:after="0"/>
        <w:rPr>
          <w:sz w:val="20"/>
          <w:szCs w:val="20"/>
          <w:color w:val="auto"/>
        </w:rPr>
      </w:pPr>
      <w:r>
        <w:rPr>
          <w:rFonts w:ascii="Arial" w:cs="Arial" w:eastAsia="Arial" w:hAnsi="Arial"/>
          <w:sz w:val="23"/>
          <w:szCs w:val="23"/>
          <w:b w:val="1"/>
          <w:bCs w:val="1"/>
          <w:color w:val="231F20"/>
        </w:rPr>
        <w:t>Rule 144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-126365</wp:posOffset>
            </wp:positionV>
            <wp:extent cx="128905" cy="12890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47" w:lineRule="exact"/>
        <w:rPr>
          <w:sz w:val="20"/>
          <w:szCs w:val="20"/>
          <w:color w:val="auto"/>
        </w:rPr>
      </w:pPr>
    </w:p>
    <w:p>
      <w:pPr>
        <w:jc w:val="both"/>
        <w:ind w:left="1320" w:right="480"/>
        <w:spacing w:after="0" w:line="263" w:lineRule="exact"/>
        <w:rPr>
          <w:sz w:val="20"/>
          <w:szCs w:val="20"/>
          <w:color w:val="auto"/>
        </w:rPr>
      </w:pPr>
      <w:r>
        <w:rPr>
          <w:rFonts w:ascii="Arial" w:cs="Arial" w:eastAsia="Arial" w:hAnsi="Arial"/>
          <w:sz w:val="20"/>
          <w:szCs w:val="20"/>
          <w:b w:val="1"/>
          <w:bCs w:val="1"/>
          <w:color w:val="231F20"/>
        </w:rPr>
        <w:t xml:space="preserve">The </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current public information</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 xml:space="preserve"> requirement has been met (i.e., all 10-Ks, 10-Qs and other relevant reports during the last 12 months have been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-296545</wp:posOffset>
            </wp:positionV>
            <wp:extent cx="128905" cy="12890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07" w:lineRule="exact"/>
        <w:rPr>
          <w:sz w:val="20"/>
          <w:szCs w:val="20"/>
          <w:color w:val="auto"/>
        </w:rPr>
      </w:pPr>
    </w:p>
    <w:p>
      <w:pPr>
        <w:jc w:val="both"/>
        <w:ind w:left="1320" w:right="480"/>
        <w:spacing w:after="0" w:line="237" w:lineRule="auto"/>
        <w:rPr>
          <w:sz w:val="20"/>
          <w:szCs w:val="20"/>
          <w:color w:val="auto"/>
        </w:rPr>
      </w:pPr>
      <w:r>
        <w:rPr>
          <w:rFonts w:ascii="Arial" w:cs="Arial" w:eastAsia="Arial" w:hAnsi="Arial"/>
          <w:sz w:val="23"/>
          <w:szCs w:val="23"/>
          <w:b w:val="1"/>
          <w:bCs w:val="1"/>
          <w:color w:val="231F20"/>
        </w:rPr>
        <w:t>The shares that the person proposes to trade are not restricted or, if restricted, the applicable holding period has been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-294005</wp:posOffset>
            </wp:positionV>
            <wp:extent cx="128905" cy="12890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08" w:lineRule="exact"/>
        <w:rPr>
          <w:sz w:val="20"/>
          <w:szCs w:val="20"/>
          <w:color w:val="auto"/>
        </w:rPr>
      </w:pPr>
    </w:p>
    <w:p>
      <w:pPr>
        <w:jc w:val="both"/>
        <w:ind w:left="1320" w:right="480"/>
        <w:spacing w:after="0" w:line="255" w:lineRule="auto"/>
        <w:rPr>
          <w:sz w:val="20"/>
          <w:szCs w:val="20"/>
          <w:color w:val="auto"/>
        </w:rPr>
      </w:pPr>
      <w:r>
        <w:rPr>
          <w:rFonts w:ascii="Arial" w:cs="Arial" w:eastAsia="Arial" w:hAnsi="Arial"/>
          <w:sz w:val="22"/>
          <w:szCs w:val="22"/>
          <w:b w:val="1"/>
          <w:bCs w:val="1"/>
          <w:color w:val="231F20"/>
        </w:rPr>
        <w:t>Volume limitations (greater of 1% of outstanding securities of the same class or the average weekly trading volume during the last four weeks) are not exceeded, and the person is not part of an aggregated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-474345</wp:posOffset>
            </wp:positionV>
            <wp:extent cx="128905" cy="12890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95" w:lineRule="exact"/>
        <w:rPr>
          <w:sz w:val="20"/>
          <w:szCs w:val="20"/>
          <w:color w:val="auto"/>
        </w:rPr>
      </w:pPr>
    </w:p>
    <w:p>
      <w:pPr>
        <w:jc w:val="both"/>
        <w:ind w:left="1320" w:right="500"/>
        <w:spacing w:after="0" w:line="262" w:lineRule="exact"/>
        <w:rPr>
          <w:sz w:val="20"/>
          <w:szCs w:val="20"/>
          <w:color w:val="auto"/>
        </w:rPr>
      </w:pPr>
      <w:r>
        <w:rPr>
          <w:rFonts w:ascii="Arial" w:cs="Arial" w:eastAsia="Arial" w:hAnsi="Arial"/>
          <w:sz w:val="22"/>
          <w:szCs w:val="22"/>
          <w:b w:val="1"/>
          <w:bCs w:val="1"/>
          <w:color w:val="231F20"/>
        </w:rPr>
        <w:t xml:space="preserve">The manner of sale requirements will be met (a </w:t>
      </w:r>
      <w:r>
        <w:rPr>
          <w:rFonts w:ascii="PMingLiU" w:cs="PMingLiU" w:eastAsia="PMingLiU" w:hAnsi="PMingLiU"/>
          <w:sz w:val="22"/>
          <w:szCs w:val="22"/>
          <w:b w:val="1"/>
          <w:bCs w:val="1"/>
          <w:color w:val="231F20"/>
        </w:rPr>
        <w:t></w:t>
      </w:r>
      <w:r>
        <w:rPr>
          <w:rFonts w:ascii="Arial" w:cs="Arial" w:eastAsia="Arial" w:hAnsi="Arial"/>
          <w:sz w:val="22"/>
          <w:szCs w:val="22"/>
          <w:b w:val="1"/>
          <w:bCs w:val="1"/>
          <w:color w:val="231F20"/>
        </w:rPr>
        <w:t>broker</w:t>
      </w:r>
      <w:r>
        <w:rPr>
          <w:rFonts w:ascii="PMingLiU" w:cs="PMingLiU" w:eastAsia="PMingLiU" w:hAnsi="PMingLiU"/>
          <w:sz w:val="22"/>
          <w:szCs w:val="22"/>
          <w:b w:val="1"/>
          <w:bCs w:val="1"/>
          <w:color w:val="231F20"/>
        </w:rPr>
        <w:t></w:t>
      </w:r>
      <w:r>
        <w:rPr>
          <w:rFonts w:ascii="Arial" w:cs="Arial" w:eastAsia="Arial" w:hAnsi="Arial"/>
          <w:sz w:val="22"/>
          <w:szCs w:val="22"/>
          <w:b w:val="1"/>
          <w:bCs w:val="1"/>
          <w:color w:val="231F20"/>
        </w:rPr>
        <w:t>s transaction</w:t>
      </w:r>
      <w:r>
        <w:rPr>
          <w:rFonts w:ascii="PMingLiU" w:cs="PMingLiU" w:eastAsia="PMingLiU" w:hAnsi="PMingLiU"/>
          <w:sz w:val="22"/>
          <w:szCs w:val="22"/>
          <w:b w:val="1"/>
          <w:bCs w:val="1"/>
          <w:color w:val="231F20"/>
        </w:rPr>
        <w:t></w:t>
      </w:r>
      <w:r>
        <w:rPr>
          <w:rFonts w:ascii="Arial" w:cs="Arial" w:eastAsia="Arial" w:hAnsi="Arial"/>
          <w:sz w:val="22"/>
          <w:szCs w:val="22"/>
          <w:b w:val="1"/>
          <w:bCs w:val="1"/>
          <w:color w:val="231F20"/>
        </w:rPr>
        <w:t xml:space="preserve"> or directly with a market maker or a </w:t>
      </w:r>
      <w:r>
        <w:rPr>
          <w:rFonts w:ascii="PMingLiU" w:cs="PMingLiU" w:eastAsia="PMingLiU" w:hAnsi="PMingLiU"/>
          <w:sz w:val="22"/>
          <w:szCs w:val="22"/>
          <w:b w:val="1"/>
          <w:bCs w:val="1"/>
          <w:color w:val="231F20"/>
        </w:rPr>
        <w:t></w:t>
      </w:r>
      <w:r>
        <w:rPr>
          <w:rFonts w:ascii="Arial" w:cs="Arial" w:eastAsia="Arial" w:hAnsi="Arial"/>
          <w:sz w:val="22"/>
          <w:szCs w:val="22"/>
          <w:b w:val="1"/>
          <w:bCs w:val="1"/>
          <w:color w:val="231F20"/>
        </w:rPr>
        <w:t>riskless principal transaction</w:t>
      </w:r>
      <w:r>
        <w:rPr>
          <w:rFonts w:ascii="PMingLiU" w:cs="PMingLiU" w:eastAsia="PMingLiU" w:hAnsi="PMingLiU"/>
          <w:sz w:val="22"/>
          <w:szCs w:val="22"/>
          <w:b w:val="1"/>
          <w:bCs w:val="1"/>
          <w:color w:val="231F20"/>
        </w:rPr>
        <w:t></w:t>
      </w:r>
      <w:r>
        <w:rPr>
          <w:rFonts w:ascii="Arial" w:cs="Arial" w:eastAsia="Arial" w:hAnsi="Arial"/>
          <w:sz w:val="22"/>
          <w:szCs w:val="22"/>
          <w:b w:val="1"/>
          <w:bCs w:val="1"/>
          <w:color w:val="231F20"/>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-294005</wp:posOffset>
            </wp:positionV>
            <wp:extent cx="128905" cy="12890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01" w:lineRule="exact"/>
        <w:rPr>
          <w:sz w:val="20"/>
          <w:szCs w:val="20"/>
          <w:color w:val="auto"/>
        </w:rPr>
      </w:pPr>
    </w:p>
    <w:p>
      <w:pPr>
        <w:jc w:val="center"/>
        <w:ind w:right="-519"/>
        <w:spacing w:after="0"/>
        <w:rPr>
          <w:sz w:val="20"/>
          <w:szCs w:val="20"/>
          <w:color w:val="auto"/>
        </w:rPr>
      </w:pPr>
      <w:r>
        <w:rPr>
          <w:rFonts w:ascii="Arial" w:cs="Arial" w:eastAsia="Arial" w:hAnsi="Arial"/>
          <w:sz w:val="23"/>
          <w:szCs w:val="23"/>
          <w:b w:val="1"/>
          <w:bCs w:val="1"/>
          <w:color w:val="231F20"/>
        </w:rPr>
        <w:t>A Form 144 has been completed and will be timely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-126365</wp:posOffset>
            </wp:positionV>
            <wp:extent cx="128905" cy="12890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50" w:lineRule="exact"/>
        <w:rPr>
          <w:sz w:val="20"/>
          <w:szCs w:val="20"/>
          <w:color w:val="auto"/>
        </w:rPr>
      </w:pPr>
    </w:p>
    <w:p>
      <w:pPr>
        <w:jc w:val="both"/>
        <w:ind w:left="900" w:right="480"/>
        <w:spacing w:after="0" w:line="269" w:lineRule="auto"/>
        <w:rPr>
          <w:sz w:val="20"/>
          <w:szCs w:val="20"/>
          <w:color w:val="auto"/>
        </w:rPr>
      </w:pPr>
      <w:r>
        <w:rPr>
          <w:rFonts w:ascii="Arial" w:cs="Arial" w:eastAsia="Arial" w:hAnsi="Arial"/>
          <w:sz w:val="21"/>
          <w:szCs w:val="21"/>
          <w:b w:val="1"/>
          <w:bCs w:val="1"/>
          <w:color w:val="231F20"/>
        </w:rPr>
        <w:t>Rule 10b-5 concerns. The person has been reminded that trading is prohibited when in possession of any material nonpublic information regarding the Company that has not been adequately disclosed to the public. The individual has discussed with a Compliance Officer any information known to the individual or a Compliance Officer that the individual believes may be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-821690</wp:posOffset>
            </wp:positionV>
            <wp:extent cx="128905" cy="12890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71" w:lineRule="exact"/>
        <w:rPr>
          <w:sz w:val="20"/>
          <w:szCs w:val="20"/>
          <w:color w:val="auto"/>
        </w:rPr>
      </w:pPr>
    </w:p>
    <w:p>
      <w:pPr>
        <w:jc w:val="center"/>
        <w:ind w:left="3620" w:right="500" w:hanging="3126"/>
        <w:spacing w:after="0" w:line="238" w:lineRule="auto"/>
        <w:tabs>
          <w:tab w:leader="none" w:pos="661" w:val="left"/>
        </w:tabs>
        <w:numPr>
          <w:ilvl w:val="0"/>
          <w:numId w:val="60"/>
        </w:numPr>
        <w:rPr>
          <w:rFonts w:ascii="Arial" w:cs="Arial" w:eastAsia="Arial" w:hAnsi="Arial"/>
          <w:sz w:val="23"/>
          <w:szCs w:val="23"/>
          <w:b w:val="1"/>
          <w:bCs w:val="1"/>
          <w:color w:val="231F20"/>
        </w:rPr>
      </w:pPr>
      <w:r>
        <w:rPr>
          <w:rFonts w:ascii="Arial" w:cs="Arial" w:eastAsia="Arial" w:hAnsi="Arial"/>
          <w:sz w:val="23"/>
          <w:szCs w:val="23"/>
          <w:b w:val="1"/>
          <w:bCs w:val="1"/>
          <w:color w:val="231F20"/>
        </w:rPr>
        <w:t>Applies if the individual is a director or an officer subject to Section 16 of the Securities Exchange Act of 1934.</w:t>
      </w:r>
    </w:p>
    <w:p>
      <w:pPr>
        <w:sectPr>
          <w:pgSz w:w="12240" w:h="15840" w:orient="portrait"/>
          <w:cols w:equalWidth="0" w:num="1">
            <w:col w:w="9360"/>
          </w:cols>
          <w:pgMar w:left="1440" w:top="1440" w:right="1440" w:bottom="3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-20-</w:t>
      </w:r>
    </w:p>
    <w:p>
      <w:pPr>
        <w:sectPr>
          <w:pgSz w:w="12240" w:h="15840" w:orient="portrait"/>
          <w:cols w:equalWidth="0" w:num="1">
            <w:col w:w="9360"/>
          </w:cols>
          <w:pgMar w:left="1440" w:top="1440" w:right="1440" w:bottom="377" w:gutter="0" w:footer="0" w:header="0"/>
          <w:type w:val="continuous"/>
        </w:sectPr>
      </w:pPr>
    </w:p>
    <w:bookmarkStart w:id="192" w:name="page193"/>
    <w:bookmarkEnd w:id="192"/>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23"/>
          <w:szCs w:val="23"/>
          <w:b w:val="1"/>
          <w:bCs w:val="1"/>
          <w:u w:val="single" w:color="auto"/>
          <w:color w:val="231F20"/>
        </w:rPr>
        <w:t>SCHEDULE II</w:t>
      </w: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23"/>
          <w:szCs w:val="23"/>
          <w:b w:val="1"/>
          <w:bCs w:val="1"/>
          <w:color w:val="231F20"/>
        </w:rPr>
        <w:t>ALX ONCOLOGY HOLDINGS INC.</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23"/>
          <w:szCs w:val="23"/>
          <w:b w:val="1"/>
          <w:bCs w:val="1"/>
          <w:color w:val="231F20"/>
        </w:rPr>
        <w:t>REQUIREMENTS FOR TRADING PLANS</w:t>
      </w:r>
    </w:p>
    <w:p>
      <w:pPr>
        <w:spacing w:after="0" w:line="244" w:lineRule="exact"/>
        <w:rPr>
          <w:sz w:val="20"/>
          <w:szCs w:val="20"/>
          <w:color w:val="auto"/>
        </w:rPr>
      </w:pPr>
    </w:p>
    <w:p>
      <w:pPr>
        <w:jc w:val="both"/>
        <w:ind w:left="480" w:right="480" w:firstLine="350"/>
        <w:spacing w:after="0" w:line="266" w:lineRule="exact"/>
        <w:rPr>
          <w:sz w:val="20"/>
          <w:szCs w:val="20"/>
          <w:color w:val="auto"/>
        </w:rPr>
      </w:pPr>
      <w:r>
        <w:rPr>
          <w:rFonts w:ascii="Arial" w:cs="Arial" w:eastAsia="Arial" w:hAnsi="Arial"/>
          <w:sz w:val="20"/>
          <w:szCs w:val="20"/>
          <w:b w:val="1"/>
          <w:bCs w:val="1"/>
          <w:color w:val="231F20"/>
        </w:rPr>
        <w:t>For transactions under a trading plan to be exempt from (i) the prohibitions in the Company</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s Policy with respect to transactions made while aware of material nonpublic information and (ii) the pre-clearance procedures and blackout periods established under the Policy, the trading plan must comply with the affirmative defense set forth in Exchange Act Rule 10b5-1 and must meet the following requirements:</w:t>
      </w:r>
    </w:p>
    <w:p>
      <w:pPr>
        <w:spacing w:after="0" w:line="127" w:lineRule="exact"/>
        <w:rPr>
          <w:sz w:val="20"/>
          <w:szCs w:val="20"/>
          <w:color w:val="auto"/>
        </w:rPr>
      </w:pPr>
    </w:p>
    <w:p>
      <w:pPr>
        <w:jc w:val="both"/>
        <w:ind w:left="1180" w:right="480" w:hanging="340"/>
        <w:spacing w:after="0" w:line="241" w:lineRule="auto"/>
        <w:tabs>
          <w:tab w:leader="none" w:pos="1179" w:val="left"/>
        </w:tabs>
        <w:numPr>
          <w:ilvl w:val="0"/>
          <w:numId w:val="61"/>
        </w:numPr>
        <w:rPr>
          <w:rFonts w:ascii="Arial" w:cs="Arial" w:eastAsia="Arial" w:hAnsi="Arial"/>
          <w:sz w:val="23"/>
          <w:szCs w:val="23"/>
          <w:b w:val="1"/>
          <w:bCs w:val="1"/>
          <w:color w:val="231F20"/>
        </w:rPr>
      </w:pPr>
      <w:r>
        <w:rPr>
          <w:rFonts w:ascii="Arial" w:cs="Arial" w:eastAsia="Arial" w:hAnsi="Arial"/>
          <w:sz w:val="23"/>
          <w:szCs w:val="23"/>
          <w:b w:val="1"/>
          <w:bCs w:val="1"/>
          <w:color w:val="231F20"/>
        </w:rPr>
        <w:t>The trading plan must be in writing and signed by the person adopting the trading plan. The person adopting the trading plan may not have an outstanding (and may not subsequently enter into any additional) trading plan except as permitted by Rule 10b5-1.</w:t>
      </w:r>
    </w:p>
    <w:p>
      <w:pPr>
        <w:spacing w:after="0" w:line="118" w:lineRule="exact"/>
        <w:rPr>
          <w:rFonts w:ascii="Arial" w:cs="Arial" w:eastAsia="Arial" w:hAnsi="Arial"/>
          <w:sz w:val="23"/>
          <w:szCs w:val="23"/>
          <w:b w:val="1"/>
          <w:bCs w:val="1"/>
          <w:color w:val="231F20"/>
        </w:rPr>
      </w:pPr>
    </w:p>
    <w:p>
      <w:pPr>
        <w:ind w:left="1180" w:hanging="340"/>
        <w:spacing w:after="0"/>
        <w:tabs>
          <w:tab w:leader="none" w:pos="1180" w:val="left"/>
        </w:tabs>
        <w:numPr>
          <w:ilvl w:val="0"/>
          <w:numId w:val="61"/>
        </w:numPr>
        <w:rPr>
          <w:rFonts w:ascii="Arial" w:cs="Arial" w:eastAsia="Arial" w:hAnsi="Arial"/>
          <w:sz w:val="23"/>
          <w:szCs w:val="23"/>
          <w:b w:val="1"/>
          <w:bCs w:val="1"/>
          <w:color w:val="231F20"/>
        </w:rPr>
      </w:pPr>
      <w:r>
        <w:rPr>
          <w:rFonts w:ascii="Arial" w:cs="Arial" w:eastAsia="Arial" w:hAnsi="Arial"/>
          <w:sz w:val="23"/>
          <w:szCs w:val="23"/>
          <w:b w:val="1"/>
          <w:bCs w:val="1"/>
          <w:color w:val="231F20"/>
        </w:rPr>
        <w:t>The trading plan must be adopted at a time when:</w:t>
      </w:r>
    </w:p>
    <w:p>
      <w:pPr>
        <w:spacing w:after="0" w:line="143" w:lineRule="exact"/>
        <w:rPr>
          <w:rFonts w:ascii="Arial" w:cs="Arial" w:eastAsia="Arial" w:hAnsi="Arial"/>
          <w:sz w:val="23"/>
          <w:szCs w:val="23"/>
          <w:b w:val="1"/>
          <w:bCs w:val="1"/>
          <w:color w:val="231F20"/>
        </w:rPr>
      </w:pPr>
    </w:p>
    <w:p>
      <w:pPr>
        <w:ind w:left="1880" w:right="480" w:hanging="342"/>
        <w:spacing w:after="0" w:line="231" w:lineRule="auto"/>
        <w:tabs>
          <w:tab w:leader="none" w:pos="1880" w:val="left"/>
        </w:tabs>
        <w:numPr>
          <w:ilvl w:val="1"/>
          <w:numId w:val="61"/>
        </w:numPr>
        <w:rPr>
          <w:rFonts w:ascii="PMingLiU" w:cs="PMingLiU" w:eastAsia="PMingLiU" w:hAnsi="PMingLiU"/>
          <w:sz w:val="23"/>
          <w:szCs w:val="23"/>
          <w:b w:val="1"/>
          <w:bCs w:val="1"/>
          <w:color w:val="231F20"/>
        </w:rPr>
      </w:pPr>
      <w:r>
        <w:rPr>
          <w:rFonts w:ascii="Arial" w:cs="Arial" w:eastAsia="Arial" w:hAnsi="Arial"/>
          <w:sz w:val="23"/>
          <w:szCs w:val="23"/>
          <w:b w:val="1"/>
          <w:bCs w:val="1"/>
          <w:color w:val="231F20"/>
        </w:rPr>
        <w:t>the person adopting the trading plan is not aware of any material nonpublic information; and</w:t>
      </w:r>
    </w:p>
    <w:p>
      <w:pPr>
        <w:spacing w:after="0" w:line="144" w:lineRule="exact"/>
        <w:rPr>
          <w:rFonts w:ascii="PMingLiU" w:cs="PMingLiU" w:eastAsia="PMingLiU" w:hAnsi="PMingLiU"/>
          <w:sz w:val="23"/>
          <w:szCs w:val="23"/>
          <w:b w:val="1"/>
          <w:bCs w:val="1"/>
          <w:color w:val="231F20"/>
        </w:rPr>
      </w:pPr>
    </w:p>
    <w:p>
      <w:pPr>
        <w:ind w:left="1880" w:right="480" w:hanging="342"/>
        <w:spacing w:after="0" w:line="232" w:lineRule="auto"/>
        <w:tabs>
          <w:tab w:leader="none" w:pos="1880" w:val="left"/>
        </w:tabs>
        <w:numPr>
          <w:ilvl w:val="1"/>
          <w:numId w:val="61"/>
        </w:numPr>
        <w:rPr>
          <w:rFonts w:ascii="PMingLiU" w:cs="PMingLiU" w:eastAsia="PMingLiU" w:hAnsi="PMingLiU"/>
          <w:sz w:val="23"/>
          <w:szCs w:val="23"/>
          <w:b w:val="1"/>
          <w:bCs w:val="1"/>
          <w:color w:val="231F20"/>
        </w:rPr>
      </w:pPr>
      <w:r>
        <w:rPr>
          <w:rFonts w:ascii="Arial" w:cs="Arial" w:eastAsia="Arial" w:hAnsi="Arial"/>
          <w:sz w:val="23"/>
          <w:szCs w:val="23"/>
          <w:b w:val="1"/>
          <w:bCs w:val="1"/>
          <w:color w:val="231F20"/>
        </w:rPr>
        <w:t>there is no quarterly, special or other trading blackout in effect with respect to the person adopting the plan.</w:t>
      </w:r>
    </w:p>
    <w:p>
      <w:pPr>
        <w:spacing w:after="0" w:line="127" w:lineRule="exact"/>
        <w:rPr>
          <w:rFonts w:ascii="PMingLiU" w:cs="PMingLiU" w:eastAsia="PMingLiU" w:hAnsi="PMingLiU"/>
          <w:sz w:val="23"/>
          <w:szCs w:val="23"/>
          <w:b w:val="1"/>
          <w:bCs w:val="1"/>
          <w:color w:val="231F20"/>
        </w:rPr>
      </w:pPr>
    </w:p>
    <w:p>
      <w:pPr>
        <w:jc w:val="both"/>
        <w:ind w:left="1180" w:right="480" w:hanging="340"/>
        <w:spacing w:after="0" w:line="273" w:lineRule="auto"/>
        <w:tabs>
          <w:tab w:leader="none" w:pos="1179" w:val="left"/>
        </w:tabs>
        <w:numPr>
          <w:ilvl w:val="0"/>
          <w:numId w:val="61"/>
        </w:numPr>
        <w:rPr>
          <w:rFonts w:ascii="Arial" w:cs="Arial" w:eastAsia="Arial" w:hAnsi="Arial"/>
          <w:sz w:val="21"/>
          <w:szCs w:val="21"/>
          <w:b w:val="1"/>
          <w:bCs w:val="1"/>
          <w:color w:val="231F20"/>
        </w:rPr>
      </w:pPr>
      <w:r>
        <w:rPr>
          <w:rFonts w:ascii="Arial" w:cs="Arial" w:eastAsia="Arial" w:hAnsi="Arial"/>
          <w:sz w:val="21"/>
          <w:szCs w:val="21"/>
          <w:b w:val="1"/>
          <w:bCs w:val="1"/>
          <w:color w:val="231F20"/>
        </w:rPr>
        <w:t>The trading plan must be entered in good faith and not as part of a plan or scheme to evade the prohibitions of Rule 10b5-1, and the person adopting the trading plan must act in good faith with respect to the trading plan.</w:t>
      </w:r>
    </w:p>
    <w:p>
      <w:pPr>
        <w:spacing w:after="0" w:line="95" w:lineRule="exact"/>
        <w:rPr>
          <w:rFonts w:ascii="Arial" w:cs="Arial" w:eastAsia="Arial" w:hAnsi="Arial"/>
          <w:sz w:val="21"/>
          <w:szCs w:val="21"/>
          <w:b w:val="1"/>
          <w:bCs w:val="1"/>
          <w:color w:val="231F20"/>
        </w:rPr>
      </w:pPr>
    </w:p>
    <w:p>
      <w:pPr>
        <w:ind w:left="1180" w:right="480" w:hanging="340"/>
        <w:spacing w:after="0" w:line="237" w:lineRule="auto"/>
        <w:tabs>
          <w:tab w:leader="none" w:pos="1179" w:val="left"/>
        </w:tabs>
        <w:numPr>
          <w:ilvl w:val="0"/>
          <w:numId w:val="61"/>
        </w:numPr>
        <w:rPr>
          <w:rFonts w:ascii="Arial" w:cs="Arial" w:eastAsia="Arial" w:hAnsi="Arial"/>
          <w:sz w:val="23"/>
          <w:szCs w:val="23"/>
          <w:b w:val="1"/>
          <w:bCs w:val="1"/>
          <w:color w:val="231F20"/>
        </w:rPr>
      </w:pPr>
      <w:r>
        <w:rPr>
          <w:rFonts w:ascii="Arial" w:cs="Arial" w:eastAsia="Arial" w:hAnsi="Arial"/>
          <w:sz w:val="23"/>
          <w:szCs w:val="23"/>
          <w:b w:val="1"/>
          <w:bCs w:val="1"/>
          <w:color w:val="231F20"/>
        </w:rPr>
        <w:t>The trading plan must include representations that, on the date of adoption of the trading plan, the person adopting the trading plan:</w:t>
      </w:r>
    </w:p>
    <w:p>
      <w:pPr>
        <w:spacing w:after="0" w:line="144" w:lineRule="exact"/>
        <w:rPr>
          <w:rFonts w:ascii="Arial" w:cs="Arial" w:eastAsia="Arial" w:hAnsi="Arial"/>
          <w:sz w:val="23"/>
          <w:szCs w:val="23"/>
          <w:b w:val="1"/>
          <w:bCs w:val="1"/>
          <w:color w:val="231F20"/>
        </w:rPr>
      </w:pPr>
    </w:p>
    <w:p>
      <w:pPr>
        <w:ind w:left="1880" w:right="480" w:hanging="342"/>
        <w:spacing w:after="0" w:line="232" w:lineRule="auto"/>
        <w:tabs>
          <w:tab w:leader="none" w:pos="1880" w:val="left"/>
        </w:tabs>
        <w:numPr>
          <w:ilvl w:val="1"/>
          <w:numId w:val="61"/>
        </w:numPr>
        <w:rPr>
          <w:rFonts w:ascii="PMingLiU" w:cs="PMingLiU" w:eastAsia="PMingLiU" w:hAnsi="PMingLiU"/>
          <w:sz w:val="23"/>
          <w:szCs w:val="23"/>
          <w:b w:val="1"/>
          <w:bCs w:val="1"/>
          <w:color w:val="231F20"/>
        </w:rPr>
      </w:pPr>
      <w:r>
        <w:rPr>
          <w:rFonts w:ascii="Arial" w:cs="Arial" w:eastAsia="Arial" w:hAnsi="Arial"/>
          <w:sz w:val="23"/>
          <w:szCs w:val="23"/>
          <w:b w:val="1"/>
          <w:bCs w:val="1"/>
          <w:color w:val="231F20"/>
        </w:rPr>
        <w:t>is not aware of material nonpublic information about the securities or the Company; and</w:t>
      </w:r>
    </w:p>
    <w:p>
      <w:pPr>
        <w:spacing w:after="0" w:line="144" w:lineRule="exact"/>
        <w:rPr>
          <w:rFonts w:ascii="PMingLiU" w:cs="PMingLiU" w:eastAsia="PMingLiU" w:hAnsi="PMingLiU"/>
          <w:sz w:val="23"/>
          <w:szCs w:val="23"/>
          <w:b w:val="1"/>
          <w:bCs w:val="1"/>
          <w:color w:val="231F20"/>
        </w:rPr>
      </w:pPr>
    </w:p>
    <w:p>
      <w:pPr>
        <w:ind w:left="1880" w:right="480" w:hanging="342"/>
        <w:spacing w:after="0" w:line="231" w:lineRule="auto"/>
        <w:tabs>
          <w:tab w:leader="none" w:pos="1880" w:val="left"/>
        </w:tabs>
        <w:numPr>
          <w:ilvl w:val="1"/>
          <w:numId w:val="61"/>
        </w:numPr>
        <w:rPr>
          <w:rFonts w:ascii="PMingLiU" w:cs="PMingLiU" w:eastAsia="PMingLiU" w:hAnsi="PMingLiU"/>
          <w:sz w:val="23"/>
          <w:szCs w:val="23"/>
          <w:b w:val="1"/>
          <w:bCs w:val="1"/>
          <w:color w:val="231F20"/>
        </w:rPr>
      </w:pPr>
      <w:r>
        <w:rPr>
          <w:rFonts w:ascii="Arial" w:cs="Arial" w:eastAsia="Arial" w:hAnsi="Arial"/>
          <w:sz w:val="23"/>
          <w:szCs w:val="23"/>
          <w:b w:val="1"/>
          <w:bCs w:val="1"/>
          <w:color w:val="231F20"/>
        </w:rPr>
        <w:t>is adopting the trading plan in good faith and not as part of a plan or scheme to evade the prohibitions of Rule 10b5-1.</w:t>
      </w:r>
    </w:p>
    <w:p>
      <w:pPr>
        <w:spacing w:after="0" w:line="127" w:lineRule="exact"/>
        <w:rPr>
          <w:rFonts w:ascii="PMingLiU" w:cs="PMingLiU" w:eastAsia="PMingLiU" w:hAnsi="PMingLiU"/>
          <w:sz w:val="23"/>
          <w:szCs w:val="23"/>
          <w:b w:val="1"/>
          <w:bCs w:val="1"/>
          <w:color w:val="231F20"/>
        </w:rPr>
      </w:pPr>
    </w:p>
    <w:p>
      <w:pPr>
        <w:jc w:val="both"/>
        <w:ind w:left="1180" w:right="480" w:hanging="340"/>
        <w:spacing w:after="0" w:line="287" w:lineRule="auto"/>
        <w:tabs>
          <w:tab w:leader="none" w:pos="1179" w:val="left"/>
        </w:tabs>
        <w:numPr>
          <w:ilvl w:val="0"/>
          <w:numId w:val="61"/>
        </w:numPr>
        <w:rPr>
          <w:rFonts w:ascii="Arial" w:cs="Arial" w:eastAsia="Arial" w:hAnsi="Arial"/>
          <w:sz w:val="20"/>
          <w:szCs w:val="20"/>
          <w:b w:val="1"/>
          <w:bCs w:val="1"/>
          <w:color w:val="231F20"/>
        </w:rPr>
      </w:pPr>
      <w:r>
        <w:rPr>
          <w:rFonts w:ascii="Arial" w:cs="Arial" w:eastAsia="Arial" w:hAnsi="Arial"/>
          <w:sz w:val="20"/>
          <w:szCs w:val="20"/>
          <w:b w:val="1"/>
          <w:bCs w:val="1"/>
          <w:color w:val="231F20"/>
        </w:rPr>
        <w:t>The person adopting the trading plan may not have entered into or altered a corresponding or hedging transaction or position with respect to the securities subject to the trading plan and must agree not to enter into any such transaction while the trading plan is in effect. Subject to Section 8, an individual may conduct transactions with respect to securities not subject to a trading plan.</w:t>
      </w:r>
    </w:p>
    <w:p>
      <w:pPr>
        <w:spacing w:after="0" w:line="81" w:lineRule="exact"/>
        <w:rPr>
          <w:rFonts w:ascii="Arial" w:cs="Arial" w:eastAsia="Arial" w:hAnsi="Arial"/>
          <w:sz w:val="20"/>
          <w:szCs w:val="20"/>
          <w:b w:val="1"/>
          <w:bCs w:val="1"/>
          <w:color w:val="231F20"/>
        </w:rPr>
      </w:pPr>
    </w:p>
    <w:p>
      <w:pPr>
        <w:jc w:val="both"/>
        <w:ind w:left="1180" w:right="480" w:hanging="340"/>
        <w:spacing w:after="0" w:line="300" w:lineRule="auto"/>
        <w:tabs>
          <w:tab w:leader="none" w:pos="1181" w:val="left"/>
        </w:tabs>
        <w:numPr>
          <w:ilvl w:val="0"/>
          <w:numId w:val="61"/>
        </w:numPr>
        <w:rPr>
          <w:rFonts w:ascii="Arial" w:cs="Arial" w:eastAsia="Arial" w:hAnsi="Arial"/>
          <w:sz w:val="19"/>
          <w:szCs w:val="19"/>
          <w:b w:val="1"/>
          <w:bCs w:val="1"/>
          <w:color w:val="231F20"/>
        </w:rPr>
      </w:pPr>
      <w:r>
        <w:rPr>
          <w:rFonts w:ascii="Arial" w:cs="Arial" w:eastAsia="Arial" w:hAnsi="Arial"/>
          <w:sz w:val="19"/>
          <w:szCs w:val="19"/>
          <w:b w:val="1"/>
          <w:bCs w:val="1"/>
          <w:color w:val="231F20"/>
        </w:rPr>
        <w:t>The first trade under the trading plan for directors and officers (as defined in Rule 16a-1(f) of the Exchange Act) may not occur until after the expiration of a cooling-off period consisting of the later of (i) 90 calendar days after the adoption of the trading plan and (ii) two business days after the filing by the Company of its financial results in a Form 10-Q or Form 10-K for the completed fiscal quarter in which the trading plan was adopted (but, in any event, this required cooling-off period is subject to a maximum of 120 days after the adoption of the trading plan). The first trade under the trading plan for all other persons (other than the Company)</w:t>
      </w:r>
    </w:p>
    <w:p>
      <w:pPr>
        <w:sectPr>
          <w:pgSz w:w="12240" w:h="15840" w:orient="portrait"/>
          <w:cols w:equalWidth="0" w:num="1">
            <w:col w:w="9360"/>
          </w:cols>
          <w:pgMar w:left="1440" w:top="1440" w:right="1440" w:bottom="3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-21-</w:t>
      </w:r>
    </w:p>
    <w:p>
      <w:pPr>
        <w:sectPr>
          <w:pgSz w:w="12240" w:h="15840" w:orient="portrait"/>
          <w:cols w:equalWidth="0" w:num="1">
            <w:col w:w="9360"/>
          </w:cols>
          <w:pgMar w:left="1440" w:top="1440" w:right="1440" w:bottom="377" w:gutter="0" w:footer="0" w:header="0"/>
          <w:type w:val="continuous"/>
        </w:sectPr>
      </w:pPr>
    </w:p>
    <w:bookmarkStart w:id="193" w:name="page194"/>
    <w:bookmarkEnd w:id="193"/>
    <w:p>
      <w:pPr>
        <w:spacing w:after="0" w:line="205" w:lineRule="exact"/>
        <w:rPr>
          <w:sz w:val="20"/>
          <w:szCs w:val="20"/>
          <w:color w:val="auto"/>
        </w:rPr>
      </w:pPr>
    </w:p>
    <w:p>
      <w:pPr>
        <w:ind w:left="1180" w:right="480"/>
        <w:spacing w:after="0" w:line="237" w:lineRule="auto"/>
        <w:rPr>
          <w:sz w:val="20"/>
          <w:szCs w:val="20"/>
          <w:color w:val="auto"/>
        </w:rPr>
      </w:pPr>
      <w:r>
        <w:rPr>
          <w:rFonts w:ascii="Arial" w:cs="Arial" w:eastAsia="Arial" w:hAnsi="Arial"/>
          <w:sz w:val="23"/>
          <w:szCs w:val="23"/>
          <w:b w:val="1"/>
          <w:bCs w:val="1"/>
          <w:color w:val="231F20"/>
        </w:rPr>
        <w:t>may not occur until the expiration of a cooling-off period that is 30 calendar days after adoption of the trading plan.</w:t>
      </w:r>
    </w:p>
    <w:p>
      <w:pPr>
        <w:spacing w:after="0" w:line="128" w:lineRule="exact"/>
        <w:rPr>
          <w:sz w:val="20"/>
          <w:szCs w:val="20"/>
          <w:color w:val="auto"/>
        </w:rPr>
      </w:pPr>
    </w:p>
    <w:p>
      <w:pPr>
        <w:ind w:left="1180" w:right="480" w:hanging="340"/>
        <w:spacing w:after="0" w:line="238" w:lineRule="auto"/>
        <w:tabs>
          <w:tab w:leader="none" w:pos="1179" w:val="left"/>
        </w:tabs>
        <w:numPr>
          <w:ilvl w:val="0"/>
          <w:numId w:val="62"/>
        </w:numPr>
        <w:rPr>
          <w:rFonts w:ascii="Arial" w:cs="Arial" w:eastAsia="Arial" w:hAnsi="Arial"/>
          <w:sz w:val="23"/>
          <w:szCs w:val="23"/>
          <w:b w:val="1"/>
          <w:bCs w:val="1"/>
          <w:color w:val="231F20"/>
        </w:rPr>
      </w:pPr>
      <w:r>
        <w:rPr>
          <w:rFonts w:ascii="Arial" w:cs="Arial" w:eastAsia="Arial" w:hAnsi="Arial"/>
          <w:sz w:val="23"/>
          <w:szCs w:val="23"/>
          <w:b w:val="1"/>
          <w:bCs w:val="1"/>
          <w:color w:val="231F20"/>
        </w:rPr>
        <w:t>The trading plan must have a minimum term of six months (starting from date of adoption of the trading plan).</w:t>
      </w:r>
    </w:p>
    <w:p>
      <w:pPr>
        <w:spacing w:after="0" w:line="128" w:lineRule="exact"/>
        <w:rPr>
          <w:rFonts w:ascii="Arial" w:cs="Arial" w:eastAsia="Arial" w:hAnsi="Arial"/>
          <w:sz w:val="23"/>
          <w:szCs w:val="23"/>
          <w:b w:val="1"/>
          <w:bCs w:val="1"/>
          <w:color w:val="231F20"/>
        </w:rPr>
      </w:pPr>
    </w:p>
    <w:p>
      <w:pPr>
        <w:jc w:val="both"/>
        <w:ind w:left="1180" w:right="500" w:hanging="340"/>
        <w:spacing w:after="0" w:line="264" w:lineRule="exact"/>
        <w:tabs>
          <w:tab w:leader="none" w:pos="1179" w:val="left"/>
        </w:tabs>
        <w:numPr>
          <w:ilvl w:val="0"/>
          <w:numId w:val="62"/>
        </w:numPr>
        <w:rPr>
          <w:rFonts w:ascii="Arial" w:cs="Arial" w:eastAsia="Arial" w:hAnsi="Arial"/>
          <w:sz w:val="23"/>
          <w:szCs w:val="23"/>
          <w:b w:val="1"/>
          <w:bCs w:val="1"/>
          <w:color w:val="231F20"/>
        </w:rPr>
      </w:pPr>
      <w:r>
        <w:rPr>
          <w:rFonts w:ascii="Arial" w:cs="Arial" w:eastAsia="Arial" w:hAnsi="Arial"/>
          <w:sz w:val="23"/>
          <w:szCs w:val="23"/>
          <w:b w:val="1"/>
          <w:bCs w:val="1"/>
          <w:color w:val="231F20"/>
        </w:rPr>
        <w:t xml:space="preserve">All transactions during the term of the trading plan (except for the other </w:t>
      </w:r>
      <w:r>
        <w:rPr>
          <w:rFonts w:ascii="PMingLiU" w:cs="PMingLiU" w:eastAsia="PMingLiU" w:hAnsi="PMingLiU"/>
          <w:sz w:val="23"/>
          <w:szCs w:val="23"/>
          <w:b w:val="1"/>
          <w:bCs w:val="1"/>
          <w:color w:val="231F20"/>
        </w:rPr>
        <w:t></w:t>
      </w:r>
      <w:r>
        <w:rPr>
          <w:rFonts w:ascii="Arial" w:cs="Arial" w:eastAsia="Arial" w:hAnsi="Arial"/>
          <w:sz w:val="23"/>
          <w:szCs w:val="23"/>
          <w:b w:val="1"/>
          <w:bCs w:val="1"/>
          <w:color w:val="231F20"/>
        </w:rPr>
        <w:t>Limited Exceptions</w:t>
      </w:r>
      <w:r>
        <w:rPr>
          <w:rFonts w:ascii="PMingLiU" w:cs="PMingLiU" w:eastAsia="PMingLiU" w:hAnsi="PMingLiU"/>
          <w:sz w:val="23"/>
          <w:szCs w:val="23"/>
          <w:b w:val="1"/>
          <w:bCs w:val="1"/>
          <w:color w:val="231F20"/>
        </w:rPr>
        <w:t></w:t>
      </w:r>
      <w:r>
        <w:rPr>
          <w:rFonts w:ascii="Arial" w:cs="Arial" w:eastAsia="Arial" w:hAnsi="Arial"/>
          <w:sz w:val="23"/>
          <w:szCs w:val="23"/>
          <w:b w:val="1"/>
          <w:bCs w:val="1"/>
          <w:color w:val="231F20"/>
        </w:rPr>
        <w:t xml:space="preserve"> identified in the Company</w:t>
      </w:r>
      <w:r>
        <w:rPr>
          <w:rFonts w:ascii="PMingLiU" w:cs="PMingLiU" w:eastAsia="PMingLiU" w:hAnsi="PMingLiU"/>
          <w:sz w:val="23"/>
          <w:szCs w:val="23"/>
          <w:b w:val="1"/>
          <w:bCs w:val="1"/>
          <w:color w:val="231F20"/>
        </w:rPr>
        <w:t></w:t>
      </w:r>
      <w:r>
        <w:rPr>
          <w:rFonts w:ascii="Arial" w:cs="Arial" w:eastAsia="Arial" w:hAnsi="Arial"/>
          <w:sz w:val="23"/>
          <w:szCs w:val="23"/>
          <w:b w:val="1"/>
          <w:bCs w:val="1"/>
          <w:color w:val="231F20"/>
        </w:rPr>
        <w:t>s Policy and bona fide gifts) must be conducted through the trading plan.</w:t>
      </w:r>
    </w:p>
    <w:p>
      <w:pPr>
        <w:spacing w:after="0" w:line="128" w:lineRule="exact"/>
        <w:rPr>
          <w:rFonts w:ascii="Arial" w:cs="Arial" w:eastAsia="Arial" w:hAnsi="Arial"/>
          <w:sz w:val="23"/>
          <w:szCs w:val="23"/>
          <w:b w:val="1"/>
          <w:bCs w:val="1"/>
          <w:color w:val="231F20"/>
        </w:rPr>
      </w:pPr>
    </w:p>
    <w:p>
      <w:pPr>
        <w:jc w:val="both"/>
        <w:ind w:left="1180" w:right="480" w:hanging="340"/>
        <w:spacing w:after="0" w:line="264" w:lineRule="exact"/>
        <w:tabs>
          <w:tab w:leader="none" w:pos="1181" w:val="left"/>
        </w:tabs>
        <w:numPr>
          <w:ilvl w:val="0"/>
          <w:numId w:val="62"/>
        </w:numPr>
        <w:rPr>
          <w:rFonts w:ascii="Arial" w:cs="Arial" w:eastAsia="Arial" w:hAnsi="Arial"/>
          <w:sz w:val="19"/>
          <w:szCs w:val="19"/>
          <w:b w:val="1"/>
          <w:bCs w:val="1"/>
          <w:color w:val="231F20"/>
        </w:rPr>
      </w:pPr>
      <w:r>
        <w:rPr>
          <w:rFonts w:ascii="Arial" w:cs="Arial" w:eastAsia="Arial" w:hAnsi="Arial"/>
          <w:sz w:val="19"/>
          <w:szCs w:val="19"/>
          <w:b w:val="1"/>
          <w:bCs w:val="1"/>
          <w:color w:val="231F20"/>
        </w:rPr>
        <w:t>Any modification or change to the amount, price or timing of transactions under the trading plan is deemed the termination of the trading plan, and the adoption of a new trading plan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Modification</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Therefore, a Modification is subject to the same conditions as a new trading plan as set forth in Sections 1 through 8 herein.</w:t>
      </w:r>
    </w:p>
    <w:p>
      <w:pPr>
        <w:spacing w:after="0" w:line="132" w:lineRule="exact"/>
        <w:rPr>
          <w:rFonts w:ascii="Arial" w:cs="Arial" w:eastAsia="Arial" w:hAnsi="Arial"/>
          <w:sz w:val="19"/>
          <w:szCs w:val="19"/>
          <w:b w:val="1"/>
          <w:bCs w:val="1"/>
          <w:color w:val="231F20"/>
        </w:rPr>
      </w:pPr>
    </w:p>
    <w:p>
      <w:pPr>
        <w:jc w:val="both"/>
        <w:ind w:left="1180" w:right="480" w:hanging="340"/>
        <w:spacing w:after="0" w:line="239" w:lineRule="auto"/>
        <w:tabs>
          <w:tab w:leader="none" w:pos="1179" w:val="left"/>
        </w:tabs>
        <w:numPr>
          <w:ilvl w:val="0"/>
          <w:numId w:val="62"/>
        </w:numPr>
        <w:rPr>
          <w:rFonts w:ascii="Arial" w:cs="Arial" w:eastAsia="Arial" w:hAnsi="Arial"/>
          <w:sz w:val="23"/>
          <w:szCs w:val="23"/>
          <w:b w:val="1"/>
          <w:bCs w:val="1"/>
          <w:color w:val="231F20"/>
        </w:rPr>
      </w:pPr>
      <w:r>
        <w:rPr>
          <w:rFonts w:ascii="Arial" w:cs="Arial" w:eastAsia="Arial" w:hAnsi="Arial"/>
          <w:sz w:val="23"/>
          <w:szCs w:val="23"/>
          <w:b w:val="1"/>
          <w:bCs w:val="1"/>
          <w:color w:val="231F20"/>
        </w:rPr>
        <w:t>Within six months preceding the adoption or a Modification of a trading plan, a person may not have otherwise adopted or done a Modification to a plan more than once.</w:t>
      </w:r>
    </w:p>
    <w:p>
      <w:pPr>
        <w:spacing w:after="0" w:line="129" w:lineRule="exact"/>
        <w:rPr>
          <w:rFonts w:ascii="Arial" w:cs="Arial" w:eastAsia="Arial" w:hAnsi="Arial"/>
          <w:sz w:val="23"/>
          <w:szCs w:val="23"/>
          <w:b w:val="1"/>
          <w:bCs w:val="1"/>
          <w:color w:val="231F20"/>
        </w:rPr>
      </w:pPr>
    </w:p>
    <w:p>
      <w:pPr>
        <w:ind w:left="1180" w:right="480" w:hanging="340"/>
        <w:spacing w:after="0" w:line="306" w:lineRule="auto"/>
        <w:tabs>
          <w:tab w:leader="none" w:pos="1179" w:val="left"/>
        </w:tabs>
        <w:numPr>
          <w:ilvl w:val="0"/>
          <w:numId w:val="62"/>
        </w:numPr>
        <w:rPr>
          <w:rFonts w:ascii="Arial" w:cs="Arial" w:eastAsia="Arial" w:hAnsi="Arial"/>
          <w:sz w:val="20"/>
          <w:szCs w:val="20"/>
          <w:b w:val="1"/>
          <w:bCs w:val="1"/>
          <w:color w:val="231F20"/>
        </w:rPr>
      </w:pPr>
      <w:r>
        <w:rPr>
          <w:rFonts w:ascii="Arial" w:cs="Arial" w:eastAsia="Arial" w:hAnsi="Arial"/>
          <w:sz w:val="20"/>
          <w:szCs w:val="20"/>
          <w:b w:val="1"/>
          <w:bCs w:val="1"/>
          <w:color w:val="231F20"/>
        </w:rPr>
        <w:t>A person may adopt a trading plan designed to cover a single trade only once in any consecutive 12-month period except as permitted by Rule 10b5-1.</w:t>
      </w:r>
    </w:p>
    <w:p>
      <w:pPr>
        <w:spacing w:after="0" w:line="63" w:lineRule="exact"/>
        <w:rPr>
          <w:rFonts w:ascii="Arial" w:cs="Arial" w:eastAsia="Arial" w:hAnsi="Arial"/>
          <w:sz w:val="20"/>
          <w:szCs w:val="20"/>
          <w:b w:val="1"/>
          <w:bCs w:val="1"/>
          <w:color w:val="231F20"/>
        </w:rPr>
      </w:pPr>
    </w:p>
    <w:p>
      <w:pPr>
        <w:jc w:val="both"/>
        <w:ind w:left="1180" w:right="480" w:hanging="340"/>
        <w:spacing w:after="0" w:line="265" w:lineRule="exact"/>
        <w:tabs>
          <w:tab w:leader="none" w:pos="1179" w:val="left"/>
        </w:tabs>
        <w:numPr>
          <w:ilvl w:val="0"/>
          <w:numId w:val="62"/>
        </w:numPr>
        <w:rPr>
          <w:rFonts w:ascii="Arial" w:cs="Arial" w:eastAsia="Arial" w:hAnsi="Arial"/>
          <w:sz w:val="23"/>
          <w:szCs w:val="23"/>
          <w:b w:val="1"/>
          <w:bCs w:val="1"/>
          <w:color w:val="231F20"/>
        </w:rPr>
      </w:pPr>
      <w:r>
        <w:rPr>
          <w:rFonts w:ascii="Arial" w:cs="Arial" w:eastAsia="Arial" w:hAnsi="Arial"/>
          <w:sz w:val="23"/>
          <w:szCs w:val="23"/>
          <w:b w:val="1"/>
          <w:bCs w:val="1"/>
          <w:color w:val="231F20"/>
        </w:rPr>
        <w:t>If the person that adopted the trading plan terminates the plan prior to its stated duration, he or she may not trade in the Company</w:t>
      </w:r>
      <w:r>
        <w:rPr>
          <w:rFonts w:ascii="PMingLiU" w:cs="PMingLiU" w:eastAsia="PMingLiU" w:hAnsi="PMingLiU"/>
          <w:sz w:val="23"/>
          <w:szCs w:val="23"/>
          <w:b w:val="1"/>
          <w:bCs w:val="1"/>
          <w:color w:val="231F20"/>
        </w:rPr>
        <w:t></w:t>
      </w:r>
      <w:r>
        <w:rPr>
          <w:rFonts w:ascii="Arial" w:cs="Arial" w:eastAsia="Arial" w:hAnsi="Arial"/>
          <w:sz w:val="23"/>
          <w:szCs w:val="23"/>
          <w:b w:val="1"/>
          <w:bCs w:val="1"/>
          <w:color w:val="231F20"/>
        </w:rPr>
        <w:t>s securities until after the expiration of 30 calendar days following termination, and then only in accordance with the Policy.</w:t>
      </w:r>
    </w:p>
    <w:p>
      <w:pPr>
        <w:spacing w:after="0" w:line="129" w:lineRule="exact"/>
        <w:rPr>
          <w:rFonts w:ascii="Arial" w:cs="Arial" w:eastAsia="Arial" w:hAnsi="Arial"/>
          <w:sz w:val="23"/>
          <w:szCs w:val="23"/>
          <w:b w:val="1"/>
          <w:bCs w:val="1"/>
          <w:color w:val="231F20"/>
        </w:rPr>
      </w:pPr>
    </w:p>
    <w:p>
      <w:pPr>
        <w:ind w:left="1180" w:right="480" w:hanging="340"/>
        <w:spacing w:after="0" w:line="280" w:lineRule="auto"/>
        <w:tabs>
          <w:tab w:leader="none" w:pos="1181" w:val="left"/>
        </w:tabs>
        <w:numPr>
          <w:ilvl w:val="0"/>
          <w:numId w:val="62"/>
        </w:numPr>
        <w:rPr>
          <w:rFonts w:ascii="Arial" w:cs="Arial" w:eastAsia="Arial" w:hAnsi="Arial"/>
          <w:sz w:val="21"/>
          <w:szCs w:val="21"/>
          <w:b w:val="1"/>
          <w:bCs w:val="1"/>
          <w:color w:val="231F20"/>
        </w:rPr>
      </w:pPr>
      <w:r>
        <w:rPr>
          <w:rFonts w:ascii="Arial" w:cs="Arial" w:eastAsia="Arial" w:hAnsi="Arial"/>
          <w:sz w:val="21"/>
          <w:szCs w:val="21"/>
          <w:b w:val="1"/>
          <w:bCs w:val="1"/>
          <w:color w:val="231F20"/>
        </w:rPr>
        <w:t>The Company must be promptly notified of any Modification or termination of the trading plan and any suspension of trading under the trading plan.</w:t>
      </w:r>
    </w:p>
    <w:p>
      <w:pPr>
        <w:spacing w:after="0" w:line="86" w:lineRule="exact"/>
        <w:rPr>
          <w:rFonts w:ascii="Arial" w:cs="Arial" w:eastAsia="Arial" w:hAnsi="Arial"/>
          <w:sz w:val="21"/>
          <w:szCs w:val="21"/>
          <w:b w:val="1"/>
          <w:bCs w:val="1"/>
          <w:color w:val="231F20"/>
        </w:rPr>
      </w:pPr>
    </w:p>
    <w:p>
      <w:pPr>
        <w:ind w:left="1180" w:right="480" w:hanging="340"/>
        <w:spacing w:after="0" w:line="238" w:lineRule="auto"/>
        <w:tabs>
          <w:tab w:leader="none" w:pos="1179" w:val="left"/>
        </w:tabs>
        <w:numPr>
          <w:ilvl w:val="0"/>
          <w:numId w:val="62"/>
        </w:numPr>
        <w:rPr>
          <w:rFonts w:ascii="Arial" w:cs="Arial" w:eastAsia="Arial" w:hAnsi="Arial"/>
          <w:sz w:val="23"/>
          <w:szCs w:val="23"/>
          <w:b w:val="1"/>
          <w:bCs w:val="1"/>
          <w:color w:val="231F20"/>
        </w:rPr>
      </w:pPr>
      <w:r>
        <w:rPr>
          <w:rFonts w:ascii="Arial" w:cs="Arial" w:eastAsia="Arial" w:hAnsi="Arial"/>
          <w:sz w:val="23"/>
          <w:szCs w:val="23"/>
          <w:b w:val="1"/>
          <w:bCs w:val="1"/>
          <w:color w:val="231F20"/>
        </w:rPr>
        <w:t>The Company must have authority to require the suspension or cancellation of the trading plan at any time.</w:t>
      </w:r>
    </w:p>
    <w:p>
      <w:pPr>
        <w:spacing w:after="0" w:line="128" w:lineRule="exact"/>
        <w:rPr>
          <w:rFonts w:ascii="Arial" w:cs="Arial" w:eastAsia="Arial" w:hAnsi="Arial"/>
          <w:sz w:val="23"/>
          <w:szCs w:val="23"/>
          <w:b w:val="1"/>
          <w:bCs w:val="1"/>
          <w:color w:val="231F20"/>
        </w:rPr>
      </w:pPr>
    </w:p>
    <w:p>
      <w:pPr>
        <w:ind w:left="1180" w:right="480" w:hanging="340"/>
        <w:spacing w:after="0" w:line="238" w:lineRule="auto"/>
        <w:tabs>
          <w:tab w:leader="none" w:pos="1179" w:val="left"/>
        </w:tabs>
        <w:numPr>
          <w:ilvl w:val="0"/>
          <w:numId w:val="62"/>
        </w:numPr>
        <w:rPr>
          <w:rFonts w:ascii="Arial" w:cs="Arial" w:eastAsia="Arial" w:hAnsi="Arial"/>
          <w:sz w:val="23"/>
          <w:szCs w:val="23"/>
          <w:b w:val="1"/>
          <w:bCs w:val="1"/>
          <w:color w:val="231F20"/>
        </w:rPr>
      </w:pPr>
      <w:r>
        <w:rPr>
          <w:rFonts w:ascii="Arial" w:cs="Arial" w:eastAsia="Arial" w:hAnsi="Arial"/>
          <w:sz w:val="23"/>
          <w:szCs w:val="23"/>
          <w:b w:val="1"/>
          <w:bCs w:val="1"/>
          <w:color w:val="231F20"/>
        </w:rPr>
        <w:t>If the trading plan grants discretion to a stockbroker or other person with respect to the execution of trades under the trading plan:</w:t>
      </w:r>
    </w:p>
    <w:p>
      <w:pPr>
        <w:spacing w:after="0" w:line="144" w:lineRule="exact"/>
        <w:rPr>
          <w:rFonts w:ascii="Arial" w:cs="Arial" w:eastAsia="Arial" w:hAnsi="Arial"/>
          <w:sz w:val="23"/>
          <w:szCs w:val="23"/>
          <w:b w:val="1"/>
          <w:bCs w:val="1"/>
          <w:color w:val="231F20"/>
        </w:rPr>
      </w:pPr>
    </w:p>
    <w:p>
      <w:pPr>
        <w:jc w:val="both"/>
        <w:ind w:left="1880" w:right="480" w:hanging="342"/>
        <w:spacing w:after="0" w:line="249" w:lineRule="auto"/>
        <w:tabs>
          <w:tab w:leader="none" w:pos="1880" w:val="left"/>
        </w:tabs>
        <w:numPr>
          <w:ilvl w:val="1"/>
          <w:numId w:val="62"/>
        </w:numPr>
        <w:rPr>
          <w:rFonts w:ascii="PMingLiU" w:cs="PMingLiU" w:eastAsia="PMingLiU" w:hAnsi="PMingLiU"/>
          <w:sz w:val="22"/>
          <w:szCs w:val="22"/>
          <w:b w:val="1"/>
          <w:bCs w:val="1"/>
          <w:color w:val="231F20"/>
        </w:rPr>
      </w:pPr>
      <w:r>
        <w:rPr>
          <w:rFonts w:ascii="Arial" w:cs="Arial" w:eastAsia="Arial" w:hAnsi="Arial"/>
          <w:sz w:val="22"/>
          <w:szCs w:val="22"/>
          <w:b w:val="1"/>
          <w:bCs w:val="1"/>
          <w:color w:val="231F20"/>
        </w:rPr>
        <w:t>trades made under the trading plan must be executed by someone other than the stockbroker or other person that executes trades in other securities for the person adopting the trading plan;</w:t>
      </w:r>
    </w:p>
    <w:p>
      <w:pPr>
        <w:spacing w:after="0" w:line="134" w:lineRule="exact"/>
        <w:rPr>
          <w:rFonts w:ascii="PMingLiU" w:cs="PMingLiU" w:eastAsia="PMingLiU" w:hAnsi="PMingLiU"/>
          <w:sz w:val="22"/>
          <w:szCs w:val="22"/>
          <w:b w:val="1"/>
          <w:bCs w:val="1"/>
          <w:color w:val="231F20"/>
        </w:rPr>
      </w:pPr>
    </w:p>
    <w:p>
      <w:pPr>
        <w:jc w:val="both"/>
        <w:ind w:left="1880" w:right="480" w:hanging="342"/>
        <w:spacing w:after="0" w:line="322" w:lineRule="auto"/>
        <w:tabs>
          <w:tab w:leader="none" w:pos="1880" w:val="left"/>
        </w:tabs>
        <w:numPr>
          <w:ilvl w:val="1"/>
          <w:numId w:val="62"/>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the person adopting the trading plan may not confer with the person administering the trading plan regarding the Company or its securities; and</w:t>
      </w:r>
    </w:p>
    <w:p>
      <w:pPr>
        <w:spacing w:after="0" w:line="65" w:lineRule="exact"/>
        <w:rPr>
          <w:rFonts w:ascii="PMingLiU" w:cs="PMingLiU" w:eastAsia="PMingLiU" w:hAnsi="PMingLiU"/>
          <w:sz w:val="19"/>
          <w:szCs w:val="19"/>
          <w:b w:val="1"/>
          <w:bCs w:val="1"/>
          <w:color w:val="231F20"/>
        </w:rPr>
      </w:pPr>
    </w:p>
    <w:p>
      <w:pPr>
        <w:ind w:left="1880" w:right="480" w:hanging="342"/>
        <w:spacing w:after="0" w:line="296" w:lineRule="auto"/>
        <w:tabs>
          <w:tab w:leader="none" w:pos="1880" w:val="left"/>
        </w:tabs>
        <w:numPr>
          <w:ilvl w:val="1"/>
          <w:numId w:val="62"/>
        </w:numPr>
        <w:rPr>
          <w:rFonts w:ascii="PMingLiU" w:cs="PMingLiU" w:eastAsia="PMingLiU" w:hAnsi="PMingLiU"/>
          <w:sz w:val="20"/>
          <w:szCs w:val="20"/>
          <w:b w:val="1"/>
          <w:bCs w:val="1"/>
          <w:color w:val="231F20"/>
        </w:rPr>
      </w:pPr>
      <w:r>
        <w:rPr>
          <w:rFonts w:ascii="Arial" w:cs="Arial" w:eastAsia="Arial" w:hAnsi="Arial"/>
          <w:sz w:val="20"/>
          <w:szCs w:val="20"/>
          <w:b w:val="1"/>
          <w:bCs w:val="1"/>
          <w:color w:val="231F20"/>
        </w:rPr>
        <w:t>the person administering the trading plan must provide prompt notice to the Company of the execution of a transaction pursuant to the plan.</w:t>
      </w:r>
    </w:p>
    <w:p>
      <w:pPr>
        <w:spacing w:after="0" w:line="70" w:lineRule="exact"/>
        <w:rPr>
          <w:rFonts w:ascii="PMingLiU" w:cs="PMingLiU" w:eastAsia="PMingLiU" w:hAnsi="PMingLiU"/>
          <w:sz w:val="20"/>
          <w:szCs w:val="20"/>
          <w:b w:val="1"/>
          <w:bCs w:val="1"/>
          <w:color w:val="231F20"/>
        </w:rPr>
      </w:pPr>
    </w:p>
    <w:p>
      <w:pPr>
        <w:ind w:left="1180" w:hanging="340"/>
        <w:spacing w:after="0"/>
        <w:tabs>
          <w:tab w:leader="none" w:pos="1180" w:val="left"/>
        </w:tabs>
        <w:numPr>
          <w:ilvl w:val="0"/>
          <w:numId w:val="62"/>
        </w:numPr>
        <w:rPr>
          <w:rFonts w:ascii="Arial" w:cs="Arial" w:eastAsia="Arial" w:hAnsi="Arial"/>
          <w:sz w:val="19"/>
          <w:szCs w:val="19"/>
          <w:b w:val="1"/>
          <w:bCs w:val="1"/>
          <w:color w:val="231F20"/>
        </w:rPr>
      </w:pPr>
      <w:r>
        <w:rPr>
          <w:rFonts w:ascii="Arial" w:cs="Arial" w:eastAsia="Arial" w:hAnsi="Arial"/>
          <w:sz w:val="19"/>
          <w:szCs w:val="19"/>
          <w:b w:val="1"/>
          <w:bCs w:val="1"/>
          <w:color w:val="231F20"/>
        </w:rPr>
        <w:t>All transactions under the trading plan must be in accordance with applicable law.</w:t>
      </w:r>
    </w:p>
    <w:p>
      <w:pPr>
        <w:spacing w:after="0" w:line="165" w:lineRule="exact"/>
        <w:rPr>
          <w:rFonts w:ascii="Arial" w:cs="Arial" w:eastAsia="Arial" w:hAnsi="Arial"/>
          <w:sz w:val="19"/>
          <w:szCs w:val="19"/>
          <w:b w:val="1"/>
          <w:bCs w:val="1"/>
          <w:color w:val="231F20"/>
        </w:rPr>
      </w:pPr>
    </w:p>
    <w:p>
      <w:pPr>
        <w:ind w:left="1180" w:right="480" w:hanging="340"/>
        <w:spacing w:after="0" w:line="237" w:lineRule="auto"/>
        <w:tabs>
          <w:tab w:leader="none" w:pos="1179" w:val="left"/>
        </w:tabs>
        <w:numPr>
          <w:ilvl w:val="0"/>
          <w:numId w:val="62"/>
        </w:numPr>
        <w:rPr>
          <w:rFonts w:ascii="Arial" w:cs="Arial" w:eastAsia="Arial" w:hAnsi="Arial"/>
          <w:sz w:val="23"/>
          <w:szCs w:val="23"/>
          <w:b w:val="1"/>
          <w:bCs w:val="1"/>
          <w:color w:val="231F20"/>
        </w:rPr>
      </w:pPr>
      <w:r>
        <w:rPr>
          <w:rFonts w:ascii="Arial" w:cs="Arial" w:eastAsia="Arial" w:hAnsi="Arial"/>
          <w:sz w:val="23"/>
          <w:szCs w:val="23"/>
          <w:b w:val="1"/>
          <w:bCs w:val="1"/>
          <w:color w:val="231F20"/>
        </w:rPr>
        <w:t>The trading plan (including any Modification) must meet such other requirements as the Compliance Officer may determine.</w:t>
      </w:r>
    </w:p>
    <w:p>
      <w:pPr>
        <w:sectPr>
          <w:pgSz w:w="12240" w:h="15840" w:orient="portrait"/>
          <w:cols w:equalWidth="0" w:num="1">
            <w:col w:w="9360"/>
          </w:cols>
          <w:pgMar w:left="1440" w:top="1440" w:right="1440" w:bottom="3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-22-</w:t>
      </w:r>
    </w:p>
    <w:p>
      <w:pPr>
        <w:sectPr>
          <w:pgSz w:w="12240" w:h="15840" w:orient="portrait"/>
          <w:cols w:equalWidth="0" w:num="1">
            <w:col w:w="9360"/>
          </w:cols>
          <w:pgMar w:left="1440" w:top="1440" w:right="1440" w:bottom="377" w:gutter="0" w:footer="0" w:header="0"/>
          <w:type w:val="continuous"/>
        </w:sectPr>
      </w:pPr>
    </w:p>
    <w:bookmarkStart w:id="194" w:name="page195"/>
    <w:bookmarkEnd w:id="194"/>
    <w:p>
      <w:pPr>
        <w:spacing w:after="0" w:line="205" w:lineRule="exact"/>
        <w:rPr>
          <w:sz w:val="20"/>
          <w:szCs w:val="20"/>
          <w:color w:val="auto"/>
        </w:rPr>
      </w:pPr>
    </w:p>
    <w:p>
      <w:pPr>
        <w:jc w:val="both"/>
        <w:ind w:left="480" w:right="480" w:hanging="338"/>
        <w:spacing w:after="0" w:line="266" w:lineRule="exact"/>
        <w:tabs>
          <w:tab w:leader="none" w:pos="481" w:val="left"/>
        </w:tabs>
        <w:numPr>
          <w:ilvl w:val="0"/>
          <w:numId w:val="63"/>
        </w:numPr>
        <w:rPr>
          <w:rFonts w:ascii="Arial" w:cs="Arial" w:eastAsia="Arial" w:hAnsi="Arial"/>
          <w:sz w:val="22"/>
          <w:szCs w:val="22"/>
          <w:b w:val="1"/>
          <w:bCs w:val="1"/>
          <w:color w:val="231F20"/>
        </w:rPr>
      </w:pPr>
      <w:r>
        <w:rPr>
          <w:rFonts w:ascii="Arial" w:cs="Arial" w:eastAsia="Arial" w:hAnsi="Arial"/>
          <w:sz w:val="22"/>
          <w:szCs w:val="22"/>
          <w:b w:val="1"/>
          <w:bCs w:val="1"/>
          <w:color w:val="231F20"/>
        </w:rPr>
        <w:t xml:space="preserve">Any trading plans adopted or modified prior to February 27, 2023 (the </w:t>
      </w:r>
      <w:r>
        <w:rPr>
          <w:rFonts w:ascii="PMingLiU" w:cs="PMingLiU" w:eastAsia="PMingLiU" w:hAnsi="PMingLiU"/>
          <w:sz w:val="22"/>
          <w:szCs w:val="22"/>
          <w:b w:val="1"/>
          <w:bCs w:val="1"/>
          <w:color w:val="231F20"/>
        </w:rPr>
        <w:t></w:t>
      </w:r>
      <w:r>
        <w:rPr>
          <w:rFonts w:ascii="Arial" w:cs="Arial" w:eastAsia="Arial" w:hAnsi="Arial"/>
          <w:sz w:val="22"/>
          <w:szCs w:val="22"/>
          <w:b w:val="1"/>
          <w:bCs w:val="1"/>
          <w:color w:val="231F20"/>
        </w:rPr>
        <w:t>Effective Date</w:t>
      </w:r>
      <w:r>
        <w:rPr>
          <w:rFonts w:ascii="PMingLiU" w:cs="PMingLiU" w:eastAsia="PMingLiU" w:hAnsi="PMingLiU"/>
          <w:sz w:val="22"/>
          <w:szCs w:val="22"/>
          <w:b w:val="1"/>
          <w:bCs w:val="1"/>
          <w:color w:val="231F20"/>
        </w:rPr>
        <w:t></w:t>
      </w:r>
      <w:r>
        <w:rPr>
          <w:rFonts w:ascii="Arial" w:cs="Arial" w:eastAsia="Arial" w:hAnsi="Arial"/>
          <w:sz w:val="22"/>
          <w:szCs w:val="22"/>
          <w:b w:val="1"/>
          <w:bCs w:val="1"/>
          <w:color w:val="231F20"/>
        </w:rPr>
        <w:t>) are permitted to continue in place until all trades are executed thereunder or they expire by their terms (</w:t>
      </w:r>
      <w:r>
        <w:rPr>
          <w:rFonts w:ascii="PMingLiU" w:cs="PMingLiU" w:eastAsia="PMingLiU" w:hAnsi="PMingLiU"/>
          <w:sz w:val="22"/>
          <w:szCs w:val="22"/>
          <w:b w:val="1"/>
          <w:bCs w:val="1"/>
          <w:color w:val="231F20"/>
        </w:rPr>
        <w:t></w:t>
      </w:r>
      <w:r>
        <w:rPr>
          <w:rFonts w:ascii="Arial" w:cs="Arial" w:eastAsia="Arial" w:hAnsi="Arial"/>
          <w:sz w:val="22"/>
          <w:szCs w:val="22"/>
          <w:b w:val="1"/>
          <w:bCs w:val="1"/>
          <w:color w:val="231F20"/>
        </w:rPr>
        <w:t>Pre-effective Plans</w:t>
      </w:r>
      <w:r>
        <w:rPr>
          <w:rFonts w:ascii="PMingLiU" w:cs="PMingLiU" w:eastAsia="PMingLiU" w:hAnsi="PMingLiU"/>
          <w:sz w:val="22"/>
          <w:szCs w:val="22"/>
          <w:b w:val="1"/>
          <w:bCs w:val="1"/>
          <w:color w:val="231F20"/>
        </w:rPr>
        <w:t></w:t>
      </w:r>
      <w:r>
        <w:rPr>
          <w:rFonts w:ascii="Arial" w:cs="Arial" w:eastAsia="Arial" w:hAnsi="Arial"/>
          <w:sz w:val="22"/>
          <w:szCs w:val="22"/>
          <w:b w:val="1"/>
          <w:bCs w:val="1"/>
          <w:color w:val="231F20"/>
        </w:rPr>
        <w:t>). If the person undertakes a Modification of a Pre-effective Plan on or after the Effective Date, then the Modification must meet all of the requirements set forth herein.</w:t>
      </w:r>
    </w:p>
    <w:p>
      <w:pPr>
        <w:sectPr>
          <w:pgSz w:w="12240" w:h="15840" w:orient="portrait"/>
          <w:cols w:equalWidth="0" w:num="1">
            <w:col w:w="9360"/>
          </w:cols>
          <w:pgMar w:left="1440" w:top="1440" w:right="1440" w:bottom="3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-23-</w:t>
      </w:r>
    </w:p>
    <w:p>
      <w:pPr>
        <w:sectPr>
          <w:pgSz w:w="12240" w:h="15840" w:orient="portrait"/>
          <w:cols w:equalWidth="0" w:num="1">
            <w:col w:w="9360"/>
          </w:cols>
          <w:pgMar w:left="1440" w:top="1440" w:right="1440" w:bottom="377" w:gutter="0" w:footer="0" w:header="0"/>
          <w:type w:val="continuous"/>
        </w:sectPr>
      </w:pPr>
    </w:p>
    <w:bookmarkStart w:id="195" w:name="page196"/>
    <w:bookmarkEnd w:id="195"/>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23"/>
          <w:szCs w:val="23"/>
          <w:b w:val="1"/>
          <w:bCs w:val="1"/>
          <w:u w:val="single" w:color="auto"/>
          <w:color w:val="231F20"/>
        </w:rPr>
        <w:t>SCHEDULE III</w:t>
      </w: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23"/>
          <w:szCs w:val="23"/>
          <w:b w:val="1"/>
          <w:bCs w:val="1"/>
          <w:color w:val="231F20"/>
        </w:rPr>
        <w:t>ALX ONCOLOGY HOLDINGS INC.</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23"/>
          <w:szCs w:val="23"/>
          <w:b w:val="1"/>
          <w:bCs w:val="1"/>
          <w:color w:val="231F20"/>
        </w:rPr>
        <w:t>GUIDELINES FOR PREPARING TRADING PLANS</w:t>
      </w:r>
    </w:p>
    <w:p>
      <w:pPr>
        <w:spacing w:after="0" w:line="244" w:lineRule="exact"/>
        <w:rPr>
          <w:sz w:val="20"/>
          <w:szCs w:val="20"/>
          <w:color w:val="auto"/>
        </w:rPr>
      </w:pPr>
    </w:p>
    <w:p>
      <w:pPr>
        <w:jc w:val="both"/>
        <w:ind w:left="480" w:right="480" w:firstLine="698"/>
        <w:spacing w:after="0" w:line="273" w:lineRule="auto"/>
        <w:rPr>
          <w:sz w:val="20"/>
          <w:szCs w:val="20"/>
          <w:color w:val="auto"/>
        </w:rPr>
      </w:pPr>
      <w:r>
        <w:rPr>
          <w:rFonts w:ascii="Arial" w:cs="Arial" w:eastAsia="Arial" w:hAnsi="Arial"/>
          <w:sz w:val="21"/>
          <w:szCs w:val="21"/>
          <w:b w:val="1"/>
          <w:bCs w:val="1"/>
          <w:color w:val="231F20"/>
        </w:rPr>
        <w:t>Please consider the following important guidelines in connection with preparing a trading plan. These guidelines should not serve as a substitute for obtaining professional advice and assistance in connection with preparing a plan.</w:t>
      </w:r>
    </w:p>
    <w:p>
      <w:pPr>
        <w:spacing w:after="0" w:line="203"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231F20"/>
        </w:rPr>
        <w:t>Learn the rules applicable to trading plans</w:t>
      </w:r>
    </w:p>
    <w:p>
      <w:pPr>
        <w:spacing w:after="0" w:line="244" w:lineRule="exact"/>
        <w:rPr>
          <w:sz w:val="20"/>
          <w:szCs w:val="20"/>
          <w:color w:val="auto"/>
        </w:rPr>
      </w:pPr>
    </w:p>
    <w:p>
      <w:pPr>
        <w:jc w:val="both"/>
        <w:ind w:left="480" w:right="480" w:firstLine="698"/>
        <w:spacing w:after="0" w:line="298" w:lineRule="auto"/>
        <w:rPr>
          <w:sz w:val="20"/>
          <w:szCs w:val="20"/>
          <w:color w:val="auto"/>
        </w:rPr>
      </w:pPr>
      <w:r>
        <w:rPr>
          <w:rFonts w:ascii="Arial" w:cs="Arial" w:eastAsia="Arial" w:hAnsi="Arial"/>
          <w:sz w:val="19"/>
          <w:szCs w:val="19"/>
          <w:b w:val="1"/>
          <w:bCs w:val="1"/>
          <w:color w:val="231F20"/>
        </w:rPr>
        <w:t>The SEC has enacted rules that provide an affirmative defense against alleged violations of U.S. federal insider trading laws for transactions pursuant to trading plans that meet certain requirements. In general, these rules, as set forth in Rule 10b5-1 under the Exchange Act, provide for an affirmative defense if you enter into a contract, provide instructions or adopt a written plan for trading securities when you are not aware of material nonpublic information. The contract, instructions or plan must (i) specify the amount, price and date of the transaction(s), (ii) specify an objective method for determining the amount, price and date of the transaction(s) and/or (iii) place any subsequent discretion for determining the amount, price and date of the transaction(s) in another person who is not, at the time of any transaction, aware of material nonpublic information.</w:t>
      </w:r>
    </w:p>
    <w:p>
      <w:pPr>
        <w:spacing w:after="0" w:line="196" w:lineRule="exact"/>
        <w:rPr>
          <w:sz w:val="20"/>
          <w:szCs w:val="20"/>
          <w:color w:val="auto"/>
        </w:rPr>
      </w:pPr>
    </w:p>
    <w:p>
      <w:pPr>
        <w:jc w:val="both"/>
        <w:ind w:left="480" w:right="480" w:firstLine="698"/>
        <w:spacing w:after="0" w:line="255" w:lineRule="auto"/>
        <w:rPr>
          <w:sz w:val="20"/>
          <w:szCs w:val="20"/>
          <w:color w:val="auto"/>
        </w:rPr>
      </w:pPr>
      <w:r>
        <w:rPr>
          <w:rFonts w:ascii="Arial" w:cs="Arial" w:eastAsia="Arial" w:hAnsi="Arial"/>
          <w:sz w:val="22"/>
          <w:szCs w:val="22"/>
          <w:b w:val="1"/>
          <w:bCs w:val="1"/>
          <w:color w:val="231F20"/>
        </w:rPr>
        <w:t>The discussion above provides only a summary of the relevant rules. You are responsible for understanding the rules applicable to trading plans and ensuring that your trading plan complies with the requirements of Rule 10b5-1.</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231F20"/>
        </w:rPr>
        <w:t>Hire legal and other advisors to assist in preparing the plan</w:t>
      </w:r>
    </w:p>
    <w:p>
      <w:pPr>
        <w:spacing w:after="0" w:line="242" w:lineRule="exact"/>
        <w:rPr>
          <w:sz w:val="20"/>
          <w:szCs w:val="20"/>
          <w:color w:val="auto"/>
        </w:rPr>
      </w:pPr>
    </w:p>
    <w:p>
      <w:pPr>
        <w:jc w:val="both"/>
        <w:ind w:left="480" w:right="480" w:firstLine="698"/>
        <w:spacing w:after="0" w:line="316" w:lineRule="auto"/>
        <w:rPr>
          <w:sz w:val="20"/>
          <w:szCs w:val="20"/>
          <w:color w:val="auto"/>
        </w:rPr>
      </w:pPr>
      <w:r>
        <w:rPr>
          <w:rFonts w:ascii="Arial" w:cs="Arial" w:eastAsia="Arial" w:hAnsi="Arial"/>
          <w:sz w:val="19"/>
          <w:szCs w:val="19"/>
          <w:b w:val="1"/>
          <w:bCs w:val="1"/>
          <w:color w:val="231F20"/>
        </w:rPr>
        <w:t>You should hire your own advisors, including your own legal counsel, in connection with adopting a trading plan. Neither the company nor its legal counsel assumes responsibility for determining whether your trading plan complies with Rule 10b5-1.</w:t>
      </w:r>
    </w:p>
    <w:p>
      <w:pPr>
        <w:spacing w:after="0" w:line="167"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231F20"/>
        </w:rPr>
        <w:t>Assess whether a trading plan is suitable for you</w:t>
      </w:r>
    </w:p>
    <w:p>
      <w:pPr>
        <w:spacing w:after="0" w:line="244" w:lineRule="exact"/>
        <w:rPr>
          <w:sz w:val="20"/>
          <w:szCs w:val="20"/>
          <w:color w:val="auto"/>
        </w:rPr>
      </w:pPr>
    </w:p>
    <w:p>
      <w:pPr>
        <w:jc w:val="both"/>
        <w:ind w:left="480" w:right="480" w:firstLine="698"/>
        <w:spacing w:after="0" w:line="280" w:lineRule="auto"/>
        <w:rPr>
          <w:sz w:val="20"/>
          <w:szCs w:val="20"/>
          <w:color w:val="auto"/>
        </w:rPr>
      </w:pPr>
      <w:r>
        <w:rPr>
          <w:rFonts w:ascii="Arial" w:cs="Arial" w:eastAsia="Arial" w:hAnsi="Arial"/>
          <w:sz w:val="21"/>
          <w:szCs w:val="21"/>
          <w:b w:val="1"/>
          <w:bCs w:val="1"/>
          <w:color w:val="231F20"/>
        </w:rPr>
        <w:t>Trading plans may not be appropriate for many people. You should therefore carefully consider whether it is advisable for you to adopt a trading plan.</w:t>
      </w:r>
    </w:p>
    <w:p>
      <w:pPr>
        <w:spacing w:after="0" w:line="198" w:lineRule="exact"/>
        <w:rPr>
          <w:sz w:val="20"/>
          <w:szCs w:val="20"/>
          <w:color w:val="auto"/>
        </w:rPr>
      </w:pPr>
    </w:p>
    <w:p>
      <w:pPr>
        <w:ind w:left="840"/>
        <w:spacing w:after="0"/>
        <w:rPr>
          <w:sz w:val="20"/>
          <w:szCs w:val="20"/>
          <w:color w:val="auto"/>
        </w:rPr>
      </w:pPr>
      <w:r>
        <w:rPr>
          <w:rFonts w:ascii="Arial" w:cs="Arial" w:eastAsia="Arial" w:hAnsi="Arial"/>
          <w:sz w:val="23"/>
          <w:szCs w:val="23"/>
          <w:b w:val="1"/>
          <w:bCs w:val="1"/>
          <w:color w:val="231F20"/>
        </w:rPr>
        <w:t>There are several potential benefits to adopting a trading plan:</w:t>
      </w:r>
    </w:p>
    <w:p>
      <w:pPr>
        <w:spacing w:after="0" w:line="143" w:lineRule="exact"/>
        <w:rPr>
          <w:sz w:val="20"/>
          <w:szCs w:val="20"/>
          <w:color w:val="auto"/>
        </w:rPr>
      </w:pPr>
    </w:p>
    <w:p>
      <w:pPr>
        <w:jc w:val="both"/>
        <w:ind w:left="1540" w:right="480" w:hanging="352"/>
        <w:spacing w:after="0" w:line="266" w:lineRule="exact"/>
        <w:tabs>
          <w:tab w:leader="none" w:pos="1540" w:val="left"/>
        </w:tabs>
        <w:numPr>
          <w:ilvl w:val="0"/>
          <w:numId w:val="64"/>
        </w:numPr>
        <w:rPr>
          <w:rFonts w:ascii="PMingLiU" w:cs="PMingLiU" w:eastAsia="PMingLiU" w:hAnsi="PMingLiU"/>
          <w:sz w:val="22"/>
          <w:szCs w:val="22"/>
          <w:b w:val="1"/>
          <w:bCs w:val="1"/>
          <w:color w:val="231F20"/>
        </w:rPr>
      </w:pPr>
      <w:r>
        <w:rPr>
          <w:rFonts w:ascii="Arial" w:cs="Arial" w:eastAsia="Arial" w:hAnsi="Arial"/>
          <w:sz w:val="22"/>
          <w:szCs w:val="22"/>
          <w:b w:val="1"/>
          <w:bCs w:val="1"/>
          <w:color w:val="231F20"/>
        </w:rPr>
        <w:t>Affirmative defense to insider trading actions by the SEC. Trading plans enable insiders to obtain liquidity and portfolio diversification while limiting exposure to insider trading liability. Trades pursuant to a compliant trading plan are subject to an affirmative defense in actions by the SEC. Trading pursuant to trading plans may also help to limit the company</w:t>
      </w:r>
      <w:r>
        <w:rPr>
          <w:rFonts w:ascii="PMingLiU" w:cs="PMingLiU" w:eastAsia="PMingLiU" w:hAnsi="PMingLiU"/>
          <w:sz w:val="22"/>
          <w:szCs w:val="22"/>
          <w:b w:val="1"/>
          <w:bCs w:val="1"/>
          <w:color w:val="231F20"/>
        </w:rPr>
        <w:t></w:t>
      </w:r>
      <w:r>
        <w:rPr>
          <w:rFonts w:ascii="Arial" w:cs="Arial" w:eastAsia="Arial" w:hAnsi="Arial"/>
          <w:sz w:val="22"/>
          <w:szCs w:val="22"/>
          <w:b w:val="1"/>
          <w:bCs w:val="1"/>
          <w:color w:val="231F20"/>
        </w:rPr>
        <w:t>s exposure to liability under securities laws.</w:t>
      </w:r>
    </w:p>
    <w:p>
      <w:pPr>
        <w:spacing w:after="0" w:line="147" w:lineRule="exact"/>
        <w:rPr>
          <w:rFonts w:ascii="PMingLiU" w:cs="PMingLiU" w:eastAsia="PMingLiU" w:hAnsi="PMingLiU"/>
          <w:sz w:val="22"/>
          <w:szCs w:val="22"/>
          <w:b w:val="1"/>
          <w:bCs w:val="1"/>
          <w:color w:val="231F20"/>
        </w:rPr>
      </w:pPr>
    </w:p>
    <w:p>
      <w:pPr>
        <w:jc w:val="both"/>
        <w:ind w:left="1540" w:right="480" w:hanging="352"/>
        <w:spacing w:after="0" w:line="264" w:lineRule="exact"/>
        <w:tabs>
          <w:tab w:leader="none" w:pos="1540" w:val="left"/>
        </w:tabs>
        <w:numPr>
          <w:ilvl w:val="0"/>
          <w:numId w:val="64"/>
        </w:numPr>
        <w:rPr>
          <w:rFonts w:ascii="PMingLiU" w:cs="PMingLiU" w:eastAsia="PMingLiU" w:hAnsi="PMingLiU"/>
          <w:sz w:val="22"/>
          <w:szCs w:val="22"/>
          <w:b w:val="1"/>
          <w:bCs w:val="1"/>
          <w:color w:val="231F20"/>
        </w:rPr>
      </w:pPr>
      <w:r>
        <w:rPr>
          <w:rFonts w:ascii="Arial" w:cs="Arial" w:eastAsia="Arial" w:hAnsi="Arial"/>
          <w:sz w:val="22"/>
          <w:szCs w:val="22"/>
          <w:b w:val="1"/>
          <w:bCs w:val="1"/>
          <w:color w:val="231F20"/>
        </w:rPr>
        <w:t>More trading opportunities. Trades under a company-approved Rule 10b5-1 trading plan are not subject to the blackout restrictions and pre-clearance requirements in the company</w:t>
      </w:r>
      <w:r>
        <w:rPr>
          <w:rFonts w:ascii="PMingLiU" w:cs="PMingLiU" w:eastAsia="PMingLiU" w:hAnsi="PMingLiU"/>
          <w:sz w:val="22"/>
          <w:szCs w:val="22"/>
          <w:b w:val="1"/>
          <w:bCs w:val="1"/>
          <w:color w:val="231F20"/>
        </w:rPr>
        <w:t></w:t>
      </w:r>
      <w:r>
        <w:rPr>
          <w:rFonts w:ascii="Arial" w:cs="Arial" w:eastAsia="Arial" w:hAnsi="Arial"/>
          <w:sz w:val="22"/>
          <w:szCs w:val="22"/>
          <w:b w:val="1"/>
          <w:bCs w:val="1"/>
          <w:color w:val="231F20"/>
        </w:rPr>
        <w:t>s insider trading policy.</w:t>
      </w:r>
    </w:p>
    <w:p>
      <w:pPr>
        <w:sectPr>
          <w:pgSz w:w="12240" w:h="15840" w:orient="portrait"/>
          <w:cols w:equalWidth="0" w:num="1">
            <w:col w:w="9360"/>
          </w:cols>
          <w:pgMar w:left="1440" w:top="1440" w:right="1440" w:bottom="377"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-24-</w:t>
      </w:r>
    </w:p>
    <w:p>
      <w:pPr>
        <w:sectPr>
          <w:pgSz w:w="12240" w:h="15840" w:orient="portrait"/>
          <w:cols w:equalWidth="0" w:num="1">
            <w:col w:w="9360"/>
          </w:cols>
          <w:pgMar w:left="1440" w:top="1440" w:right="1440" w:bottom="377" w:gutter="0" w:footer="0" w:header="0"/>
          <w:type w:val="continuous"/>
        </w:sectPr>
      </w:pPr>
    </w:p>
    <w:bookmarkStart w:id="196" w:name="page197"/>
    <w:bookmarkEnd w:id="196"/>
    <w:p>
      <w:pPr>
        <w:spacing w:after="0" w:line="222" w:lineRule="exact"/>
        <w:rPr>
          <w:sz w:val="20"/>
          <w:szCs w:val="20"/>
          <w:color w:val="auto"/>
        </w:rPr>
      </w:pPr>
    </w:p>
    <w:p>
      <w:pPr>
        <w:jc w:val="both"/>
        <w:ind w:left="1540" w:right="480" w:hanging="352"/>
        <w:spacing w:after="0" w:line="267" w:lineRule="exact"/>
        <w:tabs>
          <w:tab w:leader="none" w:pos="1540" w:val="left"/>
        </w:tabs>
        <w:numPr>
          <w:ilvl w:val="0"/>
          <w:numId w:val="65"/>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Reduced adverse perceptions. Sales pursuant to a trading plan may be better received by investors and the media. Open market sales by corporate insiders may attract unwanted attention due to the perception of many investors that such sales may reflect a lack of confidence in the company. These trades may come under even more scrutiny if they are concentrated during the relatively brief trading windows mandated by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insider trading policy. With appropriate disclosure, trading pursuant to a plan may help to limit the perception that the trades were based on undisclosed information. Moreover, since trades under company-approved trading plans are not subject to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trading blackout periods, trading plans may enable insiders to make smaller, periodic trades, which may attract less public attention.</w:t>
      </w:r>
    </w:p>
    <w:p>
      <w:pPr>
        <w:spacing w:after="0" w:line="150" w:lineRule="exact"/>
        <w:rPr>
          <w:rFonts w:ascii="PMingLiU" w:cs="PMingLiU" w:eastAsia="PMingLiU" w:hAnsi="PMingLiU"/>
          <w:sz w:val="19"/>
          <w:szCs w:val="19"/>
          <w:b w:val="1"/>
          <w:bCs w:val="1"/>
          <w:color w:val="231F20"/>
        </w:rPr>
      </w:pPr>
    </w:p>
    <w:p>
      <w:pPr>
        <w:jc w:val="both"/>
        <w:ind w:left="1540" w:right="480" w:hanging="352"/>
        <w:spacing w:after="0" w:line="249" w:lineRule="auto"/>
        <w:tabs>
          <w:tab w:leader="none" w:pos="1540" w:val="left"/>
        </w:tabs>
        <w:numPr>
          <w:ilvl w:val="0"/>
          <w:numId w:val="65"/>
        </w:numPr>
        <w:rPr>
          <w:rFonts w:ascii="PMingLiU" w:cs="PMingLiU" w:eastAsia="PMingLiU" w:hAnsi="PMingLiU"/>
          <w:sz w:val="22"/>
          <w:szCs w:val="22"/>
          <w:b w:val="1"/>
          <w:bCs w:val="1"/>
          <w:color w:val="231F20"/>
        </w:rPr>
      </w:pPr>
      <w:r>
        <w:rPr>
          <w:rFonts w:ascii="Arial" w:cs="Arial" w:eastAsia="Arial" w:hAnsi="Arial"/>
          <w:sz w:val="22"/>
          <w:szCs w:val="22"/>
          <w:b w:val="1"/>
          <w:bCs w:val="1"/>
          <w:color w:val="231F20"/>
        </w:rPr>
        <w:t>Administrative benefits. Use of a plan may enable you to reduce the time spent on executing trades (including obtaining any required pre-clearance of trades) and managing your portfolio of company stock.</w:t>
      </w:r>
    </w:p>
    <w:p>
      <w:pPr>
        <w:spacing w:after="0" w:line="235" w:lineRule="exact"/>
        <w:rPr>
          <w:sz w:val="20"/>
          <w:szCs w:val="20"/>
          <w:color w:val="auto"/>
        </w:rPr>
      </w:pPr>
    </w:p>
    <w:p>
      <w:pPr>
        <w:ind w:left="480" w:right="480" w:firstLine="698"/>
        <w:spacing w:after="0" w:line="237" w:lineRule="auto"/>
        <w:rPr>
          <w:sz w:val="20"/>
          <w:szCs w:val="20"/>
          <w:color w:val="auto"/>
        </w:rPr>
      </w:pPr>
      <w:r>
        <w:rPr>
          <w:rFonts w:ascii="Arial" w:cs="Arial" w:eastAsia="Arial" w:hAnsi="Arial"/>
          <w:sz w:val="23"/>
          <w:szCs w:val="23"/>
          <w:b w:val="1"/>
          <w:bCs w:val="1"/>
          <w:color w:val="231F20"/>
        </w:rPr>
        <w:t>Before adopting a trading plan, however, you should assess the risks and limitations of trading plans, including the following:</w:t>
      </w:r>
    </w:p>
    <w:p>
      <w:pPr>
        <w:spacing w:after="0" w:line="145" w:lineRule="exact"/>
        <w:rPr>
          <w:sz w:val="20"/>
          <w:szCs w:val="20"/>
          <w:color w:val="auto"/>
        </w:rPr>
      </w:pPr>
    </w:p>
    <w:p>
      <w:pPr>
        <w:jc w:val="both"/>
        <w:ind w:left="1540" w:right="480" w:hanging="352"/>
        <w:spacing w:after="0" w:line="280" w:lineRule="auto"/>
        <w:tabs>
          <w:tab w:leader="none" w:pos="1540" w:val="left"/>
        </w:tabs>
        <w:numPr>
          <w:ilvl w:val="0"/>
          <w:numId w:val="66"/>
        </w:numPr>
        <w:rPr>
          <w:rFonts w:ascii="PMingLiU" w:cs="PMingLiU" w:eastAsia="PMingLiU" w:hAnsi="PMingLiU"/>
          <w:sz w:val="20"/>
          <w:szCs w:val="20"/>
          <w:b w:val="1"/>
          <w:bCs w:val="1"/>
          <w:color w:val="231F20"/>
        </w:rPr>
      </w:pPr>
      <w:r>
        <w:rPr>
          <w:rFonts w:ascii="Arial" w:cs="Arial" w:eastAsia="Arial" w:hAnsi="Arial"/>
          <w:sz w:val="20"/>
          <w:szCs w:val="20"/>
          <w:b w:val="1"/>
          <w:bCs w:val="1"/>
          <w:color w:val="231F20"/>
        </w:rPr>
        <w:t>Reduced flexibility. Use of a trading plan requires you to plan your trades and finances in advance. The company requires that, during the duration of a plan, all trades be conducted through the plan. Sales outside of a plan are not subject to the affirmative defense, and may create a presumption that other sales under the plan were not made pursuant to a bona fide plan. Careful advanced planning is also critical because deviation from or cancellation of an established trading plan (e.g., to account for changes in market condition or personal finances) may jeopardize the availability of the affirmative defense. Plans are therefore advisable for only those individuals who are able to bear significant risk on their stock.</w:t>
      </w:r>
    </w:p>
    <w:p>
      <w:pPr>
        <w:spacing w:after="0" w:line="112" w:lineRule="exact"/>
        <w:rPr>
          <w:rFonts w:ascii="PMingLiU" w:cs="PMingLiU" w:eastAsia="PMingLiU" w:hAnsi="PMingLiU"/>
          <w:sz w:val="20"/>
          <w:szCs w:val="20"/>
          <w:b w:val="1"/>
          <w:bCs w:val="1"/>
          <w:color w:val="231F20"/>
        </w:rPr>
      </w:pPr>
    </w:p>
    <w:p>
      <w:pPr>
        <w:jc w:val="both"/>
        <w:ind w:left="1540" w:right="480" w:hanging="352"/>
        <w:spacing w:after="0" w:line="235" w:lineRule="auto"/>
        <w:tabs>
          <w:tab w:leader="none" w:pos="1540" w:val="left"/>
        </w:tabs>
        <w:numPr>
          <w:ilvl w:val="0"/>
          <w:numId w:val="66"/>
        </w:numPr>
        <w:rPr>
          <w:rFonts w:ascii="PMingLiU" w:cs="PMingLiU" w:eastAsia="PMingLiU" w:hAnsi="PMingLiU"/>
          <w:sz w:val="23"/>
          <w:szCs w:val="23"/>
          <w:b w:val="1"/>
          <w:bCs w:val="1"/>
          <w:color w:val="231F20"/>
        </w:rPr>
      </w:pPr>
      <w:r>
        <w:rPr>
          <w:rFonts w:ascii="Arial" w:cs="Arial" w:eastAsia="Arial" w:hAnsi="Arial"/>
          <w:sz w:val="23"/>
          <w:szCs w:val="23"/>
          <w:b w:val="1"/>
          <w:bCs w:val="1"/>
          <w:color w:val="231F20"/>
        </w:rPr>
        <w:t>Exposure to private claims. Rule 10b5-1 provides an affirmative defense to federal insider trading liability, but does not apply to private securities class action lawsuits.</w:t>
      </w:r>
    </w:p>
    <w:p>
      <w:pPr>
        <w:spacing w:after="0" w:line="145" w:lineRule="exact"/>
        <w:rPr>
          <w:rFonts w:ascii="PMingLiU" w:cs="PMingLiU" w:eastAsia="PMingLiU" w:hAnsi="PMingLiU"/>
          <w:sz w:val="23"/>
          <w:szCs w:val="23"/>
          <w:b w:val="1"/>
          <w:bCs w:val="1"/>
          <w:color w:val="231F20"/>
        </w:rPr>
      </w:pPr>
    </w:p>
    <w:p>
      <w:pPr>
        <w:jc w:val="both"/>
        <w:ind w:left="1540" w:right="480" w:hanging="352"/>
        <w:spacing w:after="0" w:line="238" w:lineRule="auto"/>
        <w:tabs>
          <w:tab w:leader="none" w:pos="1540" w:val="left"/>
        </w:tabs>
        <w:numPr>
          <w:ilvl w:val="0"/>
          <w:numId w:val="66"/>
        </w:numPr>
        <w:rPr>
          <w:rFonts w:ascii="PMingLiU" w:cs="PMingLiU" w:eastAsia="PMingLiU" w:hAnsi="PMingLiU"/>
          <w:sz w:val="23"/>
          <w:szCs w:val="23"/>
          <w:b w:val="1"/>
          <w:bCs w:val="1"/>
          <w:color w:val="231F20"/>
        </w:rPr>
      </w:pPr>
      <w:r>
        <w:rPr>
          <w:rFonts w:ascii="Arial" w:cs="Arial" w:eastAsia="Arial" w:hAnsi="Arial"/>
          <w:sz w:val="23"/>
          <w:szCs w:val="23"/>
          <w:b w:val="1"/>
          <w:bCs w:val="1"/>
          <w:color w:val="231F20"/>
        </w:rPr>
        <w:t>Affirmative defense must be proved. An insider that trades based on a trading plan will have the burden of proving that the trading plan satisfies the requirements set forth in Rule 10b5-1. Moreover, a trading plan will not necessarily prevent someone from bringing a lawsuit and will not necessarily avoid adverse media coverage.</w:t>
      </w:r>
    </w:p>
    <w:p>
      <w:pPr>
        <w:spacing w:after="0" w:line="145" w:lineRule="exact"/>
        <w:rPr>
          <w:rFonts w:ascii="PMingLiU" w:cs="PMingLiU" w:eastAsia="PMingLiU" w:hAnsi="PMingLiU"/>
          <w:sz w:val="23"/>
          <w:szCs w:val="23"/>
          <w:b w:val="1"/>
          <w:bCs w:val="1"/>
          <w:color w:val="231F20"/>
        </w:rPr>
      </w:pPr>
    </w:p>
    <w:p>
      <w:pPr>
        <w:jc w:val="both"/>
        <w:ind w:left="1540" w:right="480" w:hanging="352"/>
        <w:spacing w:after="0" w:line="235" w:lineRule="auto"/>
        <w:tabs>
          <w:tab w:leader="none" w:pos="1540" w:val="left"/>
        </w:tabs>
        <w:numPr>
          <w:ilvl w:val="0"/>
          <w:numId w:val="66"/>
        </w:numPr>
        <w:rPr>
          <w:rFonts w:ascii="PMingLiU" w:cs="PMingLiU" w:eastAsia="PMingLiU" w:hAnsi="PMingLiU"/>
          <w:sz w:val="23"/>
          <w:szCs w:val="23"/>
          <w:b w:val="1"/>
          <w:bCs w:val="1"/>
          <w:color w:val="231F20"/>
        </w:rPr>
      </w:pPr>
      <w:r>
        <w:rPr>
          <w:rFonts w:ascii="Arial" w:cs="Arial" w:eastAsia="Arial" w:hAnsi="Arial"/>
          <w:sz w:val="23"/>
          <w:szCs w:val="23"/>
          <w:b w:val="1"/>
          <w:bCs w:val="1"/>
          <w:color w:val="231F20"/>
        </w:rPr>
        <w:t>Time required to prepare a plan. The preparation of a trading plan requires careful attention to ensure compliance with Rule 10b5-1 and any company-imposed requirements.</w:t>
      </w:r>
    </w:p>
    <w:p>
      <w:pPr>
        <w:sectPr>
          <w:pgSz w:w="12240" w:h="15840" w:orient="portrait"/>
          <w:cols w:equalWidth="0" w:num="1">
            <w:col w:w="9360"/>
          </w:cols>
          <w:pgMar w:left="1440" w:top="1440" w:right="1440" w:bottom="3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-25-</w:t>
      </w:r>
    </w:p>
    <w:p>
      <w:pPr>
        <w:sectPr>
          <w:pgSz w:w="12240" w:h="15840" w:orient="portrait"/>
          <w:cols w:equalWidth="0" w:num="1">
            <w:col w:w="9360"/>
          </w:cols>
          <w:pgMar w:left="1440" w:top="1440" w:right="1440" w:bottom="377" w:gutter="0" w:footer="0" w:header="0"/>
          <w:type w:val="continuous"/>
        </w:sectPr>
      </w:pPr>
    </w:p>
    <w:bookmarkStart w:id="197" w:name="page198"/>
    <w:bookmarkEnd w:id="197"/>
    <w:p>
      <w:pPr>
        <w:spacing w:after="0" w:line="222" w:lineRule="exact"/>
        <w:rPr>
          <w:sz w:val="20"/>
          <w:szCs w:val="20"/>
          <w:color w:val="auto"/>
        </w:rPr>
      </w:pPr>
    </w:p>
    <w:p>
      <w:pPr>
        <w:jc w:val="both"/>
        <w:ind w:left="1540" w:right="480" w:hanging="352"/>
        <w:spacing w:after="0" w:line="235" w:lineRule="auto"/>
        <w:tabs>
          <w:tab w:leader="none" w:pos="1540" w:val="left"/>
        </w:tabs>
        <w:numPr>
          <w:ilvl w:val="0"/>
          <w:numId w:val="67"/>
        </w:numPr>
        <w:rPr>
          <w:rFonts w:ascii="PMingLiU" w:cs="PMingLiU" w:eastAsia="PMingLiU" w:hAnsi="PMingLiU"/>
          <w:sz w:val="23"/>
          <w:szCs w:val="23"/>
          <w:b w:val="1"/>
          <w:bCs w:val="1"/>
          <w:color w:val="231F20"/>
        </w:rPr>
      </w:pPr>
      <w:r>
        <w:rPr>
          <w:rFonts w:ascii="Arial" w:cs="Arial" w:eastAsia="Arial" w:hAnsi="Arial"/>
          <w:sz w:val="23"/>
          <w:szCs w:val="23"/>
          <w:b w:val="1"/>
          <w:bCs w:val="1"/>
          <w:color w:val="231F20"/>
        </w:rPr>
        <w:t>SEC concerns over potential abuse of trading plans. The SEC may give trading plans a skeptical reading given concerns over the potential abuse of trading plans by insiders.</w:t>
      </w:r>
    </w:p>
    <w:p>
      <w:pPr>
        <w:spacing w:after="0" w:line="236"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231F20"/>
        </w:rPr>
        <w:t>Allocate sufficient time to prepare a plan</w:t>
      </w:r>
    </w:p>
    <w:p>
      <w:pPr>
        <w:spacing w:after="0" w:line="244" w:lineRule="exact"/>
        <w:rPr>
          <w:sz w:val="20"/>
          <w:szCs w:val="20"/>
          <w:color w:val="auto"/>
        </w:rPr>
      </w:pPr>
    </w:p>
    <w:p>
      <w:pPr>
        <w:ind w:left="480" w:right="480" w:firstLine="698"/>
        <w:spacing w:after="0" w:line="237" w:lineRule="auto"/>
        <w:rPr>
          <w:sz w:val="20"/>
          <w:szCs w:val="20"/>
          <w:color w:val="auto"/>
        </w:rPr>
      </w:pPr>
      <w:r>
        <w:rPr>
          <w:rFonts w:ascii="Arial" w:cs="Arial" w:eastAsia="Arial" w:hAnsi="Arial"/>
          <w:sz w:val="23"/>
          <w:szCs w:val="23"/>
          <w:b w:val="1"/>
          <w:bCs w:val="1"/>
          <w:color w:val="231F20"/>
        </w:rPr>
        <w:t>The process of preparing a plan and the related documentation may take some time, and you should plan accordingly.</w:t>
      </w:r>
    </w:p>
    <w:p>
      <w:pPr>
        <w:spacing w:after="0" w:line="239"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231F20"/>
        </w:rPr>
        <w:t>Ensure that the trading plan complies with all applicable law</w:t>
      </w:r>
    </w:p>
    <w:p>
      <w:pPr>
        <w:spacing w:after="0" w:line="242" w:lineRule="exact"/>
        <w:rPr>
          <w:sz w:val="20"/>
          <w:szCs w:val="20"/>
          <w:color w:val="auto"/>
        </w:rPr>
      </w:pPr>
    </w:p>
    <w:p>
      <w:pPr>
        <w:ind w:left="480" w:right="480" w:firstLine="698"/>
        <w:spacing w:after="0" w:line="259" w:lineRule="auto"/>
        <w:rPr>
          <w:sz w:val="20"/>
          <w:szCs w:val="20"/>
          <w:color w:val="auto"/>
        </w:rPr>
      </w:pPr>
      <w:r>
        <w:rPr>
          <w:rFonts w:ascii="Arial" w:cs="Arial" w:eastAsia="Arial" w:hAnsi="Arial"/>
          <w:sz w:val="22"/>
          <w:szCs w:val="22"/>
          <w:b w:val="1"/>
          <w:bCs w:val="1"/>
          <w:color w:val="231F20"/>
        </w:rPr>
        <w:t>In preparing a plan, your primary objective should be to ensure that all elements of the Rule 10b5-1 trading plan defense are adequately addressed.</w:t>
      </w:r>
    </w:p>
    <w:p>
      <w:pPr>
        <w:spacing w:after="0" w:line="222" w:lineRule="exact"/>
        <w:rPr>
          <w:sz w:val="20"/>
          <w:szCs w:val="20"/>
          <w:color w:val="auto"/>
        </w:rPr>
      </w:pPr>
    </w:p>
    <w:p>
      <w:pPr>
        <w:ind w:left="1180"/>
        <w:spacing w:after="0"/>
        <w:rPr>
          <w:sz w:val="20"/>
          <w:szCs w:val="20"/>
          <w:color w:val="auto"/>
        </w:rPr>
      </w:pPr>
      <w:r>
        <w:rPr>
          <w:rFonts w:ascii="Arial" w:cs="Arial" w:eastAsia="Arial" w:hAnsi="Arial"/>
          <w:sz w:val="20"/>
          <w:szCs w:val="20"/>
          <w:b w:val="1"/>
          <w:bCs w:val="1"/>
          <w:color w:val="231F20"/>
        </w:rPr>
        <w:t>You should also be sure that the trading plan complies with other applicable law.</w:t>
      </w:r>
    </w:p>
    <w:p>
      <w:pPr>
        <w:spacing w:after="0" w:line="32"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231F20"/>
        </w:rPr>
        <w:t>For example:</w:t>
      </w:r>
    </w:p>
    <w:p>
      <w:pPr>
        <w:spacing w:after="0" w:line="143" w:lineRule="exact"/>
        <w:rPr>
          <w:sz w:val="20"/>
          <w:szCs w:val="20"/>
          <w:color w:val="auto"/>
        </w:rPr>
      </w:pPr>
    </w:p>
    <w:p>
      <w:pPr>
        <w:ind w:left="1540" w:right="480" w:hanging="352"/>
        <w:spacing w:after="0" w:line="231" w:lineRule="auto"/>
        <w:tabs>
          <w:tab w:leader="none" w:pos="1540" w:val="left"/>
        </w:tabs>
        <w:numPr>
          <w:ilvl w:val="0"/>
          <w:numId w:val="68"/>
        </w:numPr>
        <w:rPr>
          <w:rFonts w:ascii="PMingLiU" w:cs="PMingLiU" w:eastAsia="PMingLiU" w:hAnsi="PMingLiU"/>
          <w:sz w:val="23"/>
          <w:szCs w:val="23"/>
          <w:b w:val="1"/>
          <w:bCs w:val="1"/>
          <w:color w:val="231F20"/>
        </w:rPr>
      </w:pPr>
      <w:r>
        <w:rPr>
          <w:rFonts w:ascii="Arial" w:cs="Arial" w:eastAsia="Arial" w:hAnsi="Arial"/>
          <w:sz w:val="23"/>
          <w:szCs w:val="23"/>
          <w:b w:val="1"/>
          <w:bCs w:val="1"/>
          <w:color w:val="231F20"/>
        </w:rPr>
        <w:t>You should consider any Rule 144 volume limitations when devising trading instructions or formulas.</w:t>
      </w:r>
    </w:p>
    <w:p>
      <w:pPr>
        <w:spacing w:after="0" w:line="144" w:lineRule="exact"/>
        <w:rPr>
          <w:rFonts w:ascii="PMingLiU" w:cs="PMingLiU" w:eastAsia="PMingLiU" w:hAnsi="PMingLiU"/>
          <w:sz w:val="23"/>
          <w:szCs w:val="23"/>
          <w:b w:val="1"/>
          <w:bCs w:val="1"/>
          <w:color w:val="231F20"/>
        </w:rPr>
      </w:pPr>
    </w:p>
    <w:p>
      <w:pPr>
        <w:ind w:left="1540" w:right="480" w:hanging="352"/>
        <w:spacing w:after="0" w:line="246" w:lineRule="auto"/>
        <w:tabs>
          <w:tab w:leader="none" w:pos="1540" w:val="left"/>
        </w:tabs>
        <w:numPr>
          <w:ilvl w:val="0"/>
          <w:numId w:val="68"/>
        </w:numPr>
        <w:rPr>
          <w:rFonts w:ascii="PMingLiU" w:cs="PMingLiU" w:eastAsia="PMingLiU" w:hAnsi="PMingLiU"/>
          <w:sz w:val="22"/>
          <w:szCs w:val="22"/>
          <w:b w:val="1"/>
          <w:bCs w:val="1"/>
          <w:color w:val="231F20"/>
        </w:rPr>
      </w:pPr>
      <w:r>
        <w:rPr>
          <w:rFonts w:ascii="Arial" w:cs="Arial" w:eastAsia="Arial" w:hAnsi="Arial"/>
          <w:sz w:val="22"/>
          <w:szCs w:val="22"/>
          <w:b w:val="1"/>
          <w:bCs w:val="1"/>
          <w:color w:val="231F20"/>
        </w:rPr>
        <w:t>You should consider any burdens created by Rule 144 and Section 16 filing requirements when devising trading instructions or formulas.</w:t>
      </w:r>
    </w:p>
    <w:p>
      <w:pPr>
        <w:spacing w:after="0" w:line="137" w:lineRule="exact"/>
        <w:rPr>
          <w:rFonts w:ascii="PMingLiU" w:cs="PMingLiU" w:eastAsia="PMingLiU" w:hAnsi="PMingLiU"/>
          <w:sz w:val="22"/>
          <w:szCs w:val="22"/>
          <w:b w:val="1"/>
          <w:bCs w:val="1"/>
          <w:color w:val="231F20"/>
        </w:rPr>
      </w:pPr>
    </w:p>
    <w:p>
      <w:pPr>
        <w:ind w:left="1540" w:right="480" w:hanging="352"/>
        <w:spacing w:after="0" w:line="263" w:lineRule="exact"/>
        <w:tabs>
          <w:tab w:leader="none" w:pos="1540" w:val="left"/>
        </w:tabs>
        <w:numPr>
          <w:ilvl w:val="0"/>
          <w:numId w:val="68"/>
        </w:numPr>
        <w:rPr>
          <w:rFonts w:ascii="PMingLiU" w:cs="PMingLiU" w:eastAsia="PMingLiU" w:hAnsi="PMingLiU"/>
          <w:sz w:val="23"/>
          <w:szCs w:val="23"/>
          <w:b w:val="1"/>
          <w:bCs w:val="1"/>
          <w:color w:val="231F20"/>
        </w:rPr>
      </w:pPr>
      <w:r>
        <w:rPr>
          <w:rFonts w:ascii="Arial" w:cs="Arial" w:eastAsia="Arial" w:hAnsi="Arial"/>
          <w:sz w:val="23"/>
          <w:szCs w:val="23"/>
          <w:b w:val="1"/>
          <w:bCs w:val="1"/>
          <w:color w:val="231F20"/>
        </w:rPr>
        <w:t xml:space="preserve">In developing trading instructions or formulas, you should account for potential </w:t>
      </w:r>
      <w:r>
        <w:rPr>
          <w:rFonts w:ascii="PMingLiU" w:cs="PMingLiU" w:eastAsia="PMingLiU" w:hAnsi="PMingLiU"/>
          <w:sz w:val="23"/>
          <w:szCs w:val="23"/>
          <w:b w:val="1"/>
          <w:bCs w:val="1"/>
          <w:color w:val="231F20"/>
        </w:rPr>
        <w:t></w:t>
      </w:r>
      <w:r>
        <w:rPr>
          <w:rFonts w:ascii="Arial" w:cs="Arial" w:eastAsia="Arial" w:hAnsi="Arial"/>
          <w:sz w:val="23"/>
          <w:szCs w:val="23"/>
          <w:b w:val="1"/>
          <w:bCs w:val="1"/>
          <w:color w:val="231F20"/>
        </w:rPr>
        <w:t>short-swing</w:t>
      </w:r>
      <w:r>
        <w:rPr>
          <w:rFonts w:ascii="PMingLiU" w:cs="PMingLiU" w:eastAsia="PMingLiU" w:hAnsi="PMingLiU"/>
          <w:sz w:val="23"/>
          <w:szCs w:val="23"/>
          <w:b w:val="1"/>
          <w:bCs w:val="1"/>
          <w:color w:val="231F20"/>
        </w:rPr>
        <w:t></w:t>
      </w:r>
      <w:r>
        <w:rPr>
          <w:rFonts w:ascii="Arial" w:cs="Arial" w:eastAsia="Arial" w:hAnsi="Arial"/>
          <w:sz w:val="23"/>
          <w:szCs w:val="23"/>
          <w:b w:val="1"/>
          <w:bCs w:val="1"/>
          <w:color w:val="231F20"/>
        </w:rPr>
        <w:t xml:space="preserve"> trading liability under Section 16(b).</w:t>
      </w:r>
    </w:p>
    <w:p>
      <w:pPr>
        <w:spacing w:after="0" w:line="236"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231F20"/>
        </w:rPr>
        <w:t>Ensure that the trading plan complies with company-imposed requirements</w:t>
      </w:r>
    </w:p>
    <w:p>
      <w:pPr>
        <w:spacing w:after="0" w:line="244" w:lineRule="exact"/>
        <w:rPr>
          <w:sz w:val="20"/>
          <w:szCs w:val="20"/>
          <w:color w:val="auto"/>
        </w:rPr>
      </w:pPr>
    </w:p>
    <w:p>
      <w:pPr>
        <w:jc w:val="both"/>
        <w:ind w:left="480" w:right="480" w:firstLine="698"/>
        <w:spacing w:after="0" w:line="293" w:lineRule="auto"/>
        <w:rPr>
          <w:sz w:val="20"/>
          <w:szCs w:val="20"/>
          <w:color w:val="auto"/>
        </w:rPr>
      </w:pPr>
      <w:r>
        <w:rPr>
          <w:rFonts w:ascii="Arial" w:cs="Arial" w:eastAsia="Arial" w:hAnsi="Arial"/>
          <w:sz w:val="20"/>
          <w:szCs w:val="20"/>
          <w:b w:val="1"/>
          <w:bCs w:val="1"/>
          <w:color w:val="231F20"/>
        </w:rPr>
        <w:t>You should ensure that the trading plan complies with any company-imposed requirements, which may be in addition to the requirements under Rule 10b5-1. Please contact a Compliance Officer under the insider trading policy for further information.</w:t>
      </w:r>
    </w:p>
    <w:p>
      <w:pPr>
        <w:spacing w:after="0" w:line="185"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231F20"/>
        </w:rPr>
        <w:t>Develop trading instructions</w:t>
      </w:r>
    </w:p>
    <w:p>
      <w:pPr>
        <w:spacing w:after="0" w:line="244" w:lineRule="exact"/>
        <w:rPr>
          <w:sz w:val="20"/>
          <w:szCs w:val="20"/>
          <w:color w:val="auto"/>
        </w:rPr>
      </w:pPr>
    </w:p>
    <w:p>
      <w:pPr>
        <w:jc w:val="both"/>
        <w:ind w:left="480" w:right="480" w:firstLine="698"/>
        <w:spacing w:after="0" w:line="237" w:lineRule="auto"/>
        <w:rPr>
          <w:sz w:val="20"/>
          <w:szCs w:val="20"/>
          <w:color w:val="auto"/>
        </w:rPr>
      </w:pPr>
      <w:r>
        <w:rPr>
          <w:rFonts w:ascii="Arial" w:cs="Arial" w:eastAsia="Arial" w:hAnsi="Arial"/>
          <w:sz w:val="23"/>
          <w:szCs w:val="23"/>
          <w:b w:val="1"/>
          <w:bCs w:val="1"/>
          <w:color w:val="231F20"/>
        </w:rPr>
        <w:t>Rule 10b5-1 allows significant flexibility in designing trading instructions or formulas. For example, you can:</w:t>
      </w:r>
    </w:p>
    <w:p>
      <w:pPr>
        <w:spacing w:after="0" w:line="145" w:lineRule="exact"/>
        <w:rPr>
          <w:sz w:val="20"/>
          <w:szCs w:val="20"/>
          <w:color w:val="auto"/>
        </w:rPr>
      </w:pPr>
    </w:p>
    <w:p>
      <w:pPr>
        <w:ind w:left="1540" w:hanging="352"/>
        <w:spacing w:after="0"/>
        <w:tabs>
          <w:tab w:leader="none" w:pos="1540" w:val="left"/>
        </w:tabs>
        <w:numPr>
          <w:ilvl w:val="0"/>
          <w:numId w:val="69"/>
        </w:numPr>
        <w:rPr>
          <w:rFonts w:ascii="PMingLiU" w:cs="PMingLiU" w:eastAsia="PMingLiU" w:hAnsi="PMingLiU"/>
          <w:sz w:val="21"/>
          <w:szCs w:val="21"/>
          <w:b w:val="1"/>
          <w:bCs w:val="1"/>
          <w:color w:val="231F20"/>
        </w:rPr>
      </w:pPr>
      <w:r>
        <w:rPr>
          <w:rFonts w:ascii="Arial" w:cs="Arial" w:eastAsia="Arial" w:hAnsi="Arial"/>
          <w:sz w:val="21"/>
          <w:szCs w:val="21"/>
          <w:b w:val="1"/>
          <w:bCs w:val="1"/>
          <w:color w:val="231F20"/>
        </w:rPr>
        <w:t>construct a matrix with different sale amounts at different price targets;</w:t>
      </w:r>
    </w:p>
    <w:p>
      <w:pPr>
        <w:spacing w:after="0" w:line="146" w:lineRule="exact"/>
        <w:rPr>
          <w:rFonts w:ascii="PMingLiU" w:cs="PMingLiU" w:eastAsia="PMingLiU" w:hAnsi="PMingLiU"/>
          <w:sz w:val="21"/>
          <w:szCs w:val="21"/>
          <w:b w:val="1"/>
          <w:bCs w:val="1"/>
          <w:color w:val="231F20"/>
        </w:rPr>
      </w:pPr>
    </w:p>
    <w:p>
      <w:pPr>
        <w:jc w:val="both"/>
        <w:ind w:left="1540" w:right="480" w:hanging="352"/>
        <w:spacing w:after="0" w:line="263" w:lineRule="exact"/>
        <w:tabs>
          <w:tab w:leader="none" w:pos="1540" w:val="left"/>
        </w:tabs>
        <w:numPr>
          <w:ilvl w:val="0"/>
          <w:numId w:val="69"/>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base trading decisions on the performance of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stock against various market or industry indices, price gaps or personal financial milestones;</w:t>
      </w:r>
    </w:p>
    <w:p>
      <w:pPr>
        <w:spacing w:after="0" w:line="144" w:lineRule="exact"/>
        <w:rPr>
          <w:rFonts w:ascii="PMingLiU" w:cs="PMingLiU" w:eastAsia="PMingLiU" w:hAnsi="PMingLiU"/>
          <w:sz w:val="19"/>
          <w:szCs w:val="19"/>
          <w:b w:val="1"/>
          <w:bCs w:val="1"/>
          <w:color w:val="231F20"/>
        </w:rPr>
      </w:pPr>
    </w:p>
    <w:p>
      <w:pPr>
        <w:ind w:left="1540" w:right="480" w:hanging="352"/>
        <w:spacing w:after="0" w:line="231" w:lineRule="auto"/>
        <w:tabs>
          <w:tab w:leader="none" w:pos="1540" w:val="left"/>
        </w:tabs>
        <w:numPr>
          <w:ilvl w:val="0"/>
          <w:numId w:val="69"/>
        </w:numPr>
        <w:rPr>
          <w:rFonts w:ascii="PMingLiU" w:cs="PMingLiU" w:eastAsia="PMingLiU" w:hAnsi="PMingLiU"/>
          <w:sz w:val="23"/>
          <w:szCs w:val="23"/>
          <w:b w:val="1"/>
          <w:bCs w:val="1"/>
          <w:color w:val="231F20"/>
        </w:rPr>
      </w:pPr>
      <w:r>
        <w:rPr>
          <w:rFonts w:ascii="Arial" w:cs="Arial" w:eastAsia="Arial" w:hAnsi="Arial"/>
          <w:sz w:val="23"/>
          <w:szCs w:val="23"/>
          <w:b w:val="1"/>
          <w:bCs w:val="1"/>
          <w:color w:val="231F20"/>
        </w:rPr>
        <w:t>tie transactions to independent events, such as the timing of tuition or mortgage payments or other financial obligations;</w:t>
      </w:r>
    </w:p>
    <w:p>
      <w:pPr>
        <w:spacing w:after="0" w:line="144" w:lineRule="exact"/>
        <w:rPr>
          <w:rFonts w:ascii="PMingLiU" w:cs="PMingLiU" w:eastAsia="PMingLiU" w:hAnsi="PMingLiU"/>
          <w:sz w:val="23"/>
          <w:szCs w:val="23"/>
          <w:b w:val="1"/>
          <w:bCs w:val="1"/>
          <w:color w:val="231F20"/>
        </w:rPr>
      </w:pPr>
    </w:p>
    <w:p>
      <w:pPr>
        <w:ind w:left="1540" w:right="480" w:hanging="352"/>
        <w:spacing w:after="0" w:line="325" w:lineRule="auto"/>
        <w:tabs>
          <w:tab w:leader="none" w:pos="1540" w:val="left"/>
        </w:tabs>
        <w:numPr>
          <w:ilvl w:val="0"/>
          <w:numId w:val="69"/>
        </w:numPr>
        <w:rPr>
          <w:rFonts w:ascii="PMingLiU" w:cs="PMingLiU" w:eastAsia="PMingLiU" w:hAnsi="PMingLiU"/>
          <w:sz w:val="19"/>
          <w:szCs w:val="19"/>
          <w:b w:val="1"/>
          <w:bCs w:val="1"/>
          <w:color w:val="231F20"/>
        </w:rPr>
      </w:pPr>
      <w:r>
        <w:rPr>
          <w:rFonts w:ascii="Arial" w:cs="Arial" w:eastAsia="Arial" w:hAnsi="Arial"/>
          <w:sz w:val="19"/>
          <w:szCs w:val="19"/>
          <w:b w:val="1"/>
          <w:bCs w:val="1"/>
          <w:color w:val="231F20"/>
        </w:rPr>
        <w:t>prioritize the sale (or exercise and sale) of particular securities based on factors such as tax treatment, tax basis, expiration dates and exercise prices; and</w:t>
      </w:r>
    </w:p>
    <w:p>
      <w:pPr>
        <w:spacing w:after="0" w:line="40" w:lineRule="exact"/>
        <w:rPr>
          <w:rFonts w:ascii="PMingLiU" w:cs="PMingLiU" w:eastAsia="PMingLiU" w:hAnsi="PMingLiU"/>
          <w:sz w:val="19"/>
          <w:szCs w:val="19"/>
          <w:b w:val="1"/>
          <w:bCs w:val="1"/>
          <w:color w:val="231F20"/>
        </w:rPr>
      </w:pPr>
    </w:p>
    <w:p>
      <w:pPr>
        <w:ind w:left="1540" w:hanging="352"/>
        <w:spacing w:after="0"/>
        <w:tabs>
          <w:tab w:leader="none" w:pos="1540" w:val="left"/>
        </w:tabs>
        <w:numPr>
          <w:ilvl w:val="0"/>
          <w:numId w:val="69"/>
        </w:numPr>
        <w:rPr>
          <w:rFonts w:ascii="PMingLiU" w:cs="PMingLiU" w:eastAsia="PMingLiU" w:hAnsi="PMingLiU"/>
          <w:sz w:val="23"/>
          <w:szCs w:val="23"/>
          <w:b w:val="1"/>
          <w:bCs w:val="1"/>
          <w:color w:val="231F20"/>
        </w:rPr>
      </w:pPr>
      <w:r>
        <w:rPr>
          <w:rFonts w:ascii="Arial" w:cs="Arial" w:eastAsia="Arial" w:hAnsi="Arial"/>
          <w:sz w:val="23"/>
          <w:szCs w:val="23"/>
          <w:b w:val="1"/>
          <w:bCs w:val="1"/>
          <w:color w:val="231F20"/>
        </w:rPr>
        <w:t>establish a trading plan for a single transaction.</w:t>
      </w:r>
    </w:p>
    <w:p>
      <w:pPr>
        <w:spacing w:after="0" w:line="242" w:lineRule="exact"/>
        <w:rPr>
          <w:sz w:val="20"/>
          <w:szCs w:val="20"/>
          <w:color w:val="auto"/>
        </w:rPr>
      </w:pPr>
    </w:p>
    <w:p>
      <w:pPr>
        <w:ind w:left="480" w:right="480" w:firstLine="698"/>
        <w:spacing w:after="0" w:line="338" w:lineRule="auto"/>
        <w:rPr>
          <w:sz w:val="20"/>
          <w:szCs w:val="20"/>
          <w:color w:val="auto"/>
        </w:rPr>
      </w:pPr>
      <w:r>
        <w:rPr>
          <w:rFonts w:ascii="Arial" w:cs="Arial" w:eastAsia="Arial" w:hAnsi="Arial"/>
          <w:sz w:val="19"/>
          <w:szCs w:val="19"/>
          <w:b w:val="1"/>
          <w:bCs w:val="1"/>
          <w:color w:val="231F20"/>
        </w:rPr>
        <w:t>Various types of transactions may be structured to fit the affirmative defense under Rule 10b5-1. For example, a trading plan can cover pre-scheduled stock option exercises</w:t>
      </w:r>
    </w:p>
    <w:p>
      <w:pPr>
        <w:sectPr>
          <w:pgSz w:w="12240" w:h="15840" w:orient="portrait"/>
          <w:cols w:equalWidth="0" w:num="1">
            <w:col w:w="9360"/>
          </w:cols>
          <w:pgMar w:left="1440" w:top="1440" w:right="1440" w:bottom="377"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-26-</w:t>
      </w:r>
    </w:p>
    <w:p>
      <w:pPr>
        <w:sectPr>
          <w:pgSz w:w="12240" w:h="15840" w:orient="portrait"/>
          <w:cols w:equalWidth="0" w:num="1">
            <w:col w:w="9360"/>
          </w:cols>
          <w:pgMar w:left="1440" w:top="1440" w:right="1440" w:bottom="377" w:gutter="0" w:footer="0" w:header="0"/>
          <w:type w:val="continuous"/>
        </w:sectPr>
      </w:pPr>
    </w:p>
    <w:bookmarkStart w:id="198" w:name="page199"/>
    <w:bookmarkEnd w:id="198"/>
    <w:p>
      <w:pPr>
        <w:spacing w:after="0" w:line="205" w:lineRule="exact"/>
        <w:rPr>
          <w:sz w:val="20"/>
          <w:szCs w:val="20"/>
          <w:color w:val="auto"/>
        </w:rPr>
      </w:pPr>
    </w:p>
    <w:p>
      <w:pPr>
        <w:jc w:val="both"/>
        <w:ind w:left="480" w:right="480"/>
        <w:spacing w:after="0" w:line="254" w:lineRule="auto"/>
        <w:rPr>
          <w:sz w:val="20"/>
          <w:szCs w:val="20"/>
          <w:color w:val="auto"/>
        </w:rPr>
      </w:pPr>
      <w:r>
        <w:rPr>
          <w:rFonts w:ascii="Arial" w:cs="Arial" w:eastAsia="Arial" w:hAnsi="Arial"/>
          <w:sz w:val="22"/>
          <w:szCs w:val="22"/>
          <w:b w:val="1"/>
          <w:bCs w:val="1"/>
          <w:color w:val="231F20"/>
        </w:rPr>
        <w:t>and sales. This may be helpful in avoiding a situation where a blackout period may effectively block exercise of an in-the-money option that is about to expire because a same-day sale is necessary to fund payment of the exercise price and/or taxes. If properly structured, employee stock purchase plan transactions and 401(k) plan transactions can also qualify for the affirmative defense.</w:t>
      </w:r>
    </w:p>
    <w:p>
      <w:pPr>
        <w:spacing w:after="0" w:line="231" w:lineRule="exact"/>
        <w:rPr>
          <w:sz w:val="20"/>
          <w:szCs w:val="20"/>
          <w:color w:val="auto"/>
        </w:rPr>
      </w:pPr>
    </w:p>
    <w:p>
      <w:pPr>
        <w:jc w:val="both"/>
        <w:ind w:left="480" w:right="480" w:firstLine="698"/>
        <w:spacing w:after="0" w:line="239" w:lineRule="auto"/>
        <w:rPr>
          <w:sz w:val="20"/>
          <w:szCs w:val="20"/>
          <w:color w:val="auto"/>
        </w:rPr>
      </w:pPr>
      <w:r>
        <w:rPr>
          <w:rFonts w:ascii="Arial" w:cs="Arial" w:eastAsia="Arial" w:hAnsi="Arial"/>
          <w:sz w:val="23"/>
          <w:szCs w:val="23"/>
          <w:b w:val="1"/>
          <w:bCs w:val="1"/>
          <w:color w:val="231F20"/>
        </w:rPr>
        <w:t>You may find it helpful to discuss trading strategies with a broker or another market professional prior to adopting a trading plan, particularly if the trading plan covers large amounts of stock.</w:t>
      </w:r>
    </w:p>
    <w:p>
      <w:pPr>
        <w:spacing w:after="0" w:line="247" w:lineRule="exact"/>
        <w:rPr>
          <w:sz w:val="20"/>
          <w:szCs w:val="20"/>
          <w:color w:val="auto"/>
        </w:rPr>
      </w:pPr>
    </w:p>
    <w:p>
      <w:pPr>
        <w:jc w:val="both"/>
        <w:ind w:left="480" w:right="480" w:firstLine="698"/>
        <w:spacing w:after="0" w:line="237" w:lineRule="auto"/>
        <w:rPr>
          <w:sz w:val="20"/>
          <w:szCs w:val="20"/>
          <w:color w:val="auto"/>
        </w:rPr>
      </w:pPr>
      <w:r>
        <w:rPr>
          <w:rFonts w:ascii="Arial" w:cs="Arial" w:eastAsia="Arial" w:hAnsi="Arial"/>
          <w:sz w:val="23"/>
          <w:szCs w:val="23"/>
          <w:b w:val="1"/>
          <w:bCs w:val="1"/>
          <w:color w:val="231F20"/>
        </w:rPr>
        <w:t>You should also carefully consider the guidance below when designing trading instructions or formulas.</w:t>
      </w:r>
    </w:p>
    <w:p>
      <w:pPr>
        <w:spacing w:after="0" w:line="239"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231F20"/>
        </w:rPr>
        <w:t>Avoid unnecessarily complicated instructions</w:t>
      </w:r>
    </w:p>
    <w:p>
      <w:pPr>
        <w:spacing w:after="0" w:line="244" w:lineRule="exact"/>
        <w:rPr>
          <w:sz w:val="20"/>
          <w:szCs w:val="20"/>
          <w:color w:val="auto"/>
        </w:rPr>
      </w:pPr>
    </w:p>
    <w:p>
      <w:pPr>
        <w:jc w:val="both"/>
        <w:ind w:left="480" w:right="480" w:firstLine="698"/>
        <w:spacing w:after="0" w:line="302" w:lineRule="auto"/>
        <w:rPr>
          <w:sz w:val="20"/>
          <w:szCs w:val="20"/>
          <w:color w:val="auto"/>
        </w:rPr>
      </w:pPr>
      <w:r>
        <w:rPr>
          <w:rFonts w:ascii="Arial" w:cs="Arial" w:eastAsia="Arial" w:hAnsi="Arial"/>
          <w:sz w:val="19"/>
          <w:szCs w:val="19"/>
          <w:b w:val="1"/>
          <w:bCs w:val="1"/>
          <w:color w:val="231F20"/>
        </w:rPr>
        <w:t>You should be careful to avoid unnecessarily complicated instructions or formulas. Complicated instructions or formulas may result in mistakes in execution by the person administering the plan (e.g., due to a misunderstanding or misapplication of an instruction or formula or the failure to complete a calculation in time to exploit a market opportunity). In addition, while an elaborate trading plan may reduce the inference of insider trading in some instances, elaborate trading plans may look suspicious in other instances.</w:t>
      </w:r>
    </w:p>
    <w:p>
      <w:pPr>
        <w:spacing w:after="0" w:line="189" w:lineRule="exact"/>
        <w:rPr>
          <w:sz w:val="20"/>
          <w:szCs w:val="20"/>
          <w:color w:val="auto"/>
        </w:rPr>
      </w:pPr>
    </w:p>
    <w:p>
      <w:pPr>
        <w:jc w:val="both"/>
        <w:ind w:left="480" w:right="480" w:firstLine="698"/>
        <w:spacing w:after="0" w:line="298" w:lineRule="auto"/>
        <w:rPr>
          <w:sz w:val="20"/>
          <w:szCs w:val="20"/>
          <w:color w:val="auto"/>
        </w:rPr>
      </w:pPr>
      <w:r>
        <w:rPr>
          <w:rFonts w:ascii="Arial" w:cs="Arial" w:eastAsia="Arial" w:hAnsi="Arial"/>
          <w:sz w:val="19"/>
          <w:szCs w:val="19"/>
          <w:b w:val="1"/>
          <w:bCs w:val="1"/>
          <w:color w:val="231F20"/>
        </w:rPr>
        <w:t>In general, instructions and formulas should be carefully and explicitly drafted to avoid potential misunderstandings. You should try to provide as much detail as possible to facilitate the proper execution of the trading plan. For example, if you have shares in more than one brokerage account, the plan should specify which shares are subject to the plan. Likewise, if you possess several series of options, the plan should specify which options to exercise. It may also be helpful to include examples of different scenarios in the instructions, and/or to review the trading instructions in advance with the person administering the plan, to help ensure that you are in agreement as to how the instructions or formulas are to operate. If you plan to adopt particularly complicated instructions, you may want to consider hiring a money manager to assist in implementing your plan.</w:t>
      </w:r>
    </w:p>
    <w:p>
      <w:pPr>
        <w:spacing w:after="0" w:line="196" w:lineRule="exact"/>
        <w:rPr>
          <w:sz w:val="20"/>
          <w:szCs w:val="20"/>
          <w:color w:val="auto"/>
        </w:rPr>
      </w:pPr>
    </w:p>
    <w:p>
      <w:pPr>
        <w:ind w:left="480"/>
        <w:spacing w:after="0"/>
        <w:rPr>
          <w:sz w:val="20"/>
          <w:szCs w:val="20"/>
          <w:color w:val="auto"/>
        </w:rPr>
      </w:pPr>
      <w:r>
        <w:rPr>
          <w:rFonts w:ascii="Arial" w:cs="Arial" w:eastAsia="Arial" w:hAnsi="Arial"/>
          <w:sz w:val="21"/>
          <w:szCs w:val="21"/>
          <w:b w:val="1"/>
          <w:bCs w:val="1"/>
          <w:color w:val="231F20"/>
        </w:rPr>
        <w:t>Exercise caution when adopting plans based on specific prices, floors or ceilings</w:t>
      </w:r>
    </w:p>
    <w:p>
      <w:pPr>
        <w:spacing w:after="0" w:line="260" w:lineRule="exact"/>
        <w:rPr>
          <w:sz w:val="20"/>
          <w:szCs w:val="20"/>
          <w:color w:val="auto"/>
        </w:rPr>
      </w:pPr>
    </w:p>
    <w:p>
      <w:pPr>
        <w:jc w:val="both"/>
        <w:ind w:left="480" w:right="480" w:firstLine="698"/>
        <w:spacing w:after="0" w:line="267" w:lineRule="exact"/>
        <w:rPr>
          <w:sz w:val="20"/>
          <w:szCs w:val="20"/>
          <w:color w:val="auto"/>
        </w:rPr>
      </w:pPr>
      <w:r>
        <w:rPr>
          <w:rFonts w:ascii="Arial" w:cs="Arial" w:eastAsia="Arial" w:hAnsi="Arial"/>
          <w:sz w:val="20"/>
          <w:szCs w:val="20"/>
          <w:b w:val="1"/>
          <w:bCs w:val="1"/>
          <w:color w:val="231F20"/>
        </w:rPr>
        <w:t xml:space="preserve">Although Rule 10b5-1(c) permits plans based on </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the market price on a particular date or a limit price, or a particular dollar price</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 you should be careful when adopting plans that contain instructions that set specific prices, floors or ceilings (e.g., limit orders or stop orders). These types of plans are riskier than plans that set specific numbers of shares to be sold, since it may be inferred from price-based instructions that, for example, you had a motive to inflate stock prices or had knowledge of events that would change prices. In addition, these types of plans may produce an irregular pattern of trades instead of a more regular trading pattern (which is more defensible). You may want to give some consideration, however, to including floors to avoid sales at prices that are unacceptably low (or to avoid a subsequent modification or termination of the trading plan to avoid such sales).</w:t>
      </w:r>
    </w:p>
    <w:p>
      <w:pPr>
        <w:sectPr>
          <w:pgSz w:w="12240" w:h="15840" w:orient="portrait"/>
          <w:cols w:equalWidth="0" w:num="1">
            <w:col w:w="9360"/>
          </w:cols>
          <w:pgMar w:left="1440" w:top="1440" w:right="1440" w:bottom="3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-27-</w:t>
      </w:r>
    </w:p>
    <w:p>
      <w:pPr>
        <w:sectPr>
          <w:pgSz w:w="12240" w:h="15840" w:orient="portrait"/>
          <w:cols w:equalWidth="0" w:num="1">
            <w:col w:w="9360"/>
          </w:cols>
          <w:pgMar w:left="1440" w:top="1440" w:right="1440" w:bottom="377" w:gutter="0" w:footer="0" w:header="0"/>
          <w:type w:val="continuous"/>
        </w:sectPr>
      </w:pPr>
    </w:p>
    <w:bookmarkStart w:id="199" w:name="page200"/>
    <w:bookmarkEnd w:id="199"/>
    <w:p>
      <w:pPr>
        <w:spacing w:after="0" w:line="205" w:lineRule="exact"/>
        <w:rPr>
          <w:sz w:val="20"/>
          <w:szCs w:val="20"/>
          <w:color w:val="auto"/>
        </w:rPr>
      </w:pPr>
    </w:p>
    <w:p>
      <w:pPr>
        <w:jc w:val="both"/>
        <w:ind w:left="480" w:right="480" w:firstLine="698"/>
        <w:spacing w:after="0" w:line="283" w:lineRule="auto"/>
        <w:rPr>
          <w:sz w:val="20"/>
          <w:szCs w:val="20"/>
          <w:color w:val="auto"/>
        </w:rPr>
      </w:pPr>
      <w:r>
        <w:rPr>
          <w:rFonts w:ascii="Arial" w:cs="Arial" w:eastAsia="Arial" w:hAnsi="Arial"/>
          <w:sz w:val="20"/>
          <w:szCs w:val="20"/>
          <w:b w:val="1"/>
          <w:bCs w:val="1"/>
          <w:color w:val="231F20"/>
        </w:rPr>
        <w:t>If you intend to adopt a plan with specific prices, floors or ceilings, you should consider carefully the prices at which trades are to be executed. A plan with specific prices, floors or ceilings may result in periods of no stock sales, which may run counter to the reasons for adopting a plan (i.e., cash flow and portfolio diversification). If your price targets are high relative to then existing prices, you may want to wait on establishing a trading plan until the targets are more likely reachable. By delaying the adoption of a plan in that instance, you may be able to avoid risks associated with any subsequent modification or termination of an ineffective plan.</w:t>
      </w:r>
    </w:p>
    <w:p>
      <w:pPr>
        <w:spacing w:after="0" w:line="204" w:lineRule="exact"/>
        <w:rPr>
          <w:sz w:val="20"/>
          <w:szCs w:val="20"/>
          <w:color w:val="auto"/>
        </w:rPr>
      </w:pPr>
    </w:p>
    <w:p>
      <w:pPr>
        <w:jc w:val="both"/>
        <w:ind w:left="480" w:right="480"/>
        <w:spacing w:after="0" w:line="237" w:lineRule="auto"/>
        <w:rPr>
          <w:sz w:val="20"/>
          <w:szCs w:val="20"/>
          <w:color w:val="auto"/>
        </w:rPr>
      </w:pPr>
      <w:r>
        <w:rPr>
          <w:rFonts w:ascii="Arial" w:cs="Arial" w:eastAsia="Arial" w:hAnsi="Arial"/>
          <w:sz w:val="23"/>
          <w:szCs w:val="23"/>
          <w:b w:val="1"/>
          <w:bCs w:val="1"/>
          <w:color w:val="231F20"/>
        </w:rPr>
        <w:t>Consider the expected magnitude and timing of trades under the trading plan relative to the adoption of the plan</w:t>
      </w:r>
    </w:p>
    <w:p>
      <w:pPr>
        <w:spacing w:after="0" w:line="246" w:lineRule="exact"/>
        <w:rPr>
          <w:sz w:val="20"/>
          <w:szCs w:val="20"/>
          <w:color w:val="auto"/>
        </w:rPr>
      </w:pPr>
    </w:p>
    <w:p>
      <w:pPr>
        <w:jc w:val="both"/>
        <w:ind w:left="480" w:right="480" w:firstLine="698"/>
        <w:spacing w:after="0" w:line="289" w:lineRule="auto"/>
        <w:rPr>
          <w:sz w:val="20"/>
          <w:szCs w:val="20"/>
          <w:color w:val="auto"/>
        </w:rPr>
      </w:pPr>
      <w:r>
        <w:rPr>
          <w:rFonts w:ascii="Arial" w:cs="Arial" w:eastAsia="Arial" w:hAnsi="Arial"/>
          <w:sz w:val="20"/>
          <w:szCs w:val="20"/>
          <w:b w:val="1"/>
          <w:bCs w:val="1"/>
          <w:color w:val="231F20"/>
        </w:rPr>
        <w:t>When preparing a trading plan, you should give some consideration as to the expected timing and magnitude of trades relative to the adoption of the trading plan. Significant trading activity that occurs shortly after adoption of the plan may raise suspicion as to whether the trades were based on material nonpublic information.</w:t>
      </w:r>
    </w:p>
    <w:p>
      <w:pPr>
        <w:spacing w:after="0" w:line="196" w:lineRule="exact"/>
        <w:rPr>
          <w:sz w:val="20"/>
          <w:szCs w:val="20"/>
          <w:color w:val="auto"/>
        </w:rPr>
      </w:pPr>
    </w:p>
    <w:p>
      <w:pPr>
        <w:jc w:val="both"/>
        <w:ind w:left="480" w:right="500"/>
        <w:spacing w:after="0" w:line="238" w:lineRule="auto"/>
        <w:rPr>
          <w:sz w:val="20"/>
          <w:szCs w:val="20"/>
          <w:color w:val="auto"/>
        </w:rPr>
      </w:pPr>
      <w:r>
        <w:rPr>
          <w:rFonts w:ascii="Arial" w:cs="Arial" w:eastAsia="Arial" w:hAnsi="Arial"/>
          <w:sz w:val="23"/>
          <w:szCs w:val="23"/>
          <w:b w:val="1"/>
          <w:bCs w:val="1"/>
          <w:color w:val="231F20"/>
        </w:rPr>
        <w:t>Consider whether expected trades under the trading plan will coincide with significant future announcements or developments</w:t>
      </w:r>
    </w:p>
    <w:p>
      <w:pPr>
        <w:spacing w:after="0" w:line="243" w:lineRule="exact"/>
        <w:rPr>
          <w:sz w:val="20"/>
          <w:szCs w:val="20"/>
          <w:color w:val="auto"/>
        </w:rPr>
      </w:pPr>
    </w:p>
    <w:p>
      <w:pPr>
        <w:jc w:val="both"/>
        <w:ind w:left="480" w:right="480" w:firstLine="698"/>
        <w:spacing w:after="0" w:line="267" w:lineRule="exact"/>
        <w:rPr>
          <w:sz w:val="20"/>
          <w:szCs w:val="20"/>
          <w:color w:val="auto"/>
        </w:rPr>
      </w:pPr>
      <w:r>
        <w:rPr>
          <w:rFonts w:ascii="Arial" w:cs="Arial" w:eastAsia="Arial" w:hAnsi="Arial"/>
          <w:sz w:val="19"/>
          <w:szCs w:val="19"/>
          <w:b w:val="1"/>
          <w:bCs w:val="1"/>
          <w:color w:val="231F20"/>
        </w:rPr>
        <w:t>When preparing a trading plan, you should give some consideration as to whether trades are expected to occur during quarterly trading blackout periods established under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insider trading policy (or around the time other significant announcements or developments involving the company are expected). Even though transactions executed in accordance with a properly designed trading plan are subject to an affirmative defense against insider trading claims (and are exempt from trading blackout periods under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insider trading policy), the investing public and media may not understand the nuances of trading pursuant to a trading plan. Trades that occur at times shortly before a company announces material news may therefore result in negative publicity for you and the company. In addition, trades that occur in the same general time frame as a significant announcement may raise questions as to whether the timing of the announcement was manipulated to your benefit. If you are generally indifferent as to the specific timing of a trade, you should try to avoid having trades occur, for example, before quarterly earnings announcements. An even more conservative approach would involve avoiding trades during the month of the 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s earnings release.</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b w:val="1"/>
          <w:bCs w:val="1"/>
          <w:color w:val="231F20"/>
        </w:rPr>
        <w:t>Consider the expected magnitude and frequency of trades under the plan generally</w:t>
      </w:r>
    </w:p>
    <w:p>
      <w:pPr>
        <w:spacing w:after="0" w:line="260" w:lineRule="exact"/>
        <w:rPr>
          <w:sz w:val="20"/>
          <w:szCs w:val="20"/>
          <w:color w:val="auto"/>
        </w:rPr>
      </w:pPr>
    </w:p>
    <w:p>
      <w:pPr>
        <w:jc w:val="both"/>
        <w:ind w:left="480" w:right="480" w:firstLine="698"/>
        <w:spacing w:after="0" w:line="299" w:lineRule="auto"/>
        <w:rPr>
          <w:sz w:val="20"/>
          <w:szCs w:val="20"/>
          <w:color w:val="auto"/>
        </w:rPr>
      </w:pPr>
      <w:r>
        <w:rPr>
          <w:rFonts w:ascii="Arial" w:cs="Arial" w:eastAsia="Arial" w:hAnsi="Arial"/>
          <w:sz w:val="19"/>
          <w:szCs w:val="19"/>
          <w:b w:val="1"/>
          <w:bCs w:val="1"/>
          <w:color w:val="231F20"/>
        </w:rPr>
        <w:t>When preparing a trading plan, you should give some consideration generally to the expected magnitude and frequency of trades under the plan. Spreading out trades may decrease exposure to insider trading claims. A regular pattern of small sales helps to limit any inference that you sought to exploit material nonpublic information in developing your trading plan. A regular pattern of small sales may also help to negate any argument that the plan was not entered in good faith or that the plan was part of a scheme to evade the prohibitions of Rule 10b5-1. In contrast, occasional high-volume sales may send a negative signal to the investment community and, if any of those sales turn out to precede bad news, may attract attention from the SEC and private securities class action plaintiffs. Plans that</w:t>
      </w:r>
    </w:p>
    <w:p>
      <w:pPr>
        <w:sectPr>
          <w:pgSz w:w="12240" w:h="15840" w:orient="portrait"/>
          <w:cols w:equalWidth="0" w:num="1">
            <w:col w:w="9360"/>
          </w:cols>
          <w:pgMar w:left="1440" w:top="1440" w:right="1440" w:bottom="3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-28-</w:t>
      </w:r>
    </w:p>
    <w:p>
      <w:pPr>
        <w:sectPr>
          <w:pgSz w:w="12240" w:h="15840" w:orient="portrait"/>
          <w:cols w:equalWidth="0" w:num="1">
            <w:col w:w="9360"/>
          </w:cols>
          <w:pgMar w:left="1440" w:top="1440" w:right="1440" w:bottom="377" w:gutter="0" w:footer="0" w:header="0"/>
          <w:type w:val="continuous"/>
        </w:sectPr>
      </w:pPr>
    </w:p>
    <w:bookmarkStart w:id="200" w:name="page201"/>
    <w:bookmarkEnd w:id="200"/>
    <w:p>
      <w:pPr>
        <w:spacing w:after="0" w:line="205" w:lineRule="exact"/>
        <w:rPr>
          <w:sz w:val="20"/>
          <w:szCs w:val="20"/>
          <w:color w:val="auto"/>
        </w:rPr>
      </w:pPr>
    </w:p>
    <w:p>
      <w:pPr>
        <w:jc w:val="both"/>
        <w:ind w:left="480" w:right="480"/>
        <w:spacing w:after="0" w:line="239" w:lineRule="auto"/>
        <w:rPr>
          <w:sz w:val="20"/>
          <w:szCs w:val="20"/>
          <w:color w:val="auto"/>
        </w:rPr>
      </w:pPr>
      <w:r>
        <w:rPr>
          <w:rFonts w:ascii="Arial" w:cs="Arial" w:eastAsia="Arial" w:hAnsi="Arial"/>
          <w:sz w:val="23"/>
          <w:szCs w:val="23"/>
          <w:b w:val="1"/>
          <w:bCs w:val="1"/>
          <w:color w:val="231F20"/>
        </w:rPr>
        <w:t>involve a regular pattern of small sales may also be easier to administer. You should note, however, that frequent trades may give rise to significant Section 16 reporting obligations, to the extent applicable.</w:t>
      </w:r>
    </w:p>
    <w:p>
      <w:pPr>
        <w:spacing w:after="0" w:line="244" w:lineRule="exact"/>
        <w:rPr>
          <w:sz w:val="20"/>
          <w:szCs w:val="20"/>
          <w:color w:val="auto"/>
        </w:rPr>
      </w:pPr>
    </w:p>
    <w:p>
      <w:pPr>
        <w:jc w:val="both"/>
        <w:ind w:left="480" w:right="480" w:firstLine="698"/>
        <w:spacing w:after="0" w:line="285" w:lineRule="auto"/>
        <w:rPr>
          <w:sz w:val="20"/>
          <w:szCs w:val="20"/>
          <w:color w:val="auto"/>
        </w:rPr>
      </w:pPr>
      <w:r>
        <w:rPr>
          <w:rFonts w:ascii="Arial" w:cs="Arial" w:eastAsia="Arial" w:hAnsi="Arial"/>
          <w:sz w:val="20"/>
          <w:szCs w:val="20"/>
          <w:b w:val="1"/>
          <w:bCs w:val="1"/>
          <w:color w:val="231F20"/>
        </w:rPr>
        <w:t>You may want to limit the portion of your holdings that are subject to the trading plan to limit your overall exposure to situations where your trading instructions or formulas may not account for unexpected market changes. You may also want to cap or otherwise limit the amount of potential sales for a particular period (e.g., week, month, quarter) to decrease the risk of unintended large sales (particularly if the trading plan provides for cumulative sales in the event of shortfalls).</w:t>
      </w:r>
    </w:p>
    <w:p>
      <w:pPr>
        <w:spacing w:after="0" w:line="193"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231F20"/>
        </w:rPr>
        <w:t>Determine an appropriate duration for the trading plan</w:t>
      </w:r>
    </w:p>
    <w:p>
      <w:pPr>
        <w:spacing w:after="0" w:line="244" w:lineRule="exact"/>
        <w:rPr>
          <w:sz w:val="20"/>
          <w:szCs w:val="20"/>
          <w:color w:val="auto"/>
        </w:rPr>
      </w:pPr>
    </w:p>
    <w:p>
      <w:pPr>
        <w:jc w:val="both"/>
        <w:ind w:left="480" w:right="480" w:firstLine="698"/>
        <w:spacing w:after="0" w:line="283" w:lineRule="auto"/>
        <w:rPr>
          <w:sz w:val="20"/>
          <w:szCs w:val="20"/>
          <w:color w:val="auto"/>
        </w:rPr>
      </w:pPr>
      <w:r>
        <w:rPr>
          <w:rFonts w:ascii="Arial" w:cs="Arial" w:eastAsia="Arial" w:hAnsi="Arial"/>
          <w:sz w:val="20"/>
          <w:szCs w:val="20"/>
          <w:b w:val="1"/>
          <w:bCs w:val="1"/>
          <w:color w:val="231F20"/>
        </w:rPr>
        <w:t>Although Rule 10b5-1 does not prescribe any limits on the duration of trading plans, it is advisable to have trading plans terminate after a certain period. Requiring that trading plans have a set term will force you to re-evaluate your trading instructions periodically, and allows you to change your trading instructions (in conjunction with adopting a new plan upon the scheduled expiration of the existing plan) without raising any suspicions about the timing of those changes. It also allows you an opportunity to revert from a trading plan to normal, discretionary trading without raising questions about the timing of that switch.</w:t>
      </w:r>
    </w:p>
    <w:p>
      <w:pPr>
        <w:spacing w:after="0" w:line="204" w:lineRule="exact"/>
        <w:rPr>
          <w:sz w:val="20"/>
          <w:szCs w:val="20"/>
          <w:color w:val="auto"/>
        </w:rPr>
      </w:pPr>
    </w:p>
    <w:p>
      <w:pPr>
        <w:jc w:val="both"/>
        <w:ind w:left="480" w:right="480" w:firstLine="698"/>
        <w:spacing w:after="0" w:line="301" w:lineRule="auto"/>
        <w:rPr>
          <w:sz w:val="20"/>
          <w:szCs w:val="20"/>
          <w:color w:val="auto"/>
        </w:rPr>
      </w:pPr>
      <w:r>
        <w:rPr>
          <w:rFonts w:ascii="Arial" w:cs="Arial" w:eastAsia="Arial" w:hAnsi="Arial"/>
          <w:sz w:val="19"/>
          <w:szCs w:val="19"/>
          <w:b w:val="1"/>
          <w:bCs w:val="1"/>
          <w:color w:val="231F20"/>
        </w:rPr>
        <w:t>While it is important that you comply with company-imposed requirements as to the minimum duration for trading plans, you should also generally try to avoid adopting a plan that has an unnecessarily long duration. The longer the duration, the greater the risk that circumstances may change such that you will have an incentive to modify or terminate the plan. The modification or early termination of a plan may create an implication that prior transactions under the plan were not in fact pursuant to a bona fide plan. In addition, subsequent trading will not be considered as pursuant to the trading plan.</w:t>
      </w:r>
    </w:p>
    <w:p>
      <w:pPr>
        <w:spacing w:after="0" w:line="189" w:lineRule="exact"/>
        <w:rPr>
          <w:sz w:val="20"/>
          <w:szCs w:val="20"/>
          <w:color w:val="auto"/>
        </w:rPr>
      </w:pPr>
    </w:p>
    <w:p>
      <w:pPr>
        <w:jc w:val="both"/>
        <w:ind w:left="480" w:right="500"/>
        <w:spacing w:after="0" w:line="238" w:lineRule="auto"/>
        <w:rPr>
          <w:sz w:val="20"/>
          <w:szCs w:val="20"/>
          <w:color w:val="auto"/>
        </w:rPr>
      </w:pPr>
      <w:r>
        <w:rPr>
          <w:rFonts w:ascii="Arial" w:cs="Arial" w:eastAsia="Arial" w:hAnsi="Arial"/>
          <w:sz w:val="23"/>
          <w:szCs w:val="23"/>
          <w:b w:val="1"/>
          <w:bCs w:val="1"/>
          <w:color w:val="231F20"/>
        </w:rPr>
        <w:t>Accommodate for unexpected events that may warrant temporary suspension of trading under the plan</w:t>
      </w:r>
    </w:p>
    <w:p>
      <w:pPr>
        <w:spacing w:after="0" w:line="243" w:lineRule="exact"/>
        <w:rPr>
          <w:sz w:val="20"/>
          <w:szCs w:val="20"/>
          <w:color w:val="auto"/>
        </w:rPr>
      </w:pPr>
    </w:p>
    <w:p>
      <w:pPr>
        <w:jc w:val="both"/>
        <w:ind w:left="480" w:right="480" w:firstLine="698"/>
        <w:spacing w:after="0" w:line="308" w:lineRule="auto"/>
        <w:rPr>
          <w:sz w:val="20"/>
          <w:szCs w:val="20"/>
          <w:color w:val="auto"/>
        </w:rPr>
      </w:pPr>
      <w:r>
        <w:rPr>
          <w:rFonts w:ascii="Arial" w:cs="Arial" w:eastAsia="Arial" w:hAnsi="Arial"/>
          <w:sz w:val="19"/>
          <w:szCs w:val="19"/>
          <w:b w:val="1"/>
          <w:bCs w:val="1"/>
          <w:color w:val="231F20"/>
        </w:rPr>
        <w:t>In preparing a plan, you should make allowances for unforeseen events that may warrant automatic suspension of transactions under the plan (e.g., a proxy contest, tender offer, merger, etc.). In particular, you should note that in the context of tender offers, you may be subject to liability under Exchange Act Rule 14e-3 for transactions under a plan.</w:t>
      </w:r>
    </w:p>
    <w:p>
      <w:pPr>
        <w:spacing w:after="0" w:line="182" w:lineRule="exact"/>
        <w:rPr>
          <w:sz w:val="20"/>
          <w:szCs w:val="20"/>
          <w:color w:val="auto"/>
        </w:rPr>
      </w:pPr>
    </w:p>
    <w:p>
      <w:pPr>
        <w:jc w:val="both"/>
        <w:ind w:left="480" w:right="480" w:firstLine="698"/>
        <w:spacing w:after="0" w:line="273" w:lineRule="auto"/>
        <w:rPr>
          <w:sz w:val="20"/>
          <w:szCs w:val="20"/>
          <w:color w:val="auto"/>
        </w:rPr>
      </w:pPr>
      <w:r>
        <w:rPr>
          <w:rFonts w:ascii="Arial" w:cs="Arial" w:eastAsia="Arial" w:hAnsi="Arial"/>
          <w:sz w:val="21"/>
          <w:szCs w:val="21"/>
          <w:b w:val="1"/>
          <w:bCs w:val="1"/>
          <w:color w:val="231F20"/>
        </w:rPr>
        <w:t>If the plan provides for purchases of securities, you should also consider whether it is appropriate to suspend trades in connection with securities offerings by the company to avoid potential liability under Regulation M requirements.</w:t>
      </w:r>
    </w:p>
    <w:p>
      <w:pPr>
        <w:spacing w:after="0" w:line="206"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231F20"/>
        </w:rPr>
        <w:t>Account for the potential need to modify or terminate the plan</w:t>
      </w:r>
    </w:p>
    <w:p>
      <w:pPr>
        <w:spacing w:after="0" w:line="242" w:lineRule="exact"/>
        <w:rPr>
          <w:sz w:val="20"/>
          <w:szCs w:val="20"/>
          <w:color w:val="auto"/>
        </w:rPr>
      </w:pPr>
    </w:p>
    <w:p>
      <w:pPr>
        <w:jc w:val="both"/>
        <w:ind w:left="480" w:right="480" w:firstLine="698"/>
        <w:spacing w:after="0" w:line="289" w:lineRule="auto"/>
        <w:rPr>
          <w:sz w:val="20"/>
          <w:szCs w:val="20"/>
          <w:color w:val="auto"/>
        </w:rPr>
      </w:pPr>
      <w:r>
        <w:rPr>
          <w:rFonts w:ascii="Arial" w:cs="Arial" w:eastAsia="Arial" w:hAnsi="Arial"/>
          <w:sz w:val="20"/>
          <w:szCs w:val="20"/>
          <w:b w:val="1"/>
          <w:bCs w:val="1"/>
          <w:color w:val="231F20"/>
        </w:rPr>
        <w:t>While modifications are discouraged, there may be situations in which market volatility fundamentally alters the conditions under which you adopted the trading plan. To anticipate this possibility, it is advisable that a trading plan include formal provisions for its modification, subject to any company-imposed requirements with respect to the</w:t>
      </w:r>
    </w:p>
    <w:p>
      <w:pPr>
        <w:sectPr>
          <w:pgSz w:w="12240" w:h="15840" w:orient="portrait"/>
          <w:cols w:equalWidth="0" w:num="1">
            <w:col w:w="9360"/>
          </w:cols>
          <w:pgMar w:left="1440" w:top="1440" w:right="1440" w:bottom="377"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-29-</w:t>
      </w:r>
    </w:p>
    <w:p>
      <w:pPr>
        <w:sectPr>
          <w:pgSz w:w="12240" w:h="15840" w:orient="portrait"/>
          <w:cols w:equalWidth="0" w:num="1">
            <w:col w:w="9360"/>
          </w:cols>
          <w:pgMar w:left="1440" w:top="1440" w:right="1440" w:bottom="377" w:gutter="0" w:footer="0" w:header="0"/>
          <w:type w:val="continuous"/>
        </w:sectPr>
      </w:pPr>
    </w:p>
    <w:bookmarkStart w:id="201" w:name="page202"/>
    <w:bookmarkEnd w:id="201"/>
    <w:p>
      <w:pPr>
        <w:spacing w:after="0" w:line="205" w:lineRule="exact"/>
        <w:rPr>
          <w:sz w:val="20"/>
          <w:szCs w:val="20"/>
          <w:color w:val="auto"/>
        </w:rPr>
      </w:pPr>
    </w:p>
    <w:p>
      <w:pPr>
        <w:jc w:val="both"/>
        <w:ind w:left="480" w:right="480"/>
        <w:spacing w:after="0" w:line="255" w:lineRule="auto"/>
        <w:rPr>
          <w:sz w:val="20"/>
          <w:szCs w:val="20"/>
          <w:color w:val="auto"/>
        </w:rPr>
      </w:pPr>
      <w:r>
        <w:rPr>
          <w:rFonts w:ascii="Arial" w:cs="Arial" w:eastAsia="Arial" w:hAnsi="Arial"/>
          <w:sz w:val="22"/>
          <w:szCs w:val="22"/>
          <w:b w:val="1"/>
          <w:bCs w:val="1"/>
          <w:color w:val="231F20"/>
        </w:rPr>
        <w:t>modification of plans. Modifications can then be made in a planned and limited manner, which may be helpful in defending against claims that modification of the trading plan undermines the good faith nature of the existing plan.</w:t>
      </w:r>
    </w:p>
    <w:p>
      <w:pPr>
        <w:spacing w:after="0" w:line="228" w:lineRule="exact"/>
        <w:rPr>
          <w:sz w:val="20"/>
          <w:szCs w:val="20"/>
          <w:color w:val="auto"/>
        </w:rPr>
      </w:pPr>
    </w:p>
    <w:p>
      <w:pPr>
        <w:jc w:val="both"/>
        <w:ind w:left="480" w:right="480" w:firstLine="698"/>
        <w:spacing w:after="0" w:line="285" w:lineRule="auto"/>
        <w:rPr>
          <w:sz w:val="20"/>
          <w:szCs w:val="20"/>
          <w:color w:val="auto"/>
        </w:rPr>
      </w:pPr>
      <w:r>
        <w:rPr>
          <w:rFonts w:ascii="Arial" w:cs="Arial" w:eastAsia="Arial" w:hAnsi="Arial"/>
          <w:sz w:val="20"/>
          <w:szCs w:val="20"/>
          <w:b w:val="1"/>
          <w:bCs w:val="1"/>
          <w:color w:val="231F20"/>
        </w:rPr>
        <w:t>Similarly, it may be helpful to include a provision in the plan that permits you to terminate the plan. Although such a provision may not shield you from questions of bad faith in connection with terminating a plan, you would at least avoid having to defend why you acted in a manner that was inconsistent with the express terms of the plan. You may also want your trading plan to provide for automatic termination upon certain changes in personal circumstances such as death, bankruptcy or insolvency or divorce.</w:t>
      </w:r>
    </w:p>
    <w:p>
      <w:pPr>
        <w:spacing w:after="0" w:line="200" w:lineRule="exact"/>
        <w:rPr>
          <w:sz w:val="20"/>
          <w:szCs w:val="20"/>
          <w:color w:val="auto"/>
        </w:rPr>
      </w:pPr>
    </w:p>
    <w:p>
      <w:pPr>
        <w:jc w:val="both"/>
        <w:ind w:left="480" w:right="480" w:firstLine="698"/>
        <w:spacing w:after="0" w:line="302" w:lineRule="auto"/>
        <w:rPr>
          <w:sz w:val="20"/>
          <w:szCs w:val="20"/>
          <w:color w:val="auto"/>
        </w:rPr>
      </w:pPr>
      <w:r>
        <w:rPr>
          <w:rFonts w:ascii="Arial" w:cs="Arial" w:eastAsia="Arial" w:hAnsi="Arial"/>
          <w:sz w:val="19"/>
          <w:szCs w:val="19"/>
          <w:b w:val="1"/>
          <w:bCs w:val="1"/>
          <w:color w:val="231F20"/>
        </w:rPr>
        <w:t>You should be careful to restrict those circumstances in which the trading plan may be terminated without your consent. You may be subject to some hardship, for example, if the person administering the plan terminated your trading plan at a time when you possessed material nonpublic information. In that case, you would be prohibited from trading until you no longer possessed material nonpublic information (and possibly longer if, for example, the plan was terminated during a trading blackout period).</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231F20"/>
        </w:rPr>
        <w:t>Avoid modifying the trading plan</w:t>
      </w:r>
    </w:p>
    <w:p>
      <w:pPr>
        <w:spacing w:after="0" w:line="242" w:lineRule="exact"/>
        <w:rPr>
          <w:sz w:val="20"/>
          <w:szCs w:val="20"/>
          <w:color w:val="auto"/>
        </w:rPr>
      </w:pPr>
    </w:p>
    <w:p>
      <w:pPr>
        <w:jc w:val="both"/>
        <w:ind w:left="480" w:right="480" w:firstLine="698"/>
        <w:spacing w:after="0" w:line="298" w:lineRule="auto"/>
        <w:rPr>
          <w:sz w:val="20"/>
          <w:szCs w:val="20"/>
          <w:color w:val="auto"/>
        </w:rPr>
      </w:pPr>
      <w:r>
        <w:rPr>
          <w:rFonts w:ascii="Arial" w:cs="Arial" w:eastAsia="Arial" w:hAnsi="Arial"/>
          <w:sz w:val="19"/>
          <w:szCs w:val="19"/>
          <w:b w:val="1"/>
          <w:bCs w:val="1"/>
          <w:color w:val="231F20"/>
        </w:rPr>
        <w:t>You should try to avoid modifying the trading plan. Rule 10b5-1 requires that, to be covered by the affirmative defense, a transaction must occur pursuant to a trading plan. This requirement will not be satisfied if you alter or deviate from the trading plan (whether by changing the amount, price or timing of a purchase or sale) or if you enter into or alter a corresponding or hedging transaction or position with respect to transactions under the plan. In addition, modification of a trading plan brings into question whether the trading plan was entered in good faith and whether any prior transactions under the trading plan were in fact made pursuant to a plan for purposes of the requirements of Rule 10b5-1. Deviation from the trading plan also suggests that you may be modifying trading behavior to take advantage of material nonpublic information.</w:t>
      </w:r>
    </w:p>
    <w:p>
      <w:pPr>
        <w:spacing w:after="0" w:line="198" w:lineRule="exact"/>
        <w:rPr>
          <w:sz w:val="20"/>
          <w:szCs w:val="20"/>
          <w:color w:val="auto"/>
        </w:rPr>
      </w:pPr>
    </w:p>
    <w:p>
      <w:pPr>
        <w:jc w:val="both"/>
        <w:ind w:left="480" w:right="480" w:firstLine="698"/>
        <w:spacing w:after="0" w:line="268" w:lineRule="auto"/>
        <w:rPr>
          <w:sz w:val="20"/>
          <w:szCs w:val="20"/>
          <w:color w:val="auto"/>
        </w:rPr>
      </w:pPr>
      <w:r>
        <w:rPr>
          <w:rFonts w:ascii="Arial" w:cs="Arial" w:eastAsia="Arial" w:hAnsi="Arial"/>
          <w:sz w:val="21"/>
          <w:szCs w:val="21"/>
          <w:b w:val="1"/>
          <w:bCs w:val="1"/>
          <w:color w:val="231F20"/>
        </w:rPr>
        <w:t>Although deviations will not be considered part of the existing trading plan for purposes of the affirmative defense, it is possible for a person acting in good faith to modify a trading plan at a time when the person is not aware of material nonpublic information. In such a situation, a purchase or sale that complies with the modified trading plan will be deemed to have been made pursuant to a new trading plan. You should note, however, that you will need to comply with company-imposed restrictions with respect to any modification of trading plans.</w:t>
      </w:r>
    </w:p>
    <w:p>
      <w:pPr>
        <w:spacing w:after="0" w:line="210"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231F20"/>
        </w:rPr>
        <w:t>Consider having an independent party administer the trading plan</w:t>
      </w:r>
    </w:p>
    <w:p>
      <w:pPr>
        <w:spacing w:after="0" w:line="244" w:lineRule="exact"/>
        <w:rPr>
          <w:sz w:val="20"/>
          <w:szCs w:val="20"/>
          <w:color w:val="auto"/>
        </w:rPr>
      </w:pPr>
    </w:p>
    <w:p>
      <w:pPr>
        <w:jc w:val="both"/>
        <w:ind w:left="480" w:right="480" w:firstLine="698"/>
        <w:spacing w:after="0" w:line="254" w:lineRule="auto"/>
        <w:rPr>
          <w:sz w:val="20"/>
          <w:szCs w:val="20"/>
          <w:color w:val="auto"/>
        </w:rPr>
      </w:pPr>
      <w:r>
        <w:rPr>
          <w:rFonts w:ascii="Arial" w:cs="Arial" w:eastAsia="Arial" w:hAnsi="Arial"/>
          <w:sz w:val="22"/>
          <w:szCs w:val="22"/>
          <w:b w:val="1"/>
          <w:bCs w:val="1"/>
          <w:color w:val="231F20"/>
        </w:rPr>
        <w:t>Having an independent party administer the trading plan may help to limit your exposure to potential liability for trades under the plan. Even if your trading plan is based on specific instructions or a specific formula, there is often some discretion in effecting trades under a plan (e.g., in deciding the specific time during a given trading day when orders will be entered) for which it may be appropriate to involve an independent decision maker.</w:t>
      </w:r>
    </w:p>
    <w:p>
      <w:pPr>
        <w:sectPr>
          <w:pgSz w:w="12240" w:h="15840" w:orient="portrait"/>
          <w:cols w:equalWidth="0" w:num="1">
            <w:col w:w="9360"/>
          </w:cols>
          <w:pgMar w:left="1440" w:top="1440" w:right="1440" w:bottom="3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-30-</w:t>
      </w:r>
    </w:p>
    <w:p>
      <w:pPr>
        <w:sectPr>
          <w:pgSz w:w="12240" w:h="15840" w:orient="portrait"/>
          <w:cols w:equalWidth="0" w:num="1">
            <w:col w:w="9360"/>
          </w:cols>
          <w:pgMar w:left="1440" w:top="1440" w:right="1440" w:bottom="377" w:gutter="0" w:footer="0" w:header="0"/>
          <w:type w:val="continuous"/>
        </w:sectPr>
      </w:pPr>
    </w:p>
    <w:bookmarkStart w:id="202" w:name="page203"/>
    <w:bookmarkEnd w:id="202"/>
    <w:p>
      <w:pPr>
        <w:spacing w:after="0" w:line="205" w:lineRule="exact"/>
        <w:rPr>
          <w:sz w:val="20"/>
          <w:szCs w:val="20"/>
          <w:color w:val="auto"/>
        </w:rPr>
      </w:pPr>
    </w:p>
    <w:p>
      <w:pPr>
        <w:jc w:val="both"/>
        <w:ind w:left="480" w:right="480" w:firstLine="698"/>
        <w:spacing w:after="0" w:line="267" w:lineRule="exact"/>
        <w:rPr>
          <w:sz w:val="20"/>
          <w:szCs w:val="20"/>
          <w:color w:val="auto"/>
        </w:rPr>
      </w:pPr>
      <w:r>
        <w:rPr>
          <w:rFonts w:ascii="Arial" w:cs="Arial" w:eastAsia="Arial" w:hAnsi="Arial"/>
          <w:sz w:val="20"/>
          <w:szCs w:val="20"/>
          <w:b w:val="1"/>
          <w:bCs w:val="1"/>
          <w:color w:val="231F20"/>
        </w:rPr>
        <w:t>In general, when selecting someone to administer your trading plan, you should consider whether that person has a relationship with you or the company that could undermine the affirmative defense in the event of litigation. Consequently, it may be helpful to select a person with whom only a professional, arm</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s-length relationship exists. You should, however, try to avoid using the person that regularly executes trades in your securities. Because you may be in frequent contact with that person, there is an increased likelihood that he or she may be in possession of material nonpublic information concerning the company when exercising discretionary authority under the plan (which is prohibited by Rule 10b5-1). You should also exercise caution if you are considering using a broker that is directly or indirectly affiliated with the company. If a broker works for a firm that is also the company</w:t>
      </w:r>
      <w:r>
        <w:rPr>
          <w:rFonts w:ascii="PMingLiU" w:cs="PMingLiU" w:eastAsia="PMingLiU" w:hAnsi="PMingLiU"/>
          <w:sz w:val="20"/>
          <w:szCs w:val="20"/>
          <w:b w:val="1"/>
          <w:bCs w:val="1"/>
          <w:color w:val="231F20"/>
        </w:rPr>
        <w:t></w:t>
      </w:r>
      <w:r>
        <w:rPr>
          <w:rFonts w:ascii="Arial" w:cs="Arial" w:eastAsia="Arial" w:hAnsi="Arial"/>
          <w:sz w:val="20"/>
          <w:szCs w:val="20"/>
          <w:b w:val="1"/>
          <w:bCs w:val="1"/>
          <w:color w:val="231F20"/>
        </w:rPr>
        <w:t>s investment banker, for example, there is a significant risk that the firm may have inside information concerning the company that may be imputed to the broker.</w:t>
      </w:r>
    </w:p>
    <w:p>
      <w:pPr>
        <w:spacing w:after="0" w:line="246" w:lineRule="exact"/>
        <w:rPr>
          <w:sz w:val="20"/>
          <w:szCs w:val="20"/>
          <w:color w:val="auto"/>
        </w:rPr>
      </w:pPr>
    </w:p>
    <w:p>
      <w:pPr>
        <w:jc w:val="both"/>
        <w:ind w:left="480" w:right="480" w:firstLine="698"/>
        <w:spacing w:after="0" w:line="268" w:lineRule="auto"/>
        <w:rPr>
          <w:sz w:val="20"/>
          <w:szCs w:val="20"/>
          <w:color w:val="auto"/>
        </w:rPr>
      </w:pPr>
      <w:r>
        <w:rPr>
          <w:rFonts w:ascii="Arial" w:cs="Arial" w:eastAsia="Arial" w:hAnsi="Arial"/>
          <w:sz w:val="21"/>
          <w:szCs w:val="21"/>
          <w:b w:val="1"/>
          <w:bCs w:val="1"/>
          <w:color w:val="231F20"/>
        </w:rPr>
        <w:t>One possible approach is to have a separate department within a brokerage firm administer the plan. Many brokerage firms have a special trading desk dedicated to administering trading plans and have implemented related ethical wall procedures. A dedicated department in a brokerage firm may have more experience following complex instructions, will be more knowledgeable about the parameters of Rule 10b5-1 and will be less likely to be subject to influence by you.</w:t>
      </w:r>
    </w:p>
    <w:p>
      <w:pPr>
        <w:spacing w:after="0" w:line="220" w:lineRule="exact"/>
        <w:rPr>
          <w:sz w:val="20"/>
          <w:szCs w:val="20"/>
          <w:color w:val="auto"/>
        </w:rPr>
      </w:pPr>
    </w:p>
    <w:p>
      <w:pPr>
        <w:jc w:val="both"/>
        <w:ind w:left="480" w:right="480"/>
        <w:spacing w:after="0" w:line="237" w:lineRule="auto"/>
        <w:rPr>
          <w:sz w:val="20"/>
          <w:szCs w:val="20"/>
          <w:color w:val="auto"/>
        </w:rPr>
      </w:pPr>
      <w:r>
        <w:rPr>
          <w:rFonts w:ascii="Arial" w:cs="Arial" w:eastAsia="Arial" w:hAnsi="Arial"/>
          <w:sz w:val="23"/>
          <w:szCs w:val="23"/>
          <w:b w:val="1"/>
          <w:bCs w:val="1"/>
          <w:color w:val="231F20"/>
        </w:rPr>
        <w:t>If you rely on someone to administer the trading plan, implement procedures to ensure their independence</w:t>
      </w:r>
    </w:p>
    <w:p>
      <w:pPr>
        <w:spacing w:after="0" w:line="246" w:lineRule="exact"/>
        <w:rPr>
          <w:sz w:val="20"/>
          <w:szCs w:val="20"/>
          <w:color w:val="auto"/>
        </w:rPr>
      </w:pPr>
    </w:p>
    <w:p>
      <w:pPr>
        <w:jc w:val="both"/>
        <w:ind w:left="480" w:right="480" w:firstLine="698"/>
        <w:spacing w:after="0" w:line="282" w:lineRule="auto"/>
        <w:rPr>
          <w:sz w:val="20"/>
          <w:szCs w:val="20"/>
          <w:color w:val="auto"/>
        </w:rPr>
      </w:pPr>
      <w:r>
        <w:rPr>
          <w:rFonts w:ascii="Arial" w:cs="Arial" w:eastAsia="Arial" w:hAnsi="Arial"/>
          <w:sz w:val="20"/>
          <w:szCs w:val="20"/>
          <w:b w:val="1"/>
          <w:bCs w:val="1"/>
          <w:color w:val="231F20"/>
        </w:rPr>
        <w:t>To help ensure that the person administering your plan is independent, your trading plan could specify that (i) you and the person administering the plan will only communicate in writing (thereby documenting all communications in case of future SEC inquiry), (ii) you will not communicate any information concerning the company or its securities to the person administering the plan and (iii) if you are using a broker, there must be ethical wall procedures to restrict communications within the brokerage firm regarding the company and your trades. To further address concerns as to the availability of the affirmative defense, it may be helpful to include a provision in your agreement with the third party that provides for the suspension or termination of trading authority if the third party becomes aware of material nonpublic information.</w:t>
      </w:r>
    </w:p>
    <w:p>
      <w:pPr>
        <w:spacing w:after="0" w:line="200"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231F20"/>
        </w:rPr>
        <w:t>Protect your rights when working with brokers or other third parties</w:t>
      </w:r>
    </w:p>
    <w:p>
      <w:pPr>
        <w:spacing w:after="0" w:line="244" w:lineRule="exact"/>
        <w:rPr>
          <w:sz w:val="20"/>
          <w:szCs w:val="20"/>
          <w:color w:val="auto"/>
        </w:rPr>
      </w:pPr>
    </w:p>
    <w:p>
      <w:pPr>
        <w:jc w:val="both"/>
        <w:ind w:left="480" w:right="480" w:firstLine="698"/>
        <w:spacing w:after="0" w:line="304" w:lineRule="auto"/>
        <w:rPr>
          <w:sz w:val="20"/>
          <w:szCs w:val="20"/>
          <w:color w:val="auto"/>
        </w:rPr>
      </w:pPr>
      <w:r>
        <w:rPr>
          <w:rFonts w:ascii="Arial" w:cs="Arial" w:eastAsia="Arial" w:hAnsi="Arial"/>
          <w:sz w:val="19"/>
          <w:szCs w:val="19"/>
          <w:b w:val="1"/>
          <w:bCs w:val="1"/>
          <w:color w:val="231F20"/>
        </w:rPr>
        <w:t>When working with a broker or another third party in connection with a trading plan, you will typically be expected to enter into some sort of agreement with that person. Brokers, for example, will often have a standard form of stock sale agreement for purposes of implementing trading plans. Your trading instructions would typically be included as a section of the stock sale agreement or attached to the stock sale agreement as an exhibit.</w:t>
      </w:r>
    </w:p>
    <w:p>
      <w:pPr>
        <w:spacing w:after="0" w:line="188" w:lineRule="exact"/>
        <w:rPr>
          <w:sz w:val="20"/>
          <w:szCs w:val="20"/>
          <w:color w:val="auto"/>
        </w:rPr>
      </w:pPr>
    </w:p>
    <w:p>
      <w:pPr>
        <w:jc w:val="both"/>
        <w:ind w:left="480" w:right="480" w:firstLine="698"/>
        <w:spacing w:after="0" w:line="307" w:lineRule="auto"/>
        <w:rPr>
          <w:sz w:val="20"/>
          <w:szCs w:val="20"/>
          <w:color w:val="auto"/>
        </w:rPr>
      </w:pPr>
      <w:r>
        <w:rPr>
          <w:rFonts w:ascii="Arial" w:cs="Arial" w:eastAsia="Arial" w:hAnsi="Arial"/>
          <w:sz w:val="19"/>
          <w:szCs w:val="19"/>
          <w:b w:val="1"/>
          <w:bCs w:val="1"/>
          <w:color w:val="231F20"/>
        </w:rPr>
        <w:t>While brokers will often request that you use their form of agreement, brokers will generally be amenable to the use of an alternative form or to revisions to their standard forms. Trading plans are for your benefit, and you should be proactive in defining the terms of the trading plan to ensure that your interests are adequately met. In particular, while you</w:t>
      </w:r>
    </w:p>
    <w:p>
      <w:pPr>
        <w:sectPr>
          <w:pgSz w:w="12240" w:h="15840" w:orient="portrait"/>
          <w:cols w:equalWidth="0" w:num="1">
            <w:col w:w="9360"/>
          </w:cols>
          <w:pgMar w:left="1440" w:top="1440" w:right="1440" w:bottom="3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-31-</w:t>
      </w:r>
    </w:p>
    <w:p>
      <w:pPr>
        <w:sectPr>
          <w:pgSz w:w="12240" w:h="15840" w:orient="portrait"/>
          <w:cols w:equalWidth="0" w:num="1">
            <w:col w:w="9360"/>
          </w:cols>
          <w:pgMar w:left="1440" w:top="1440" w:right="1440" w:bottom="377" w:gutter="0" w:footer="0" w:header="0"/>
          <w:type w:val="continuous"/>
        </w:sectPr>
      </w:pPr>
    </w:p>
    <w:bookmarkStart w:id="203" w:name="page204"/>
    <w:bookmarkEnd w:id="203"/>
    <w:p>
      <w:pPr>
        <w:spacing w:after="0" w:line="205" w:lineRule="exact"/>
        <w:rPr>
          <w:sz w:val="20"/>
          <w:szCs w:val="20"/>
          <w:color w:val="auto"/>
        </w:rPr>
      </w:pPr>
    </w:p>
    <w:p>
      <w:pPr>
        <w:jc w:val="both"/>
        <w:ind w:left="480" w:right="480"/>
        <w:spacing w:after="0" w:line="256" w:lineRule="auto"/>
        <w:rPr>
          <w:sz w:val="20"/>
          <w:szCs w:val="20"/>
          <w:color w:val="auto"/>
        </w:rPr>
      </w:pPr>
      <w:r>
        <w:rPr>
          <w:rFonts w:ascii="Arial" w:cs="Arial" w:eastAsia="Arial" w:hAnsi="Arial"/>
          <w:sz w:val="22"/>
          <w:szCs w:val="22"/>
          <w:b w:val="1"/>
          <w:bCs w:val="1"/>
          <w:color w:val="231F20"/>
        </w:rPr>
        <w:t>should consider recommendations and advice from the broker as to the trading plan generally, there should be no negotiation over the trading instructions.</w:t>
      </w:r>
    </w:p>
    <w:p>
      <w:pPr>
        <w:spacing w:after="0" w:line="228" w:lineRule="exact"/>
        <w:rPr>
          <w:sz w:val="20"/>
          <w:szCs w:val="20"/>
          <w:color w:val="auto"/>
        </w:rPr>
      </w:pPr>
    </w:p>
    <w:p>
      <w:pPr>
        <w:jc w:val="both"/>
        <w:ind w:left="480" w:right="480" w:firstLine="698"/>
        <w:spacing w:after="0" w:line="270" w:lineRule="auto"/>
        <w:rPr>
          <w:sz w:val="20"/>
          <w:szCs w:val="20"/>
          <w:color w:val="auto"/>
        </w:rPr>
      </w:pPr>
      <w:r>
        <w:rPr>
          <w:rFonts w:ascii="Arial" w:cs="Arial" w:eastAsia="Arial" w:hAnsi="Arial"/>
          <w:sz w:val="21"/>
          <w:szCs w:val="21"/>
          <w:b w:val="1"/>
          <w:bCs w:val="1"/>
          <w:color w:val="231F20"/>
        </w:rPr>
        <w:t>It is strongly advised that you have an attorney review any proposed form of trading plan for compliance with Rule 10b5-1 as well as to protect your legal rights generally. You should expect that third parties will request certain rights and protections (such as indemnification) that may be to your potential detriment.</w:t>
      </w:r>
    </w:p>
    <w:p>
      <w:pPr>
        <w:spacing w:after="0" w:line="216" w:lineRule="exact"/>
        <w:rPr>
          <w:sz w:val="20"/>
          <w:szCs w:val="20"/>
          <w:color w:val="auto"/>
        </w:rPr>
      </w:pPr>
    </w:p>
    <w:p>
      <w:pPr>
        <w:jc w:val="both"/>
        <w:ind w:left="480" w:right="480"/>
        <w:spacing w:after="0" w:line="237" w:lineRule="auto"/>
        <w:rPr>
          <w:sz w:val="20"/>
          <w:szCs w:val="20"/>
          <w:color w:val="auto"/>
        </w:rPr>
      </w:pPr>
      <w:r>
        <w:rPr>
          <w:rFonts w:ascii="Arial" w:cs="Arial" w:eastAsia="Arial" w:hAnsi="Arial"/>
          <w:sz w:val="23"/>
          <w:szCs w:val="23"/>
          <w:b w:val="1"/>
          <w:bCs w:val="1"/>
          <w:color w:val="231F20"/>
        </w:rPr>
        <w:t>Provide the person administering the trading plan with some flexibility in executing orders</w:t>
      </w:r>
    </w:p>
    <w:p>
      <w:pPr>
        <w:spacing w:after="0" w:line="246" w:lineRule="exact"/>
        <w:rPr>
          <w:sz w:val="20"/>
          <w:szCs w:val="20"/>
          <w:color w:val="auto"/>
        </w:rPr>
      </w:pPr>
    </w:p>
    <w:p>
      <w:pPr>
        <w:jc w:val="both"/>
        <w:ind w:left="480" w:right="480" w:firstLine="698"/>
        <w:spacing w:after="0" w:line="301" w:lineRule="auto"/>
        <w:rPr>
          <w:sz w:val="20"/>
          <w:szCs w:val="20"/>
          <w:color w:val="auto"/>
        </w:rPr>
      </w:pPr>
      <w:r>
        <w:rPr>
          <w:rFonts w:ascii="Arial" w:cs="Arial" w:eastAsia="Arial" w:hAnsi="Arial"/>
          <w:sz w:val="19"/>
          <w:szCs w:val="19"/>
          <w:b w:val="1"/>
          <w:bCs w:val="1"/>
          <w:color w:val="231F20"/>
        </w:rPr>
        <w:t>If a third party is administering the plan, you should try to provide that person with some flexibility in executing orders. Otherwise, trades may not occur as planned. Factors such as insufficient trading volume and market volatility may prevent trades from being executed as planned, particularly if the trading plan includes strict instructions with respect to the timing of transactions or provides for block purchases or sales. You should also consider how to handle any shortfalls that may occur if the person administering the plan is unable or otherwise fails to effect all transactions specified in the plan.</w:t>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231F20"/>
        </w:rPr>
        <w:t>Consider delegating the precise timing of trades to a third party</w:t>
      </w:r>
    </w:p>
    <w:p>
      <w:pPr>
        <w:spacing w:after="0" w:line="242" w:lineRule="exact"/>
        <w:rPr>
          <w:sz w:val="20"/>
          <w:szCs w:val="20"/>
          <w:color w:val="auto"/>
        </w:rPr>
      </w:pPr>
    </w:p>
    <w:p>
      <w:pPr>
        <w:jc w:val="both"/>
        <w:ind w:left="480" w:right="480" w:firstLine="698"/>
        <w:spacing w:after="0" w:line="282" w:lineRule="auto"/>
        <w:rPr>
          <w:sz w:val="20"/>
          <w:szCs w:val="20"/>
          <w:color w:val="auto"/>
        </w:rPr>
      </w:pPr>
      <w:r>
        <w:rPr>
          <w:rFonts w:ascii="Arial" w:cs="Arial" w:eastAsia="Arial" w:hAnsi="Arial"/>
          <w:sz w:val="20"/>
          <w:szCs w:val="20"/>
          <w:b w:val="1"/>
          <w:bCs w:val="1"/>
          <w:color w:val="231F20"/>
        </w:rPr>
        <w:t>Where appropriate, to minimize the risk of allegations that you (i) selected the precise timing of trades based on your knowledge of material nonpublic information or (ii) affected the timing of disclosure to manipulate the stock price to your benefit, you should consider delegating discretion regarding the exact timing of trades, within a specified period (e.g., five trading days), to a stockbroker or other third party administering the plan. This may also be beneficial since that other person may be able to maximize proceeds from sales by taking into account publicly available information and general market trend information when determining the precise timing of trades. In contrast, the use of a pre-designated date and/or time may lock you into a trade at an inopportune time (e.g., when prices are unusually low).</w:t>
      </w:r>
    </w:p>
    <w:p>
      <w:pPr>
        <w:sectPr>
          <w:pgSz w:w="12240" w:h="15840" w:orient="portrait"/>
          <w:cols w:equalWidth="0" w:num="1">
            <w:col w:w="9360"/>
          </w:cols>
          <w:pgMar w:left="1440" w:top="1440" w:right="1440" w:bottom="3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-32-</w:t>
      </w:r>
    </w:p>
    <w:p>
      <w:pPr>
        <w:sectPr>
          <w:pgSz w:w="12240" w:h="15840" w:orient="portrait"/>
          <w:cols w:equalWidth="0" w:num="1">
            <w:col w:w="9360"/>
          </w:cols>
          <w:pgMar w:left="1440" w:top="1440" w:right="1440" w:bottom="377" w:gutter="0" w:footer="0" w:header="0"/>
          <w:type w:val="continuous"/>
        </w:sectPr>
      </w:pPr>
    </w:p>
    <w:bookmarkStart w:id="204" w:name="page205"/>
    <w:bookmarkEnd w:id="204"/>
    <w:p>
      <w:pPr>
        <w:ind w:left="9480"/>
        <w:spacing w:after="0"/>
        <w:rPr>
          <w:sz w:val="20"/>
          <w:szCs w:val="20"/>
          <w:color w:val="auto"/>
        </w:rPr>
      </w:pPr>
      <w:r>
        <w:rPr>
          <w:rFonts w:ascii="Arial" w:cs="Arial" w:eastAsia="Arial" w:hAnsi="Arial"/>
          <w:sz w:val="17"/>
          <w:szCs w:val="17"/>
          <w:b w:val="1"/>
          <w:bCs w:val="1"/>
          <w:color w:val="231F20"/>
        </w:rPr>
        <w:t>Exhibit 21.1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SUBSIDIARIES OF ALX ONCOLOGY HOLDINGS INC.</w:t>
      </w:r>
    </w:p>
    <w:p>
      <w:pPr>
        <w:sectPr>
          <w:pgSz w:w="12240" w:h="15840" w:orient="portrait"/>
          <w:cols w:equalWidth="0" w:num="1">
            <w:col w:w="10480"/>
          </w:cols>
          <w:pgMar w:left="880" w:top="942" w:right="880" w:bottom="1440" w:gutter="0" w:footer="0" w:header="0"/>
        </w:sect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Name of Subsidiary</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Jurisdiction of Incorporation 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-3999230</wp:posOffset>
            </wp:positionH>
            <wp:positionV relativeFrom="paragraph">
              <wp:posOffset>-635</wp:posOffset>
            </wp:positionV>
            <wp:extent cx="6678930" cy="3937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678930" cy="39370"/>
                    </a:xfrm>
                    <a:prstGeom prst="rect">
                      <a:avLst/>
                    </a:prstGeom>
                    <a:noFill/>
                  </pic:spPr>
                </pic:pic>
              </a:graphicData>
            </a:graphic>
          </wp:anchor>
        </w:drawing>
      </w:r>
    </w:p>
    <w:p>
      <w:pPr>
        <w:spacing w:after="0" w:line="42" w:lineRule="exact"/>
        <w:rPr>
          <w:sz w:val="20"/>
          <w:szCs w:val="20"/>
          <w:color w:val="auto"/>
        </w:rPr>
      </w:pPr>
    </w:p>
    <w:p>
      <w:pPr>
        <w:sectPr>
          <w:pgSz w:w="12240" w:h="15840" w:orient="portrait"/>
          <w:cols w:equalWidth="0" w:num="2">
            <w:col w:w="5560" w:space="720"/>
            <w:col w:w="4200"/>
          </w:cols>
          <w:pgMar w:left="880" w:top="942" w:right="880" w:bottom="1440" w:gutter="0" w:footer="0" w:header="0"/>
          <w:type w:val="continuous"/>
        </w:sectPr>
      </w:pPr>
    </w:p>
    <w:p>
      <w:pPr>
        <w:spacing w:after="0"/>
        <w:rPr>
          <w:sz w:val="20"/>
          <w:szCs w:val="20"/>
          <w:color w:val="auto"/>
        </w:rPr>
      </w:pPr>
      <w:r>
        <w:rPr>
          <w:rFonts w:ascii="Arial" w:cs="Arial" w:eastAsia="Arial" w:hAnsi="Arial"/>
          <w:sz w:val="19"/>
          <w:szCs w:val="19"/>
          <w:b w:val="1"/>
          <w:bCs w:val="1"/>
          <w:color w:val="231F20"/>
        </w:rPr>
        <w:t>ALX Oncology Limited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ALX Oncology Incorporated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231F20"/>
        </w:rPr>
        <w:t>Ireland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Delaware</w:t>
      </w:r>
    </w:p>
    <w:p>
      <w:pPr>
        <w:sectPr>
          <w:pgSz w:w="12240" w:h="15840" w:orient="portrait"/>
          <w:cols w:equalWidth="0" w:num="2">
            <w:col w:w="5560" w:space="720"/>
            <w:col w:w="4200"/>
          </w:cols>
          <w:pgMar w:left="880" w:top="942" w:right="880" w:bottom="1440" w:gutter="0" w:footer="0" w:header="0"/>
          <w:type w:val="continuous"/>
        </w:sectPr>
      </w:pPr>
    </w:p>
    <w:bookmarkStart w:id="205" w:name="page206"/>
    <w:bookmarkEnd w:id="205"/>
    <w:p>
      <w:pPr>
        <w:jc w:val="right"/>
        <w:spacing w:after="0"/>
        <w:rPr>
          <w:sz w:val="20"/>
          <w:szCs w:val="20"/>
          <w:color w:val="auto"/>
        </w:rPr>
      </w:pPr>
      <w:r>
        <w:rPr>
          <w:rFonts w:ascii="Arial" w:cs="Arial" w:eastAsia="Arial" w:hAnsi="Arial"/>
          <w:sz w:val="19"/>
          <w:szCs w:val="19"/>
          <w:b w:val="1"/>
          <w:bCs w:val="1"/>
          <w:color w:val="231F20"/>
        </w:rPr>
        <w:t>Exhibit 23.1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CONSENT OF INDEPENDENT REGISTERED PUBLIC ACCOUNTING FIRM</w:t>
      </w:r>
    </w:p>
    <w:p>
      <w:pPr>
        <w:spacing w:after="0" w:line="300" w:lineRule="exact"/>
        <w:rPr>
          <w:sz w:val="20"/>
          <w:szCs w:val="20"/>
          <w:color w:val="auto"/>
        </w:rPr>
      </w:pPr>
    </w:p>
    <w:p>
      <w:pPr>
        <w:jc w:val="both"/>
        <w:ind w:right="80"/>
        <w:spacing w:after="0" w:line="295" w:lineRule="auto"/>
        <w:rPr>
          <w:sz w:val="20"/>
          <w:szCs w:val="20"/>
          <w:color w:val="auto"/>
        </w:rPr>
      </w:pPr>
      <w:r>
        <w:rPr>
          <w:rFonts w:ascii="Arial" w:cs="Arial" w:eastAsia="Arial" w:hAnsi="Arial"/>
          <w:sz w:val="18"/>
          <w:szCs w:val="18"/>
          <w:b w:val="1"/>
          <w:bCs w:val="1"/>
          <w:color w:val="231F20"/>
        </w:rPr>
        <w:t>We consent to the incorporation by reference in the registration statements (Nos. 333-239927, 333-254459, 333-263090, 333-270424, 333-277765, and 333-284348) on Form S-8 and (Nos. 333-263863 and 333-274314) on Form S-3 of our report dated March 6, 2025, with respect to the consolidated financial statements of ALX Oncology Holdings Inc.</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/s/ KPMG LLP</w:t>
      </w: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San Francisco, California</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March 6, 2025</w:t>
      </w:r>
    </w:p>
    <w:p>
      <w:pPr>
        <w:sectPr>
          <w:pgSz w:w="12240" w:h="15840" w:orient="portrait"/>
          <w:cols w:equalWidth="0" w:num="1">
            <w:col w:w="10480"/>
          </w:cols>
          <w:pgMar w:left="880" w:top="937" w:right="880" w:bottom="1440" w:gutter="0" w:footer="0" w:header="0"/>
        </w:sectPr>
      </w:pPr>
    </w:p>
    <w:bookmarkStart w:id="206" w:name="page207"/>
    <w:bookmarkEnd w:id="206"/>
    <w:p>
      <w:pPr>
        <w:spacing w:after="0" w:line="196" w:lineRule="exact"/>
        <w:rPr>
          <w:sz w:val="20"/>
          <w:szCs w:val="20"/>
          <w:color w:val="auto"/>
        </w:rPr>
      </w:pPr>
    </w:p>
    <w:p>
      <w:pPr>
        <w:jc w:val="right"/>
        <w:ind w:right="140"/>
        <w:spacing w:after="0"/>
        <w:rPr>
          <w:sz w:val="20"/>
          <w:szCs w:val="20"/>
          <w:color w:val="auto"/>
        </w:rPr>
      </w:pPr>
      <w:r>
        <w:rPr>
          <w:rFonts w:ascii="Arial" w:cs="Arial" w:eastAsia="Arial" w:hAnsi="Arial"/>
          <w:sz w:val="19"/>
          <w:szCs w:val="19"/>
          <w:b w:val="1"/>
          <w:bCs w:val="1"/>
          <w:color w:val="231F20"/>
        </w:rPr>
        <w:t>Exhibit 31.1</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CERTIFICATION PURSUANT TO</w:t>
      </w:r>
    </w:p>
    <w:p>
      <w:pPr>
        <w:spacing w:after="0" w:line="10" w:lineRule="exact"/>
        <w:rPr>
          <w:sz w:val="20"/>
          <w:szCs w:val="20"/>
          <w:color w:val="auto"/>
        </w:rPr>
      </w:pPr>
    </w:p>
    <w:p>
      <w:pPr>
        <w:jc w:val="center"/>
        <w:ind w:left="140" w:right="140"/>
        <w:spacing w:after="0" w:line="239" w:lineRule="auto"/>
        <w:rPr>
          <w:sz w:val="20"/>
          <w:szCs w:val="20"/>
          <w:color w:val="auto"/>
        </w:rPr>
      </w:pPr>
      <w:r>
        <w:rPr>
          <w:rFonts w:ascii="Arial" w:cs="Arial" w:eastAsia="Arial" w:hAnsi="Arial"/>
          <w:sz w:val="19"/>
          <w:szCs w:val="19"/>
          <w:b w:val="1"/>
          <w:bCs w:val="1"/>
          <w:color w:val="231F20"/>
        </w:rPr>
        <w:t>RULES 13a-14(a) AND 15d-14(a) UNDER THE SECURITIES EXCHANGE ACT OF 1934, AS ADOPTED PURSUANT TO SECTION 302 OF THE SARBANES-OXLEY ACT OF 2002</w:t>
      </w:r>
    </w:p>
    <w:p>
      <w:pPr>
        <w:spacing w:after="0" w:line="239"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I, Jason Lettmann, certify that:</w:t>
      </w:r>
    </w:p>
    <w:p>
      <w:pPr>
        <w:spacing w:after="0" w:line="120" w:lineRule="exact"/>
        <w:rPr>
          <w:sz w:val="20"/>
          <w:szCs w:val="20"/>
          <w:color w:val="auto"/>
        </w:rPr>
      </w:pPr>
    </w:p>
    <w:p>
      <w:pPr>
        <w:ind w:left="620" w:hanging="478"/>
        <w:spacing w:after="0"/>
        <w:tabs>
          <w:tab w:leader="none" w:pos="620" w:val="left"/>
        </w:tabs>
        <w:numPr>
          <w:ilvl w:val="0"/>
          <w:numId w:val="70"/>
        </w:numPr>
        <w:rPr>
          <w:rFonts w:ascii="Arial" w:cs="Arial" w:eastAsia="Arial" w:hAnsi="Arial"/>
          <w:sz w:val="19"/>
          <w:szCs w:val="19"/>
          <w:b w:val="1"/>
          <w:bCs w:val="1"/>
          <w:color w:val="231F20"/>
        </w:rPr>
      </w:pPr>
      <w:r>
        <w:rPr>
          <w:rFonts w:ascii="Arial" w:cs="Arial" w:eastAsia="Arial" w:hAnsi="Arial"/>
          <w:sz w:val="19"/>
          <w:szCs w:val="19"/>
          <w:b w:val="1"/>
          <w:bCs w:val="1"/>
          <w:color w:val="231F20"/>
        </w:rPr>
        <w:t>I have reviewed this Annual Report on Form 10-K of ALX Oncology Holdings Inc.;</w:t>
      </w:r>
    </w:p>
    <w:p>
      <w:pPr>
        <w:spacing w:after="0" w:line="127" w:lineRule="exact"/>
        <w:rPr>
          <w:rFonts w:ascii="Arial" w:cs="Arial" w:eastAsia="Arial" w:hAnsi="Arial"/>
          <w:sz w:val="19"/>
          <w:szCs w:val="19"/>
          <w:b w:val="1"/>
          <w:bCs w:val="1"/>
          <w:color w:val="231F20"/>
        </w:rPr>
      </w:pPr>
    </w:p>
    <w:p>
      <w:pPr>
        <w:ind w:left="620" w:right="240" w:hanging="478"/>
        <w:spacing w:after="0" w:line="284" w:lineRule="auto"/>
        <w:tabs>
          <w:tab w:leader="none" w:pos="619" w:val="left"/>
        </w:tabs>
        <w:numPr>
          <w:ilvl w:val="0"/>
          <w:numId w:val="70"/>
        </w:numPr>
        <w:rPr>
          <w:rFonts w:ascii="Arial" w:cs="Arial" w:eastAsia="Arial" w:hAnsi="Arial"/>
          <w:sz w:val="17"/>
          <w:szCs w:val="17"/>
          <w:b w:val="1"/>
          <w:bCs w:val="1"/>
          <w:color w:val="231F20"/>
        </w:rPr>
      </w:pPr>
      <w:r>
        <w:rPr>
          <w:rFonts w:ascii="Arial" w:cs="Arial" w:eastAsia="Arial" w:hAnsi="Arial"/>
          <w:sz w:val="17"/>
          <w:szCs w:val="17"/>
          <w:b w:val="1"/>
          <w:bCs w:val="1"/>
          <w:color w:val="231F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0" w:lineRule="exact"/>
        <w:rPr>
          <w:rFonts w:ascii="Arial" w:cs="Arial" w:eastAsia="Arial" w:hAnsi="Arial"/>
          <w:sz w:val="17"/>
          <w:szCs w:val="17"/>
          <w:b w:val="1"/>
          <w:bCs w:val="1"/>
          <w:color w:val="231F20"/>
        </w:rPr>
      </w:pPr>
    </w:p>
    <w:p>
      <w:pPr>
        <w:ind w:left="620" w:right="580" w:hanging="478"/>
        <w:spacing w:after="0" w:line="262" w:lineRule="auto"/>
        <w:tabs>
          <w:tab w:leader="none" w:pos="619" w:val="left"/>
        </w:tabs>
        <w:numPr>
          <w:ilvl w:val="0"/>
          <w:numId w:val="70"/>
        </w:numPr>
        <w:rPr>
          <w:rFonts w:ascii="Arial" w:cs="Arial" w:eastAsia="Arial" w:hAnsi="Arial"/>
          <w:sz w:val="18"/>
          <w:szCs w:val="18"/>
          <w:b w:val="1"/>
          <w:bCs w:val="1"/>
          <w:color w:val="231F20"/>
        </w:rPr>
      </w:pPr>
      <w:r>
        <w:rPr>
          <w:rFonts w:ascii="Arial" w:cs="Arial" w:eastAsia="Arial" w:hAnsi="Arial"/>
          <w:sz w:val="18"/>
          <w:szCs w:val="18"/>
          <w:b w:val="1"/>
          <w:bCs w:val="1"/>
          <w:color w:val="231F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8"/>
          <w:szCs w:val="18"/>
          <w:b w:val="1"/>
          <w:bCs w:val="1"/>
          <w:color w:val="231F20"/>
        </w:rPr>
      </w:pPr>
    </w:p>
    <w:p>
      <w:pPr>
        <w:ind w:left="620" w:right="180" w:hanging="478"/>
        <w:spacing w:after="0" w:line="220" w:lineRule="exact"/>
        <w:tabs>
          <w:tab w:leader="none" w:pos="619" w:val="left"/>
        </w:tabs>
        <w:numPr>
          <w:ilvl w:val="0"/>
          <w:numId w:val="70"/>
        </w:numPr>
        <w:rPr>
          <w:rFonts w:ascii="Arial" w:cs="Arial" w:eastAsia="Arial" w:hAnsi="Arial"/>
          <w:sz w:val="16"/>
          <w:szCs w:val="16"/>
          <w:b w:val="1"/>
          <w:bCs w:val="1"/>
          <w:color w:val="231F20"/>
        </w:rPr>
      </w:pPr>
      <w:r>
        <w:rPr>
          <w:rFonts w:ascii="Arial" w:cs="Arial" w:eastAsia="Arial" w:hAnsi="Arial"/>
          <w:sz w:val="16"/>
          <w:szCs w:val="16"/>
          <w:b w:val="1"/>
          <w:bCs w:val="1"/>
          <w:color w:val="231F20"/>
        </w:rPr>
        <w:t>The registrant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6"/>
          <w:szCs w:val="16"/>
          <w:b w:val="1"/>
          <w:bCs w:val="1"/>
          <w:color w:val="231F20"/>
        </w:rPr>
      </w:pPr>
    </w:p>
    <w:p>
      <w:pPr>
        <w:ind w:left="1080" w:right="220" w:hanging="466"/>
        <w:spacing w:after="0" w:line="261" w:lineRule="auto"/>
        <w:tabs>
          <w:tab w:leader="none" w:pos="1079" w:val="left"/>
        </w:tabs>
        <w:numPr>
          <w:ilvl w:val="1"/>
          <w:numId w:val="70"/>
        </w:numPr>
        <w:rPr>
          <w:rFonts w:ascii="Arial" w:cs="Arial" w:eastAsia="Arial" w:hAnsi="Arial"/>
          <w:sz w:val="18"/>
          <w:szCs w:val="18"/>
          <w:b w:val="1"/>
          <w:bCs w:val="1"/>
          <w:color w:val="231F20"/>
        </w:rPr>
      </w:pPr>
      <w:r>
        <w:rPr>
          <w:rFonts w:ascii="Arial" w:cs="Arial" w:eastAsia="Arial" w:hAnsi="Arial"/>
          <w:sz w:val="18"/>
          <w:szCs w:val="18"/>
          <w:b w:val="1"/>
          <w:bCs w:val="1"/>
          <w:color w:val="231F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7" w:lineRule="exact"/>
        <w:rPr>
          <w:rFonts w:ascii="Arial" w:cs="Arial" w:eastAsia="Arial" w:hAnsi="Arial"/>
          <w:sz w:val="18"/>
          <w:szCs w:val="18"/>
          <w:b w:val="1"/>
          <w:bCs w:val="1"/>
          <w:color w:val="231F20"/>
        </w:rPr>
      </w:pPr>
    </w:p>
    <w:p>
      <w:pPr>
        <w:ind w:left="1080" w:right="200" w:hanging="466"/>
        <w:spacing w:after="0" w:line="261" w:lineRule="auto"/>
        <w:tabs>
          <w:tab w:leader="none" w:pos="1079" w:val="left"/>
        </w:tabs>
        <w:numPr>
          <w:ilvl w:val="1"/>
          <w:numId w:val="70"/>
        </w:numPr>
        <w:rPr>
          <w:rFonts w:ascii="Arial" w:cs="Arial" w:eastAsia="Arial" w:hAnsi="Arial"/>
          <w:sz w:val="18"/>
          <w:szCs w:val="18"/>
          <w:b w:val="1"/>
          <w:bCs w:val="1"/>
          <w:color w:val="231F20"/>
        </w:rPr>
      </w:pPr>
      <w:r>
        <w:rPr>
          <w:rFonts w:ascii="Arial" w:cs="Arial" w:eastAsia="Arial" w:hAnsi="Arial"/>
          <w:sz w:val="18"/>
          <w:szCs w:val="18"/>
          <w:b w:val="1"/>
          <w:bCs w:val="1"/>
          <w:color w:val="231F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7" w:lineRule="exact"/>
        <w:rPr>
          <w:rFonts w:ascii="Arial" w:cs="Arial" w:eastAsia="Arial" w:hAnsi="Arial"/>
          <w:sz w:val="18"/>
          <w:szCs w:val="18"/>
          <w:b w:val="1"/>
          <w:bCs w:val="1"/>
          <w:color w:val="231F20"/>
        </w:rPr>
      </w:pPr>
    </w:p>
    <w:p>
      <w:pPr>
        <w:ind w:left="1080" w:right="180" w:hanging="466"/>
        <w:spacing w:after="0" w:line="220" w:lineRule="exact"/>
        <w:tabs>
          <w:tab w:leader="none" w:pos="1079" w:val="left"/>
        </w:tabs>
        <w:numPr>
          <w:ilvl w:val="1"/>
          <w:numId w:val="70"/>
        </w:numPr>
        <w:rPr>
          <w:rFonts w:ascii="Arial" w:cs="Arial" w:eastAsia="Arial" w:hAnsi="Arial"/>
          <w:sz w:val="17"/>
          <w:szCs w:val="17"/>
          <w:b w:val="1"/>
          <w:bCs w:val="1"/>
          <w:color w:val="231F20"/>
        </w:rPr>
      </w:pPr>
      <w:r>
        <w:rPr>
          <w:rFonts w:ascii="Arial" w:cs="Arial" w:eastAsia="Arial" w:hAnsi="Arial"/>
          <w:sz w:val="17"/>
          <w:szCs w:val="17"/>
          <w:b w:val="1"/>
          <w:bCs w:val="1"/>
          <w:color w:val="231F20"/>
        </w:rPr>
        <w:t>Evaluated the effectiveness of the registrant</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disclosure controls and procedures and presented in this report our conclusions about the effectiveness of the disclosure controls and procedures, as of the end of the period covered by this report based on such evaluation; and</w:t>
      </w:r>
    </w:p>
    <w:p>
      <w:pPr>
        <w:spacing w:after="0" w:line="128" w:lineRule="exact"/>
        <w:rPr>
          <w:rFonts w:ascii="Arial" w:cs="Arial" w:eastAsia="Arial" w:hAnsi="Arial"/>
          <w:sz w:val="17"/>
          <w:szCs w:val="17"/>
          <w:b w:val="1"/>
          <w:bCs w:val="1"/>
          <w:color w:val="231F20"/>
        </w:rPr>
      </w:pPr>
    </w:p>
    <w:p>
      <w:pPr>
        <w:ind w:left="1080" w:right="460" w:hanging="466"/>
        <w:spacing w:after="0" w:line="221" w:lineRule="exact"/>
        <w:tabs>
          <w:tab w:leader="none" w:pos="1079" w:val="left"/>
        </w:tabs>
        <w:numPr>
          <w:ilvl w:val="1"/>
          <w:numId w:val="70"/>
        </w:numPr>
        <w:rPr>
          <w:rFonts w:ascii="Arial" w:cs="Arial" w:eastAsia="Arial" w:hAnsi="Arial"/>
          <w:sz w:val="17"/>
          <w:szCs w:val="17"/>
          <w:b w:val="1"/>
          <w:bCs w:val="1"/>
          <w:color w:val="231F20"/>
        </w:rPr>
      </w:pPr>
      <w:r>
        <w:rPr>
          <w:rFonts w:ascii="Arial" w:cs="Arial" w:eastAsia="Arial" w:hAnsi="Arial"/>
          <w:sz w:val="17"/>
          <w:szCs w:val="17"/>
          <w:b w:val="1"/>
          <w:bCs w:val="1"/>
          <w:color w:val="231F20"/>
        </w:rPr>
        <w:t>Disclosed in this report any change in the registrant</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internal control over financial reporting that occurred during the registrant</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most recent fiscal quarter (the registrant</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fourth fiscal quarter in the case of an annual report) that has materially affected, or is reasonably likely to materially affect, the registrant</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internal control over financial reporting; and</w:t>
      </w:r>
    </w:p>
    <w:p>
      <w:pPr>
        <w:spacing w:after="0" w:line="126" w:lineRule="exact"/>
        <w:rPr>
          <w:rFonts w:ascii="Arial" w:cs="Arial" w:eastAsia="Arial" w:hAnsi="Arial"/>
          <w:sz w:val="17"/>
          <w:szCs w:val="17"/>
          <w:b w:val="1"/>
          <w:bCs w:val="1"/>
          <w:color w:val="231F20"/>
        </w:rPr>
      </w:pPr>
    </w:p>
    <w:p>
      <w:pPr>
        <w:ind w:left="620" w:right="140" w:hanging="478"/>
        <w:spacing w:after="0" w:line="220" w:lineRule="exact"/>
        <w:tabs>
          <w:tab w:leader="none" w:pos="619" w:val="left"/>
        </w:tabs>
        <w:numPr>
          <w:ilvl w:val="0"/>
          <w:numId w:val="70"/>
        </w:numPr>
        <w:rPr>
          <w:rFonts w:ascii="Arial" w:cs="Arial" w:eastAsia="Arial" w:hAnsi="Arial"/>
          <w:sz w:val="18"/>
          <w:szCs w:val="18"/>
          <w:b w:val="1"/>
          <w:bCs w:val="1"/>
          <w:color w:val="231F20"/>
        </w:rPr>
      </w:pPr>
      <w:r>
        <w:rPr>
          <w:rFonts w:ascii="Arial" w:cs="Arial" w:eastAsia="Arial" w:hAnsi="Arial"/>
          <w:sz w:val="18"/>
          <w:szCs w:val="18"/>
          <w:b w:val="1"/>
          <w:bCs w:val="1"/>
          <w:color w:val="231F20"/>
        </w:rPr>
        <w:t>The registrant</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other certifying officer and I have disclosed, based on our most recent evaluation of internal control over financial reporting, to the registrant</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auditors and the audit committee of the registrant</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board of directors (or persons performing the equivalent functions):</w:t>
      </w:r>
    </w:p>
    <w:p>
      <w:pPr>
        <w:spacing w:after="0" w:line="127" w:lineRule="exact"/>
        <w:rPr>
          <w:rFonts w:ascii="Arial" w:cs="Arial" w:eastAsia="Arial" w:hAnsi="Arial"/>
          <w:sz w:val="18"/>
          <w:szCs w:val="18"/>
          <w:b w:val="1"/>
          <w:bCs w:val="1"/>
          <w:color w:val="231F20"/>
        </w:rPr>
      </w:pPr>
    </w:p>
    <w:p>
      <w:pPr>
        <w:ind w:left="1080" w:right="340" w:hanging="466"/>
        <w:spacing w:after="0" w:line="220" w:lineRule="exact"/>
        <w:tabs>
          <w:tab w:leader="none" w:pos="1079" w:val="left"/>
        </w:tabs>
        <w:numPr>
          <w:ilvl w:val="1"/>
          <w:numId w:val="70"/>
        </w:numPr>
        <w:rPr>
          <w:rFonts w:ascii="Arial" w:cs="Arial" w:eastAsia="Arial" w:hAnsi="Arial"/>
          <w:sz w:val="18"/>
          <w:szCs w:val="18"/>
          <w:b w:val="1"/>
          <w:bCs w:val="1"/>
          <w:color w:val="231F20"/>
        </w:rPr>
      </w:pPr>
      <w:r>
        <w:rPr>
          <w:rFonts w:ascii="Arial" w:cs="Arial" w:eastAsia="Arial" w:hAnsi="Arial"/>
          <w:sz w:val="18"/>
          <w:szCs w:val="18"/>
          <w:b w:val="1"/>
          <w:bCs w:val="1"/>
          <w:color w:val="231F20"/>
        </w:rPr>
        <w:t>All significant deficiencies and material weaknesses in the design or operation of internal control over financial reporting which are reasonably likely to adversely affect the registrant</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ability to record, process, summarize and report financial information; and</w:t>
      </w:r>
    </w:p>
    <w:p>
      <w:pPr>
        <w:spacing w:after="0" w:line="128" w:lineRule="exact"/>
        <w:rPr>
          <w:rFonts w:ascii="Arial" w:cs="Arial" w:eastAsia="Arial" w:hAnsi="Arial"/>
          <w:sz w:val="18"/>
          <w:szCs w:val="18"/>
          <w:b w:val="1"/>
          <w:bCs w:val="1"/>
          <w:color w:val="231F20"/>
        </w:rPr>
      </w:pPr>
    </w:p>
    <w:p>
      <w:pPr>
        <w:ind w:left="1080" w:right="960" w:hanging="466"/>
        <w:spacing w:after="0" w:line="218" w:lineRule="exact"/>
        <w:tabs>
          <w:tab w:leader="none" w:pos="1079" w:val="left"/>
        </w:tabs>
        <w:numPr>
          <w:ilvl w:val="1"/>
          <w:numId w:val="70"/>
        </w:numPr>
        <w:rPr>
          <w:rFonts w:ascii="Arial" w:cs="Arial" w:eastAsia="Arial" w:hAnsi="Arial"/>
          <w:sz w:val="18"/>
          <w:szCs w:val="18"/>
          <w:b w:val="1"/>
          <w:bCs w:val="1"/>
          <w:color w:val="231F20"/>
        </w:rPr>
      </w:pPr>
      <w:r>
        <w:rPr>
          <w:rFonts w:ascii="Arial" w:cs="Arial" w:eastAsia="Arial" w:hAnsi="Arial"/>
          <w:sz w:val="18"/>
          <w:szCs w:val="18"/>
          <w:b w:val="1"/>
          <w:bCs w:val="1"/>
          <w:color w:val="231F20"/>
        </w:rPr>
        <w:t>Any fraud, whether or not material, that involves management or other employees who have a significant role in the registrant</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internal control over financial reporting.</w:t>
      </w:r>
    </w:p>
    <w:p>
      <w:pPr>
        <w:spacing w:after="0" w:line="243" w:lineRule="exact"/>
        <w:rPr>
          <w:sz w:val="20"/>
          <w:szCs w:val="20"/>
          <w:color w:val="auto"/>
        </w:rPr>
      </w:pPr>
    </w:p>
    <w:tbl>
      <w:tblPr>
        <w:tblLayout w:type="fixed"/>
        <w:tblInd w:w="140" w:type="dxa"/>
        <w:tblCellMar>
          <w:top w:w="0" w:type="dxa"/>
          <w:left w:w="0" w:type="dxa"/>
          <w:bottom w:w="0" w:type="dxa"/>
          <w:right w:w="0" w:type="dxa"/>
        </w:tblCellMar>
      </w:tblPr>
      <w:tr>
        <w:trPr>
          <w:trHeight w:val="218"/>
        </w:trPr>
        <w:tc>
          <w:tcPr>
            <w:tcW w:w="3080" w:type="dxa"/>
            <w:vAlign w:val="bottom"/>
          </w:tcPr>
          <w:p>
            <w:pPr>
              <w:spacing w:after="0"/>
              <w:rPr>
                <w:sz w:val="20"/>
                <w:szCs w:val="20"/>
                <w:color w:val="auto"/>
              </w:rPr>
            </w:pPr>
            <w:r>
              <w:rPr>
                <w:rFonts w:ascii="Arial" w:cs="Arial" w:eastAsia="Arial" w:hAnsi="Arial"/>
                <w:sz w:val="19"/>
                <w:szCs w:val="19"/>
                <w:b w:val="1"/>
                <w:bCs w:val="1"/>
                <w:color w:val="231F20"/>
              </w:rPr>
              <w:t>Date: March 6, 2025</w:t>
            </w:r>
          </w:p>
        </w:tc>
        <w:tc>
          <w:tcPr>
            <w:tcW w:w="1820" w:type="dxa"/>
            <w:vAlign w:val="bottom"/>
          </w:tcPr>
          <w:p>
            <w:pPr>
              <w:ind w:left="1460"/>
              <w:spacing w:after="0"/>
              <w:rPr>
                <w:sz w:val="20"/>
                <w:szCs w:val="20"/>
                <w:color w:val="auto"/>
              </w:rPr>
            </w:pPr>
            <w:r>
              <w:rPr>
                <w:rFonts w:ascii="Arial" w:cs="Arial" w:eastAsia="Arial" w:hAnsi="Arial"/>
                <w:sz w:val="19"/>
                <w:szCs w:val="19"/>
                <w:b w:val="1"/>
                <w:bCs w:val="1"/>
                <w:color w:val="231F20"/>
              </w:rPr>
              <w:t>By:</w:t>
            </w:r>
          </w:p>
        </w:tc>
        <w:tc>
          <w:tcPr>
            <w:tcW w:w="4180" w:type="dxa"/>
            <w:vAlign w:val="bottom"/>
            <w:tcBorders>
              <w:bottom w:val="single" w:sz="8" w:color="231F20"/>
            </w:tcBorders>
          </w:tcPr>
          <w:p>
            <w:pPr>
              <w:jc w:val="center"/>
              <w:spacing w:after="0"/>
              <w:rPr>
                <w:sz w:val="20"/>
                <w:szCs w:val="20"/>
                <w:color w:val="auto"/>
              </w:rPr>
            </w:pPr>
            <w:r>
              <w:rPr>
                <w:rFonts w:ascii="Arial" w:cs="Arial" w:eastAsia="Arial" w:hAnsi="Arial"/>
                <w:sz w:val="19"/>
                <w:szCs w:val="19"/>
                <w:b w:val="1"/>
                <w:bCs w:val="1"/>
                <w:color w:val="231F20"/>
                <w:w w:val="83"/>
              </w:rPr>
              <w:t>/s/ Jason Lettmann</w:t>
            </w:r>
          </w:p>
        </w:tc>
      </w:tr>
      <w:tr>
        <w:trPr>
          <w:trHeight w:val="223"/>
        </w:trPr>
        <w:tc>
          <w:tcPr>
            <w:tcW w:w="30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180" w:type="dxa"/>
            <w:vAlign w:val="bottom"/>
          </w:tcPr>
          <w:p>
            <w:pPr>
              <w:jc w:val="center"/>
              <w:spacing w:after="0"/>
              <w:rPr>
                <w:sz w:val="20"/>
                <w:szCs w:val="20"/>
                <w:color w:val="auto"/>
              </w:rPr>
            </w:pPr>
            <w:r>
              <w:rPr>
                <w:rFonts w:ascii="Arial" w:cs="Arial" w:eastAsia="Arial" w:hAnsi="Arial"/>
                <w:sz w:val="19"/>
                <w:szCs w:val="19"/>
                <w:b w:val="1"/>
                <w:bCs w:val="1"/>
                <w:color w:val="231F20"/>
                <w:w w:val="91"/>
              </w:rPr>
              <w:t>Jason Lettmann</w:t>
            </w:r>
          </w:p>
        </w:tc>
      </w:tr>
      <w:tr>
        <w:trPr>
          <w:trHeight w:val="238"/>
        </w:trPr>
        <w:tc>
          <w:tcPr>
            <w:tcW w:w="30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Arial" w:cs="Arial" w:eastAsia="Arial" w:hAnsi="Arial"/>
                <w:sz w:val="19"/>
                <w:szCs w:val="19"/>
                <w:b w:val="1"/>
                <w:bCs w:val="1"/>
                <w:color w:val="231F20"/>
                <w:w w:val="94"/>
              </w:rPr>
              <w:t>Chief Executive Officer and Director</w:t>
            </w:r>
          </w:p>
        </w:tc>
      </w:tr>
      <w:tr>
        <w:trPr>
          <w:trHeight w:val="223"/>
        </w:trPr>
        <w:tc>
          <w:tcPr>
            <w:tcW w:w="30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180" w:type="dxa"/>
            <w:vAlign w:val="bottom"/>
          </w:tcPr>
          <w:p>
            <w:pPr>
              <w:jc w:val="center"/>
              <w:spacing w:after="0"/>
              <w:rPr>
                <w:sz w:val="20"/>
                <w:szCs w:val="20"/>
                <w:color w:val="auto"/>
              </w:rPr>
            </w:pPr>
            <w:r>
              <w:rPr>
                <w:rFonts w:ascii="Arial" w:cs="Arial" w:eastAsia="Arial" w:hAnsi="Arial"/>
                <w:sz w:val="19"/>
                <w:szCs w:val="19"/>
                <w:b w:val="1"/>
                <w:bCs w:val="1"/>
                <w:color w:val="231F20"/>
                <w:w w:val="94"/>
              </w:rPr>
              <w:t>(Principal Executive Officer)</w:t>
            </w:r>
          </w:p>
        </w:tc>
      </w:tr>
    </w:tbl>
    <w:p>
      <w:pPr>
        <w:sectPr>
          <w:pgSz w:w="12240" w:h="15840" w:orient="portrait"/>
          <w:cols w:equalWidth="0" w:num="1">
            <w:col w:w="9360"/>
          </w:cols>
          <w:pgMar w:left="1440" w:top="1440" w:right="1440" w:bottom="1440" w:gutter="0" w:footer="0" w:header="0"/>
        </w:sectPr>
      </w:pPr>
    </w:p>
    <w:bookmarkStart w:id="207" w:name="page208"/>
    <w:bookmarkEnd w:id="207"/>
    <w:p>
      <w:pPr>
        <w:spacing w:after="0" w:line="196" w:lineRule="exact"/>
        <w:rPr>
          <w:sz w:val="20"/>
          <w:szCs w:val="20"/>
          <w:color w:val="auto"/>
        </w:rPr>
      </w:pPr>
    </w:p>
    <w:p>
      <w:pPr>
        <w:jc w:val="right"/>
        <w:ind w:right="140"/>
        <w:spacing w:after="0"/>
        <w:rPr>
          <w:sz w:val="20"/>
          <w:szCs w:val="20"/>
          <w:color w:val="auto"/>
        </w:rPr>
      </w:pPr>
      <w:r>
        <w:rPr>
          <w:rFonts w:ascii="Arial" w:cs="Arial" w:eastAsia="Arial" w:hAnsi="Arial"/>
          <w:sz w:val="19"/>
          <w:szCs w:val="19"/>
          <w:b w:val="1"/>
          <w:bCs w:val="1"/>
          <w:color w:val="231F20"/>
        </w:rPr>
        <w:t>Exhibit 31.2</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CERTIFICATION PURSUANT TO</w:t>
      </w:r>
    </w:p>
    <w:p>
      <w:pPr>
        <w:spacing w:after="0" w:line="10" w:lineRule="exact"/>
        <w:rPr>
          <w:sz w:val="20"/>
          <w:szCs w:val="20"/>
          <w:color w:val="auto"/>
        </w:rPr>
      </w:pPr>
    </w:p>
    <w:p>
      <w:pPr>
        <w:jc w:val="center"/>
        <w:ind w:left="140" w:right="140"/>
        <w:spacing w:after="0" w:line="239" w:lineRule="auto"/>
        <w:rPr>
          <w:sz w:val="20"/>
          <w:szCs w:val="20"/>
          <w:color w:val="auto"/>
        </w:rPr>
      </w:pPr>
      <w:r>
        <w:rPr>
          <w:rFonts w:ascii="Arial" w:cs="Arial" w:eastAsia="Arial" w:hAnsi="Arial"/>
          <w:sz w:val="19"/>
          <w:szCs w:val="19"/>
          <w:b w:val="1"/>
          <w:bCs w:val="1"/>
          <w:color w:val="231F20"/>
        </w:rPr>
        <w:t>RULES 13a-14(a) AND 15d-14(a) UNDER THE SECURITIES EXCHANGE ACT OF 1934, AS ADOPTED PURSUANT TO SECTION 302 OF THE SARBANES-OXLEY ACT OF 2002</w:t>
      </w:r>
    </w:p>
    <w:p>
      <w:pPr>
        <w:spacing w:after="0" w:line="239"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231F20"/>
        </w:rPr>
        <w:t>I, Harish Shantharam, certify that:</w:t>
      </w:r>
    </w:p>
    <w:p>
      <w:pPr>
        <w:spacing w:after="0" w:line="120" w:lineRule="exact"/>
        <w:rPr>
          <w:sz w:val="20"/>
          <w:szCs w:val="20"/>
          <w:color w:val="auto"/>
        </w:rPr>
      </w:pPr>
    </w:p>
    <w:p>
      <w:pPr>
        <w:ind w:left="620" w:hanging="478"/>
        <w:spacing w:after="0"/>
        <w:tabs>
          <w:tab w:leader="none" w:pos="620" w:val="left"/>
        </w:tabs>
        <w:numPr>
          <w:ilvl w:val="0"/>
          <w:numId w:val="71"/>
        </w:numPr>
        <w:rPr>
          <w:rFonts w:ascii="Arial" w:cs="Arial" w:eastAsia="Arial" w:hAnsi="Arial"/>
          <w:sz w:val="19"/>
          <w:szCs w:val="19"/>
          <w:b w:val="1"/>
          <w:bCs w:val="1"/>
          <w:color w:val="231F20"/>
        </w:rPr>
      </w:pPr>
      <w:r>
        <w:rPr>
          <w:rFonts w:ascii="Arial" w:cs="Arial" w:eastAsia="Arial" w:hAnsi="Arial"/>
          <w:sz w:val="19"/>
          <w:szCs w:val="19"/>
          <w:b w:val="1"/>
          <w:bCs w:val="1"/>
          <w:color w:val="231F20"/>
        </w:rPr>
        <w:t>I have reviewed this Annual Report on Form 10-K of ALX Oncology Holdings Inc.;</w:t>
      </w:r>
    </w:p>
    <w:p>
      <w:pPr>
        <w:spacing w:after="0" w:line="127" w:lineRule="exact"/>
        <w:rPr>
          <w:rFonts w:ascii="Arial" w:cs="Arial" w:eastAsia="Arial" w:hAnsi="Arial"/>
          <w:sz w:val="19"/>
          <w:szCs w:val="19"/>
          <w:b w:val="1"/>
          <w:bCs w:val="1"/>
          <w:color w:val="231F20"/>
        </w:rPr>
      </w:pPr>
    </w:p>
    <w:p>
      <w:pPr>
        <w:ind w:left="620" w:right="240" w:hanging="478"/>
        <w:spacing w:after="0" w:line="284" w:lineRule="auto"/>
        <w:tabs>
          <w:tab w:leader="none" w:pos="619" w:val="left"/>
        </w:tabs>
        <w:numPr>
          <w:ilvl w:val="0"/>
          <w:numId w:val="71"/>
        </w:numPr>
        <w:rPr>
          <w:rFonts w:ascii="Arial" w:cs="Arial" w:eastAsia="Arial" w:hAnsi="Arial"/>
          <w:sz w:val="17"/>
          <w:szCs w:val="17"/>
          <w:b w:val="1"/>
          <w:bCs w:val="1"/>
          <w:color w:val="231F20"/>
        </w:rPr>
      </w:pPr>
      <w:r>
        <w:rPr>
          <w:rFonts w:ascii="Arial" w:cs="Arial" w:eastAsia="Arial" w:hAnsi="Arial"/>
          <w:sz w:val="17"/>
          <w:szCs w:val="17"/>
          <w:b w:val="1"/>
          <w:bCs w:val="1"/>
          <w:color w:val="231F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0" w:lineRule="exact"/>
        <w:rPr>
          <w:rFonts w:ascii="Arial" w:cs="Arial" w:eastAsia="Arial" w:hAnsi="Arial"/>
          <w:sz w:val="17"/>
          <w:szCs w:val="17"/>
          <w:b w:val="1"/>
          <w:bCs w:val="1"/>
          <w:color w:val="231F20"/>
        </w:rPr>
      </w:pPr>
    </w:p>
    <w:p>
      <w:pPr>
        <w:ind w:left="620" w:right="580" w:hanging="478"/>
        <w:spacing w:after="0" w:line="262" w:lineRule="auto"/>
        <w:tabs>
          <w:tab w:leader="none" w:pos="619" w:val="left"/>
        </w:tabs>
        <w:numPr>
          <w:ilvl w:val="0"/>
          <w:numId w:val="71"/>
        </w:numPr>
        <w:rPr>
          <w:rFonts w:ascii="Arial" w:cs="Arial" w:eastAsia="Arial" w:hAnsi="Arial"/>
          <w:sz w:val="18"/>
          <w:szCs w:val="18"/>
          <w:b w:val="1"/>
          <w:bCs w:val="1"/>
          <w:color w:val="231F20"/>
        </w:rPr>
      </w:pPr>
      <w:r>
        <w:rPr>
          <w:rFonts w:ascii="Arial" w:cs="Arial" w:eastAsia="Arial" w:hAnsi="Arial"/>
          <w:sz w:val="18"/>
          <w:szCs w:val="18"/>
          <w:b w:val="1"/>
          <w:bCs w:val="1"/>
          <w:color w:val="231F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8"/>
          <w:szCs w:val="18"/>
          <w:b w:val="1"/>
          <w:bCs w:val="1"/>
          <w:color w:val="231F20"/>
        </w:rPr>
      </w:pPr>
    </w:p>
    <w:p>
      <w:pPr>
        <w:ind w:left="620" w:right="180" w:hanging="478"/>
        <w:spacing w:after="0" w:line="220" w:lineRule="exact"/>
        <w:tabs>
          <w:tab w:leader="none" w:pos="619" w:val="left"/>
        </w:tabs>
        <w:numPr>
          <w:ilvl w:val="0"/>
          <w:numId w:val="71"/>
        </w:numPr>
        <w:rPr>
          <w:rFonts w:ascii="Arial" w:cs="Arial" w:eastAsia="Arial" w:hAnsi="Arial"/>
          <w:sz w:val="16"/>
          <w:szCs w:val="16"/>
          <w:b w:val="1"/>
          <w:bCs w:val="1"/>
          <w:color w:val="231F20"/>
        </w:rPr>
      </w:pPr>
      <w:r>
        <w:rPr>
          <w:rFonts w:ascii="Arial" w:cs="Arial" w:eastAsia="Arial" w:hAnsi="Arial"/>
          <w:sz w:val="16"/>
          <w:szCs w:val="16"/>
          <w:b w:val="1"/>
          <w:bCs w:val="1"/>
          <w:color w:val="231F20"/>
        </w:rPr>
        <w:t>The registrant</w:t>
      </w:r>
      <w:r>
        <w:rPr>
          <w:rFonts w:ascii="PMingLiU" w:cs="PMingLiU" w:eastAsia="PMingLiU" w:hAnsi="PMingLiU"/>
          <w:sz w:val="16"/>
          <w:szCs w:val="16"/>
          <w:b w:val="1"/>
          <w:bCs w:val="1"/>
          <w:color w:val="231F20"/>
        </w:rPr>
        <w:t></w:t>
      </w:r>
      <w:r>
        <w:rPr>
          <w:rFonts w:ascii="Arial" w:cs="Arial" w:eastAsia="Arial" w:hAnsi="Arial"/>
          <w:sz w:val="16"/>
          <w:szCs w:val="16"/>
          <w:b w:val="1"/>
          <w:bCs w:val="1"/>
          <w:color w:val="231F20"/>
        </w:rPr>
        <w: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6"/>
          <w:szCs w:val="16"/>
          <w:b w:val="1"/>
          <w:bCs w:val="1"/>
          <w:color w:val="231F20"/>
        </w:rPr>
      </w:pPr>
    </w:p>
    <w:p>
      <w:pPr>
        <w:ind w:left="1080" w:right="220" w:hanging="466"/>
        <w:spacing w:after="0" w:line="261" w:lineRule="auto"/>
        <w:tabs>
          <w:tab w:leader="none" w:pos="1079" w:val="left"/>
        </w:tabs>
        <w:numPr>
          <w:ilvl w:val="1"/>
          <w:numId w:val="71"/>
        </w:numPr>
        <w:rPr>
          <w:rFonts w:ascii="Arial" w:cs="Arial" w:eastAsia="Arial" w:hAnsi="Arial"/>
          <w:sz w:val="18"/>
          <w:szCs w:val="18"/>
          <w:b w:val="1"/>
          <w:bCs w:val="1"/>
          <w:color w:val="231F20"/>
        </w:rPr>
      </w:pPr>
      <w:r>
        <w:rPr>
          <w:rFonts w:ascii="Arial" w:cs="Arial" w:eastAsia="Arial" w:hAnsi="Arial"/>
          <w:sz w:val="18"/>
          <w:szCs w:val="18"/>
          <w:b w:val="1"/>
          <w:bCs w:val="1"/>
          <w:color w:val="231F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7" w:lineRule="exact"/>
        <w:rPr>
          <w:rFonts w:ascii="Arial" w:cs="Arial" w:eastAsia="Arial" w:hAnsi="Arial"/>
          <w:sz w:val="18"/>
          <w:szCs w:val="18"/>
          <w:b w:val="1"/>
          <w:bCs w:val="1"/>
          <w:color w:val="231F20"/>
        </w:rPr>
      </w:pPr>
    </w:p>
    <w:p>
      <w:pPr>
        <w:ind w:left="1080" w:right="200" w:hanging="466"/>
        <w:spacing w:after="0" w:line="261" w:lineRule="auto"/>
        <w:tabs>
          <w:tab w:leader="none" w:pos="1079" w:val="left"/>
        </w:tabs>
        <w:numPr>
          <w:ilvl w:val="1"/>
          <w:numId w:val="71"/>
        </w:numPr>
        <w:rPr>
          <w:rFonts w:ascii="Arial" w:cs="Arial" w:eastAsia="Arial" w:hAnsi="Arial"/>
          <w:sz w:val="18"/>
          <w:szCs w:val="18"/>
          <w:b w:val="1"/>
          <w:bCs w:val="1"/>
          <w:color w:val="231F20"/>
        </w:rPr>
      </w:pPr>
      <w:r>
        <w:rPr>
          <w:rFonts w:ascii="Arial" w:cs="Arial" w:eastAsia="Arial" w:hAnsi="Arial"/>
          <w:sz w:val="18"/>
          <w:szCs w:val="18"/>
          <w:b w:val="1"/>
          <w:bCs w:val="1"/>
          <w:color w:val="231F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7" w:lineRule="exact"/>
        <w:rPr>
          <w:rFonts w:ascii="Arial" w:cs="Arial" w:eastAsia="Arial" w:hAnsi="Arial"/>
          <w:sz w:val="18"/>
          <w:szCs w:val="18"/>
          <w:b w:val="1"/>
          <w:bCs w:val="1"/>
          <w:color w:val="231F20"/>
        </w:rPr>
      </w:pPr>
    </w:p>
    <w:p>
      <w:pPr>
        <w:ind w:left="1080" w:right="180" w:hanging="466"/>
        <w:spacing w:after="0" w:line="220" w:lineRule="exact"/>
        <w:tabs>
          <w:tab w:leader="none" w:pos="1079" w:val="left"/>
        </w:tabs>
        <w:numPr>
          <w:ilvl w:val="1"/>
          <w:numId w:val="71"/>
        </w:numPr>
        <w:rPr>
          <w:rFonts w:ascii="Arial" w:cs="Arial" w:eastAsia="Arial" w:hAnsi="Arial"/>
          <w:sz w:val="17"/>
          <w:szCs w:val="17"/>
          <w:b w:val="1"/>
          <w:bCs w:val="1"/>
          <w:color w:val="231F20"/>
        </w:rPr>
      </w:pPr>
      <w:r>
        <w:rPr>
          <w:rFonts w:ascii="Arial" w:cs="Arial" w:eastAsia="Arial" w:hAnsi="Arial"/>
          <w:sz w:val="17"/>
          <w:szCs w:val="17"/>
          <w:b w:val="1"/>
          <w:bCs w:val="1"/>
          <w:color w:val="231F20"/>
        </w:rPr>
        <w:t>Evaluated the effectiveness of the registrant</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disclosure controls and procedures and presented in this report our conclusions about the effectiveness of the disclosure controls and procedures, as of the end of the period covered by this report based on such evaluation; and</w:t>
      </w:r>
    </w:p>
    <w:p>
      <w:pPr>
        <w:spacing w:after="0" w:line="128" w:lineRule="exact"/>
        <w:rPr>
          <w:rFonts w:ascii="Arial" w:cs="Arial" w:eastAsia="Arial" w:hAnsi="Arial"/>
          <w:sz w:val="17"/>
          <w:szCs w:val="17"/>
          <w:b w:val="1"/>
          <w:bCs w:val="1"/>
          <w:color w:val="231F20"/>
        </w:rPr>
      </w:pPr>
    </w:p>
    <w:p>
      <w:pPr>
        <w:ind w:left="1080" w:right="460" w:hanging="466"/>
        <w:spacing w:after="0" w:line="221" w:lineRule="exact"/>
        <w:tabs>
          <w:tab w:leader="none" w:pos="1079" w:val="left"/>
        </w:tabs>
        <w:numPr>
          <w:ilvl w:val="1"/>
          <w:numId w:val="71"/>
        </w:numPr>
        <w:rPr>
          <w:rFonts w:ascii="Arial" w:cs="Arial" w:eastAsia="Arial" w:hAnsi="Arial"/>
          <w:sz w:val="17"/>
          <w:szCs w:val="17"/>
          <w:b w:val="1"/>
          <w:bCs w:val="1"/>
          <w:color w:val="231F20"/>
        </w:rPr>
      </w:pPr>
      <w:r>
        <w:rPr>
          <w:rFonts w:ascii="Arial" w:cs="Arial" w:eastAsia="Arial" w:hAnsi="Arial"/>
          <w:sz w:val="17"/>
          <w:szCs w:val="17"/>
          <w:b w:val="1"/>
          <w:bCs w:val="1"/>
          <w:color w:val="231F20"/>
        </w:rPr>
        <w:t>Disclosed in this report any change in the registrant</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internal control over financial reporting that occurred during the registrant</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most recent fiscal quarter (the registrant</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fourth fiscal quarter in the case of an annual report) that has materially affected, or is reasonably likely to materially affect, the registrant</w:t>
      </w:r>
      <w:r>
        <w:rPr>
          <w:rFonts w:ascii="PMingLiU" w:cs="PMingLiU" w:eastAsia="PMingLiU" w:hAnsi="PMingLiU"/>
          <w:sz w:val="17"/>
          <w:szCs w:val="17"/>
          <w:b w:val="1"/>
          <w:bCs w:val="1"/>
          <w:color w:val="231F20"/>
        </w:rPr>
        <w:t></w:t>
      </w:r>
      <w:r>
        <w:rPr>
          <w:rFonts w:ascii="Arial" w:cs="Arial" w:eastAsia="Arial" w:hAnsi="Arial"/>
          <w:sz w:val="17"/>
          <w:szCs w:val="17"/>
          <w:b w:val="1"/>
          <w:bCs w:val="1"/>
          <w:color w:val="231F20"/>
        </w:rPr>
        <w:t>s internal control over financial reporting; and</w:t>
      </w:r>
    </w:p>
    <w:p>
      <w:pPr>
        <w:spacing w:after="0" w:line="126" w:lineRule="exact"/>
        <w:rPr>
          <w:rFonts w:ascii="Arial" w:cs="Arial" w:eastAsia="Arial" w:hAnsi="Arial"/>
          <w:sz w:val="17"/>
          <w:szCs w:val="17"/>
          <w:b w:val="1"/>
          <w:bCs w:val="1"/>
          <w:color w:val="231F20"/>
        </w:rPr>
      </w:pPr>
    </w:p>
    <w:p>
      <w:pPr>
        <w:ind w:left="620" w:right="140" w:hanging="478"/>
        <w:spacing w:after="0" w:line="220" w:lineRule="exact"/>
        <w:tabs>
          <w:tab w:leader="none" w:pos="619" w:val="left"/>
        </w:tabs>
        <w:numPr>
          <w:ilvl w:val="0"/>
          <w:numId w:val="71"/>
        </w:numPr>
        <w:rPr>
          <w:rFonts w:ascii="Arial" w:cs="Arial" w:eastAsia="Arial" w:hAnsi="Arial"/>
          <w:sz w:val="18"/>
          <w:szCs w:val="18"/>
          <w:b w:val="1"/>
          <w:bCs w:val="1"/>
          <w:color w:val="231F20"/>
        </w:rPr>
      </w:pPr>
      <w:r>
        <w:rPr>
          <w:rFonts w:ascii="Arial" w:cs="Arial" w:eastAsia="Arial" w:hAnsi="Arial"/>
          <w:sz w:val="18"/>
          <w:szCs w:val="18"/>
          <w:b w:val="1"/>
          <w:bCs w:val="1"/>
          <w:color w:val="231F20"/>
        </w:rPr>
        <w:t>The registrant</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other certifying officer and I have disclosed, based on our most recent evaluation of internal control over financial reporting, to the registrant</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auditors and the audit committee of the registrant</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board of directors (or persons performing the equivalent functions):</w:t>
      </w:r>
    </w:p>
    <w:p>
      <w:pPr>
        <w:spacing w:after="0" w:line="127" w:lineRule="exact"/>
        <w:rPr>
          <w:rFonts w:ascii="Arial" w:cs="Arial" w:eastAsia="Arial" w:hAnsi="Arial"/>
          <w:sz w:val="18"/>
          <w:szCs w:val="18"/>
          <w:b w:val="1"/>
          <w:bCs w:val="1"/>
          <w:color w:val="231F20"/>
        </w:rPr>
      </w:pPr>
    </w:p>
    <w:p>
      <w:pPr>
        <w:ind w:left="1080" w:right="340" w:hanging="466"/>
        <w:spacing w:after="0" w:line="220" w:lineRule="exact"/>
        <w:tabs>
          <w:tab w:leader="none" w:pos="1079" w:val="left"/>
        </w:tabs>
        <w:numPr>
          <w:ilvl w:val="1"/>
          <w:numId w:val="71"/>
        </w:numPr>
        <w:rPr>
          <w:rFonts w:ascii="Arial" w:cs="Arial" w:eastAsia="Arial" w:hAnsi="Arial"/>
          <w:sz w:val="18"/>
          <w:szCs w:val="18"/>
          <w:b w:val="1"/>
          <w:bCs w:val="1"/>
          <w:color w:val="231F20"/>
        </w:rPr>
      </w:pPr>
      <w:r>
        <w:rPr>
          <w:rFonts w:ascii="Arial" w:cs="Arial" w:eastAsia="Arial" w:hAnsi="Arial"/>
          <w:sz w:val="18"/>
          <w:szCs w:val="18"/>
          <w:b w:val="1"/>
          <w:bCs w:val="1"/>
          <w:color w:val="231F20"/>
        </w:rPr>
        <w:t>All significant deficiencies and material weaknesses in the design or operation of internal control over financial reporting which are reasonably likely to adversely affect the registrant</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ability to record, process, summarize and report financial information; and</w:t>
      </w:r>
    </w:p>
    <w:p>
      <w:pPr>
        <w:spacing w:after="0" w:line="128" w:lineRule="exact"/>
        <w:rPr>
          <w:rFonts w:ascii="Arial" w:cs="Arial" w:eastAsia="Arial" w:hAnsi="Arial"/>
          <w:sz w:val="18"/>
          <w:szCs w:val="18"/>
          <w:b w:val="1"/>
          <w:bCs w:val="1"/>
          <w:color w:val="231F20"/>
        </w:rPr>
      </w:pPr>
    </w:p>
    <w:p>
      <w:pPr>
        <w:ind w:left="1080" w:right="960" w:hanging="466"/>
        <w:spacing w:after="0" w:line="218" w:lineRule="exact"/>
        <w:tabs>
          <w:tab w:leader="none" w:pos="1079" w:val="left"/>
        </w:tabs>
        <w:numPr>
          <w:ilvl w:val="1"/>
          <w:numId w:val="71"/>
        </w:numPr>
        <w:rPr>
          <w:rFonts w:ascii="Arial" w:cs="Arial" w:eastAsia="Arial" w:hAnsi="Arial"/>
          <w:sz w:val="18"/>
          <w:szCs w:val="18"/>
          <w:b w:val="1"/>
          <w:bCs w:val="1"/>
          <w:color w:val="231F20"/>
        </w:rPr>
      </w:pPr>
      <w:r>
        <w:rPr>
          <w:rFonts w:ascii="Arial" w:cs="Arial" w:eastAsia="Arial" w:hAnsi="Arial"/>
          <w:sz w:val="18"/>
          <w:szCs w:val="18"/>
          <w:b w:val="1"/>
          <w:bCs w:val="1"/>
          <w:color w:val="231F20"/>
        </w:rPr>
        <w:t>Any fraud, whether or not material, that involves management or other employees who have a significant role in the registrant</w:t>
      </w:r>
      <w:r>
        <w:rPr>
          <w:rFonts w:ascii="PMingLiU" w:cs="PMingLiU" w:eastAsia="PMingLiU" w:hAnsi="PMingLiU"/>
          <w:sz w:val="18"/>
          <w:szCs w:val="18"/>
          <w:b w:val="1"/>
          <w:bCs w:val="1"/>
          <w:color w:val="231F20"/>
        </w:rPr>
        <w:t></w:t>
      </w:r>
      <w:r>
        <w:rPr>
          <w:rFonts w:ascii="Arial" w:cs="Arial" w:eastAsia="Arial" w:hAnsi="Arial"/>
          <w:sz w:val="18"/>
          <w:szCs w:val="18"/>
          <w:b w:val="1"/>
          <w:bCs w:val="1"/>
          <w:color w:val="231F20"/>
        </w:rPr>
        <w:t>s internal control over financial reporting.</w:t>
      </w:r>
    </w:p>
    <w:p>
      <w:pPr>
        <w:spacing w:after="0" w:line="243" w:lineRule="exact"/>
        <w:rPr>
          <w:sz w:val="20"/>
          <w:szCs w:val="20"/>
          <w:color w:val="auto"/>
        </w:rPr>
      </w:pPr>
    </w:p>
    <w:tbl>
      <w:tblPr>
        <w:tblLayout w:type="fixed"/>
        <w:tblInd w:w="140" w:type="dxa"/>
        <w:tblCellMar>
          <w:top w:w="0" w:type="dxa"/>
          <w:left w:w="0" w:type="dxa"/>
          <w:bottom w:w="0" w:type="dxa"/>
          <w:right w:w="0" w:type="dxa"/>
        </w:tblCellMar>
      </w:tblPr>
      <w:tr>
        <w:trPr>
          <w:trHeight w:val="218"/>
        </w:trPr>
        <w:tc>
          <w:tcPr>
            <w:tcW w:w="3080" w:type="dxa"/>
            <w:vAlign w:val="bottom"/>
          </w:tcPr>
          <w:p>
            <w:pPr>
              <w:spacing w:after="0"/>
              <w:rPr>
                <w:sz w:val="20"/>
                <w:szCs w:val="20"/>
                <w:color w:val="auto"/>
              </w:rPr>
            </w:pPr>
            <w:r>
              <w:rPr>
                <w:rFonts w:ascii="Arial" w:cs="Arial" w:eastAsia="Arial" w:hAnsi="Arial"/>
                <w:sz w:val="19"/>
                <w:szCs w:val="19"/>
                <w:b w:val="1"/>
                <w:bCs w:val="1"/>
                <w:color w:val="231F20"/>
              </w:rPr>
              <w:t>Date: March 6, 2025</w:t>
            </w:r>
          </w:p>
        </w:tc>
        <w:tc>
          <w:tcPr>
            <w:tcW w:w="1820" w:type="dxa"/>
            <w:vAlign w:val="bottom"/>
          </w:tcPr>
          <w:p>
            <w:pPr>
              <w:ind w:left="1460"/>
              <w:spacing w:after="0"/>
              <w:rPr>
                <w:sz w:val="20"/>
                <w:szCs w:val="20"/>
                <w:color w:val="auto"/>
              </w:rPr>
            </w:pPr>
            <w:r>
              <w:rPr>
                <w:rFonts w:ascii="Arial" w:cs="Arial" w:eastAsia="Arial" w:hAnsi="Arial"/>
                <w:sz w:val="19"/>
                <w:szCs w:val="19"/>
                <w:b w:val="1"/>
                <w:bCs w:val="1"/>
                <w:color w:val="231F20"/>
              </w:rPr>
              <w:t>By:</w:t>
            </w:r>
          </w:p>
        </w:tc>
        <w:tc>
          <w:tcPr>
            <w:tcW w:w="4180" w:type="dxa"/>
            <w:vAlign w:val="bottom"/>
            <w:tcBorders>
              <w:bottom w:val="single" w:sz="8" w:color="231F20"/>
            </w:tcBorders>
          </w:tcPr>
          <w:p>
            <w:pPr>
              <w:jc w:val="center"/>
              <w:spacing w:after="0"/>
              <w:rPr>
                <w:sz w:val="20"/>
                <w:szCs w:val="20"/>
                <w:color w:val="auto"/>
              </w:rPr>
            </w:pPr>
            <w:r>
              <w:rPr>
                <w:rFonts w:ascii="Arial" w:cs="Arial" w:eastAsia="Arial" w:hAnsi="Arial"/>
                <w:sz w:val="19"/>
                <w:szCs w:val="19"/>
                <w:b w:val="1"/>
                <w:bCs w:val="1"/>
                <w:color w:val="231F20"/>
                <w:w w:val="85"/>
              </w:rPr>
              <w:t>/s/ Harish Shantharam</w:t>
            </w:r>
          </w:p>
        </w:tc>
      </w:tr>
      <w:tr>
        <w:trPr>
          <w:trHeight w:val="223"/>
        </w:trPr>
        <w:tc>
          <w:tcPr>
            <w:tcW w:w="30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180" w:type="dxa"/>
            <w:vAlign w:val="bottom"/>
          </w:tcPr>
          <w:p>
            <w:pPr>
              <w:jc w:val="center"/>
              <w:spacing w:after="0"/>
              <w:rPr>
                <w:sz w:val="20"/>
                <w:szCs w:val="20"/>
                <w:color w:val="auto"/>
              </w:rPr>
            </w:pPr>
            <w:r>
              <w:rPr>
                <w:rFonts w:ascii="Arial" w:cs="Arial" w:eastAsia="Arial" w:hAnsi="Arial"/>
                <w:sz w:val="19"/>
                <w:szCs w:val="19"/>
                <w:b w:val="1"/>
                <w:bCs w:val="1"/>
                <w:color w:val="231F20"/>
                <w:w w:val="95"/>
              </w:rPr>
              <w:t>Harish Shantharam</w:t>
            </w:r>
          </w:p>
        </w:tc>
      </w:tr>
      <w:tr>
        <w:trPr>
          <w:trHeight w:val="238"/>
        </w:trPr>
        <w:tc>
          <w:tcPr>
            <w:tcW w:w="30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Arial" w:cs="Arial" w:eastAsia="Arial" w:hAnsi="Arial"/>
                <w:sz w:val="19"/>
                <w:szCs w:val="19"/>
                <w:b w:val="1"/>
                <w:bCs w:val="1"/>
                <w:color w:val="231F20"/>
                <w:w w:val="95"/>
              </w:rPr>
              <w:t>Chief Financial Officer</w:t>
            </w:r>
          </w:p>
        </w:tc>
      </w:tr>
      <w:tr>
        <w:trPr>
          <w:trHeight w:val="223"/>
        </w:trPr>
        <w:tc>
          <w:tcPr>
            <w:tcW w:w="30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180" w:type="dxa"/>
            <w:vAlign w:val="bottom"/>
          </w:tcPr>
          <w:p>
            <w:pPr>
              <w:jc w:val="center"/>
              <w:spacing w:after="0"/>
              <w:rPr>
                <w:sz w:val="20"/>
                <w:szCs w:val="20"/>
                <w:color w:val="auto"/>
              </w:rPr>
            </w:pPr>
            <w:r>
              <w:rPr>
                <w:rFonts w:ascii="Arial" w:cs="Arial" w:eastAsia="Arial" w:hAnsi="Arial"/>
                <w:sz w:val="19"/>
                <w:szCs w:val="19"/>
                <w:b w:val="1"/>
                <w:bCs w:val="1"/>
                <w:color w:val="231F20"/>
                <w:w w:val="95"/>
              </w:rPr>
              <w:t>(Principal Financial Officer)</w:t>
            </w:r>
          </w:p>
        </w:tc>
      </w:tr>
    </w:tbl>
    <w:p>
      <w:pPr>
        <w:sectPr>
          <w:pgSz w:w="12240" w:h="15840" w:orient="portrait"/>
          <w:cols w:equalWidth="0" w:num="1">
            <w:col w:w="9360"/>
          </w:cols>
          <w:pgMar w:left="1440" w:top="1440" w:right="1440" w:bottom="1440" w:gutter="0" w:footer="0" w:header="0"/>
        </w:sectPr>
      </w:pPr>
    </w:p>
    <w:bookmarkStart w:id="208" w:name="page209"/>
    <w:bookmarkEnd w:id="208"/>
    <w:p>
      <w:pPr>
        <w:spacing w:after="0" w:line="196" w:lineRule="exact"/>
        <w:rPr>
          <w:sz w:val="20"/>
          <w:szCs w:val="20"/>
          <w:color w:val="auto"/>
        </w:rPr>
      </w:pPr>
    </w:p>
    <w:p>
      <w:pPr>
        <w:jc w:val="right"/>
        <w:ind w:right="140"/>
        <w:spacing w:after="0"/>
        <w:rPr>
          <w:sz w:val="20"/>
          <w:szCs w:val="20"/>
          <w:color w:val="auto"/>
        </w:rPr>
      </w:pPr>
      <w:r>
        <w:rPr>
          <w:rFonts w:ascii="Arial" w:cs="Arial" w:eastAsia="Arial" w:hAnsi="Arial"/>
          <w:sz w:val="19"/>
          <w:szCs w:val="19"/>
          <w:b w:val="1"/>
          <w:bCs w:val="1"/>
          <w:color w:val="231F20"/>
        </w:rPr>
        <w:t>Exhibit 32.1</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CERTIFICATION PURSUANT TO</w:t>
      </w:r>
    </w:p>
    <w:p>
      <w:pPr>
        <w:spacing w:after="0" w:line="10" w:lineRule="exact"/>
        <w:rPr>
          <w:sz w:val="20"/>
          <w:szCs w:val="20"/>
          <w:color w:val="auto"/>
        </w:rPr>
      </w:pPr>
    </w:p>
    <w:p>
      <w:pPr>
        <w:ind w:left="2160" w:right="2160" w:firstLine="65"/>
        <w:spacing w:after="0" w:line="239" w:lineRule="auto"/>
        <w:rPr>
          <w:sz w:val="20"/>
          <w:szCs w:val="20"/>
          <w:color w:val="auto"/>
        </w:rPr>
      </w:pPr>
      <w:r>
        <w:rPr>
          <w:rFonts w:ascii="Arial" w:cs="Arial" w:eastAsia="Arial" w:hAnsi="Arial"/>
          <w:sz w:val="19"/>
          <w:szCs w:val="19"/>
          <w:b w:val="1"/>
          <w:bCs w:val="1"/>
          <w:color w:val="231F20"/>
        </w:rPr>
        <w:t>18 U.S.C. SECTION 1350, AS ADOPTED PURSUANT TO SECTION 906 OF THE SARBANES-OXLEY ACT OF 2002</w:t>
      </w:r>
    </w:p>
    <w:p>
      <w:pPr>
        <w:spacing w:after="0" w:line="244" w:lineRule="exact"/>
        <w:rPr>
          <w:sz w:val="20"/>
          <w:szCs w:val="20"/>
          <w:color w:val="auto"/>
        </w:rPr>
      </w:pPr>
    </w:p>
    <w:p>
      <w:pPr>
        <w:jc w:val="both"/>
        <w:ind w:left="140" w:right="180" w:firstLine="475"/>
        <w:spacing w:after="0" w:line="221" w:lineRule="exact"/>
        <w:rPr>
          <w:sz w:val="20"/>
          <w:szCs w:val="20"/>
          <w:color w:val="auto"/>
        </w:rPr>
      </w:pPr>
      <w:r>
        <w:rPr>
          <w:rFonts w:ascii="Arial" w:cs="Arial" w:eastAsia="Arial" w:hAnsi="Arial"/>
          <w:sz w:val="19"/>
          <w:szCs w:val="19"/>
          <w:b w:val="1"/>
          <w:bCs w:val="1"/>
          <w:color w:val="231F20"/>
        </w:rPr>
        <w:t xml:space="preserve">In connection with the Annual Report of ALX Oncology Holdings Inc. (the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on Form 10-K for the fiscal year ended December 31, 2024, as filed with the Securities and Exchange Commission on the date hereof (the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Report</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I certify, pursuant to 18 U.S.C. §1350, as adopted pursuant to section 906 of the Sarbanes-Oxley Act of 2002, that:</w:t>
      </w:r>
    </w:p>
    <w:p>
      <w:pPr>
        <w:spacing w:after="0" w:line="243" w:lineRule="exact"/>
        <w:rPr>
          <w:sz w:val="20"/>
          <w:szCs w:val="20"/>
          <w:color w:val="auto"/>
        </w:rPr>
      </w:pPr>
    </w:p>
    <w:p>
      <w:pPr>
        <w:ind w:left="1080" w:right="420" w:hanging="466"/>
        <w:spacing w:after="0" w:line="239" w:lineRule="auto"/>
        <w:tabs>
          <w:tab w:leader="none" w:pos="1079" w:val="left"/>
        </w:tabs>
        <w:numPr>
          <w:ilvl w:val="0"/>
          <w:numId w:val="72"/>
        </w:numPr>
        <w:rPr>
          <w:rFonts w:ascii="Arial" w:cs="Arial" w:eastAsia="Arial" w:hAnsi="Arial"/>
          <w:sz w:val="19"/>
          <w:szCs w:val="19"/>
          <w:b w:val="1"/>
          <w:bCs w:val="1"/>
          <w:color w:val="231F20"/>
        </w:rPr>
      </w:pPr>
      <w:r>
        <w:rPr>
          <w:rFonts w:ascii="Arial" w:cs="Arial" w:eastAsia="Arial" w:hAnsi="Arial"/>
          <w:sz w:val="19"/>
          <w:szCs w:val="19"/>
          <w:b w:val="1"/>
          <w:bCs w:val="1"/>
          <w:color w:val="231F20"/>
        </w:rPr>
        <w:t>The Report fully complies with the requirements of section 13(a) or 15(d) of the Securities Exchange Act of 1934; and</w:t>
      </w:r>
    </w:p>
    <w:p>
      <w:pPr>
        <w:spacing w:after="0" w:line="241" w:lineRule="exact"/>
        <w:rPr>
          <w:rFonts w:ascii="Arial" w:cs="Arial" w:eastAsia="Arial" w:hAnsi="Arial"/>
          <w:sz w:val="19"/>
          <w:szCs w:val="19"/>
          <w:b w:val="1"/>
          <w:bCs w:val="1"/>
          <w:color w:val="231F20"/>
        </w:rPr>
      </w:pPr>
    </w:p>
    <w:p>
      <w:pPr>
        <w:ind w:left="1080" w:right="300" w:hanging="466"/>
        <w:spacing w:after="0" w:line="239" w:lineRule="auto"/>
        <w:tabs>
          <w:tab w:leader="none" w:pos="1079" w:val="left"/>
        </w:tabs>
        <w:numPr>
          <w:ilvl w:val="0"/>
          <w:numId w:val="72"/>
        </w:numPr>
        <w:rPr>
          <w:rFonts w:ascii="Arial" w:cs="Arial" w:eastAsia="Arial" w:hAnsi="Arial"/>
          <w:sz w:val="19"/>
          <w:szCs w:val="19"/>
          <w:b w:val="1"/>
          <w:bCs w:val="1"/>
          <w:color w:val="231F20"/>
        </w:rPr>
      </w:pPr>
      <w:r>
        <w:rPr>
          <w:rFonts w:ascii="Arial" w:cs="Arial" w:eastAsia="Arial" w:hAnsi="Arial"/>
          <w:sz w:val="19"/>
          <w:szCs w:val="19"/>
          <w:b w:val="1"/>
          <w:bCs w:val="1"/>
          <w:color w:val="231F20"/>
        </w:rPr>
        <w:t>The information contained in the Report fairly presents, in all material respects, the financial condition and result of operations of the Company.</w:t>
      </w:r>
    </w:p>
    <w:p>
      <w:pPr>
        <w:spacing w:after="0" w:line="243" w:lineRule="exact"/>
        <w:rPr>
          <w:sz w:val="20"/>
          <w:szCs w:val="20"/>
          <w:color w:val="auto"/>
        </w:rPr>
      </w:pPr>
    </w:p>
    <w:tbl>
      <w:tblPr>
        <w:tblLayout w:type="fixed"/>
        <w:tblInd w:w="140" w:type="dxa"/>
        <w:tblCellMar>
          <w:top w:w="0" w:type="dxa"/>
          <w:left w:w="0" w:type="dxa"/>
          <w:bottom w:w="0" w:type="dxa"/>
          <w:right w:w="0" w:type="dxa"/>
        </w:tblCellMar>
      </w:tblPr>
      <w:tr>
        <w:trPr>
          <w:trHeight w:val="219"/>
        </w:trPr>
        <w:tc>
          <w:tcPr>
            <w:tcW w:w="3040" w:type="dxa"/>
            <w:vAlign w:val="bottom"/>
          </w:tcPr>
          <w:p>
            <w:pPr>
              <w:spacing w:after="0"/>
              <w:rPr>
                <w:sz w:val="20"/>
                <w:szCs w:val="20"/>
                <w:color w:val="auto"/>
              </w:rPr>
            </w:pPr>
            <w:r>
              <w:rPr>
                <w:rFonts w:ascii="Arial" w:cs="Arial" w:eastAsia="Arial" w:hAnsi="Arial"/>
                <w:sz w:val="19"/>
                <w:szCs w:val="19"/>
                <w:b w:val="1"/>
                <w:bCs w:val="1"/>
                <w:color w:val="231F20"/>
              </w:rPr>
              <w:t>Date: March 6, 2025</w:t>
            </w:r>
          </w:p>
        </w:tc>
        <w:tc>
          <w:tcPr>
            <w:tcW w:w="1880" w:type="dxa"/>
            <w:vAlign w:val="bottom"/>
          </w:tcPr>
          <w:p>
            <w:pPr>
              <w:ind w:left="1420"/>
              <w:spacing w:after="0"/>
              <w:rPr>
                <w:sz w:val="20"/>
                <w:szCs w:val="20"/>
                <w:color w:val="auto"/>
              </w:rPr>
            </w:pPr>
            <w:r>
              <w:rPr>
                <w:rFonts w:ascii="Arial" w:cs="Arial" w:eastAsia="Arial" w:hAnsi="Arial"/>
                <w:sz w:val="19"/>
                <w:szCs w:val="19"/>
                <w:b w:val="1"/>
                <w:bCs w:val="1"/>
                <w:color w:val="231F20"/>
              </w:rPr>
              <w:t>By:</w:t>
            </w:r>
          </w:p>
        </w:tc>
        <w:tc>
          <w:tcPr>
            <w:tcW w:w="4160" w:type="dxa"/>
            <w:vAlign w:val="bottom"/>
            <w:tcBorders>
              <w:bottom w:val="single" w:sz="8" w:color="231F20"/>
            </w:tcBorders>
          </w:tcPr>
          <w:p>
            <w:pPr>
              <w:jc w:val="center"/>
              <w:spacing w:after="0"/>
              <w:rPr>
                <w:sz w:val="20"/>
                <w:szCs w:val="20"/>
                <w:color w:val="auto"/>
              </w:rPr>
            </w:pPr>
            <w:r>
              <w:rPr>
                <w:rFonts w:ascii="Arial" w:cs="Arial" w:eastAsia="Arial" w:hAnsi="Arial"/>
                <w:sz w:val="19"/>
                <w:szCs w:val="19"/>
                <w:b w:val="1"/>
                <w:bCs w:val="1"/>
                <w:color w:val="231F20"/>
                <w:w w:val="84"/>
              </w:rPr>
              <w:t>/s/ Jason Lettmann</w:t>
            </w:r>
          </w:p>
        </w:tc>
      </w:tr>
      <w:tr>
        <w:trPr>
          <w:trHeight w:val="221"/>
        </w:trPr>
        <w:tc>
          <w:tcPr>
            <w:tcW w:w="30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160" w:type="dxa"/>
            <w:vAlign w:val="bottom"/>
          </w:tcPr>
          <w:p>
            <w:pPr>
              <w:jc w:val="center"/>
              <w:spacing w:after="0"/>
              <w:rPr>
                <w:sz w:val="20"/>
                <w:szCs w:val="20"/>
                <w:color w:val="auto"/>
              </w:rPr>
            </w:pPr>
            <w:r>
              <w:rPr>
                <w:rFonts w:ascii="Arial" w:cs="Arial" w:eastAsia="Arial" w:hAnsi="Arial"/>
                <w:sz w:val="19"/>
                <w:szCs w:val="19"/>
                <w:b w:val="1"/>
                <w:bCs w:val="1"/>
                <w:color w:val="231F20"/>
                <w:w w:val="91"/>
              </w:rPr>
              <w:t>Jason Lettmann</w:t>
            </w:r>
          </w:p>
        </w:tc>
      </w:tr>
      <w:tr>
        <w:trPr>
          <w:trHeight w:val="238"/>
        </w:trPr>
        <w:tc>
          <w:tcPr>
            <w:tcW w:w="30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Arial" w:cs="Arial" w:eastAsia="Arial" w:hAnsi="Arial"/>
                <w:sz w:val="19"/>
                <w:szCs w:val="19"/>
                <w:b w:val="1"/>
                <w:bCs w:val="1"/>
                <w:color w:val="231F20"/>
                <w:w w:val="94"/>
              </w:rPr>
              <w:t>Chief Executive Officer and Director</w:t>
            </w:r>
          </w:p>
        </w:tc>
      </w:tr>
      <w:tr>
        <w:trPr>
          <w:trHeight w:val="223"/>
        </w:trPr>
        <w:tc>
          <w:tcPr>
            <w:tcW w:w="30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160" w:type="dxa"/>
            <w:vAlign w:val="bottom"/>
          </w:tcPr>
          <w:p>
            <w:pPr>
              <w:jc w:val="center"/>
              <w:spacing w:after="0"/>
              <w:rPr>
                <w:sz w:val="20"/>
                <w:szCs w:val="20"/>
                <w:color w:val="auto"/>
              </w:rPr>
            </w:pPr>
            <w:r>
              <w:rPr>
                <w:rFonts w:ascii="Arial" w:cs="Arial" w:eastAsia="Arial" w:hAnsi="Arial"/>
                <w:sz w:val="19"/>
                <w:szCs w:val="19"/>
                <w:b w:val="1"/>
                <w:bCs w:val="1"/>
                <w:color w:val="231F20"/>
                <w:w w:val="93"/>
              </w:rPr>
              <w:t>(Principal Executive Officer)</w:t>
            </w:r>
          </w:p>
        </w:tc>
      </w:tr>
    </w:tbl>
    <w:p>
      <w:pPr>
        <w:sectPr>
          <w:pgSz w:w="12240" w:h="15840" w:orient="portrait"/>
          <w:cols w:equalWidth="0" w:num="1">
            <w:col w:w="9360"/>
          </w:cols>
          <w:pgMar w:left="1440" w:top="1440" w:right="1440" w:bottom="1440" w:gutter="0" w:footer="0" w:header="0"/>
        </w:sectPr>
      </w:pPr>
    </w:p>
    <w:bookmarkStart w:id="209" w:name="page210"/>
    <w:bookmarkEnd w:id="209"/>
    <w:p>
      <w:pPr>
        <w:spacing w:after="0" w:line="196" w:lineRule="exact"/>
        <w:rPr>
          <w:sz w:val="20"/>
          <w:szCs w:val="20"/>
          <w:color w:val="auto"/>
        </w:rPr>
      </w:pPr>
    </w:p>
    <w:p>
      <w:pPr>
        <w:jc w:val="right"/>
        <w:ind w:right="140"/>
        <w:spacing w:after="0"/>
        <w:rPr>
          <w:sz w:val="20"/>
          <w:szCs w:val="20"/>
          <w:color w:val="auto"/>
        </w:rPr>
      </w:pPr>
      <w:r>
        <w:rPr>
          <w:rFonts w:ascii="Arial" w:cs="Arial" w:eastAsia="Arial" w:hAnsi="Arial"/>
          <w:sz w:val="19"/>
          <w:szCs w:val="19"/>
          <w:b w:val="1"/>
          <w:bCs w:val="1"/>
          <w:color w:val="231F20"/>
        </w:rPr>
        <w:t>Exhibit 32.2</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CERTIFICATION PURSUANT TO</w:t>
      </w:r>
    </w:p>
    <w:p>
      <w:pPr>
        <w:spacing w:after="0" w:line="10" w:lineRule="exact"/>
        <w:rPr>
          <w:sz w:val="20"/>
          <w:szCs w:val="20"/>
          <w:color w:val="auto"/>
        </w:rPr>
      </w:pPr>
    </w:p>
    <w:p>
      <w:pPr>
        <w:ind w:left="2160" w:right="2160" w:firstLine="65"/>
        <w:spacing w:after="0" w:line="239" w:lineRule="auto"/>
        <w:rPr>
          <w:sz w:val="20"/>
          <w:szCs w:val="20"/>
          <w:color w:val="auto"/>
        </w:rPr>
      </w:pPr>
      <w:r>
        <w:rPr>
          <w:rFonts w:ascii="Arial" w:cs="Arial" w:eastAsia="Arial" w:hAnsi="Arial"/>
          <w:sz w:val="19"/>
          <w:szCs w:val="19"/>
          <w:b w:val="1"/>
          <w:bCs w:val="1"/>
          <w:color w:val="231F20"/>
        </w:rPr>
        <w:t>18 U.S.C. SECTION 1350, AS ADOPTED PURSUANT TO SECTION 906 OF THE SARBANES-OXLEY ACT OF 2002</w:t>
      </w:r>
    </w:p>
    <w:p>
      <w:pPr>
        <w:spacing w:after="0" w:line="244" w:lineRule="exact"/>
        <w:rPr>
          <w:sz w:val="20"/>
          <w:szCs w:val="20"/>
          <w:color w:val="auto"/>
        </w:rPr>
      </w:pPr>
    </w:p>
    <w:p>
      <w:pPr>
        <w:jc w:val="both"/>
        <w:ind w:left="140" w:right="180" w:firstLine="475"/>
        <w:spacing w:after="0" w:line="221" w:lineRule="exact"/>
        <w:rPr>
          <w:sz w:val="20"/>
          <w:szCs w:val="20"/>
          <w:color w:val="auto"/>
        </w:rPr>
      </w:pPr>
      <w:r>
        <w:rPr>
          <w:rFonts w:ascii="Arial" w:cs="Arial" w:eastAsia="Arial" w:hAnsi="Arial"/>
          <w:sz w:val="19"/>
          <w:szCs w:val="19"/>
          <w:b w:val="1"/>
          <w:bCs w:val="1"/>
          <w:color w:val="231F20"/>
        </w:rPr>
        <w:t xml:space="preserve">In connection with the Annual Report of ALX Oncology Holdings Inc. (the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Company</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xml:space="preserve">), on Form 10-K for the fiscal year ended December 31, 2024, as filed with the Securities and Exchange Commission on the date hereof (the </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Report</w:t>
      </w:r>
      <w:r>
        <w:rPr>
          <w:rFonts w:ascii="PMingLiU" w:cs="PMingLiU" w:eastAsia="PMingLiU" w:hAnsi="PMingLiU"/>
          <w:sz w:val="19"/>
          <w:szCs w:val="19"/>
          <w:b w:val="1"/>
          <w:bCs w:val="1"/>
          <w:color w:val="231F20"/>
        </w:rPr>
        <w:t></w:t>
      </w:r>
      <w:r>
        <w:rPr>
          <w:rFonts w:ascii="Arial" w:cs="Arial" w:eastAsia="Arial" w:hAnsi="Arial"/>
          <w:sz w:val="19"/>
          <w:szCs w:val="19"/>
          <w:b w:val="1"/>
          <w:bCs w:val="1"/>
          <w:color w:val="231F20"/>
        </w:rPr>
        <w:t>), I certify, pursuant to 18 U.S.C. §1350, as adopted pursuant to section 906 of the Sarbanes-Oxley Act of 2002, that:</w:t>
      </w:r>
    </w:p>
    <w:p>
      <w:pPr>
        <w:spacing w:after="0" w:line="243" w:lineRule="exact"/>
        <w:rPr>
          <w:sz w:val="20"/>
          <w:szCs w:val="20"/>
          <w:color w:val="auto"/>
        </w:rPr>
      </w:pPr>
    </w:p>
    <w:p>
      <w:pPr>
        <w:ind w:left="1080" w:right="420" w:hanging="466"/>
        <w:spacing w:after="0" w:line="239" w:lineRule="auto"/>
        <w:tabs>
          <w:tab w:leader="none" w:pos="1079" w:val="left"/>
        </w:tabs>
        <w:numPr>
          <w:ilvl w:val="0"/>
          <w:numId w:val="73"/>
        </w:numPr>
        <w:rPr>
          <w:rFonts w:ascii="Arial" w:cs="Arial" w:eastAsia="Arial" w:hAnsi="Arial"/>
          <w:sz w:val="19"/>
          <w:szCs w:val="19"/>
          <w:b w:val="1"/>
          <w:bCs w:val="1"/>
          <w:color w:val="231F20"/>
        </w:rPr>
      </w:pPr>
      <w:r>
        <w:rPr>
          <w:rFonts w:ascii="Arial" w:cs="Arial" w:eastAsia="Arial" w:hAnsi="Arial"/>
          <w:sz w:val="19"/>
          <w:szCs w:val="19"/>
          <w:b w:val="1"/>
          <w:bCs w:val="1"/>
          <w:color w:val="231F20"/>
        </w:rPr>
        <w:t>The Report fully complies with the requirements of section 13(a) or 15(d) of the Securities Exchange Act of 1934; and</w:t>
      </w:r>
    </w:p>
    <w:p>
      <w:pPr>
        <w:spacing w:after="0" w:line="241" w:lineRule="exact"/>
        <w:rPr>
          <w:rFonts w:ascii="Arial" w:cs="Arial" w:eastAsia="Arial" w:hAnsi="Arial"/>
          <w:sz w:val="19"/>
          <w:szCs w:val="19"/>
          <w:b w:val="1"/>
          <w:bCs w:val="1"/>
          <w:color w:val="231F20"/>
        </w:rPr>
      </w:pPr>
    </w:p>
    <w:p>
      <w:pPr>
        <w:ind w:left="1080" w:right="300" w:hanging="466"/>
        <w:spacing w:after="0" w:line="239" w:lineRule="auto"/>
        <w:tabs>
          <w:tab w:leader="none" w:pos="1079" w:val="left"/>
        </w:tabs>
        <w:numPr>
          <w:ilvl w:val="0"/>
          <w:numId w:val="73"/>
        </w:numPr>
        <w:rPr>
          <w:rFonts w:ascii="Arial" w:cs="Arial" w:eastAsia="Arial" w:hAnsi="Arial"/>
          <w:sz w:val="19"/>
          <w:szCs w:val="19"/>
          <w:b w:val="1"/>
          <w:bCs w:val="1"/>
          <w:color w:val="231F20"/>
        </w:rPr>
      </w:pPr>
      <w:r>
        <w:rPr>
          <w:rFonts w:ascii="Arial" w:cs="Arial" w:eastAsia="Arial" w:hAnsi="Arial"/>
          <w:sz w:val="19"/>
          <w:szCs w:val="19"/>
          <w:b w:val="1"/>
          <w:bCs w:val="1"/>
          <w:color w:val="231F20"/>
        </w:rPr>
        <w:t>The information contained in the Report fairly presents, in all material respects, the financial condition and result of operations of the Company.</w:t>
      </w:r>
    </w:p>
    <w:p>
      <w:pPr>
        <w:spacing w:after="0" w:line="243" w:lineRule="exact"/>
        <w:rPr>
          <w:sz w:val="20"/>
          <w:szCs w:val="20"/>
          <w:color w:val="auto"/>
        </w:rPr>
      </w:pPr>
    </w:p>
    <w:tbl>
      <w:tblPr>
        <w:tblLayout w:type="fixed"/>
        <w:tblInd w:w="140" w:type="dxa"/>
        <w:tblCellMar>
          <w:top w:w="0" w:type="dxa"/>
          <w:left w:w="0" w:type="dxa"/>
          <w:bottom w:w="0" w:type="dxa"/>
          <w:right w:w="0" w:type="dxa"/>
        </w:tblCellMar>
      </w:tblPr>
      <w:tr>
        <w:trPr>
          <w:trHeight w:val="219"/>
        </w:trPr>
        <w:tc>
          <w:tcPr>
            <w:tcW w:w="2940" w:type="dxa"/>
            <w:vAlign w:val="bottom"/>
          </w:tcPr>
          <w:p>
            <w:pPr>
              <w:spacing w:after="0"/>
              <w:rPr>
                <w:sz w:val="20"/>
                <w:szCs w:val="20"/>
                <w:color w:val="auto"/>
              </w:rPr>
            </w:pPr>
            <w:r>
              <w:rPr>
                <w:rFonts w:ascii="Arial" w:cs="Arial" w:eastAsia="Arial" w:hAnsi="Arial"/>
                <w:sz w:val="19"/>
                <w:szCs w:val="19"/>
                <w:b w:val="1"/>
                <w:bCs w:val="1"/>
                <w:color w:val="231F20"/>
              </w:rPr>
              <w:t>Date: March 6, 2025</w:t>
            </w:r>
          </w:p>
        </w:tc>
        <w:tc>
          <w:tcPr>
            <w:tcW w:w="1700" w:type="dxa"/>
            <w:vAlign w:val="bottom"/>
          </w:tcPr>
          <w:p>
            <w:pPr>
              <w:ind w:left="1320"/>
              <w:spacing w:after="0"/>
              <w:rPr>
                <w:sz w:val="20"/>
                <w:szCs w:val="20"/>
                <w:color w:val="auto"/>
              </w:rPr>
            </w:pPr>
            <w:r>
              <w:rPr>
                <w:rFonts w:ascii="Arial" w:cs="Arial" w:eastAsia="Arial" w:hAnsi="Arial"/>
                <w:sz w:val="19"/>
                <w:szCs w:val="19"/>
                <w:b w:val="1"/>
                <w:bCs w:val="1"/>
                <w:color w:val="231F20"/>
              </w:rPr>
              <w:t>By:</w:t>
            </w:r>
          </w:p>
        </w:tc>
        <w:tc>
          <w:tcPr>
            <w:tcW w:w="4440" w:type="dxa"/>
            <w:vAlign w:val="bottom"/>
            <w:tcBorders>
              <w:bottom w:val="single" w:sz="8" w:color="231F20"/>
            </w:tcBorders>
          </w:tcPr>
          <w:p>
            <w:pPr>
              <w:jc w:val="center"/>
              <w:spacing w:after="0"/>
              <w:rPr>
                <w:sz w:val="20"/>
                <w:szCs w:val="20"/>
                <w:color w:val="auto"/>
              </w:rPr>
            </w:pPr>
            <w:r>
              <w:rPr>
                <w:rFonts w:ascii="Arial" w:cs="Arial" w:eastAsia="Arial" w:hAnsi="Arial"/>
                <w:sz w:val="19"/>
                <w:szCs w:val="19"/>
                <w:b w:val="1"/>
                <w:bCs w:val="1"/>
                <w:color w:val="231F20"/>
                <w:w w:val="86"/>
              </w:rPr>
              <w:t>/s/ Harish Shantharam</w:t>
            </w:r>
          </w:p>
        </w:tc>
      </w:tr>
      <w:tr>
        <w:trPr>
          <w:trHeight w:val="221"/>
        </w:trPr>
        <w:tc>
          <w:tcPr>
            <w:tcW w:w="29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19"/>
                <w:szCs w:val="19"/>
                <w:b w:val="1"/>
                <w:bCs w:val="1"/>
                <w:color w:val="231F20"/>
                <w:w w:val="95"/>
              </w:rPr>
              <w:t>Harish Shantharam</w:t>
            </w:r>
          </w:p>
        </w:tc>
      </w:tr>
      <w:tr>
        <w:trPr>
          <w:trHeight w:val="238"/>
        </w:trPr>
        <w:tc>
          <w:tcPr>
            <w:tcW w:w="29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9"/>
                <w:szCs w:val="19"/>
                <w:b w:val="1"/>
                <w:bCs w:val="1"/>
                <w:color w:val="231F20"/>
                <w:w w:val="95"/>
              </w:rPr>
              <w:t>Chief Financial Officer</w:t>
            </w:r>
          </w:p>
        </w:tc>
      </w:tr>
      <w:tr>
        <w:trPr>
          <w:trHeight w:val="223"/>
        </w:trPr>
        <w:tc>
          <w:tcPr>
            <w:tcW w:w="29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19"/>
                <w:szCs w:val="19"/>
                <w:b w:val="1"/>
                <w:bCs w:val="1"/>
                <w:color w:val="231F20"/>
                <w:w w:val="95"/>
              </w:rPr>
              <w:t>(Principal Financial Officer)</w:t>
            </w:r>
          </w:p>
        </w:tc>
      </w:tr>
    </w:tbl>
    <w:p>
      <w:pPr>
        <w:sectPr>
          <w:pgSz w:w="12240" w:h="15840" w:orient="portrait"/>
          <w:cols w:equalWidth="0" w:num="1">
            <w:col w:w="9360"/>
          </w:cols>
          <w:pgMar w:left="1440" w:top="1440" w:right="1440" w:bottom="1440" w:gutter="0" w:footer="0" w:header="0"/>
        </w:sectPr>
      </w:pPr>
    </w:p>
    <w:bookmarkStart w:id="210" w:name="page211"/>
    <w:bookmarkEnd w:id="2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100330</wp:posOffset>
            </wp:positionH>
            <wp:positionV relativeFrom="page">
              <wp:posOffset>9728835</wp:posOffset>
            </wp:positionV>
            <wp:extent cx="7570470" cy="22796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570470" cy="227965"/>
                    </a:xfrm>
                    <a:prstGeom prst="rect">
                      <a:avLst/>
                    </a:prstGeom>
                    <a:noFill/>
                  </pic:spPr>
                </pic:pic>
              </a:graphicData>
            </a:graphic>
          </wp:anchor>
        </w:drawing>
        <w:drawing>
          <wp:anchor simplePos="0" relativeHeight="251657728" behindDoc="1" locked="0" layoutInCell="0" allowOverlap="1">
            <wp:simplePos x="0" y="0"/>
            <wp:positionH relativeFrom="page">
              <wp:posOffset>100330</wp:posOffset>
            </wp:positionH>
            <wp:positionV relativeFrom="page">
              <wp:posOffset>113030</wp:posOffset>
            </wp:positionV>
            <wp:extent cx="7559675" cy="227266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559675" cy="2272665"/>
                    </a:xfrm>
                    <a:prstGeom prst="rect">
                      <a:avLst/>
                    </a:prstGeom>
                    <a:noFill/>
                  </pic:spPr>
                </pic:pic>
              </a:graphicData>
            </a:graphic>
          </wp:anchor>
        </w:drawing>
        <w:drawing>
          <wp:anchor simplePos="0" relativeHeight="251657728" behindDoc="1" locked="0" layoutInCell="0" allowOverlap="1">
            <wp:simplePos x="0" y="0"/>
            <wp:positionH relativeFrom="page">
              <wp:posOffset>5972810</wp:posOffset>
            </wp:positionH>
            <wp:positionV relativeFrom="page">
              <wp:posOffset>8961120</wp:posOffset>
            </wp:positionV>
            <wp:extent cx="1172210" cy="8826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172210" cy="88265"/>
                    </a:xfrm>
                    <a:prstGeom prst="rect">
                      <a:avLst/>
                    </a:prstGeom>
                    <a:noFill/>
                  </pic:spPr>
                </pic:pic>
              </a:graphicData>
            </a:graphic>
          </wp:anchor>
        </w:drawing>
        <w:drawing>
          <wp:anchor simplePos="0" relativeHeight="251657728" behindDoc="1" locked="0" layoutInCell="0" allowOverlap="1">
            <wp:simplePos x="0" y="0"/>
            <wp:positionH relativeFrom="page">
              <wp:posOffset>5855335</wp:posOffset>
            </wp:positionH>
            <wp:positionV relativeFrom="page">
              <wp:posOffset>9081770</wp:posOffset>
            </wp:positionV>
            <wp:extent cx="1301750" cy="6858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301750" cy="68580"/>
                    </a:xfrm>
                    <a:prstGeom prst="rect">
                      <a:avLst/>
                    </a:prstGeom>
                    <a:noFill/>
                  </pic:spPr>
                </pic:pic>
              </a:graphicData>
            </a:graphic>
          </wp:anchor>
        </w:drawing>
        <w:drawing>
          <wp:anchor simplePos="0" relativeHeight="251657728" behindDoc="1" locked="0" layoutInCell="0" allowOverlap="1">
            <wp:simplePos x="0" y="0"/>
            <wp:positionH relativeFrom="page">
              <wp:posOffset>572770</wp:posOffset>
            </wp:positionH>
            <wp:positionV relativeFrom="page">
              <wp:posOffset>9186545</wp:posOffset>
            </wp:positionV>
            <wp:extent cx="6678295" cy="22542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678295" cy="225425"/>
                    </a:xfrm>
                    <a:prstGeom prst="rect">
                      <a:avLst/>
                    </a:prstGeom>
                    <a:noFill/>
                  </pic:spPr>
                </pic:pic>
              </a:graphicData>
            </a:graphic>
          </wp:anchor>
        </w:drawing>
        <w:drawing>
          <wp:anchor simplePos="0" relativeHeight="251657728" behindDoc="1" locked="0" layoutInCell="0" allowOverlap="1">
            <wp:simplePos x="0" y="0"/>
            <wp:positionH relativeFrom="page">
              <wp:posOffset>560705</wp:posOffset>
            </wp:positionH>
            <wp:positionV relativeFrom="page">
              <wp:posOffset>3189605</wp:posOffset>
            </wp:positionV>
            <wp:extent cx="492760" cy="156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492760" cy="156845"/>
                    </a:xfrm>
                    <a:prstGeom prst="rect">
                      <a:avLst/>
                    </a:prstGeom>
                    <a:noFill/>
                  </pic:spPr>
                </pic:pic>
              </a:graphicData>
            </a:graphic>
          </wp:anchor>
        </w:drawing>
        <w:drawing>
          <wp:anchor simplePos="0" relativeHeight="251657728" behindDoc="1" locked="0" layoutInCell="0" allowOverlap="1">
            <wp:simplePos x="0" y="0"/>
            <wp:positionH relativeFrom="page">
              <wp:posOffset>575945</wp:posOffset>
            </wp:positionH>
            <wp:positionV relativeFrom="page">
              <wp:posOffset>3536950</wp:posOffset>
            </wp:positionV>
            <wp:extent cx="964565" cy="8382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964565" cy="83820"/>
                    </a:xfrm>
                    <a:prstGeom prst="rect">
                      <a:avLst/>
                    </a:prstGeom>
                    <a:noFill/>
                  </pic:spPr>
                </pic:pic>
              </a:graphicData>
            </a:graphic>
          </wp:anchor>
        </w:drawing>
        <w:drawing>
          <wp:anchor simplePos="0" relativeHeight="251657728" behindDoc="1" locked="0" layoutInCell="0" allowOverlap="1">
            <wp:simplePos x="0" y="0"/>
            <wp:positionH relativeFrom="page">
              <wp:posOffset>575945</wp:posOffset>
            </wp:positionH>
            <wp:positionV relativeFrom="page">
              <wp:posOffset>3689350</wp:posOffset>
            </wp:positionV>
            <wp:extent cx="1220470" cy="8382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20470" cy="83820"/>
                    </a:xfrm>
                    <a:prstGeom prst="rect">
                      <a:avLst/>
                    </a:prstGeom>
                    <a:noFill/>
                  </pic:spPr>
                </pic:pic>
              </a:graphicData>
            </a:graphic>
          </wp:anchor>
        </w:drawing>
        <w:drawing>
          <wp:anchor simplePos="0" relativeHeight="251657728" behindDoc="1" locked="0" layoutInCell="0" allowOverlap="1">
            <wp:simplePos x="0" y="0"/>
            <wp:positionH relativeFrom="page">
              <wp:posOffset>574675</wp:posOffset>
            </wp:positionH>
            <wp:positionV relativeFrom="page">
              <wp:posOffset>3983990</wp:posOffset>
            </wp:positionV>
            <wp:extent cx="1078865" cy="10223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078865" cy="102235"/>
                    </a:xfrm>
                    <a:prstGeom prst="rect">
                      <a:avLst/>
                    </a:prstGeom>
                    <a:noFill/>
                  </pic:spPr>
                </pic:pic>
              </a:graphicData>
            </a:graphic>
          </wp:anchor>
        </w:drawing>
        <w:drawing>
          <wp:anchor simplePos="0" relativeHeight="251657728" behindDoc="1" locked="0" layoutInCell="0" allowOverlap="1">
            <wp:simplePos x="0" y="0"/>
            <wp:positionH relativeFrom="page">
              <wp:posOffset>575945</wp:posOffset>
            </wp:positionH>
            <wp:positionV relativeFrom="page">
              <wp:posOffset>4129405</wp:posOffset>
            </wp:positionV>
            <wp:extent cx="1135380" cy="10477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135380" cy="104775"/>
                    </a:xfrm>
                    <a:prstGeom prst="rect">
                      <a:avLst/>
                    </a:prstGeom>
                    <a:noFill/>
                  </pic:spPr>
                </pic:pic>
              </a:graphicData>
            </a:graphic>
          </wp:anchor>
        </w:drawing>
        <w:drawing>
          <wp:anchor simplePos="0" relativeHeight="251657728" behindDoc="1" locked="0" layoutInCell="0" allowOverlap="1">
            <wp:simplePos x="0" y="0"/>
            <wp:positionH relativeFrom="page">
              <wp:posOffset>574675</wp:posOffset>
            </wp:positionH>
            <wp:positionV relativeFrom="page">
              <wp:posOffset>4430395</wp:posOffset>
            </wp:positionV>
            <wp:extent cx="1123315" cy="10668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123315" cy="106680"/>
                    </a:xfrm>
                    <a:prstGeom prst="rect">
                      <a:avLst/>
                    </a:prstGeom>
                    <a:noFill/>
                  </pic:spPr>
                </pic:pic>
              </a:graphicData>
            </a:graphic>
          </wp:anchor>
        </w:drawing>
        <w:drawing>
          <wp:anchor simplePos="0" relativeHeight="251657728" behindDoc="1" locked="0" layoutInCell="0" allowOverlap="1">
            <wp:simplePos x="0" y="0"/>
            <wp:positionH relativeFrom="page">
              <wp:posOffset>575945</wp:posOffset>
            </wp:positionH>
            <wp:positionV relativeFrom="page">
              <wp:posOffset>4591685</wp:posOffset>
            </wp:positionV>
            <wp:extent cx="1174750" cy="8382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174750" cy="83820"/>
                    </a:xfrm>
                    <a:prstGeom prst="rect">
                      <a:avLst/>
                    </a:prstGeom>
                    <a:noFill/>
                  </pic:spPr>
                </pic:pic>
              </a:graphicData>
            </a:graphic>
          </wp:anchor>
        </w:drawing>
        <w:drawing>
          <wp:anchor simplePos="0" relativeHeight="251657728" behindDoc="1" locked="0" layoutInCell="0" allowOverlap="1">
            <wp:simplePos x="0" y="0"/>
            <wp:positionH relativeFrom="page">
              <wp:posOffset>575945</wp:posOffset>
            </wp:positionH>
            <wp:positionV relativeFrom="page">
              <wp:posOffset>3308350</wp:posOffset>
            </wp:positionV>
            <wp:extent cx="6515100" cy="364871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515100" cy="364871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11" w:name="page212"/>
    <w:bookmarkEnd w:id="2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100330</wp:posOffset>
            </wp:positionH>
            <wp:positionV relativeFrom="page">
              <wp:posOffset>9728835</wp:posOffset>
            </wp:positionV>
            <wp:extent cx="7570470" cy="22796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570470" cy="227965"/>
                    </a:xfrm>
                    <a:prstGeom prst="rect">
                      <a:avLst/>
                    </a:prstGeom>
                    <a:noFill/>
                  </pic:spPr>
                </pic:pic>
              </a:graphicData>
            </a:graphic>
          </wp:anchor>
        </w:drawing>
        <w:drawing>
          <wp:anchor simplePos="0" relativeHeight="251657728" behindDoc="1" locked="0" layoutInCell="0" allowOverlap="1">
            <wp:simplePos x="0" y="0"/>
            <wp:positionH relativeFrom="page">
              <wp:posOffset>673100</wp:posOffset>
            </wp:positionH>
            <wp:positionV relativeFrom="page">
              <wp:posOffset>8492490</wp:posOffset>
            </wp:positionV>
            <wp:extent cx="1511300" cy="25273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511300" cy="252730"/>
                    </a:xfrm>
                    <a:prstGeom prst="rect">
                      <a:avLst/>
                    </a:prstGeom>
                    <a:noFill/>
                  </pic:spPr>
                </pic:pic>
              </a:graphicData>
            </a:graphic>
          </wp:anchor>
        </w:drawing>
        <w:drawing>
          <wp:anchor simplePos="0" relativeHeight="251657728" behindDoc="1" locked="0" layoutInCell="0" allowOverlap="1">
            <wp:simplePos x="0" y="0"/>
            <wp:positionH relativeFrom="page">
              <wp:posOffset>676275</wp:posOffset>
            </wp:positionH>
            <wp:positionV relativeFrom="page">
              <wp:posOffset>8856345</wp:posOffset>
            </wp:positionV>
            <wp:extent cx="1498600" cy="13208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498600" cy="132080"/>
                    </a:xfrm>
                    <a:prstGeom prst="rect">
                      <a:avLst/>
                    </a:prstGeom>
                    <a:noFill/>
                  </pic:spPr>
                </pic:pic>
              </a:graphicData>
            </a:graphic>
          </wp:anchor>
        </w:drawing>
        <w:drawing>
          <wp:anchor simplePos="0" relativeHeight="251657728" behindDoc="1" locked="0" layoutInCell="0" allowOverlap="1">
            <wp:simplePos x="0" y="0"/>
            <wp:positionH relativeFrom="page">
              <wp:posOffset>678180</wp:posOffset>
            </wp:positionH>
            <wp:positionV relativeFrom="page">
              <wp:posOffset>9025255</wp:posOffset>
            </wp:positionV>
            <wp:extent cx="1077595" cy="1016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077595" cy="101600"/>
                    </a:xfrm>
                    <a:prstGeom prst="rect">
                      <a:avLst/>
                    </a:prstGeom>
                    <a:noFill/>
                  </pic:spPr>
                </pic:pic>
              </a:graphicData>
            </a:graphic>
          </wp:anchor>
        </w:drawing>
        <w:drawing>
          <wp:anchor simplePos="0" relativeHeight="251657728" behindDoc="1" locked="0" layoutInCell="0" allowOverlap="1">
            <wp:simplePos x="0" y="0"/>
            <wp:positionH relativeFrom="page">
              <wp:posOffset>113030</wp:posOffset>
            </wp:positionH>
            <wp:positionV relativeFrom="page">
              <wp:posOffset>113030</wp:posOffset>
            </wp:positionV>
            <wp:extent cx="7557770" cy="467296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557770" cy="4672965"/>
                    </a:xfrm>
                    <a:prstGeom prst="rect">
                      <a:avLst/>
                    </a:prstGeom>
                    <a:noFill/>
                  </pic:spPr>
                </pic:pic>
              </a:graphicData>
            </a:graphic>
          </wp:anchor>
        </w:drawing>
      </w:r>
    </w:p>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77465F01"/>
    <w:multiLevelType w:val="hybridMultilevel"/>
    <w:lvl w:ilvl="0">
      <w:lvlJc w:val="left"/>
      <w:lvlText w:val="(%1)"/>
      <w:numFmt w:val="decimal"/>
      <w:start w:val="1"/>
    </w:lvl>
  </w:abstractNum>
  <w:abstractNum w:abstractNumId="1">
    <w:nsid w:val="7724C67E"/>
    <w:multiLevelType w:val="hybridMultilevel"/>
    <w:lvl w:ilvl="0">
      <w:lvlJc w:val="left"/>
      <w:lvlText w:val="(%1)"/>
      <w:numFmt w:val="decimal"/>
      <w:start w:val="2"/>
    </w:lvl>
  </w:abstractNum>
  <w:abstractNum w:abstractNumId="2">
    <w:nsid w:val="5C482A97"/>
    <w:multiLevelType w:val="hybridMultilevel"/>
    <w:lvl w:ilvl="0">
      <w:lvlJc w:val="left"/>
      <w:lvlText w:val="%1."/>
      <w:numFmt w:val="decimal"/>
      <w:start w:val="315"/>
    </w:lvl>
  </w:abstractNum>
  <w:abstractNum w:abstractNumId="3">
    <w:nsid w:val="2463B9EA"/>
    <w:multiLevelType w:val="hybridMultilevel"/>
    <w:lvl w:ilvl="0">
      <w:lvlJc w:val="left"/>
      <w:lvlText w:val="%1."/>
      <w:numFmt w:val="decimal"/>
      <w:start w:val="315"/>
    </w:lvl>
  </w:abstractNum>
  <w:abstractNum w:abstractNumId="4">
    <w:nsid w:val="5E884ADC"/>
    <w:multiLevelType w:val="hybridMultilevel"/>
    <w:lvl w:ilvl="0">
      <w:lvlJc w:val="left"/>
      <w:lvlText w:val="(%1)"/>
      <w:numFmt w:val="decimal"/>
      <w:start w:val="1"/>
    </w:lvl>
  </w:abstractNum>
  <w:abstractNum w:abstractNumId="5">
    <w:nsid w:val="51EAD36B"/>
    <w:multiLevelType w:val="hybridMultilevel"/>
    <w:lvl w:ilvl="0">
      <w:lvlJc w:val="left"/>
      <w:lvlText w:val="(%1)"/>
      <w:numFmt w:val="decimal"/>
      <w:start w:val="2"/>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1)"/>
      <w:numFmt w:val="decimal"/>
      <w:start w:val="1"/>
    </w:lvl>
  </w:abstractNum>
  <w:abstractNum w:abstractNumId="11">
    <w:nsid w:val="6A2342EC"/>
    <w:multiLevelType w:val="hybridMultilevel"/>
    <w:lvl w:ilvl="0">
      <w:lvlJc w:val="left"/>
      <w:lvlText w:val="(%1)"/>
      <w:numFmt w:val="decimal"/>
      <w:start w:val="2"/>
    </w:lvl>
  </w:abstractNum>
  <w:abstractNum w:abstractNumId="12">
    <w:nsid w:val="2A487CB0"/>
    <w:multiLevelType w:val="hybridMultilevel"/>
    <w:lvl w:ilvl="0">
      <w:lvlJc w:val="left"/>
      <w:lvlText w:val="(%1)"/>
      <w:numFmt w:val="lowerRoman"/>
      <w:start w:val="1"/>
    </w:lvl>
  </w:abstractNum>
  <w:abstractNum w:abstractNumId="13">
    <w:nsid w:val="1D4ED43B"/>
    <w:multiLevelType w:val="hybridMultilevel"/>
    <w:lvl w:ilvl="0">
      <w:lvlJc w:val="left"/>
      <w:lvlText w:val="(%1)"/>
      <w:numFmt w:val="lowerRoman"/>
      <w:start w:val="1"/>
    </w:lvl>
  </w:abstractNum>
  <w:abstractNum w:abstractNumId="14">
    <w:nsid w:val="725A06FB"/>
    <w:multiLevelType w:val="hybridMultilevel"/>
    <w:lvl w:ilvl="0">
      <w:lvlJc w:val="left"/>
      <w:lvlText w:val="(%1)"/>
      <w:numFmt w:val="decimal"/>
      <w:start w:val="8"/>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1)"/>
      <w:numFmt w:val="decimal"/>
      <w:start w:val="14"/>
    </w:lvl>
  </w:abstractNum>
  <w:abstractNum w:abstractNumId="18">
    <w:nsid w:val="4B588F54"/>
    <w:multiLevelType w:val="hybridMultilevel"/>
    <w:lvl w:ilvl="0">
      <w:lvlJc w:val="left"/>
      <w:lvlText w:val="(%1)"/>
      <w:numFmt w:val="lowerLetter"/>
      <w:start w:val="1"/>
    </w:lvl>
  </w:abstractNum>
  <w:abstractNum w:abstractNumId="19">
    <w:nsid w:val="542289EC"/>
    <w:multiLevelType w:val="hybridMultilevel"/>
    <w:lvl w:ilvl="0">
      <w:lvlJc w:val="left"/>
      <w:lvlText w:val="(%1)"/>
      <w:numFmt w:val="decimal"/>
      <w:start w:val="1"/>
    </w:lvl>
  </w:abstractNum>
  <w:abstractNum w:abstractNumId="20">
    <w:nsid w:val="6DE91B18"/>
    <w:multiLevelType w:val="hybridMultilevel"/>
    <w:lvl w:ilvl="0">
      <w:lvlJc w:val="left"/>
      <w:lvlText w:val="(%1)"/>
      <w:numFmt w:val="decimal"/>
      <w:start w:val="2"/>
    </w:lvl>
  </w:abstractNum>
  <w:abstractNum w:abstractNumId="21">
    <w:nsid w:val="38437FDB"/>
    <w:multiLevelType w:val="hybridMultilevel"/>
    <w:lvl w:ilvl="0">
      <w:lvlJc w:val="left"/>
      <w:lvlText w:val="(%1)"/>
      <w:numFmt w:val="decimal"/>
      <w:start w:val="3"/>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1."/>
      <w:numFmt w:val="decimal"/>
      <w:start w:val="1"/>
    </w:lvl>
  </w:abstractNum>
  <w:abstractNum w:abstractNumId="25">
    <w:nsid w:val="579478FE"/>
    <w:multiLevelType w:val="hybridMultilevel"/>
    <w:lvl w:ilvl="0">
      <w:lvlJc w:val="left"/>
      <w:lvlText w:val="%1."/>
      <w:numFmt w:val="decimal"/>
      <w:start w:val="5"/>
    </w:lvl>
  </w:abstractNum>
  <w:abstractNum w:abstractNumId="26">
    <w:nsid w:val="749ABB43"/>
    <w:multiLevelType w:val="hybridMultilevel"/>
    <w:lvl w:ilvl="0">
      <w:lvlJc w:val="left"/>
      <w:lvlText w:val="%1."/>
      <w:numFmt w:val="decimal"/>
      <w:start w:val="10"/>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1."/>
      <w:numFmt w:val="decimal"/>
      <w:start w:val="1"/>
    </w:lvl>
  </w:abstractNum>
  <w:abstractNum w:abstractNumId="30">
    <w:nsid w:val="75C6C33A"/>
    <w:multiLevelType w:val="hybridMultilevel"/>
    <w:lvl w:ilvl="0">
      <w:lvlJc w:val="left"/>
      <w:lvlText w:val="%1."/>
      <w:numFmt w:val="decimal"/>
      <w:start w:val="5"/>
    </w:lvl>
  </w:abstractNum>
  <w:abstractNum w:abstractNumId="31">
    <w:nsid w:val="12E685FB"/>
    <w:multiLevelType w:val="hybridMultilevel"/>
    <w:lvl w:ilvl="0">
      <w:lvlJc w:val="left"/>
      <w:lvlText w:val="%1."/>
      <w:numFmt w:val="decimal"/>
      <w:start w:val="9"/>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1."/>
      <w:numFmt w:val="decimal"/>
      <w:start w:val="1"/>
    </w:lvl>
    <w:lvl w:ilvl="1">
      <w:lvlJc w:val="left"/>
      <w:lvlText w:val="%2."/>
      <w:numFmt w:val="lowerLetter"/>
      <w:start w:val="1"/>
    </w:lvl>
  </w:abstractNum>
  <w:abstractNum w:abstractNumId="35">
    <w:nsid w:val="4F4EF005"/>
    <w:multiLevelType w:val="hybridMultilevel"/>
    <w:lvl w:ilvl="0">
      <w:lvlJc w:val="left"/>
      <w:lvlText w:val="(%1)"/>
      <w:numFmt w:val="decimal"/>
      <w:start w:val="12"/>
    </w:lvl>
    <w:lvl w:ilvl="1">
      <w:lvlJc w:val="left"/>
      <w:lvlText w:val="%2."/>
      <w:numFmt w:val="lowerLetter"/>
      <w:start w:val="3"/>
    </w:lvl>
  </w:abstractNum>
  <w:abstractNum w:abstractNumId="36">
    <w:nsid w:val="23F9C13C"/>
    <w:multiLevelType w:val="hybridMultilevel"/>
    <w:lvl w:ilvl="0">
      <w:lvlJc w:val="left"/>
      <w:lvlText w:val="%1"/>
      <w:numFmt w:val="decimal"/>
      <w:start w:val="1"/>
    </w:lvl>
    <w:lvl w:ilvl="1">
      <w:lvlJc w:val="left"/>
      <w:lvlText w:val="%2."/>
      <w:numFmt w:val="lowerLetter"/>
      <w:start w:val="5"/>
    </w:lvl>
  </w:abstractNum>
  <w:abstractNum w:abstractNumId="37">
    <w:nsid w:val="649BB77C"/>
    <w:multiLevelType w:val="hybridMultilevel"/>
    <w:lvl w:ilvl="0">
      <w:lvlJc w:val="left"/>
      <w:lvlText w:val="%1."/>
      <w:numFmt w:val="decimal"/>
      <w:start w:val="2"/>
    </w:lvl>
    <w:lvl w:ilvl="1">
      <w:lvlJc w:val="left"/>
      <w:lvlText w:val="%2"/>
      <w:numFmt w:val="lowerLetter"/>
      <w:start w:val="1"/>
    </w:lvl>
  </w:abstractNum>
  <w:abstractNum w:abstractNumId="38">
    <w:nsid w:val="275AC794"/>
    <w:multiLevelType w:val="hybridMultilevel"/>
    <w:lvl w:ilvl="0">
      <w:lvlJc w:val="left"/>
      <w:lvlText w:val="%1."/>
      <w:numFmt w:val="lowerLetter"/>
      <w:start w:val="1"/>
    </w:lvl>
  </w:abstractNum>
  <w:abstractNum w:abstractNumId="39">
    <w:nsid w:val="39386575"/>
    <w:multiLevelType w:val="hybridMultilevel"/>
    <w:lvl w:ilvl="0">
      <w:lvlJc w:val="left"/>
      <w:lvlText w:val="%1."/>
      <w:numFmt w:val="decimal"/>
      <w:start w:val="5"/>
    </w:lvl>
  </w:abstractNum>
  <w:abstractNum w:abstractNumId="40">
    <w:nsid w:val="1CF10FD8"/>
    <w:multiLevelType w:val="hybridMultilevel"/>
    <w:lvl w:ilvl="0">
      <w:lvlJc w:val="left"/>
      <w:lvlText w:val="%1."/>
      <w:numFmt w:val="decimal"/>
      <w:start w:val="8"/>
    </w:lvl>
  </w:abstractNum>
  <w:abstractNum w:abstractNumId="41">
    <w:nsid w:val="180115BE"/>
    <w:multiLevelType w:val="hybridMultilevel"/>
    <w:lvl w:ilvl="0">
      <w:lvlJc w:val="left"/>
      <w:lvlText w:val="%1"/>
      <w:numFmt w:val="lowerRoman"/>
      <w:start w:val="1"/>
    </w:lvl>
    <w:lvl w:ilvl="1">
      <w:lvlJc w:val="left"/>
      <w:lvlText w:val="%2."/>
      <w:numFmt w:val="decimal"/>
      <w:start w:val="9"/>
    </w:lvl>
  </w:abstractNum>
  <w:abstractNum w:abstractNumId="42">
    <w:nsid w:val="235BA861"/>
    <w:multiLevelType w:val="hybridMultilevel"/>
    <w:lvl w:ilvl="0">
      <w:lvlJc w:val="left"/>
      <w:lvlText w:val="(%1)"/>
      <w:numFmt w:val="lowerRoman"/>
      <w:start w:val="1"/>
    </w:lvl>
    <w:lvl w:ilvl="1">
      <w:lvlJc w:val="left"/>
      <w:lvlText w:val="%2"/>
      <w:numFmt w:val="decimal"/>
      <w:start w:val="1"/>
    </w:lvl>
  </w:abstractNum>
  <w:abstractNum w:abstractNumId="43">
    <w:nsid w:val="47398C89"/>
    <w:multiLevelType w:val="hybridMultilevel"/>
    <w:lvl w:ilvl="0">
      <w:lvlJc w:val="left"/>
      <w:lvlText w:val="%1"/>
      <w:numFmt w:val="lowerLetter"/>
      <w:start w:val="1"/>
    </w:lvl>
    <w:lvl w:ilvl="1">
      <w:lvlJc w:val="left"/>
      <w:lvlText w:val="%2."/>
      <w:numFmt w:val="decimal"/>
      <w:start w:val="12"/>
    </w:lvl>
  </w:abstractNum>
  <w:abstractNum w:abstractNumId="44">
    <w:nsid w:val="354FE9F9"/>
    <w:multiLevelType w:val="hybridMultilevel"/>
    <w:lvl w:ilvl="0">
      <w:lvlJc w:val="left"/>
      <w:lvlText w:val="(%1)"/>
      <w:numFmt w:val="lowerLetter"/>
      <w:start w:val="2"/>
    </w:lvl>
    <w:lvl w:ilvl="1">
      <w:lvlJc w:val="left"/>
      <w:lvlText w:val="%2."/>
      <w:numFmt w:val="decimal"/>
      <w:start w:val="15"/>
    </w:lvl>
  </w:abstractNum>
  <w:abstractNum w:abstractNumId="45">
    <w:nsid w:val="15B5AF5C"/>
    <w:multiLevelType w:val="hybridMultilevel"/>
    <w:lvl w:ilvl="0">
      <w:lvlJc w:val="left"/>
      <w:lvlText w:val="%1."/>
      <w:numFmt w:val="decimal"/>
      <w:start w:val="17"/>
    </w:lvl>
  </w:abstractNum>
  <w:abstractNum w:abstractNumId="46">
    <w:nsid w:val="741226BB"/>
    <w:multiLevelType w:val="hybridMultilevel"/>
    <w:lvl w:ilvl="0">
      <w:lvlJc w:val="left"/>
      <w:lvlText w:val="%1."/>
      <w:numFmt w:val="decimal"/>
      <w:start w:val="19"/>
    </w:lvl>
  </w:abstractNum>
  <w:abstractNum w:abstractNumId="47">
    <w:nsid w:val="D34B6A8"/>
    <w:multiLevelType w:val="hybridMultilevel"/>
    <w:lvl w:ilvl="0">
      <w:lvlJc w:val="left"/>
      <w:lvlText w:val="%1."/>
      <w:numFmt w:val="decimal"/>
      <w:start w:val="27"/>
    </w:lvl>
    <w:lvl w:ilvl="1">
      <w:lvlJc w:val="left"/>
      <w:lvlText w:val="(%2)"/>
      <w:numFmt w:val="lowerLetter"/>
      <w:start w:val="1"/>
    </w:lvl>
  </w:abstractNum>
  <w:abstractNum w:abstractNumId="48">
    <w:nsid w:val="10233C99"/>
    <w:multiLevelType w:val="hybridMultilevel"/>
    <w:lvl w:ilvl="0">
      <w:lvlJc w:val="left"/>
      <w:lvlText w:val="%1."/>
      <w:numFmt w:val="decimal"/>
      <w:start w:val="1"/>
    </w:lvl>
    <w:lvl w:ilvl="1">
      <w:lvlJc w:val="left"/>
      <w:lvlText w:val="(%2)"/>
      <w:numFmt w:val="lowerLetter"/>
      <w:start w:val="1"/>
    </w:lvl>
  </w:abstractNum>
  <w:abstractNum w:abstractNumId="49">
    <w:nsid w:val="3F6AB60F"/>
    <w:multiLevelType w:val="hybridMultilevel"/>
    <w:lvl w:ilvl="0">
      <w:lvlJc w:val="left"/>
      <w:lvlText w:val="%1"/>
      <w:numFmt w:val="decimal"/>
      <w:start w:val="1"/>
    </w:lvl>
    <w:lvl w:ilvl="1">
      <w:lvlJc w:val="left"/>
      <w:lvlText w:val="(%2)"/>
      <w:numFmt w:val="lowerLetter"/>
      <w:start w:val="3"/>
    </w:lvl>
  </w:abstractNum>
  <w:abstractNum w:abstractNumId="50">
    <w:nsid w:val="61574095"/>
    <w:multiLevelType w:val="hybridMultilevel"/>
    <w:lvl w:ilvl="0">
      <w:lvlJc w:val="left"/>
      <w:lvlText w:val="%1."/>
      <w:numFmt w:val="decimal"/>
      <w:start w:val="3"/>
    </w:lvl>
    <w:lvl w:ilvl="1">
      <w:lvlJc w:val="left"/>
      <w:lvlText w:val="(%2)"/>
      <w:numFmt w:val="lowerLetter"/>
      <w:start w:val="1"/>
    </w:lvl>
  </w:abstractNum>
  <w:abstractNum w:abstractNumId="51">
    <w:nsid w:val="7E0C57B1"/>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52">
    <w:nsid w:val="77AE35EB"/>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53">
    <w:nsid w:val="579BE4F1"/>
    <w:multiLevelType w:val="hybridMultilevel"/>
    <w:lvl w:ilvl="0">
      <w:lvlJc w:val="left"/>
      <w:lvlText w:val="%1."/>
      <w:numFmt w:val="decimal"/>
      <w:start w:val="9"/>
    </w:lvl>
    <w:lvl w:ilvl="1">
      <w:lvlJc w:val="left"/>
      <w:lvlText w:val="*"/>
      <w:numFmt w:val="bullet"/>
      <w:start w:val="1"/>
    </w:lvl>
  </w:abstractNum>
  <w:abstractNum w:abstractNumId="54">
    <w:nsid w:val="310C50B3"/>
    <w:multiLevelType w:val="hybridMultilevel"/>
    <w:lvl w:ilvl="0">
      <w:lvlJc w:val="left"/>
      <w:lvlText w:val=""/>
      <w:numFmt w:val="bullet"/>
      <w:start w:val="1"/>
    </w:lvl>
  </w:abstractNum>
  <w:abstractNum w:abstractNumId="55">
    <w:nsid w:val="5FF87E05"/>
    <w:multiLevelType w:val="hybridMultilevel"/>
    <w:lvl w:ilvl="0">
      <w:lvlJc w:val="left"/>
      <w:lvlText w:val=""/>
      <w:numFmt w:val="bullet"/>
      <w:start w:val="1"/>
    </w:lvl>
  </w:abstractNum>
  <w:abstractNum w:abstractNumId="56">
    <w:nsid w:val="2F305DEF"/>
    <w:multiLevelType w:val="hybridMultilevel"/>
    <w:lvl w:ilvl="0">
      <w:lvlJc w:val="left"/>
      <w:lvlText w:val=""/>
      <w:numFmt w:val="bullet"/>
      <w:start w:val="1"/>
    </w:lvl>
  </w:abstractNum>
  <w:abstractNum w:abstractNumId="57">
    <w:nsid w:val="25A70BF7"/>
    <w:multiLevelType w:val="hybridMultilevel"/>
    <w:lvl w:ilvl="0">
      <w:lvlJc w:val="left"/>
      <w:lvlText w:val=""/>
      <w:numFmt w:val="bullet"/>
      <w:start w:val="1"/>
    </w:lvl>
  </w:abstractNum>
  <w:abstractNum w:abstractNumId="58">
    <w:nsid w:val="1DBABF00"/>
    <w:multiLevelType w:val="hybridMultilevel"/>
    <w:lvl w:ilvl="0">
      <w:lvlJc w:val="left"/>
      <w:lvlText w:val="(%1)"/>
      <w:numFmt w:val="lowerRoman"/>
      <w:start w:val="3"/>
    </w:lvl>
  </w:abstractNum>
  <w:abstractNum w:abstractNumId="59">
    <w:nsid w:val="4AD084E9"/>
    <w:multiLevelType w:val="hybridMultilevel"/>
    <w:lvl w:ilvl="0">
      <w:lvlJc w:val="left"/>
      <w:lvlText w:val="*"/>
      <w:numFmt w:val="bullet"/>
      <w:start w:val="1"/>
    </w:lvl>
  </w:abstractNum>
  <w:abstractNum w:abstractNumId="60">
    <w:nsid w:val="1F48EAA1"/>
    <w:multiLevelType w:val="hybridMultilevel"/>
    <w:lvl w:ilvl="0">
      <w:lvlJc w:val="left"/>
      <w:lvlText w:val="%1."/>
      <w:numFmt w:val="decimal"/>
      <w:start w:val="1"/>
    </w:lvl>
    <w:lvl w:ilvl="1">
      <w:lvlJc w:val="left"/>
      <w:lvlText w:val=""/>
      <w:numFmt w:val="bullet"/>
      <w:start w:val="1"/>
    </w:lvl>
  </w:abstractNum>
  <w:abstractNum w:abstractNumId="61">
    <w:nsid w:val="1381823A"/>
    <w:multiLevelType w:val="hybridMultilevel"/>
    <w:lvl w:ilvl="0">
      <w:lvlJc w:val="left"/>
      <w:lvlText w:val="%1."/>
      <w:numFmt w:val="decimal"/>
      <w:start w:val="7"/>
    </w:lvl>
    <w:lvl w:ilvl="1">
      <w:lvlJc w:val="left"/>
      <w:lvlText w:val=""/>
      <w:numFmt w:val="bullet"/>
      <w:start w:val="1"/>
    </w:lvl>
  </w:abstractNum>
  <w:abstractNum w:abstractNumId="62">
    <w:nsid w:val="5DB70AE5"/>
    <w:multiLevelType w:val="hybridMultilevel"/>
    <w:lvl w:ilvl="0">
      <w:lvlJc w:val="left"/>
      <w:lvlText w:val="%1."/>
      <w:numFmt w:val="decimal"/>
      <w:start w:val="18"/>
    </w:lvl>
  </w:abstractNum>
  <w:abstractNum w:abstractNumId="63">
    <w:nsid w:val="100F8FCA"/>
    <w:multiLevelType w:val="hybridMultilevel"/>
    <w:lvl w:ilvl="0">
      <w:lvlJc w:val="left"/>
      <w:lvlText w:val=""/>
      <w:numFmt w:val="bullet"/>
      <w:start w:val="1"/>
    </w:lvl>
  </w:abstractNum>
  <w:abstractNum w:abstractNumId="64">
    <w:nsid w:val="6590700B"/>
    <w:multiLevelType w:val="hybridMultilevel"/>
    <w:lvl w:ilvl="0">
      <w:lvlJc w:val="left"/>
      <w:lvlText w:val=""/>
      <w:numFmt w:val="bullet"/>
      <w:start w:val="1"/>
    </w:lvl>
  </w:abstractNum>
  <w:abstractNum w:abstractNumId="65">
    <w:nsid w:val="15014ACB"/>
    <w:multiLevelType w:val="hybridMultilevel"/>
    <w:lvl w:ilvl="0">
      <w:lvlJc w:val="left"/>
      <w:lvlText w:val=""/>
      <w:numFmt w:val="bullet"/>
      <w:start w:val="1"/>
    </w:lvl>
  </w:abstractNum>
  <w:abstractNum w:abstractNumId="66">
    <w:nsid w:val="5F5E7FD0"/>
    <w:multiLevelType w:val="hybridMultilevel"/>
    <w:lvl w:ilvl="0">
      <w:lvlJc w:val="left"/>
      <w:lvlText w:val=""/>
      <w:numFmt w:val="bullet"/>
      <w:start w:val="1"/>
    </w:lvl>
  </w:abstractNum>
  <w:abstractNum w:abstractNumId="67">
    <w:nsid w:val="98A3148"/>
    <w:multiLevelType w:val="hybridMultilevel"/>
    <w:lvl w:ilvl="0">
      <w:lvlJc w:val="left"/>
      <w:lvlText w:val=""/>
      <w:numFmt w:val="bullet"/>
      <w:start w:val="1"/>
    </w:lvl>
  </w:abstractNum>
  <w:abstractNum w:abstractNumId="68">
    <w:nsid w:val="799D0247"/>
    <w:multiLevelType w:val="hybridMultilevel"/>
    <w:lvl w:ilvl="0">
      <w:lvlJc w:val="left"/>
      <w:lvlText w:val=""/>
      <w:numFmt w:val="bullet"/>
      <w:start w:val="1"/>
    </w:lvl>
  </w:abstractNum>
  <w:abstractNum w:abstractNumId="69">
    <w:nsid w:val="6B94764"/>
    <w:multiLevelType w:val="hybridMultilevel"/>
    <w:lvl w:ilvl="0">
      <w:lvlJc w:val="left"/>
      <w:lvlText w:val="%1."/>
      <w:numFmt w:val="decimal"/>
      <w:start w:val="1"/>
    </w:lvl>
    <w:lvl w:ilvl="1">
      <w:lvlJc w:val="left"/>
      <w:lvlText w:val="(%2)"/>
      <w:numFmt w:val="lowerLetter"/>
      <w:start w:val="1"/>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2025-04-21T16:28:40Z</dcterms:created>
  <dcterms:modified xsi:type="dcterms:W3CDTF">2025-04-21T16:28:40Z</dcterms:modified>
</cp:coreProperties>
</file>