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July 16,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85-0642577</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866 Malcolm Road, Suite 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Burlingame, California 94010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650-466-7125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ALX Oncology Holdings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866 Malcolm Road, Suite 100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Burlingame, California 94010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650-466-7125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3460" w:type="dxa"/>
            <w:vAlign w:val="bottom"/>
          </w:tcPr>
          <w:p>
            <w:pPr>
              <w:ind w:left="1200"/>
              <w:spacing w:after="0"/>
              <w:rPr>
                <w:sz w:val="20"/>
                <w:szCs w:val="20"/>
                <w:color w:val="auto"/>
              </w:rPr>
            </w:pPr>
            <w:r>
              <w:rPr>
                <w:rFonts w:ascii="Arial" w:cs="Arial" w:eastAsia="Arial" w:hAnsi="Arial"/>
                <w:sz w:val="18"/>
                <w:szCs w:val="18"/>
                <w:b w:val="1"/>
                <w:bCs w:val="1"/>
                <w:i w:val="1"/>
                <w:iCs w:val="1"/>
                <w:color w:val="auto"/>
              </w:rPr>
              <w:t>Copies to:</w:t>
            </w:r>
          </w:p>
        </w:tc>
        <w:tc>
          <w:tcPr>
            <w:tcW w:w="3060" w:type="dxa"/>
            <w:vAlign w:val="bottom"/>
          </w:tcPr>
          <w:p>
            <w:pPr>
              <w:spacing w:after="0"/>
              <w:rPr>
                <w:sz w:val="20"/>
                <w:szCs w:val="20"/>
                <w:color w:val="auto"/>
              </w:rPr>
            </w:pPr>
          </w:p>
        </w:tc>
      </w:tr>
      <w:tr>
        <w:trPr>
          <w:trHeight w:val="441"/>
        </w:trPr>
        <w:tc>
          <w:tcPr>
            <w:tcW w:w="3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5"/>
              </w:rPr>
              <w:t>Kenneth A. Clark</w:t>
            </w:r>
          </w:p>
        </w:tc>
        <w:tc>
          <w:tcPr>
            <w:tcW w:w="34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Peter Garcia</w:t>
            </w: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Dave Peinsipp</w:t>
            </w:r>
          </w:p>
        </w:tc>
      </w:tr>
      <w:tr>
        <w:trPr>
          <w:trHeight w:val="216"/>
        </w:trPr>
        <w:tc>
          <w:tcPr>
            <w:tcW w:w="360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Tony Jeffries</w:t>
            </w:r>
          </w:p>
        </w:tc>
        <w:tc>
          <w:tcPr>
            <w:tcW w:w="34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Chief Financial Officer</w:t>
            </w: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Kristin E. VanderPas</w:t>
            </w:r>
          </w:p>
        </w:tc>
      </w:tr>
      <w:tr>
        <w:trPr>
          <w:trHeight w:val="216"/>
        </w:trPr>
        <w:tc>
          <w:tcPr>
            <w:tcW w:w="360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Michael E. Coke</w:t>
            </w:r>
          </w:p>
        </w:tc>
        <w:tc>
          <w:tcPr>
            <w:tcW w:w="34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ALX Oncology Holdings Inc.</w:t>
            </w: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Laura Berezin</w:t>
            </w:r>
          </w:p>
        </w:tc>
      </w:tr>
      <w:tr>
        <w:trPr>
          <w:trHeight w:val="216"/>
        </w:trPr>
        <w:tc>
          <w:tcPr>
            <w:tcW w:w="3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Christina L. Poulsen</w:t>
            </w:r>
          </w:p>
        </w:tc>
        <w:tc>
          <w:tcPr>
            <w:tcW w:w="34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866 Malcolm Road, Suite 100</w:t>
            </w: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Denny Won</w:t>
            </w:r>
          </w:p>
        </w:tc>
      </w:tr>
      <w:tr>
        <w:trPr>
          <w:trHeight w:val="216"/>
        </w:trPr>
        <w:tc>
          <w:tcPr>
            <w:tcW w:w="3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34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Burlingame, California 94010</w:t>
            </w: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3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650 Page Mill Road</w:t>
            </w:r>
          </w:p>
        </w:tc>
        <w:tc>
          <w:tcPr>
            <w:tcW w:w="34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650-466-7125</w:t>
            </w: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101 California Street</w:t>
            </w:r>
          </w:p>
        </w:tc>
      </w:tr>
      <w:tr>
        <w:trPr>
          <w:trHeight w:val="216"/>
        </w:trPr>
        <w:tc>
          <w:tcPr>
            <w:tcW w:w="360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Palo Alto, California 94304</w:t>
            </w:r>
          </w:p>
        </w:tc>
        <w:tc>
          <w:tcPr>
            <w:tcW w:w="3460" w:type="dxa"/>
            <w:vAlign w:val="bottom"/>
          </w:tcPr>
          <w:p>
            <w:pPr>
              <w:spacing w:after="0"/>
              <w:rPr>
                <w:sz w:val="18"/>
                <w:szCs w:val="18"/>
                <w:color w:val="auto"/>
              </w:rPr>
            </w:pP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San Francisco, California 94111</w:t>
            </w:r>
          </w:p>
        </w:tc>
      </w:tr>
      <w:tr>
        <w:trPr>
          <w:trHeight w:val="234"/>
        </w:trPr>
        <w:tc>
          <w:tcPr>
            <w:tcW w:w="3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650-493-9300</w:t>
            </w:r>
          </w:p>
        </w:tc>
        <w:tc>
          <w:tcPr>
            <w:tcW w:w="3460" w:type="dxa"/>
            <w:vAlign w:val="bottom"/>
          </w:tcPr>
          <w:p>
            <w:pPr>
              <w:spacing w:after="0"/>
              <w:rPr>
                <w:sz w:val="20"/>
                <w:szCs w:val="20"/>
                <w:color w:val="auto"/>
              </w:rPr>
            </w:pPr>
          </w:p>
        </w:tc>
        <w:tc>
          <w:tcPr>
            <w:tcW w:w="306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415-693-2000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25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Registration No. </w:t>
      </w:r>
      <w:r>
        <w:rPr>
          <w:rFonts w:ascii="Arial" w:cs="Arial" w:eastAsia="Arial" w:hAnsi="Arial"/>
          <w:sz w:val="16"/>
          <w:szCs w:val="16"/>
          <w:b w:val="1"/>
          <w:bCs w:val="1"/>
          <w:color w:val="auto"/>
        </w:rPr>
        <w:t>333-239490</w:t>
      </w:r>
    </w:p>
    <w:p>
      <w:pPr>
        <w:spacing w:after="0" w:line="74"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40" w:top="229" w:right="49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160"/>
          </w:cols>
          <w:pgMar w:left="440" w:top="229" w:right="49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160"/>
          </w:cols>
          <w:pgMar w:left="440" w:top="229" w:right="499" w:bottom="0" w:gutter="0" w:footer="0" w:header="0"/>
          <w:type w:val="continuous"/>
        </w:sectPr>
      </w:pPr>
    </w:p>
    <w:bookmarkStart w:id="1" w:name="page2"/>
    <w:bookmarkEnd w:id="1"/>
    <w:p>
      <w:pPr>
        <w:ind w:left="8484"/>
        <w:spacing w:after="0" w:line="207" w:lineRule="exact"/>
        <w:tabs>
          <w:tab w:leader="none" w:pos="1078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7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7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PROPOSED</w:t>
            </w:r>
          </w:p>
        </w:tc>
        <w:tc>
          <w:tcPr>
            <w:tcW w:w="15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 TO</w:t>
            </w:r>
          </w:p>
        </w:tc>
        <w:tc>
          <w:tcPr>
            <w:tcW w:w="154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AGGREGATE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OFFERING PRICE</w:t>
            </w:r>
          </w:p>
        </w:tc>
        <w:tc>
          <w:tcPr>
            <w:tcW w:w="15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OFFERING</w:t>
            </w:r>
          </w:p>
        </w:tc>
        <w:tc>
          <w:tcPr>
            <w:tcW w:w="1700" w:type="dxa"/>
            <w:vAlign w:val="bottom"/>
          </w:tcPr>
          <w:p>
            <w:pPr>
              <w:jc w:val="center"/>
              <w:ind w:left="2"/>
              <w:spacing w:after="0" w:line="158"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2"/>
                <w:szCs w:val="12"/>
                <w:b w:val="1"/>
                <w:bCs w:val="1"/>
                <w:color w:val="auto"/>
                <w:w w:val="99"/>
              </w:rPr>
              <w:t>(2)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2"/>
                <w:szCs w:val="12"/>
                <w:b w:val="1"/>
                <w:bCs w:val="1"/>
                <w:color w:val="auto"/>
              </w:rPr>
              <w:t>(2)</w:t>
            </w:r>
          </w:p>
        </w:tc>
        <w:tc>
          <w:tcPr>
            <w:tcW w:w="17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 xml:space="preserve">REGISTRATION FEE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575,000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$10,925,000</w:t>
            </w:r>
          </w:p>
        </w:tc>
        <w:tc>
          <w:tcPr>
            <w:tcW w:w="170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$1,419</w:t>
            </w: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40" w:hanging="424"/>
        <w:spacing w:after="0" w:line="270"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only the additional number of shares being registered and includes 75,000 shares issuable upon the exercise of the underwriters’ option to purchase additional shares. Does not include the securities, the offer and sale of which the registrant previously registered on a Registration Statement on Form S-1 (File No. 333-239490), as amended (the Earlier Registration Statement).</w:t>
      </w:r>
    </w:p>
    <w:p>
      <w:pPr>
        <w:spacing w:after="0" w:line="1" w:lineRule="exact"/>
        <w:rPr>
          <w:rFonts w:ascii="Arial" w:cs="Arial" w:eastAsia="Arial" w:hAnsi="Arial"/>
          <w:sz w:val="17"/>
          <w:szCs w:val="17"/>
          <w:color w:val="auto"/>
        </w:rPr>
      </w:pPr>
    </w:p>
    <w:p>
      <w:pPr>
        <w:ind w:left="424" w:right="1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registered securities on the Earlier Registration Statement, which was declared effective by the Securities and Exchange Commission on July 16, 2020. In accordance with Rule 462(b) under the Securities Act of 1933, as amended (the Securities Act), an additional amount of securities having a proposed maximum aggregate offering price of $10,925,000 are hereby registered, which includes shares issuable upon the exercise of the underwriters’ option to purchase additional shares.</w:t>
      </w:r>
    </w:p>
    <w:p>
      <w:pPr>
        <w:spacing w:after="0" w:line="1" w:lineRule="exact"/>
        <w:rPr>
          <w:rFonts w:ascii="Arial" w:cs="Arial" w:eastAsia="Arial" w:hAnsi="Arial"/>
          <w:sz w:val="18"/>
          <w:szCs w:val="18"/>
          <w:color w:val="auto"/>
        </w:rPr>
      </w:pPr>
    </w:p>
    <w:p>
      <w:pPr>
        <w:ind w:left="424" w:right="42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457(a) under the Securities Act. The registrant previously paid a filing fee of $20,301 for the Earlier Registration Statement.</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This Registration Statement shall become effective upon filing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0"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 AND INCORPORATION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INFORMATION BY REFERENCE</w:t>
      </w:r>
    </w:p>
    <w:p>
      <w:pPr>
        <w:spacing w:after="0" w:line="211" w:lineRule="exact"/>
        <w:rPr>
          <w:sz w:val="20"/>
          <w:szCs w:val="20"/>
          <w:color w:val="auto"/>
        </w:rPr>
      </w:pPr>
    </w:p>
    <w:p>
      <w:pPr>
        <w:ind w:right="220" w:firstLine="4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Pursuant to Rule 462(b) under the Securities Act of 1933, as amended, ALX Oncology Holdings Inc., a Delaware corporation, is filing this registration statement with the Securities and Exchange Commission (SEC). This registration statement relates to the public offering of securities contemplated by the Registration Statement on </w:t>
      </w:r>
      <w:hyperlink r:id="rId20">
        <w:r>
          <w:rPr>
            <w:rFonts w:ascii="Arial" w:cs="Arial" w:eastAsia="Arial" w:hAnsi="Arial"/>
            <w:sz w:val="18"/>
            <w:szCs w:val="18"/>
            <w:u w:val="single" w:color="auto"/>
            <w:color w:val="0000EE"/>
          </w:rPr>
          <w:t>Form S-1</w:t>
        </w:r>
      </w:hyperlink>
      <w:r>
        <w:rPr>
          <w:rFonts w:ascii="Arial" w:cs="Arial" w:eastAsia="Arial" w:hAnsi="Arial"/>
          <w:sz w:val="18"/>
          <w:szCs w:val="18"/>
          <w:color w:val="auto"/>
        </w:rPr>
        <w:t>, as amended (File No. 333-239490), which we originally filed on June 26, 2020 (the Earlier Registration Statement), and which the SEC declared effective on July 16, 2020.</w:t>
      </w:r>
    </w:p>
    <w:p>
      <w:pPr>
        <w:spacing w:after="0" w:line="187"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We are filing this registration statement for the sole purpose of increasing the aggregate number of shares of common stock, par value $0.001 per share, offered by us by 575,000 shares, 75,000 of which are subject to purchase upon exercise of the underwriters’ option to purchase additional shares of common stock. The additional shares of common stock that are being registered for issuance and sale pursuant to this registration statement are in an amount and at a price that together represent no more than 20% of the maximum aggregate offering price set forth in the Calculation of Registration Fee table contained in the Earlier Registration Statement. The information set forth in the Earlier Registration Statement is incorporated by reference in this filing.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opinion and consents are listed on the Exhibit Index attached hereto and filed herewith.</w:t>
      </w:r>
    </w:p>
    <w:p>
      <w:pPr>
        <w:sectPr>
          <w:pgSz w:w="11900" w:h="16838" w:orient="portrait"/>
          <w:cols w:equalWidth="0" w:num="1">
            <w:col w:w="10960"/>
          </w:cols>
          <w:pgMar w:left="440" w:top="270"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80" w:type="dxa"/>
            <w:vAlign w:val="bottom"/>
            <w:gridSpan w:val="4"/>
          </w:tcPr>
          <w:p>
            <w:pPr>
              <w:ind w:left="29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8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24"/>
                <w:szCs w:val="24"/>
                <w:color w:val="auto"/>
              </w:rPr>
            </w:pPr>
          </w:p>
        </w:tc>
        <w:tc>
          <w:tcPr>
            <w:tcW w:w="828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Wilson Sonsini Goodrich &amp; Rosati, Professional Corporation.</w:t>
              </w:r>
            </w:hyperlink>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920" w:type="dxa"/>
            <w:vAlign w:val="bottom"/>
          </w:tcPr>
          <w:p>
            <w:pPr>
              <w:spacing w:after="0"/>
              <w:rPr>
                <w:sz w:val="24"/>
                <w:szCs w:val="24"/>
                <w:color w:val="auto"/>
              </w:rPr>
            </w:pPr>
          </w:p>
        </w:tc>
        <w:tc>
          <w:tcPr>
            <w:tcW w:w="828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Independent Registered Public Accounting Firm as to the Registrant.</w:t>
              </w:r>
            </w:hyperlink>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23.2</w:t>
            </w:r>
          </w:p>
        </w:tc>
        <w:tc>
          <w:tcPr>
            <w:tcW w:w="920" w:type="dxa"/>
            <w:vAlign w:val="bottom"/>
          </w:tcPr>
          <w:p>
            <w:pPr>
              <w:spacing w:after="0"/>
              <w:rPr>
                <w:sz w:val="24"/>
                <w:szCs w:val="24"/>
                <w:color w:val="auto"/>
              </w:rPr>
            </w:pPr>
          </w:p>
        </w:tc>
        <w:tc>
          <w:tcPr>
            <w:tcW w:w="8280" w:type="dxa"/>
            <w:vAlign w:val="bottom"/>
            <w:gridSpan w:val="4"/>
          </w:tcPr>
          <w:p>
            <w:pPr>
              <w:spacing w:after="0"/>
              <w:rPr>
                <w:rFonts w:ascii="Arial" w:cs="Arial" w:eastAsia="Arial" w:hAnsi="Arial"/>
                <w:sz w:val="18"/>
                <w:szCs w:val="18"/>
                <w:color w:val="0000EE"/>
              </w:rPr>
            </w:pPr>
            <w:hyperlink w:anchor="page9">
              <w:r>
                <w:rPr>
                  <w:rFonts w:ascii="Arial" w:cs="Arial" w:eastAsia="Arial" w:hAnsi="Arial"/>
                  <w:sz w:val="18"/>
                  <w:szCs w:val="18"/>
                  <w:u w:val="single" w:color="auto"/>
                  <w:color w:val="0000EE"/>
                </w:rPr>
                <w:t>Consent of Independent Registered Public Accounting Firm as to ALX Oncology Limited</w:t>
              </w:r>
              <w:r>
                <w:rPr>
                  <w:rFonts w:ascii="Arial" w:cs="Arial" w:eastAsia="Arial" w:hAnsi="Arial"/>
                  <w:sz w:val="18"/>
                  <w:szCs w:val="18"/>
                  <w:color w:val="0000EE"/>
                </w:rPr>
                <w:t>.</w:t>
              </w:r>
            </w:hyperlink>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23.3</w:t>
            </w:r>
          </w:p>
        </w:tc>
        <w:tc>
          <w:tcPr>
            <w:tcW w:w="920" w:type="dxa"/>
            <w:vAlign w:val="bottom"/>
          </w:tcPr>
          <w:p>
            <w:pPr>
              <w:spacing w:after="0"/>
              <w:rPr>
                <w:sz w:val="24"/>
                <w:szCs w:val="24"/>
                <w:color w:val="auto"/>
              </w:rPr>
            </w:pPr>
          </w:p>
        </w:tc>
        <w:tc>
          <w:tcPr>
            <w:tcW w:w="8280" w:type="dxa"/>
            <w:vAlign w:val="bottom"/>
            <w:gridSpan w:val="4"/>
          </w:tcPr>
          <w:p>
            <w:pPr>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Consent of Wilson Sonsini Goodrich &amp; Rosati, Professional Corporation (reference is made to Exhibit 5.1).</w:t>
              </w:r>
            </w:hyperlink>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920" w:type="dxa"/>
            <w:vAlign w:val="bottom"/>
          </w:tcPr>
          <w:p>
            <w:pPr>
              <w:spacing w:after="0"/>
              <w:rPr>
                <w:sz w:val="24"/>
                <w:szCs w:val="24"/>
                <w:color w:val="auto"/>
              </w:rPr>
            </w:pPr>
          </w:p>
        </w:tc>
        <w:tc>
          <w:tcPr>
            <w:tcW w:w="8280" w:type="dxa"/>
            <w:vAlign w:val="bottom"/>
            <w:tcBorders>
              <w:bottom w:val="single" w:sz="8" w:color="0000EE"/>
            </w:tcBorders>
            <w:gridSpan w:val="4"/>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Power of Attorney (incorporated by reference to Exhibit 24.1 of the Form S-1 Registration Statement (Registration</w:t>
              </w:r>
            </w:hyperlink>
          </w:p>
        </w:tc>
      </w:tr>
      <w:tr>
        <w:trPr>
          <w:trHeight w:val="196"/>
        </w:trPr>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No. 333-239490) filed on June 26, 2020).</w:t>
              </w:r>
            </w:hyperlink>
          </w:p>
        </w:tc>
        <w:tc>
          <w:tcPr>
            <w:tcW w:w="5280" w:type="dxa"/>
            <w:vAlign w:val="bottom"/>
            <w:gridSpan w:val="3"/>
          </w:tcPr>
          <w:p>
            <w:pPr>
              <w:spacing w:after="0"/>
              <w:rPr>
                <w:sz w:val="17"/>
                <w:szCs w:val="17"/>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100"/>
          </w:cols>
          <w:pgMar w:left="440" w:top="270" w:right="1359" w:bottom="1440" w:gutter="0" w:footer="0" w:header="0"/>
        </w:sectPr>
      </w:pPr>
    </w:p>
    <w:bookmarkStart w:id="4" w:name="page5"/>
    <w:bookmarkEnd w:id="4"/>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the City of Burlingame, State of California, on the 16th day of July, 2020.</w:t>
      </w:r>
    </w:p>
    <w:p>
      <w:pPr>
        <w:spacing w:after="0" w:line="1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580"/>
          </w:cols>
          <w:pgMar w:left="440" w:top="270" w:right="879" w:bottom="1440" w:gutter="0" w:footer="0" w:header="0"/>
        </w:sectPr>
      </w:pPr>
    </w:p>
    <w:p>
      <w:pPr>
        <w:spacing w:after="0" w:line="18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Jaume Pons,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Garcia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Steffen Pietzke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Steffen Pietzke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Corey Goodman,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Rekha Hemrajani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Lettmann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Nielsen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228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Graham Walmsley, M.D., Ph.D.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15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u w:val="single" w:color="auto"/>
          <w:color w:val="auto"/>
        </w:rPr>
        <w:t>TITLE</w:t>
      </w:r>
    </w:p>
    <w:p>
      <w:pPr>
        <w:spacing w:after="0" w:line="252"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 xml:space="preserve">President, Chief Executive Officer and Director </w:t>
      </w: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Vice President, Finance and Chief Accounting Officer (</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4"/>
          <w:szCs w:val="14"/>
          <w:b w:val="1"/>
          <w:bCs w:val="1"/>
          <w:u w:val="single" w:color="auto"/>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16, 2020</w:t>
      </w:r>
    </w:p>
    <w:p>
      <w:pPr>
        <w:sectPr>
          <w:pgSz w:w="11900" w:h="16838" w:orient="portrait"/>
          <w:cols w:equalWidth="0" w:num="3">
            <w:col w:w="3040" w:space="720"/>
            <w:col w:w="4420" w:space="720"/>
            <w:col w:w="1680"/>
          </w:cols>
          <w:pgMar w:left="440" w:top="270" w:right="879" w:bottom="1440" w:gutter="0" w:footer="0" w:header="0"/>
          <w:type w:val="continuous"/>
        </w:sectPr>
      </w:pPr>
    </w:p>
    <w:bookmarkStart w:id="5" w:name="page6"/>
    <w:bookmarkEnd w:id="5"/>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68730" cy="47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268730" cy="471805"/>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o: 650.493.9300</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f: 650.493.6811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California 94010</w:t>
      </w:r>
    </w:p>
    <w:p>
      <w:pPr>
        <w:spacing w:after="0" w:line="20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Securities Registered under Registration Statement on Form S-1 (File No. 333-239490) and Registration Statement filed pursuant to Rule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462(b) of the Securities Act of 1933, as amended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This opinion is furnished to you in connection with the Registration Statement on Form S-1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by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with the Securities and Exchange Commission pursuant to Rule 462(b) of the Securities Act in connection with the registration under the Securities Act of 575,000 shares of the Company’s common stock, $0.001 par value per share (the “</w:t>
      </w:r>
      <w:r>
        <w:rPr>
          <w:rFonts w:ascii="Arial" w:cs="Arial" w:eastAsia="Arial" w:hAnsi="Arial"/>
          <w:sz w:val="17"/>
          <w:szCs w:val="17"/>
          <w:b w:val="1"/>
          <w:bCs w:val="1"/>
          <w:color w:val="auto"/>
        </w:rPr>
        <w:t>Shares</w:t>
      </w:r>
      <w:r>
        <w:rPr>
          <w:rFonts w:ascii="Arial" w:cs="Arial" w:eastAsia="Arial" w:hAnsi="Arial"/>
          <w:sz w:val="17"/>
          <w:szCs w:val="17"/>
          <w:color w:val="auto"/>
        </w:rPr>
        <w:t>”), including up to 75,000 shares issuable upon exercise of an option to purchase additional shares granted by the Company. The Registration Statement incorporates by reference the Registration Statement on Form S-1 (No. 333-239490) (the “</w:t>
      </w:r>
      <w:r>
        <w:rPr>
          <w:rFonts w:ascii="Arial" w:cs="Arial" w:eastAsia="Arial" w:hAnsi="Arial"/>
          <w:sz w:val="17"/>
          <w:szCs w:val="17"/>
          <w:b w:val="1"/>
          <w:bCs w:val="1"/>
          <w:color w:val="auto"/>
        </w:rPr>
        <w:t>Prior Registration Statement</w:t>
      </w:r>
      <w:r>
        <w:rPr>
          <w:rFonts w:ascii="Arial" w:cs="Arial" w:eastAsia="Arial" w:hAnsi="Arial"/>
          <w:sz w:val="17"/>
          <w:szCs w:val="17"/>
          <w:color w:val="auto"/>
        </w:rPr>
        <w:t>”), which was declared effective on July 16, 2020, including the prospectus which forms part of the Registration Statement. We understand that the Shares are to be sold by the Company to the underwriters for resale to the public as described in the Registration Statement and the Prior Registration Statement and pursuant to an underwriting agreement, substantially in the form filed as an exhibit to the Prior Registration Statement, to be entered into by and among the Company and the underwriters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7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pacing w:after="0" w:line="230"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AUSTIN  BEIJING  BOSTON  BRUSSELS   HONG KONG  LOS ANGELES  NEW YORK  PALO ALTO SAN DIEGO  SAN FRANCISCO  SEATTLE  SHANGHAI  WASHINGTON, DC  WILMINGTON, DE</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68730" cy="47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471805"/>
                    </a:xfrm>
                    <a:prstGeom prst="rect">
                      <a:avLst/>
                    </a:prstGeom>
                    <a:noFill/>
                  </pic:spPr>
                </pic:pic>
              </a:graphicData>
            </a:graphic>
          </wp:anchor>
        </w:drawing>
        <w:t>July 16,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the basis of the foregoing, we are of the opinion that, upon the effectiveness of the Company’s Amended and Restated Certificate of Incorporation, a form of which has been filed as Exhibit 3.2 of the Prior Registration Statement, the Shares to be issued and sold by the Company have been duly authorized and, when such Shares are issued and paid for in accordance with the terms of the Underwriting Agreement, will be validly issued, fully paid and nonassessable.</w:t>
      </w:r>
    </w:p>
    <w:p>
      <w:pPr>
        <w:spacing w:after="0" w:line="187"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We consent to the use of this opinion as an exhibit to the Registration Statement, and we consent to the reference of our name under the caption “Legal Matters” in the prospectus forming part of the Prior Registration Statement, which is incorporated by reference into the Registration Statement.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960"/>
          </w:cols>
          <w:pgMar w:left="440" w:top="1232" w:right="4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use of our report dated June 12, 2020, except for the retroactive effect of the reverse stock split as described under the heading ‘Reverse Stock Split’ in Note 4, which is as of July 13, 2020, with respect to the balance sheet of ALX Oncology Holdings Inc. as of April 1, 2020 (inception), and the related notes, in the registration statement (No. 333-239490) on Form S-1, included therein and incorporated by reference herein, and to the reference to our firm under the heading “Experts”.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2020</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Limited:</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consent to the use of our report dated May 5, 2020, except for the retroactive effect of the reverse stock split as described under the heading ‘Reverse Stock Split’ in Note 13, which is as of July 13, 2020, with respect to the consolidated balance sheets of ALX Oncology Limited as of December 31,</w:t>
      </w:r>
    </w:p>
    <w:p>
      <w:pPr>
        <w:ind w:right="160"/>
        <w:spacing w:after="0" w:line="302" w:lineRule="auto"/>
        <w:rPr>
          <w:sz w:val="20"/>
          <w:szCs w:val="20"/>
          <w:color w:val="auto"/>
        </w:rPr>
      </w:pPr>
      <w:r>
        <w:rPr>
          <w:rFonts w:ascii="Arial" w:cs="Arial" w:eastAsia="Arial" w:hAnsi="Arial"/>
          <w:sz w:val="16"/>
          <w:szCs w:val="16"/>
          <w:color w:val="auto"/>
        </w:rPr>
        <w:t>2018 and 2019, the related consolidated statements of operations and comprehensive loss, convertible preferred shares and shareholders’ deficit, and cash flows for each of the years in the two-year period ended December 31, 2019, and the related notes, in the registration statement (No. 333-239490) on Form S-1, included therein and incorporated by reference herein, and to the reference to our firm under the heading “Experts”.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jpeg"/><Relationship Id="rId20" Type="http://schemas.openxmlformats.org/officeDocument/2006/relationships/hyperlink" Target="http://www.sec.gov/Archives/edgar/data/1810182/000119312520191500/d913838ds1a.htm" TargetMode="External"/><Relationship Id="rId21" Type="http://schemas.openxmlformats.org/officeDocument/2006/relationships/hyperlink" Target="http://www.sec.gov/Archives/edgar/data/1810182/000119312520181021/d913838ds1.htm#ii913838_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2020-07-16T19:10:30Z</dcterms:created>
  <dcterms:modified xsi:type="dcterms:W3CDTF">2020-07-16T19:10:30Z</dcterms:modified>
</cp:coreProperties>
</file>