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30878d424b5.htm"/>
        <w:bookmarkStart w:id="1" w:name="ksd530878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333-263863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25, 2022)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78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805" cy="787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7,370,690 Shares of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1,250,000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7,370,690 shares of our common stock, par value $0.001 per share (common stock) and, in lieu of common stock to certain investors, pre-funded warrants to purchase 1,250,000 shares of our common stock in this offering. The purchase price of each pre-funded warrant equals the price per share at which shares of our common stock are being sold to the public in this offering, minus $0.001 multiplied by the number of shares subject to the warrant, and the exercise price of each pre-funded warrant will equal $0.001 per share. This prospectus supplement also relates to the offering of the shares of our common stock issuable upon the exercise of such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On October 3, 2023, the last reported sale price of our common stock on The Nasdaq Global Select Market was $7.51 per share. There is no established public trading market for the pre-funded warrants, and we do not expect a market to develop. We do not intend to list the pre-funded warrants on The Nasdaq Global Select Market, any other national securities exchange or any other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We are a smaller reporting company as defined under the federal securities laws and, as such, we have elected to comply with certain reduced reporting requirements for this prospectus supplement and may elect to do so in future filings. </w:t>
      </w:r>
    </w:p>
    <w:p>
      <w:pPr>
        <w:pStyle w:val="TextBody"/>
        <w:bidi w:val="0"/>
        <w:spacing w:before="240" w:after="0"/>
        <w:jc w:val="left"/>
        <w:rPr/>
      </w:pPr>
      <w:r>
        <w:rPr>
          <w:rFonts w:ascii="Times New Roman" w:hAnsi="Times New Roman"/>
          <w:b/>
          <w:sz w:val="20"/>
        </w:rPr>
        <w:t>Investing in our securities involves a high degree of risk. See </w:t>
      </w:r>
      <w:hyperlink w:anchor="supptoc530878_3">
        <w:r>
          <w:rPr>
            <w:rStyle w:val="InternetLink"/>
            <w:rFonts w:ascii="Times New Roman" w:hAnsi="Times New Roman"/>
            <w:b/>
            <w:sz w:val="20"/>
          </w:rPr>
          <w:t>Risk Factors</w:t>
        </w:r>
      </w:hyperlink>
      <w:r>
        <w:rPr>
          <w:rFonts w:ascii="Times New Roman" w:hAnsi="Times New Roman"/>
          <w:b/>
          <w:sz w:val="20"/>
        </w:rPr>
        <w:t xml:space="preserve"> beginning on page S-7 of this prospectus supplement, page 2 of the accompanying prospectus and in the reports we file with the Securities and Exchange Commission pursuant to the Securities and Exchange Act of 1934, as amended, incorporated by reference in this prospectus supplement and the accompanying prospectus.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2"/>
        <w:gridCol w:w="411"/>
        <w:gridCol w:w="1045"/>
        <w:gridCol w:w="411"/>
        <w:gridCol w:w="1703"/>
        <w:gridCol w:w="276"/>
        <w:gridCol w:w="140"/>
        <w:gridCol w:w="1402"/>
        <w:gridCol w:w="65"/>
      </w:tblGrid>
      <w:tr>
        <w:trPr/>
        <w:tc>
          <w:tcPr>
            <w:tcW w:w="4752"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4752" w:type="dxa"/>
            <w:tcBorders/>
            <w:vAlign w:val="center"/>
          </w:tcPr>
          <w:p>
            <w:pPr>
              <w:pStyle w:val="TableContents"/>
              <w:bidi w:val="0"/>
              <w:spacing w:before="0" w:after="283"/>
              <w:jc w:val="left"/>
              <w:rPr>
                <w:sz w:val="4"/>
                <w:szCs w:val="4"/>
              </w:rPr>
            </w:pPr>
            <w:r>
              <w:rPr>
                <w:sz w:val="4"/>
                <w:szCs w:val="4"/>
              </w:rPr>
            </w:r>
          </w:p>
        </w:tc>
        <w:tc>
          <w:tcPr>
            <w:tcW w:w="1456" w:type="dxa"/>
            <w:gridSpan w:val="2"/>
            <w:tcBorders/>
            <w:vAlign w:val="center"/>
          </w:tcPr>
          <w:p>
            <w:pPr>
              <w:pStyle w:val="TableContents"/>
              <w:bidi w:val="0"/>
              <w:spacing w:before="0" w:after="283"/>
              <w:jc w:val="left"/>
              <w:rPr>
                <w:sz w:val="4"/>
                <w:szCs w:val="4"/>
              </w:rPr>
            </w:pPr>
            <w:r>
              <w:rPr>
                <w:sz w:val="4"/>
                <w:szCs w:val="4"/>
              </w:rPr>
            </w:r>
          </w:p>
        </w:tc>
        <w:tc>
          <w:tcPr>
            <w:tcW w:w="2114" w:type="dxa"/>
            <w:gridSpan w:val="2"/>
            <w:tcBorders/>
            <w:vAlign w:val="center"/>
          </w:tcPr>
          <w:p>
            <w:pPr>
              <w:pStyle w:val="TableContents"/>
              <w:bidi w:val="0"/>
              <w:spacing w:before="0" w:after="283"/>
              <w:jc w:val="left"/>
              <w:rPr>
                <w:sz w:val="4"/>
                <w:szCs w:val="4"/>
              </w:rPr>
            </w:pPr>
            <w:r>
              <w:rPr>
                <w:sz w:val="4"/>
                <w:szCs w:val="4"/>
              </w:rPr>
            </w:r>
          </w:p>
        </w:tc>
        <w:tc>
          <w:tcPr>
            <w:tcW w:w="1883" w:type="dxa"/>
            <w:gridSpan w:val="4"/>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045" w:type="dxa"/>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411" w:type="dxa"/>
            <w:tcBorders/>
            <w:vAlign w:val="bottom"/>
          </w:tcPr>
          <w:p>
            <w:pPr>
              <w:pStyle w:val="TableContents"/>
              <w:bidi w:val="0"/>
              <w:spacing w:before="0" w:after="283"/>
              <w:jc w:val="left"/>
              <w:rPr/>
            </w:pPr>
            <w:r>
              <w:rPr/>
              <w:t>  </w:t>
            </w:r>
          </w:p>
        </w:tc>
        <w:tc>
          <w:tcPr>
            <w:tcW w:w="1703" w:type="dxa"/>
            <w:tcBorders>
              <w:bottom w:val="single" w:sz="2" w:space="0" w:color="000000"/>
            </w:tcBorders>
            <w:tcMar>
              <w:bottom w:w="28" w:type="dxa"/>
            </w:tcMar>
            <w:vAlign w:val="bottom"/>
          </w:tcPr>
          <w:p>
            <w:pPr>
              <w:pStyle w:val="TableContents"/>
              <w:bidi w:val="0"/>
              <w:spacing w:before="0" w:after="283"/>
              <w:jc w:val="center"/>
              <w:rPr>
                <w:b/>
              </w:rPr>
            </w:pPr>
            <w:r>
              <w:rPr>
                <w:b/>
              </w:rPr>
              <w:t>Per Pre-Funded</w:t>
              <w:br/>
              <w:t>Warrant</w:t>
            </w:r>
          </w:p>
        </w:tc>
        <w:tc>
          <w:tcPr>
            <w:tcW w:w="276" w:type="dxa"/>
            <w:tcBorders/>
            <w:vAlign w:val="bottom"/>
          </w:tcPr>
          <w:p>
            <w:pPr>
              <w:pStyle w:val="TableContents"/>
              <w:bidi w:val="0"/>
              <w:spacing w:before="0" w:after="283"/>
              <w:jc w:val="left"/>
              <w:rPr/>
            </w:pPr>
            <w:r>
              <w:rPr/>
              <w:t>  </w:t>
            </w:r>
          </w:p>
        </w:tc>
        <w:tc>
          <w:tcPr>
            <w:tcW w:w="15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7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1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center"/>
              <w:rPr/>
            </w:pPr>
            <w:r>
              <w:rPr/>
              <w:t>$6.3800</w:t>
            </w:r>
          </w:p>
        </w:tc>
        <w:tc>
          <w:tcPr>
            <w:tcW w:w="411" w:type="dxa"/>
            <w:tcBorders/>
            <w:shd w:fill="CCEEFF" w:val="clear"/>
            <w:vAlign w:val="bottom"/>
          </w:tcPr>
          <w:p>
            <w:pPr>
              <w:pStyle w:val="TableContents"/>
              <w:bidi w:val="0"/>
              <w:spacing w:before="0" w:after="283"/>
              <w:jc w:val="left"/>
              <w:rPr/>
            </w:pPr>
            <w:r>
              <w:rPr/>
              <w:t>  </w:t>
            </w:r>
          </w:p>
        </w:tc>
        <w:tc>
          <w:tcPr>
            <w:tcW w:w="1703" w:type="dxa"/>
            <w:tcBorders/>
            <w:shd w:fill="CCEEFF" w:val="clear"/>
            <w:vAlign w:val="bottom"/>
          </w:tcPr>
          <w:p>
            <w:pPr>
              <w:pStyle w:val="TableContents"/>
              <w:bidi w:val="0"/>
              <w:spacing w:before="0" w:after="283"/>
              <w:jc w:val="center"/>
              <w:rPr/>
            </w:pPr>
            <w:r>
              <w:rPr/>
              <w:t>$6.3790</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54,998,752.20</w:t>
            </w:r>
          </w:p>
        </w:tc>
        <w:tc>
          <w:tcPr>
            <w:tcW w:w="65" w:type="dxa"/>
            <w:tcBorders/>
            <w:shd w:fill="CCEEFF" w:val="clear"/>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411"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283"/>
              <w:jc w:val="center"/>
              <w:rPr/>
            </w:pPr>
            <w:r>
              <w:rPr/>
              <w:t>$0.3828</w:t>
            </w:r>
          </w:p>
        </w:tc>
        <w:tc>
          <w:tcPr>
            <w:tcW w:w="411"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center"/>
              <w:rPr/>
            </w:pPr>
            <w:r>
              <w:rPr/>
              <w:t>$0.3827</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2" w:type="dxa"/>
            <w:tcBorders/>
            <w:vAlign w:val="bottom"/>
          </w:tcPr>
          <w:p>
            <w:pPr>
              <w:pStyle w:val="TableContents"/>
              <w:bidi w:val="0"/>
              <w:spacing w:before="0" w:after="283"/>
              <w:jc w:val="right"/>
              <w:rPr/>
            </w:pPr>
            <w:r>
              <w:rPr/>
              <w:t>3,299,925.13</w:t>
            </w:r>
          </w:p>
        </w:tc>
        <w:tc>
          <w:tcPr>
            <w:tcW w:w="65" w:type="dxa"/>
            <w:tcBorders/>
            <w:vAlign w:val="bottom"/>
          </w:tcPr>
          <w:p>
            <w:pPr>
              <w:pStyle w:val="TableContents"/>
              <w:bidi w:val="0"/>
              <w:spacing w:before="0" w:after="283"/>
              <w:jc w:val="left"/>
              <w:rPr/>
            </w:pPr>
            <w:r>
              <w:rPr/>
              <w:t> </w:t>
            </w:r>
          </w:p>
        </w:tc>
      </w:tr>
      <w:tr>
        <w:trPr/>
        <w:tc>
          <w:tcPr>
            <w:tcW w:w="47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411"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283"/>
              <w:jc w:val="center"/>
              <w:rPr/>
            </w:pPr>
            <w:r>
              <w:rPr/>
              <w:t>$5.9972</w:t>
            </w:r>
          </w:p>
        </w:tc>
        <w:tc>
          <w:tcPr>
            <w:tcW w:w="411" w:type="dxa"/>
            <w:tcBorders/>
            <w:shd w:fill="CCEEFF" w:val="clear"/>
            <w:vAlign w:val="bottom"/>
          </w:tcPr>
          <w:p>
            <w:pPr>
              <w:pStyle w:val="TableContents"/>
              <w:bidi w:val="0"/>
              <w:spacing w:before="0" w:after="283"/>
              <w:jc w:val="left"/>
              <w:rPr/>
            </w:pPr>
            <w:r>
              <w:rPr/>
              <w:t>  </w:t>
            </w:r>
          </w:p>
        </w:tc>
        <w:tc>
          <w:tcPr>
            <w:tcW w:w="1703" w:type="dxa"/>
            <w:tcBorders/>
            <w:shd w:fill="CCEEFF" w:val="clear"/>
            <w:vAlign w:val="bottom"/>
          </w:tcPr>
          <w:p>
            <w:pPr>
              <w:pStyle w:val="TableContents"/>
              <w:bidi w:val="0"/>
              <w:spacing w:before="0" w:after="283"/>
              <w:jc w:val="center"/>
              <w:rPr/>
            </w:pPr>
            <w:r>
              <w:rPr/>
              <w:t>$5.9963</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51,698,827.07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See Underwriting beginning on page S-21 for additional information regarding underwriter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1,293,103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and pre-funded warrants is expected to be made on or about October 10, 2023.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Piper Sandler</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b/>
              </w:rPr>
              <w:t>Cantor</w:t>
            </w:r>
            <w:r>
              <w:rPr/>
              <w:t>   </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b/>
              </w:rPr>
            </w:pPr>
            <w:r>
              <w:rPr>
                <w:b/>
              </w:rPr>
              <w:t>UBS Investment Bank</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5"/>
        <w:gridCol w:w="5410"/>
      </w:tblGrid>
      <w:tr>
        <w:trPr/>
        <w:tc>
          <w:tcPr>
            <w:tcW w:w="4795" w:type="dxa"/>
            <w:tcBorders/>
          </w:tcPr>
          <w:p>
            <w:pPr>
              <w:pStyle w:val="TableContents"/>
              <w:bidi w:val="0"/>
              <w:spacing w:before="0" w:after="20"/>
              <w:jc w:val="left"/>
              <w:rPr>
                <w:rFonts w:ascii="Times New Roman" w:hAnsi="Times New Roman"/>
                <w:sz w:val="26"/>
              </w:rPr>
            </w:pPr>
            <w:r>
              <w:rPr>
                <w:rFonts w:ascii="Times New Roman" w:hAnsi="Times New Roman"/>
                <w:b/>
                <w:sz w:val="26"/>
              </w:rPr>
              <w:t>LifeSci Capital</w:t>
            </w:r>
            <w:r>
              <w:rPr>
                <w:rFonts w:ascii="Times New Roman" w:hAnsi="Times New Roman"/>
                <w:sz w:val="26"/>
              </w:rPr>
              <w:t xml:space="preserve"> </w:t>
            </w:r>
          </w:p>
        </w:tc>
        <w:tc>
          <w:tcPr>
            <w:tcW w:w="5410" w:type="dxa"/>
            <w:tcBorders/>
          </w:tcPr>
          <w:p>
            <w:pPr>
              <w:pStyle w:val="TableContents"/>
              <w:bidi w:val="0"/>
              <w:spacing w:before="0" w:after="283"/>
              <w:jc w:val="right"/>
              <w:rPr/>
            </w:pPr>
            <w:r>
              <w:rPr>
                <w:b/>
              </w:rPr>
              <w:t>H.C. Wainwright &amp; Co.</w:t>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This date of this prospectus supplement is October 4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8"/>
        <w:gridCol w:w="139"/>
        <w:gridCol w:w="60"/>
        <w:gridCol w:w="456"/>
        <w:gridCol w:w="62"/>
      </w:tblGrid>
      <w:tr>
        <w:trPr/>
        <w:tc>
          <w:tcPr>
            <w:tcW w:w="948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8"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 Supplement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1">
              <w:r>
                <w:rPr>
                  <w:rStyle w:val="InternetLink"/>
                  <w:rFonts w:ascii="Times New Roman" w:hAnsi="Times New Roman"/>
                  <w:sz w:val="20"/>
                </w:rPr>
                <w:t>ABOUT THIS PROSPECTUS SUPPLEMENT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2">
              <w:r>
                <w:rPr>
                  <w:rStyle w:val="InternetLink"/>
                  <w:rFonts w:ascii="Times New Roman" w:hAnsi="Times New Roman"/>
                  <w:sz w:val="20"/>
                </w:rPr>
                <w:t>PROSPECTUS SUPPLEMENT SUMMARY</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3">
              <w:r>
                <w:rPr>
                  <w:rStyle w:val="InternetLink"/>
                  <w:rFonts w:ascii="Times New Roman" w:hAnsi="Times New Roman"/>
                  <w:sz w:val="20"/>
                </w:rPr>
                <w:t>RISK FACTORS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4">
              <w:r>
                <w:rPr>
                  <w:rStyle w:val="InternetLink"/>
                  <w:rFonts w:ascii="Times New Roman" w:hAnsi="Times New Roman"/>
                  <w:sz w:val="20"/>
                </w:rPr>
                <w:t>SPECIAL NOTE REGARDING FORWARD-LOOKING STATEMENTS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5">
              <w:r>
                <w:rPr>
                  <w:rStyle w:val="InternetLink"/>
                  <w:rFonts w:ascii="Times New Roman" w:hAnsi="Times New Roman"/>
                  <w:sz w:val="20"/>
                </w:rPr>
                <w:t>USE OF PROCEEDS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6">
              <w:r>
                <w:rPr>
                  <w:rStyle w:val="InternetLink"/>
                  <w:rFonts w:ascii="Times New Roman" w:hAnsi="Times New Roman"/>
                  <w:sz w:val="20"/>
                </w:rPr>
                <w:t xml:space="preserve">DESCRIPTION OF PRE-FUNDED WARRANTS </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7">
              <w:r>
                <w:rPr>
                  <w:rStyle w:val="InternetLink"/>
                  <w:rFonts w:ascii="Times New Roman" w:hAnsi="Times New Roman"/>
                  <w:sz w:val="20"/>
                </w:rPr>
                <w:t>DILUTION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8">
              <w:r>
                <w:rPr>
                  <w:rStyle w:val="InternetLink"/>
                  <w:rFonts w:ascii="Times New Roman" w:hAnsi="Times New Roman"/>
                  <w:sz w:val="20"/>
                </w:rPr>
                <w:t>MATERIAL U.S. FEDERAL INCOME TAX CONSIDERATIONS FOR NON-U.S. HOLDERS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9">
              <w:r>
                <w:rPr>
                  <w:rStyle w:val="InternetLink"/>
                  <w:rFonts w:ascii="Times New Roman" w:hAnsi="Times New Roman"/>
                  <w:sz w:val="20"/>
                </w:rPr>
                <w:t>UNDERWRITING</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10">
              <w:r>
                <w:rPr>
                  <w:rStyle w:val="InternetLink"/>
                  <w:rFonts w:ascii="Times New Roman" w:hAnsi="Times New Roman"/>
                  <w:sz w:val="20"/>
                </w:rPr>
                <w:t>LEGAL MATTERS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11">
              <w:r>
                <w:rPr>
                  <w:rStyle w:val="InternetLink"/>
                  <w:rFonts w:ascii="Times New Roman" w:hAnsi="Times New Roman"/>
                  <w:sz w:val="20"/>
                </w:rPr>
                <w:t>EXPERTS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12">
              <w:r>
                <w:rPr>
                  <w:rStyle w:val="InternetLink"/>
                  <w:rFonts w:ascii="Times New Roman" w:hAnsi="Times New Roman"/>
                  <w:sz w:val="20"/>
                </w:rPr>
                <w:t>WHERE YOU CAN FIND MORE INFORMATION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rHeight w:val="120" w:hRule="atLeast"/>
        </w:trPr>
        <w:tc>
          <w:tcPr>
            <w:tcW w:w="9488" w:type="dxa"/>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tcBorders/>
          </w:tcPr>
          <w:p>
            <w:pPr>
              <w:pStyle w:val="TableContents"/>
              <w:bidi w:val="0"/>
              <w:spacing w:before="0" w:after="0"/>
              <w:jc w:val="left"/>
              <w:rPr/>
            </w:pPr>
            <w:hyperlink w:anchor="supptoc530878_13">
              <w:r>
                <w:rPr>
                  <w:rStyle w:val="InternetLink"/>
                  <w:rFonts w:ascii="Times New Roman" w:hAnsi="Times New Roman"/>
                  <w:sz w:val="20"/>
                </w:rPr>
                <w:t>INCORPORATION OF CERTAIN INFORMATION BY REFERENCE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2"/>
        <w:gridCol w:w="349"/>
        <w:gridCol w:w="96"/>
        <w:gridCol w:w="425"/>
        <w:gridCol w:w="63"/>
      </w:tblGrid>
      <w:tr>
        <w:trPr/>
        <w:tc>
          <w:tcPr>
            <w:tcW w:w="927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2"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w:t>
            </w:r>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
              <w:r>
                <w:rPr>
                  <w:rStyle w:val="InternetLink"/>
                  <w:rFonts w:ascii="Times New Roman" w:hAnsi="Times New Roman"/>
                  <w:sz w:val="20"/>
                </w:rPr>
                <w:t>ABOUT THIS PROSPECTUS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2">
              <w:r>
                <w:rPr>
                  <w:rStyle w:val="InternetLink"/>
                  <w:rFonts w:ascii="Times New Roman" w:hAnsi="Times New Roman"/>
                  <w:sz w:val="20"/>
                </w:rPr>
                <w:t>THE COMPANY</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3">
              <w:r>
                <w:rPr>
                  <w:rStyle w:val="InternetLink"/>
                  <w:rFonts w:ascii="Times New Roman" w:hAnsi="Times New Roman"/>
                  <w:sz w:val="20"/>
                </w:rPr>
                <w:t>RISK FACTORS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4">
              <w:r>
                <w:rPr>
                  <w:rStyle w:val="InternetLink"/>
                  <w:rFonts w:ascii="Times New Roman" w:hAnsi="Times New Roman"/>
                  <w:sz w:val="20"/>
                </w:rPr>
                <w:t>SPECIAL NOTE REGARDING FORWARD LOOKING STATEMENTS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5">
              <w:r>
                <w:rPr>
                  <w:rStyle w:val="InternetLink"/>
                  <w:rFonts w:ascii="Times New Roman" w:hAnsi="Times New Roman"/>
                  <w:sz w:val="20"/>
                </w:rPr>
                <w:t>USE OF PROCEEDS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6">
              <w:r>
                <w:rPr>
                  <w:rStyle w:val="InternetLink"/>
                  <w:rFonts w:ascii="Times New Roman" w:hAnsi="Times New Roman"/>
                  <w:sz w:val="20"/>
                </w:rPr>
                <w:t>DESCRIPTION OF SECURITIES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7">
              <w:r>
                <w:rPr>
                  <w:rStyle w:val="InternetLink"/>
                  <w:rFonts w:ascii="Times New Roman" w:hAnsi="Times New Roman"/>
                  <w:sz w:val="20"/>
                </w:rPr>
                <w:t>DESCRIPTION OF CAPITAL STOCK</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8">
              <w:r>
                <w:rPr>
                  <w:rStyle w:val="InternetLink"/>
                  <w:rFonts w:ascii="Times New Roman" w:hAnsi="Times New Roman"/>
                  <w:sz w:val="20"/>
                </w:rPr>
                <w:t>DESCRIPTION OF WARRANTS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9">
              <w:r>
                <w:rPr>
                  <w:rStyle w:val="InternetLink"/>
                  <w:rFonts w:ascii="Times New Roman" w:hAnsi="Times New Roman"/>
                  <w:sz w:val="20"/>
                </w:rPr>
                <w:t>DESCRIPTION OF PURCHASE CONTRACTS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0">
              <w:r>
                <w:rPr>
                  <w:rStyle w:val="InternetLink"/>
                  <w:rFonts w:ascii="Times New Roman" w:hAnsi="Times New Roman"/>
                  <w:sz w:val="20"/>
                </w:rPr>
                <w:t>DESCRIPTION OF UNITS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1">
              <w:r>
                <w:rPr>
                  <w:rStyle w:val="InternetLink"/>
                  <w:rFonts w:ascii="Times New Roman" w:hAnsi="Times New Roman"/>
                  <w:sz w:val="20"/>
                </w:rPr>
                <w:t>PLAN OF DISTRIBUTION</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2">
              <w:r>
                <w:rPr>
                  <w:rStyle w:val="InternetLink"/>
                  <w:rFonts w:ascii="Times New Roman" w:hAnsi="Times New Roman"/>
                  <w:sz w:val="20"/>
                </w:rPr>
                <w:t>LEGAL MATTERS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3">
              <w:r>
                <w:rPr>
                  <w:rStyle w:val="InternetLink"/>
                  <w:rFonts w:ascii="Times New Roman" w:hAnsi="Times New Roman"/>
                  <w:sz w:val="20"/>
                </w:rPr>
                <w:t>EXPERTS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4">
              <w:r>
                <w:rPr>
                  <w:rStyle w:val="InternetLink"/>
                  <w:rFonts w:ascii="Times New Roman" w:hAnsi="Times New Roman"/>
                  <w:sz w:val="20"/>
                </w:rPr>
                <w:t>WHERE YOU CAN FIND MORE INFORMATION</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272" w:type="dxa"/>
            <w:tcBorders/>
            <w:vAlign w:val="center"/>
          </w:tcPr>
          <w:p>
            <w:pPr>
              <w:pStyle w:val="TableContents"/>
              <w:bidi w:val="0"/>
              <w:spacing w:before="0" w:after="283"/>
              <w:jc w:val="left"/>
              <w:rPr>
                <w:sz w:val="4"/>
                <w:szCs w:val="4"/>
              </w:rPr>
            </w:pPr>
            <w:r>
              <w:rPr>
                <w:sz w:val="4"/>
                <w:szCs w:val="4"/>
              </w:rPr>
            </w:r>
          </w:p>
        </w:tc>
        <w:tc>
          <w:tcPr>
            <w:tcW w:w="933" w:type="dxa"/>
            <w:gridSpan w:val="4"/>
            <w:tcBorders/>
            <w:vAlign w:val="center"/>
          </w:tcPr>
          <w:p>
            <w:pPr>
              <w:pStyle w:val="TableContents"/>
              <w:bidi w:val="0"/>
              <w:spacing w:before="0" w:after="283"/>
              <w:jc w:val="left"/>
              <w:rPr>
                <w:sz w:val="4"/>
                <w:szCs w:val="4"/>
              </w:rPr>
            </w:pPr>
            <w:r>
              <w:rPr>
                <w:sz w:val="4"/>
                <w:szCs w:val="4"/>
              </w:rPr>
            </w:r>
          </w:p>
        </w:tc>
      </w:tr>
      <w:tr>
        <w:trPr/>
        <w:tc>
          <w:tcPr>
            <w:tcW w:w="9272" w:type="dxa"/>
            <w:tcBorders/>
          </w:tcPr>
          <w:p>
            <w:pPr>
              <w:pStyle w:val="TableContents"/>
              <w:bidi w:val="0"/>
              <w:spacing w:before="0" w:after="0"/>
              <w:jc w:val="left"/>
              <w:rPr/>
            </w:pPr>
            <w:hyperlink w:anchor="toc530878_15">
              <w:r>
                <w:rPr>
                  <w:rStyle w:val="InternetLink"/>
                  <w:rFonts w:ascii="Times New Roman" w:hAnsi="Times New Roman"/>
                  <w:sz w:val="20"/>
                </w:rPr>
                <w:t>INCORPORATION OF CERTAIN INFORMATION BY REFERENCE</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toc530878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part of the registration statement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 </w:t>
      </w:r>
    </w:p>
    <w:p>
      <w:pPr>
        <w:pStyle w:val="TextBody"/>
        <w:bidi w:val="0"/>
        <w:spacing w:before="120" w:after="0"/>
        <w:jc w:val="left"/>
        <w:rPr>
          <w:rFonts w:ascii="Times New Roman" w:hAnsi="Times New Roman"/>
          <w:sz w:val="20"/>
        </w:rPr>
      </w:pPr>
      <w:r>
        <w:rPr>
          <w:rFonts w:ascii="Times New Roman" w:hAnsi="Times New Roman"/>
          <w:sz w:val="20"/>
        </w:rPr>
        <w:t xml:space="preserve">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and the accompanying prospectus titled Where You Can Find More Information and Incorporation of Certain Information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or into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120" w:after="0"/>
        <w:jc w:val="left"/>
        <w:rPr>
          <w:rFonts w:ascii="Times New Roman" w:hAnsi="Times New Roman"/>
          <w:sz w:val="20"/>
        </w:rPr>
      </w:pPr>
      <w:r>
        <w:rPr>
          <w:rFonts w:ascii="Times New Roman" w:hAnsi="Times New Roman"/>
          <w:sz w:val="20"/>
        </w:rPr>
        <w:t xml:space="preserve">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 </w:t>
      </w:r>
    </w:p>
    <w:p>
      <w:pPr>
        <w:pStyle w:val="TextBody"/>
        <w:bidi w:val="0"/>
        <w:spacing w:before="120" w:after="0"/>
        <w:jc w:val="left"/>
        <w:rPr>
          <w:rFonts w:ascii="Times New Roman" w:hAnsi="Times New Roman"/>
          <w:sz w:val="20"/>
        </w:rPr>
      </w:pPr>
      <w:r>
        <w:rPr>
          <w:rFonts w:ascii="Times New Roman" w:hAnsi="Times New Roman"/>
          <w:sz w:val="20"/>
        </w:rPr>
        <w:t xml:space="preserve">When we refer to ALX Oncology Holdings, the Company, we, us and our in this prospectus supplement or the accompanying prospectus, we mean ALX Oncology Holdings Inc., unless the context indicates otherwise or unless otherwise specified. When we refer to you, we mean the potential purchasers of the applicable series of securities offered by this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530878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prospectus supplement and the accompanying prospectus and in the documents we incorporate by reference herein and therein. This summary does not contain all the information that you should consider before making an investment decision. You should read this entire prospectus supplement and the accompanying prospectus carefully, especially the risks of investing in our common stock and pre-funded warrants discussed under Risk Factors beginning on page S-7 of this prospectus supplement, the Risk Factors section of our most recent Quarterly Report on Form 10-Q for the quarter ended June 30, 2023, as well as any amendments thereto, along with our consolidated financial statements and notes to those consolidated financial statements and the other information incorporated by reference in this prospectus supplement and the accompanying prospectus and in our filings with the SEC. This prospectus supplement may add to, update or change information in the accompanying prospectus.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immuno-oncology company focused on helping patients fight cancer by developing therapies that block the CD47 immune checkpoint inhibitor and bridge the innate and adaptive immune system. Our lead product candidate, the CD47 blocker evorpacept, is currently in multiple Phase 1 and 2 clinical trials.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binding blocking approaches. 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SIRPα, which is predominantly expressed on two cell types: macrophages and dendritic cells. We are focused on evorpacept development with the standard-of-care agents, revolving around these two cell types. As of September 30, 2023, we had dosed over 400 subjects with evorpacept across a range of solid and hematologic malignancies in combination with a number of leading anti-cancer agents. Based on our clinical results to date in multiple oncology indications showing encouraging anti-tumor activity and tolerability as well as our clinical development plans, our strategy is to pursue evorpacept as a potentially critical component for future combination treatments in oncology.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program combines our SIRPα antibodies with Tallac Therapeutics toll-like receptor 9 agonist antibody conjugate to deliver a potent immune activator to myeloid cells in the tumor to promote innate and adaptive anti-cancer immune responses. Additionally, with our acquisition of ScalmiBio, Inc. (ScalmiBio) in October 2021, we are developing antibody drug conjugate candidates based on our expertise in protein engineering and oncology.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Recently Announced Positive Prespecified Interim Phase 2 Data from our ASPEN-06 Clinical Trial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recently announced positive prespecified interim Phase 2 clinical data from our ASPEN-06 clinical trial, a randomized Phase 2 (open-label) / Phase 3 (double-blinded), multi-center international clinical trial of patients with second or third line metastatic HER2-overexpressing gastric/GEJ adenocarcinoma that has progressed on or after prior HER2-directed therapy and fluoropyrimidine- or platinum-containing chemotherapy. The ASPEN-06 clinical trial is evaluating evorpacept in combination with trastuzumab, CYRAMZA® (ramucirumab) and paclitaxel for the treatment of patients with HER2-positive gastric/gastroesophageal junction (GEJ) cancer. This prespecified interim analysis represents results from 54 randomized patients with second and third line gastric/GEJ cancer, including a meaningful number of patients previously treated with ENHERTU® (trastuzumab deruxtecan) and checkpoint inhibitors.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Phase 2 ASPEN-06 Interim Analysis Results: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confirmed overall response rate (ORR) of 52% was demonstrated for evorpacept in combination with trastuzumab + CYRAMZA + paclitaxel compared to 22% for the control group of trastuzumab + CYRAMZA + paclitaxel.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duration of response (mDOR) was not reached for the evorpacept combination treatment arm compared to 7.4 months for the control group.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safety profile of evorpacept was consistent with previous clinical trials and was well-tolerated.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interim results compare favorably to the efficacy reported for CYRAMZA + paclitaxel in the RAINBOW study (ORR of 28% and mDOR of 4.4 months), which is the regulatory benchmark and global standard of care for second line and greater HER2-positive gastric/GEJ cancer.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data also compare favorably to the efficacy reported for ENHERTU in the third line setting in the DESTINY-Gastric01 study (ORR of 41% and mDOR of 11 months), which has defined regional standard of care.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provided updates for the anticipated upcoming clinical milestones for evorpacepts development pipeline: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0"/>
        <w:gridCol w:w="92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1H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Non-Hodgkin Lymphoma - Phase 1b investigator-sponsored trial with rituximab + lenalidomide top line results (Q1/Q2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Gastric/GEJ Cancer  Phase 2 ASPEN-06 randomized top line final results (Q2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0"/>
        <w:gridCol w:w="92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2H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 and Neck Squamous Cell Carcinoma  Phase 2 ASPEN-03 with KEYTRUDA randomized top line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Head and Neck Squamous Cell Carcinoma  Phase 2 ASPEN-04 with KEYTRUDA + chemotherapy randomized top line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Gastric/GEJ Cancer  Phase 3 ASPEN-06 study initiation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Urothelial Carcinoma  Phase 1b ASPEN-07 with PADCEV® (enfortumab vedotin-ejfv) top line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Breast Cancer  Phase 1b I-SPY study with ENHERTU top line results </w:t>
            </w:r>
          </w:p>
        </w:tc>
      </w:tr>
    </w:tbl>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Financial Results for the Quarter Ended September 30, 2023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financial statements for the quarter ended September 30, 2023 will not be available until after this offering is completed and consequently will not be available to you prior to investing in our common stock offered in this offering. Based upon preliminary estimates and information available to us as of the date of this prospectus supplement, we expect to report that we had approximately $196.5 million of cash, cash equivalents and short-term and long-term investments as of September 30, 2023. We have not yet completed our quarter-end financial close process for the quarter ended September 30, 2023. This estimate of our cash, cash equivalents and short-term and long-term investments as of September 30, 2023 is preliminary, has not been audited and is subject to change upon completion of our financial statement closing procedures. Additional information and disclosure would be required for a more complete understanding of our financial position and results of operations as of September 30, 2023. Our independent registered public accounting firm has not audited, reviewed or performed any procedures with respect to this preliminary result and, accordingly, does not express an opinion or any other form of assurance about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ALX Oncology and other marks as trademarks in the United States and other countries.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7" w:type="dxa"/>
            <w:tcBorders/>
          </w:tcPr>
          <w:p>
            <w:pPr>
              <w:pStyle w:val="TableContents"/>
              <w:bidi w:val="0"/>
              <w:spacing w:before="0" w:after="283"/>
              <w:jc w:val="left"/>
              <w:rPr/>
            </w:pPr>
            <w:r>
              <w:rPr/>
              <w:t xml:space="preserve">7,370,690 shares of our common stock in this offering, or 8,663,793 shares of common stock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Pre-funded warrants offered by us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to purchase 1,250,000 shares of our common stock. The purchase price of each pre-funded warrant equals the price per share at which shares of common stock are being sold to the public in this offering minus $0.001, multiplied by the number of shares subject to the warrant, and the exercise price of each pre-funded warrant equals $0.001 per share. Each pre-funded warrant will be exercisable from the date of issuance until the date the warrant is exercised in full, subject to an ownership limitation. See Description of Pre-Funded Warrants. This prospectus supplement also relates to the offering of the shares of common stock issuable upon the exercise of such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 to purchase additional shares </w:t>
            </w:r>
          </w:p>
        </w:tc>
        <w:tc>
          <w:tcPr>
            <w:tcW w:w="6328" w:type="dxa"/>
            <w:tcBorders/>
          </w:tcPr>
          <w:p>
            <w:pPr>
              <w:pStyle w:val="TableContents"/>
              <w:bidi w:val="0"/>
              <w:spacing w:before="0" w:after="283"/>
              <w:jc w:val="left"/>
              <w:rPr/>
            </w:pPr>
            <w:r>
              <w:rPr/>
              <w:t xml:space="preserve">We have granted the underwriters an option, exercisable for 30 days after the date of this prospectus supplement, to purchase up to an additional 1,293,103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Total common stock to be outstanding immediately after this offering </w:t>
            </w:r>
          </w:p>
        </w:tc>
        <w:tc>
          <w:tcPr>
            <w:tcW w:w="6328" w:type="dxa"/>
            <w:tcBorders/>
          </w:tcPr>
          <w:p>
            <w:pPr>
              <w:pStyle w:val="TableContents"/>
              <w:bidi w:val="0"/>
              <w:spacing w:before="0" w:after="283"/>
              <w:jc w:val="left"/>
              <w:rPr/>
            </w:pPr>
            <w:r>
              <w:rPr/>
              <w:t xml:space="preserve">Assuming all of the pre-funded warrants issued in this offering are exercised, 49,612,869 shares of common stock, or 50,905,972 shares of common stock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$51.2 million (or approximately $59.0 million if the underwriters exercise their option to purchase additional shares in full), after deducting underwriting discounts and commissions and estimated offering expenses payable by us. We intend to use the net proceeds from this offering, together with our existing cash, cash equivalents and short-term and long-term investments, to fund the continued clinical development of evorpacept and the related clinical trials, including our ASPEN-06 clinical trial, and for working capital and other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 xml:space="preserve">Investing in our securities involves substantial risks. You should read the Risk Factors section beginning on page S-7 of this prospectus supplement and in the documents incorporated by reference into this prospectus supplement and the accompanying prospectus for a discussion of the factors you should carefully consider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Select Market Symbol </w:t>
            </w:r>
          </w:p>
        </w:tc>
        <w:tc>
          <w:tcPr>
            <w:tcW w:w="6329" w:type="dxa"/>
            <w:tcBorders/>
          </w:tcPr>
          <w:p>
            <w:pPr>
              <w:pStyle w:val="TableContents"/>
              <w:bidi w:val="0"/>
              <w:spacing w:before="0" w:after="283"/>
              <w:jc w:val="left"/>
              <w:rPr/>
            </w:pPr>
            <w:r>
              <w:rPr/>
              <w:t xml:space="preserve">ALXO </w:t>
            </w:r>
          </w:p>
        </w:tc>
      </w:tr>
    </w:tbl>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immediately after this offering is based on 40,992,179 shares of common stock outstanding as of June 30, 2023,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6,648,245 shares of our common stock issuable upon the exercise of options outstanding as of June 30, 2023, at a weighted-average exercise price of $19.56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714,705 shares of our common stock issuable pursuant to restricted stock units outstanding as of June 30,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2,530,400 shares of our common stock issuable upon the exercise of options granted after June 30, 2023, at a weighted-average exercise price of $5.39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563,350 shares of common stock issuable pursuant to restricted stock units granted after June 30,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4,143,116 shares of our common stock reserved for future issuance pursuant to future awards under our Amended and Restated 2020 Equity Incentive Plan (2020 Plan), as of June 30, 2023, plus any future increases in the number of shares of common stock reserved for issuance under our 2020 Plan pursuant to provisions thereof that automatically increase the share reserve under the plan each year;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1,095,066 shares of our common stock reserved for future issuance under our 2020 Employee Stock Purchase Plan (ESPP), plus any future increases in the number of shares of common stock reserved for issuance under the ESPP pursuant to provisions thereof that automatically increase the share reserve under the plan each year.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additional shares of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stock options, RSUs or other equity awards described above, no grant of additional awards under our Amended and Restated 2020 Equity Incentive Plan, and no issuance of shares under the ESPP, in each case, after June 30, 2023;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pre-funded warrants issued in this offering are exercised.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to be outstanding immediately after this offering as shown above does not include the $150.0 million shares of our common stock that remain available for sale at June 30, 2023 pursuant to our Sales Agreement (the Sales Agreement) with Cantor Fitzgerald &amp; Co. and UBS Securities LLC, dated December 17, 2021, as amended on August 25, 2023. Between June 30, 2023 and the date of this prospectus supplement, we have not sold any shares of our common stock under the Sales Agreement. We have agreed not to make any sales under the Sales Agreement until the expiration or waiver of the 60-day lock-up period applicable to us and described in the section titled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toc530878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the other information contained in this prospectus supplement, the accompanying prospectus and in the documents we incorporate by reference herein or therein, you should carefully consider the risks discussed below, as well as the risks described in the section titled Risk Factors contained in our most recent Quarterly Report on Form 10-Q for the quarter ended June 30, 2023, as well as any amendments thereto, which are incorporated by reference into this prospectus in their entirety, together with other information in this prospectus supplement, the accompanying prospectus, the documents incorporated by reference, and any related free writing prospectus that we may authorize. The risks and uncertainties we have described are not the only ones we face.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 See the sections titled Where You Can Find More Information and Information Incorporated by Reference.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how we use the net proceeds from this offering. We may not use these proceeds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Accordingly, investors will need to rely on our management teams judgment with respect to the use of these proceeds. The failure by management to apply these funds effectively could negatively affect our ability to operate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cannot specify with any certainty all of the particular uses of the net proceeds that we will receive from this offering. In addition, the amount, allocation and timing of our actual expenditures will depend upon numerous factors, including any milestone payments received from any future strategic partnerships and royalties on sales of any future approved product. Because of the number and variability of factors that will determine our use of the net proceeds from this offering, their ultimate use may vary substantially from their currently intended use. Until the net proceeds are used, they may be placed in investments that do not produce significant income or that may lose value. Our investments may not yield a favorable return to our investors and may negatively impact the price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our common stock or pre-funded warrants in this offering will incur immediate and substantial dilution in the net tangible book value of the common stock or the shares of common stock underlying the pre-funded warrants purchased in this offering if the price per share of common stock in this offering is substantially higher than the net tangible book value per common share based on the total value of our tangible assets less our total liabilities immediately following this offering. Our net tangible book value as of June 30, 2023 was approximately $212.7 million, or $5.19 per share of our common stock. Therefore, if you purchase shares of common stock in this offering, you will suffer immediate and substantial dilution of $1.19 per share with respect to the net tangible book value of our common stock, based on the public offering price of </w:t>
      </w:r>
    </w:p>
    <w:p>
      <w:pPr>
        <w:pStyle w:val="TextBody"/>
        <w:bidi w:val="0"/>
        <w:spacing w:before="0" w:after="0"/>
        <w:jc w:val="left"/>
        <w:rPr>
          <w:rFonts w:ascii="Times New Roman" w:hAnsi="Times New Roman"/>
          <w:sz w:val="20"/>
        </w:rPr>
      </w:pPr>
      <w:r>
        <w:rPr>
          <w:rFonts w:ascii="Times New Roman" w:hAnsi="Times New Roman"/>
          <w:sz w:val="20"/>
        </w:rPr>
        <w:t xml:space="preserve">$6.38 per share. See the section titled Dilution in this prospectus supplement for a detailed discussion of the dilution you will incur if you purchase common stock in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Future sales of our common stock in the public market, or the perception that such sales could occur,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quantities of our common stock at any time in one or more separate offerings. We cannot predict the effect that future sales of common stock or other equity-related securities would have on the market price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such holders exercise their pre-funded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oc530878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and any free writing prospectus that we may have authorized for use in connection with this offering contain statements that are not historical facts and are considered forward-looking within the meaning of Section 27A of the Securities Act of 1933, as amended (the Securities Act), and Section 21E of the Securities Exchange Act of 1934, as amended (the Exchange Act). All statements other than statements of historical facts contained in this prospectus, the accompanying prospectus and the documents incorporated herein and therein by reference,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Those statements may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our, and our managements intent, belief or current expectations that are subject to known and unknown risks, uncertainties and assumptions. Forward-looking statements contained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to fund our future operating expenses and capital expenditure requirements;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our ability to grow a sales team;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conduct preclinical research activities, and for the manufacture of our product candidates; </w:t>
            </w:r>
          </w:p>
        </w:tc>
      </w:tr>
    </w:tbl>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mechanisms of action, safety profile, efficacy and therapeutic effects of our product candidates; </w:t>
            </w:r>
          </w:p>
        </w:tc>
      </w:tr>
    </w:tbl>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and focus of our current and future clinical trials, and the reporting of data from those trials;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including collaborations and investigator sponsored trials, to demonstrate the safety and efficacy of our product candidates, and other positive results;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that we may pursue;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clinical trials of our product candidates, and for the manufacture of our product candidates; </w:t>
            </w:r>
          </w:p>
        </w:tc>
      </w:tr>
    </w:tbl>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COVID-19 pandemic, rising interest rates, bank failures or instability in the financial services sector, or geopolitical risks on our business;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for and prospects of our acquisitions and other business development activities, and our ability to successfully capitalize on these opportunities;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financial and internal controls; and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short-term and long-term investments, and the funds available from our term loan.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the document containing the applicable statement and are subject to a number of risks, uncertainties and assumptions described in the section titled Risk Factors and elsewhere in this prospectus supplement, the accompanying prospectus and the documents incorporated herein and therein by reference.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publicly any forward-looking statements for any reason after the date of this prospectus supplement to conform these statements to actual results or to changes in expectations.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or the accompanying prospectus, as the case may be,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herein and therein by reference, and any free writing prospectus that we may have authorized for use in connection with this offering contain estimates, projections and other information concerning our industry, our business and the markets for our product candidates. We obtained the industry, market and similar data set forth in this prospectus supplement, the accompanying prospectus and the documents incorporated herein and therein by reference, or any free writing prospectus, as the case may be,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oc53087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$51.2 million, or approximately $59.0 million if the underwriters exercise their option to purchase additional shares of common stock from us in full, after deducting underwriting discounts and commissions and estimated offering expenses payable by us.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short-term and long-term investments, to fund the continued clinical development of evorpacept and the related clinical trials, including our ASPEN-06 clinical trial, and for working capital and other general corporate purposes. </w:t>
      </w:r>
    </w:p>
    <w:p>
      <w:pPr>
        <w:pStyle w:val="TextBody"/>
        <w:bidi w:val="0"/>
        <w:spacing w:before="120" w:after="0"/>
        <w:jc w:val="left"/>
        <w:rPr>
          <w:rFonts w:ascii="Times New Roman" w:hAnsi="Times New Roman"/>
          <w:sz w:val="20"/>
        </w:rPr>
      </w:pPr>
      <w:r>
        <w:rPr>
          <w:rFonts w:ascii="Times New Roman" w:hAnsi="Times New Roman"/>
          <w:sz w:val="20"/>
        </w:rPr>
        <w:t xml:space="preserve">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 </w:t>
      </w:r>
    </w:p>
    <w:p>
      <w:pPr>
        <w:pStyle w:val="TextBody"/>
        <w:bidi w:val="0"/>
        <w:spacing w:before="120" w:after="0"/>
        <w:jc w:val="left"/>
        <w:rPr>
          <w:rFonts w:ascii="Times New Roman" w:hAnsi="Times New Roman"/>
          <w:sz w:val="20"/>
        </w:rPr>
      </w:pPr>
      <w:r>
        <w:rPr>
          <w:rFonts w:ascii="Times New Roman" w:hAnsi="Times New Roman"/>
          <w:sz w:val="20"/>
        </w:rPr>
        <w:t xml:space="preserve">Our expected use of the net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this offering, together with our existing cash, cash equivalents and short-term and long-term investments, will not be sufficient for us to fund our clinical programs through completion, and we will need to raise additional capital to achieve our business objectives. </w:t>
      </w:r>
    </w:p>
    <w:p>
      <w:pPr>
        <w:pStyle w:val="TextBody"/>
        <w:bidi w:val="0"/>
        <w:spacing w:before="120" w:after="0"/>
        <w:jc w:val="left"/>
        <w:rPr>
          <w:rFonts w:ascii="Times New Roman" w:hAnsi="Times New Roman"/>
          <w:sz w:val="20"/>
        </w:rPr>
      </w:pPr>
      <w:r>
        <w:rPr>
          <w:rFonts w:ascii="Times New Roman" w:hAnsi="Times New Roman"/>
          <w:sz w:val="20"/>
        </w:rPr>
        <w:t xml:space="preserve">Based on current business plans, we believe that the net proceeds to us from this offering, together with our existing cash, cash equivalents and short-term and long-term investments and availability to draw down on our term loan, will be sufficient to fund our planned operations into early 2026. </w:t>
      </w:r>
    </w:p>
    <w:p>
      <w:pPr>
        <w:pStyle w:val="TextBody"/>
        <w:bidi w:val="0"/>
        <w:spacing w:before="120" w:after="0"/>
        <w:jc w:val="left"/>
        <w:rPr>
          <w:rFonts w:ascii="Times New Roman" w:hAnsi="Times New Roman"/>
          <w:sz w:val="20"/>
        </w:rPr>
      </w:pPr>
      <w:r>
        <w:rPr>
          <w:rFonts w:ascii="Times New Roman" w:hAnsi="Times New Roman"/>
          <w:sz w:val="20"/>
        </w:rPr>
        <w:t xml:space="preserve">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oc530878_6"/>
      <w:bookmarkEnd w:id="8"/>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this prospectus supplement. The following description is subject in all respects to the provisions contained in the pre-funded warrants. </w:t>
      </w:r>
    </w:p>
    <w:p>
      <w:pPr>
        <w:pStyle w:val="TextBody"/>
        <w:bidi w:val="0"/>
        <w:spacing w:before="12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investors. You should review the form of pre-funded warrant, which will be filed as an exhibit to a Current Report on Form 8-K that we expect to file with the SEC. </w:t>
      </w:r>
    </w:p>
    <w:p>
      <w:pPr>
        <w:pStyle w:val="TextBody"/>
        <w:bidi w:val="0"/>
        <w:spacing w:before="12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expire on the date the warrant is exercised in full. </w:t>
      </w:r>
    </w:p>
    <w:p>
      <w:pPr>
        <w:pStyle w:val="TextBody"/>
        <w:bidi w:val="0"/>
        <w:spacing w:before="12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 </w:t>
      </w:r>
    </w:p>
    <w:p>
      <w:pPr>
        <w:pStyle w:val="TextBody"/>
        <w:bidi w:val="0"/>
        <w:spacing w:before="12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 </w:t>
      </w:r>
    </w:p>
    <w:p>
      <w:pPr>
        <w:pStyle w:val="TextBody"/>
        <w:bidi w:val="0"/>
        <w:spacing w:before="12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12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mechanic described above upon the consummation of such transaction. </w:t>
      </w:r>
    </w:p>
    <w:p>
      <w:pPr>
        <w:pStyle w:val="TextBody"/>
        <w:bidi w:val="0"/>
        <w:spacing w:before="120" w:after="0"/>
        <w:jc w:val="left"/>
        <w:rPr>
          <w:rFonts w:ascii="Times New Roman" w:hAnsi="Times New Roman"/>
          <w:b/>
          <w:sz w:val="20"/>
        </w:rPr>
      </w:pPr>
      <w:r>
        <w:rPr>
          <w:rFonts w:ascii="Times New Roman" w:hAnsi="Times New Roman"/>
          <w:b/>
          <w:sz w:val="20"/>
        </w:rPr>
        <w:t xml:space="preserve">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oc530878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price per share of our common stock in this offering and the as adjusted net tangible book value per share of our common stock immediately after this offering. </w:t>
      </w:r>
    </w:p>
    <w:p>
      <w:pPr>
        <w:pStyle w:val="TextBody"/>
        <w:bidi w:val="0"/>
        <w:spacing w:before="120" w:after="0"/>
        <w:jc w:val="left"/>
        <w:rPr>
          <w:rFonts w:ascii="Times New Roman" w:hAnsi="Times New Roman"/>
          <w:sz w:val="20"/>
        </w:rPr>
      </w:pPr>
      <w:r>
        <w:rPr>
          <w:rFonts w:ascii="Times New Roman" w:hAnsi="Times New Roman"/>
          <w:sz w:val="20"/>
        </w:rPr>
        <w:t xml:space="preserve">Our historical net tangible book value as of June 30, 2023 was $212.7 million, or $5.19 per share of our common stock, based on 40,992,179 shares of common stock outstanding as of such date. Our historical net tangible book value per share represents total tangible assets, less total liabilities, all divided by the number of shares of common stock outstanding on June 30, 2023.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the sale by us of 7,370,690 shares of our common stock and 1,250,000 pre-funded warrants having an aggregate offering price of approximately $55.0 million at the public offering price of $6.38 per share and $6.379 per pre-funded warrant (which equals the public offering price of the common stock less the $0.001 per share exercise price of each such pre-funded warrant), assuming the exercise of the pre-funded warrants, and after deducting estimated underwriting discounts and commissions and estimated offering expenses payable by us and excluding the proceeds, if any, from the exercise of the pre-funded warrants issued pursuant to this offering, our as adjusted net tangible book value as of June 30, 2023 would have been approximately $263.9 million, or approximately $5.32 per share of common stock. This represents an immediate increase in as adjusted net tangible book value per share of $0.13 to our existing stockholders and an immediate dilution in as adjusted net tangible book value per share of approximately $1.06 to new investors purchasing common stock in this offering. Dilution per share to new investors purchasing common stock in this offering is determined by subtracting as adjusted net tangible book value per share after this offering from the assumed public offering price per share paid by new investors.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36"/>
        <w:gridCol w:w="428"/>
        <w:gridCol w:w="140"/>
        <w:gridCol w:w="444"/>
        <w:gridCol w:w="60"/>
        <w:gridCol w:w="250"/>
        <w:gridCol w:w="140"/>
        <w:gridCol w:w="444"/>
        <w:gridCol w:w="63"/>
      </w:tblGrid>
      <w:tr>
        <w:trPr/>
        <w:tc>
          <w:tcPr>
            <w:tcW w:w="8236"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6.38</w:t>
            </w:r>
          </w:p>
        </w:tc>
        <w:tc>
          <w:tcPr>
            <w:tcW w:w="63" w:type="dxa"/>
            <w:tcBorders/>
            <w:shd w:fill="CCEEFF" w:val="clear"/>
            <w:vAlign w:val="bottom"/>
          </w:tcPr>
          <w:p>
            <w:pPr>
              <w:pStyle w:val="TableContents"/>
              <w:bidi w:val="0"/>
              <w:spacing w:before="0" w:after="283"/>
              <w:jc w:val="left"/>
              <w:rPr/>
            </w:pPr>
            <w:r>
              <w:rPr/>
              <w:t> </w:t>
            </w:r>
          </w:p>
        </w:tc>
      </w:tr>
      <w:tr>
        <w:trPr/>
        <w:tc>
          <w:tcPr>
            <w:tcW w:w="823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2023</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5.19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0.13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23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236"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5.32</w:t>
            </w:r>
          </w:p>
        </w:tc>
        <w:tc>
          <w:tcPr>
            <w:tcW w:w="63" w:type="dxa"/>
            <w:tcBorders/>
            <w:vAlign w:val="bottom"/>
          </w:tcPr>
          <w:p>
            <w:pPr>
              <w:pStyle w:val="TableContents"/>
              <w:bidi w:val="0"/>
              <w:spacing w:before="0" w:after="283"/>
              <w:jc w:val="left"/>
              <w:rPr/>
            </w:pPr>
            <w:r>
              <w:rPr/>
              <w:t> </w:t>
            </w:r>
          </w:p>
        </w:tc>
      </w:tr>
      <w:tr>
        <w:trPr/>
        <w:tc>
          <w:tcPr>
            <w:tcW w:w="823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2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1.06</w:t>
            </w:r>
          </w:p>
        </w:tc>
        <w:tc>
          <w:tcPr>
            <w:tcW w:w="63" w:type="dxa"/>
            <w:tcBorders/>
            <w:shd w:fill="CCEEFF" w:val="clear"/>
            <w:vAlign w:val="bottom"/>
          </w:tcPr>
          <w:p>
            <w:pPr>
              <w:pStyle w:val="TableContents"/>
              <w:bidi w:val="0"/>
              <w:spacing w:before="0" w:after="283"/>
              <w:jc w:val="left"/>
              <w:rPr/>
            </w:pPr>
            <w:r>
              <w:rPr/>
              <w:t> </w:t>
            </w:r>
          </w:p>
        </w:tc>
      </w:tr>
      <w:tr>
        <w:trPr/>
        <w:tc>
          <w:tcPr>
            <w:tcW w:w="8236"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foregoing tables and calculations (other than historical net tangible book value) are based on 40,992,179 shares of our common stock outstanding as of June 30, 2023 and exclude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6,648,245 shares of our common stock issuable upon the exercise of options outstanding as of June 30, 2023, at a weighted-average exercise price of $19.56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714,705 shares of our common stock issuable pursuant to restricted stock units outstanding as of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2,530,400 shares of our common stock issuable upon the exercise of options granted after June 30, 2023, at a weighted-average exercise price of $5.39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563,350 shares of our common stock issuable pursuant to restricted stock units granted after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4,143,116 shares of our common stock reserved for future issuance pursuant to future awards under our Amended and Restated 2020 Equity Incentive Plan (2020 Plan), as of June 30, 2023, plus any future increases in the number of shares of common stock reserved for issuance under our 2020 Plan pursuant to provisions thereof that automatically increase the share reserve under the plan each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1,095,066 shares of our common stock reserved for future issuance under our 2020 Employee Stock Purchase Plan (ESPP), plus any future increases in the number of shares of common stock reserved for issuance under the ESPP pursuant to provisions thereof that automatically increase the share reserve under the plan each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underwriters exercise in full their option to purchase additional shares of common stock at the public offering price of $6.38 per share, the as adjusted net tangible book value after this offering would be $5.34 per share, representing an increase in net tangible book value of $0.15 per share to existing stockholders and immediate dilution in net tangible book value of $1.04 per share to investors purchasing our common stock in this offering at the public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any options are exercised, any RSUs are settled, any new awards are issued under our equity incentive plans, or we otherwise issue additional shares of common stock or securities convertible into shares of our common stock in the future (including shares issued in connection with acquisitions),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oc530878_8"/>
      <w:bookmarkEnd w:id="10"/>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considerations of the ownership and disposition of our common stock and pre-funded warrants acquired in this offering by a non-U.S. holder (as defined below), but does not purport to be a complete analysis of all the potential tax considerations relating thereto. This summary is based upon the provisions of the United States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also does not address the tax considerations arising under the laws of any non-U.S., state or local jurisdiction or under U.S. federal gift and estate tax rules. In addition, this discussion does not address tax considerations applicable to an investors particular circumstances or to investors that may be subject to special tax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regulated investment companies, real estate investment trusts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or the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tax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more than five percent of our capital stock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common stock or pre-funded warrants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under Section 451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do not hold our common stock or pre-funded warrants as a capital asset within the meaning of Section 1221 of the Code (generally, property held for investment);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a partnership (or an entity or arrangement classified as a partnership or flow-through entity for U.S. federal income tax purposes) holds our common stock or pre-funded warrants, the tax treatment of a partner generally will depend on the status of the partner and upon the activities of the partnership (or other entity or arrangement). A partner in a partnership (or other such entity or arrangement) that will hold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pre-funded warrants should consult his, her or its own tax advisor regarding the tax consequences of the ownership and disposition of our common stock or pre-funded warrants through a partnership (or other such entity or arrangement),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You are urged to consult your tax advisor with respect to the application of the U.S. federal income tax laws to your particular situation, as well as any tax consequences of the purchase, ownership and disposition of our common stock or pre-funded warrants arising under the U.S. federal income, gift or estate tax rules or under the laws of any state, local, non-U.S. or other taxing jurisdiction or under any applicable tax treaty.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you are a non-U.S. holder if you are a beneficial owner of our common stock or pre-funded warrants that, for U.S. federal income tax purposes, is not a partnership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the United States or under the laws of the United States or any political subdivision thereof, or otherwise treated as such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General Treatment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Gain on Disposition of Common Stock or Pre-Funded Warrants, and the holding period of a pre-funded warrant should carry over to the share of common stock received. The tax basis of the pre-funded warrant should carry over to the share of common stock received upon exercise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 </w:t>
      </w:r>
    </w:p>
    <w:p>
      <w:pPr>
        <w:pStyle w:val="TextBody"/>
        <w:bidi w:val="0"/>
        <w:spacing w:before="24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and we do not anticipate paying any dividends on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on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pre-funded warrants eligible for a reduced rate of U.S. federal withholding tax pursuant to an income tax treaty may obtain a refund of any excess amounts withheld by filing an appropriate claim for refund with the IRS. If the non-U.S. holder holds our common stock or pre-funded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pre-funded warrants, including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 taxation of a distribution received with respect to a pre-funded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Gain on Disposition of Common Stock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backup withholding and FATCA withholding, you generally will not be required to pay U.S. federal income tax on any gain realized upon the sale or other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U.S. trade or business (and, if an applicable income tax treaty so provides, the gain is attributable to a permanent establishment or fixed base maintained by you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a period or periods aggregating 183 days or more during the calendar year in which the sale or disposition occurs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not currently and will not become a USRPHC for U.S. federal income tax purposes, and the remainder of this discussion so assumes. However, because the determination of whether we are a USRPHC depends on the fair market value of our United States real property interests relative to the fair market value of our U.S. and worldwide real property interests plus our other assets used or held for use in a trade or business, there can be no assurance that we will not become a USRPHC in the future. Even if we become a USRPHC,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as long as our common stock is regularly traded on an established securities market, your common stock will be treated as United States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 Special rules may apply to non-U.S. holders of pre-funded warrants, who should consult their tax advisors.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non-U.S. holder described in the first bullet above, you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Adjustments to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on or of proceeds from the disposition of our common stock or pre-funded warrants made to you may be subject to information reporting and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 </w:t>
      </w:r>
    </w:p>
    <w:p>
      <w:pPr>
        <w:pStyle w:val="TextBody"/>
        <w:bidi w:val="0"/>
        <w:spacing w:before="240" w:after="0"/>
        <w:jc w:val="left"/>
        <w:rPr>
          <w:rFonts w:ascii="Times New Roman" w:hAnsi="Times New Roman"/>
          <w:b/>
          <w:sz w:val="20"/>
        </w:rPr>
      </w:pPr>
      <w:r>
        <w:rPr>
          <w:rFonts w:ascii="Times New Roman" w:hAnsi="Times New Roman"/>
          <w:b/>
          <w:sz w:val="20"/>
        </w:rPr>
        <w:t xml:space="preserve">Foreign Account Tax Compliance Act (FATCA) </w:t>
      </w:r>
    </w:p>
    <w:p>
      <w:pPr>
        <w:pStyle w:val="TextBody"/>
        <w:bidi w:val="0"/>
        <w:spacing w:before="240" w:after="0"/>
        <w:jc w:val="left"/>
        <w:rPr>
          <w:rFonts w:ascii="Times New Roman" w:hAnsi="Times New Roman"/>
          <w:sz w:val="20"/>
        </w:rPr>
      </w:pPr>
      <w:r>
        <w:rPr>
          <w:rFonts w:ascii="Times New Roman" w:hAnsi="Times New Roman"/>
          <w:sz w:val="20"/>
        </w:rPr>
        <w:t xml:space="preserve">The Foreign Account Tax Compliance Act, and the Treasury Regulations and official IRS guidance issued thereunder, collectively FATCA, generally impose a U.S. federal withholding tax of 30% on dividends on and, subject to the discussion of certain proposed Treasury Regulations below, the gross proceeds from a sale or other disposition of our common stock or pre-funded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such institution, as well as certain account holders that are non-U.S.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or pre-funded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The Treasury Secretary has issued proposed Treasury Regulations, which, if finalized in their present form, would eliminate withholding under FATCA with respect to payment of gross proceeds from a sale or other disposition of our common stock or pre-funded warrants. In its preamble to such proposed Treasury Regulations, the U.S. Treasury stated that taxpayers may generally rely on the proposed Treasury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non-U.S. holder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 or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material U.S. federal income tax considerations is for general information only. It is not tax advice to investors in their particular circumstances. Each prospective investor should consult its own tax advisor regarding the particular U.S. federal, state and local and non-U.S. tax consequences of purchasing, owning and disposing of our common stock or pre-funded warrants,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toc530878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common stock and pre-funded warrants described in this prospectus supplement through Piper Sandler &amp; Co. and Cantor Fitzgerald &amp; Co. as joint book-running managers. We have entered into an underwriting agreement with Piper Sandler &amp; Co. and Cantor Fitzgerald &amp; Co., as representatives of the several underwriters named below. Subject to the terms and conditions have agreed set forth in the underwriting agreement, we have agreed to sell to the underwriters, and each of the underwriters, severally and not jointly, to purchase from us, the number of shares of our common stock and pre-funded warrants listed opposite its name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6"/>
        <w:gridCol w:w="137"/>
        <w:gridCol w:w="65"/>
        <w:gridCol w:w="1065"/>
        <w:gridCol w:w="60"/>
        <w:gridCol w:w="137"/>
        <w:gridCol w:w="72"/>
        <w:gridCol w:w="1199"/>
        <w:gridCol w:w="64"/>
      </w:tblGrid>
      <w:tr>
        <w:trPr/>
        <w:tc>
          <w:tcPr>
            <w:tcW w:w="740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37"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4" w:type="dxa"/>
            <w:tcBorders/>
            <w:vAlign w:val="bottom"/>
          </w:tcPr>
          <w:p>
            <w:pPr>
              <w:pStyle w:val="TableContents"/>
              <w:bidi w:val="0"/>
              <w:spacing w:before="0" w:after="283"/>
              <w:jc w:val="left"/>
              <w:rPr/>
            </w:pPr>
            <w:r>
              <w:rPr/>
              <w:t> </w:t>
            </w:r>
          </w:p>
        </w:tc>
      </w:tr>
      <w:tr>
        <w:trPr/>
        <w:tc>
          <w:tcPr>
            <w:tcW w:w="7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13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2,948,277</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7406"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2,026,940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343,750</w:t>
            </w:r>
          </w:p>
        </w:tc>
        <w:tc>
          <w:tcPr>
            <w:tcW w:w="64" w:type="dxa"/>
            <w:tcBorders/>
            <w:vAlign w:val="bottom"/>
          </w:tcPr>
          <w:p>
            <w:pPr>
              <w:pStyle w:val="TableContents"/>
              <w:bidi w:val="0"/>
              <w:spacing w:before="0" w:after="283"/>
              <w:jc w:val="left"/>
              <w:rPr/>
            </w:pPr>
            <w:r>
              <w:rPr/>
              <w:t> </w:t>
            </w:r>
          </w:p>
        </w:tc>
      </w:tr>
      <w:tr>
        <w:trPr/>
        <w:tc>
          <w:tcPr>
            <w:tcW w:w="7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13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1,105,604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187,500</w:t>
            </w:r>
          </w:p>
        </w:tc>
        <w:tc>
          <w:tcPr>
            <w:tcW w:w="64" w:type="dxa"/>
            <w:tcBorders/>
            <w:shd w:fill="CCEEFF" w:val="clear"/>
            <w:vAlign w:val="bottom"/>
          </w:tcPr>
          <w:p>
            <w:pPr>
              <w:pStyle w:val="TableContents"/>
              <w:bidi w:val="0"/>
              <w:spacing w:before="0" w:after="283"/>
              <w:jc w:val="left"/>
              <w:rPr/>
            </w:pPr>
            <w:r>
              <w:rPr/>
              <w:t> </w:t>
            </w:r>
          </w:p>
        </w:tc>
      </w:tr>
      <w:tr>
        <w:trPr/>
        <w:tc>
          <w:tcPr>
            <w:tcW w:w="7406"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737,069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125,000</w:t>
            </w:r>
          </w:p>
        </w:tc>
        <w:tc>
          <w:tcPr>
            <w:tcW w:w="64" w:type="dxa"/>
            <w:tcBorders/>
            <w:vAlign w:val="bottom"/>
          </w:tcPr>
          <w:p>
            <w:pPr>
              <w:pStyle w:val="TableContents"/>
              <w:bidi w:val="0"/>
              <w:spacing w:before="0" w:after="283"/>
              <w:jc w:val="left"/>
              <w:rPr/>
            </w:pPr>
            <w:r>
              <w:rPr/>
              <w:t> </w:t>
            </w:r>
          </w:p>
        </w:tc>
      </w:tr>
      <w:tr>
        <w:trPr/>
        <w:tc>
          <w:tcPr>
            <w:tcW w:w="7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13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552,800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93,750</w:t>
            </w:r>
          </w:p>
        </w:tc>
        <w:tc>
          <w:tcPr>
            <w:tcW w:w="64" w:type="dxa"/>
            <w:tcBorders/>
            <w:shd w:fill="CCEEFF" w:val="clear"/>
            <w:vAlign w:val="bottom"/>
          </w:tcPr>
          <w:p>
            <w:pPr>
              <w:pStyle w:val="TableContents"/>
              <w:bidi w:val="0"/>
              <w:spacing w:before="0" w:after="283"/>
              <w:jc w:val="left"/>
              <w:rPr/>
            </w:pPr>
            <w:r>
              <w:rPr/>
              <w:t> </w:t>
            </w:r>
          </w:p>
        </w:tc>
      </w:tr>
      <w:tr>
        <w:trPr/>
        <w:tc>
          <w:tcPr>
            <w:tcW w:w="740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4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7,370,690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1,250,000</w:t>
            </w:r>
          </w:p>
        </w:tc>
        <w:tc>
          <w:tcPr>
            <w:tcW w:w="64" w:type="dxa"/>
            <w:tcBorders/>
            <w:vAlign w:val="bottom"/>
          </w:tcPr>
          <w:p>
            <w:pPr>
              <w:pStyle w:val="TableContents"/>
              <w:bidi w:val="0"/>
              <w:spacing w:before="0" w:after="283"/>
              <w:jc w:val="left"/>
              <w:rPr/>
            </w:pPr>
            <w:r>
              <w:rPr/>
              <w:t> </w:t>
            </w:r>
          </w:p>
        </w:tc>
      </w:tr>
      <w:tr>
        <w:trPr/>
        <w:tc>
          <w:tcPr>
            <w:tcW w:w="740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the underwriters an option to buy up to 1,293,103 additional shares of common stock from us to cover over-allotments, if any. The underwriters may exercise 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common stock and pre-funded warrants directly to the public at the offering price set forth on the cover page of this prospectus supplement. The underwriters propose to offer the shares to certain dealers at the same price less a concession of not more than $0.22968 per share. After the offering, these figures may be changed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and per pre-funded warrant less the amount paid by the underwriters to us per share of common stock and per pre-funded warrant. The following table shows the per share, per pre-funded warrant and total underwriting discount to be paid by the underwriters in connection with this offering, assuming either no exercise and full exercise of the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0"/>
        <w:gridCol w:w="208"/>
        <w:gridCol w:w="224"/>
        <w:gridCol w:w="899"/>
        <w:gridCol w:w="60"/>
        <w:gridCol w:w="208"/>
        <w:gridCol w:w="224"/>
        <w:gridCol w:w="899"/>
        <w:gridCol w:w="60"/>
        <w:gridCol w:w="208"/>
        <w:gridCol w:w="250"/>
        <w:gridCol w:w="1037"/>
        <w:gridCol w:w="60"/>
        <w:gridCol w:w="208"/>
        <w:gridCol w:w="140"/>
        <w:gridCol w:w="1159"/>
        <w:gridCol w:w="60"/>
        <w:gridCol w:w="208"/>
        <w:gridCol w:w="140"/>
        <w:gridCol w:w="1159"/>
        <w:gridCol w:w="74"/>
      </w:tblGrid>
      <w:tr>
        <w:trPr/>
        <w:tc>
          <w:tcPr>
            <w:tcW w:w="272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4" w:type="dxa"/>
            <w:tcBorders/>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 to</w:t>
            </w:r>
            <w:r>
              <w:rPr/>
              <w:br/>
            </w:r>
            <w:r>
              <w:rPr>
                <w:b/>
              </w:rPr>
              <w:t>Purchase</w:t>
            </w:r>
            <w:r>
              <w:rPr/>
              <w:br/>
            </w:r>
            <w:r>
              <w:rPr>
                <w:b/>
              </w:rPr>
              <w:t>Additional</w:t>
            </w:r>
            <w:r>
              <w:rPr/>
              <w:br/>
            </w:r>
            <w:r>
              <w:rPr>
                <w:b/>
              </w:rPr>
              <w:t>Common</w:t>
            </w:r>
            <w:r>
              <w:rPr/>
              <w:br/>
            </w:r>
            <w:r>
              <w:rPr>
                <w:b/>
              </w:rPr>
              <w:t>Shares</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b/>
              </w:rPr>
              <w:t>With</w:t>
            </w:r>
            <w:r>
              <w:rPr/>
              <w:br/>
            </w:r>
            <w:r>
              <w:rPr>
                <w:b/>
              </w:rPr>
              <w:t>Option to</w:t>
            </w:r>
            <w:r>
              <w:rPr/>
              <w:br/>
            </w:r>
            <w:r>
              <w:rPr>
                <w:b/>
              </w:rPr>
              <w:t>Purchase</w:t>
            </w:r>
            <w:r>
              <w:rPr/>
              <w:br/>
            </w:r>
            <w:r>
              <w:rPr>
                <w:b/>
              </w:rPr>
              <w:t>Additional</w:t>
            </w:r>
            <w:r>
              <w:rPr/>
              <w:br/>
            </w:r>
            <w:r>
              <w:rPr>
                <w:b/>
              </w:rPr>
              <w:t>Common</w:t>
            </w:r>
            <w:r>
              <w:rPr/>
              <w:br/>
            </w:r>
            <w:r>
              <w:rPr>
                <w:b/>
              </w:rPr>
              <w:t>Shares</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Pre-Funded</w:t>
            </w:r>
            <w:r>
              <w:rPr/>
              <w:br/>
            </w:r>
            <w:r>
              <w:rPr>
                <w:b/>
              </w:rPr>
              <w:t>Warrant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 to</w:t>
            </w:r>
            <w:r>
              <w:rPr/>
              <w:br/>
            </w:r>
            <w:r>
              <w:rPr>
                <w:b/>
              </w:rPr>
              <w:t>Purchase</w:t>
            </w:r>
            <w:r>
              <w:rPr/>
              <w:br/>
            </w:r>
            <w:r>
              <w:rPr>
                <w:b/>
              </w:rPr>
              <w:t>Additional</w:t>
            </w:r>
            <w:r>
              <w:rPr/>
              <w:br/>
            </w:r>
            <w:r>
              <w:rPr>
                <w:b/>
              </w:rPr>
              <w:t>Common</w:t>
            </w:r>
            <w:r>
              <w:rPr/>
              <w:br/>
            </w:r>
            <w:r>
              <w:rPr>
                <w:b/>
              </w:rPr>
              <w:t>Shares</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b/>
              </w:rPr>
              <w:t>With</w:t>
            </w:r>
            <w:r>
              <w:rPr/>
              <w:br/>
            </w:r>
            <w:r>
              <w:rPr>
                <w:b/>
              </w:rPr>
              <w:t>Option to</w:t>
            </w:r>
            <w:r>
              <w:rPr/>
              <w:br/>
            </w:r>
            <w:r>
              <w:rPr>
                <w:b/>
              </w:rPr>
              <w:t>Purchase</w:t>
            </w:r>
            <w:r>
              <w:rPr/>
              <w:br/>
            </w:r>
            <w:r>
              <w:rPr>
                <w:b/>
              </w:rPr>
              <w:t>Additional</w:t>
            </w:r>
            <w:r>
              <w:rPr/>
              <w:br/>
            </w:r>
            <w:r>
              <w:rPr>
                <w:b/>
              </w:rPr>
              <w:t>Common</w:t>
            </w:r>
            <w:r>
              <w:rPr/>
              <w:br/>
            </w:r>
            <w:r>
              <w:rPr>
                <w:b/>
              </w:rPr>
              <w:t>Shares</w:t>
            </w:r>
          </w:p>
        </w:tc>
        <w:tc>
          <w:tcPr>
            <w:tcW w:w="74" w:type="dxa"/>
            <w:tcBorders/>
            <w:vAlign w:val="bottom"/>
          </w:tcPr>
          <w:p>
            <w:pPr>
              <w:pStyle w:val="TableContents"/>
              <w:bidi w:val="0"/>
              <w:spacing w:before="0" w:after="283"/>
              <w:jc w:val="left"/>
              <w:rPr/>
            </w:pPr>
            <w:r>
              <w:rPr/>
              <w:t> </w:t>
            </w:r>
          </w:p>
        </w:tc>
      </w:tr>
      <w:tr>
        <w:trPr/>
        <w:tc>
          <w:tcPr>
            <w:tcW w:w="2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0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6.380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6.380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6.379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54,998,752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63,248,565</w:t>
            </w:r>
          </w:p>
        </w:tc>
        <w:tc>
          <w:tcPr>
            <w:tcW w:w="74" w:type="dxa"/>
            <w:tcBorders/>
            <w:shd w:fill="CCEEFF" w:val="clear"/>
            <w:vAlign w:val="bottom"/>
          </w:tcPr>
          <w:p>
            <w:pPr>
              <w:pStyle w:val="TableContents"/>
              <w:bidi w:val="0"/>
              <w:spacing w:before="0" w:after="283"/>
              <w:jc w:val="left"/>
              <w:rPr/>
            </w:pPr>
            <w:r>
              <w:rPr/>
              <w:t> </w:t>
            </w:r>
          </w:p>
        </w:tc>
      </w:tr>
      <w:tr>
        <w:trPr/>
        <w:tc>
          <w:tcPr>
            <w:tcW w:w="272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20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9" w:type="dxa"/>
            <w:tcBorders/>
            <w:vAlign w:val="bottom"/>
          </w:tcPr>
          <w:p>
            <w:pPr>
              <w:pStyle w:val="TableContents"/>
              <w:bidi w:val="0"/>
              <w:spacing w:before="0" w:after="283"/>
              <w:jc w:val="right"/>
              <w:rPr/>
            </w:pPr>
            <w:r>
              <w:rPr/>
              <w:t>0.383</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9" w:type="dxa"/>
            <w:tcBorders/>
            <w:vAlign w:val="bottom"/>
          </w:tcPr>
          <w:p>
            <w:pPr>
              <w:pStyle w:val="TableContents"/>
              <w:bidi w:val="0"/>
              <w:spacing w:before="0" w:after="283"/>
              <w:jc w:val="right"/>
              <w:rPr/>
            </w:pPr>
            <w:r>
              <w:rPr/>
              <w:t>0.383</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0.383</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3,299,925</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3,794,914</w:t>
            </w:r>
          </w:p>
        </w:tc>
        <w:tc>
          <w:tcPr>
            <w:tcW w:w="74" w:type="dxa"/>
            <w:tcBorders/>
            <w:vAlign w:val="bottom"/>
          </w:tcPr>
          <w:p>
            <w:pPr>
              <w:pStyle w:val="TableContents"/>
              <w:bidi w:val="0"/>
              <w:spacing w:before="0" w:after="283"/>
              <w:jc w:val="left"/>
              <w:rPr/>
            </w:pPr>
            <w:r>
              <w:rPr/>
              <w:t> </w:t>
            </w:r>
          </w:p>
        </w:tc>
      </w:tr>
      <w:tr>
        <w:trPr/>
        <w:tc>
          <w:tcPr>
            <w:tcW w:w="27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20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5.997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5.997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5.996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51,698,827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59,453,651</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fees and expenses payable by us, excluding underwriting comissions and discounts will be approximately $480,000. We have agreed to reimburse the underwriters for expenses relating to clearance of this offering with the Financial Industry Regulatory Authority up to $20,000. We have also agreed to reimburse the underwriters for certain other expenses incurred by them in connection with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Indemnification of Underwriters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that the underwriters may be required to make in respect of those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subject to certain exceptions, that, without the prior written consent of Piper Sandler &amp; Co. and Cantor Fitzgerald &amp; Co. on behalf of the underwriters, we will not, or publicly disclose an intention to, during the period ending 60 days after the date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offer to sell, contract to sell or lend any shares of common stock or any securities convertible into or exercisable or exchangeable for shares of common stock (Related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any short sale, or establish or increase any put equivalent position (as defined in Rule 16a-1(h) under the Exchange Act) or liquidate or decrease any call equivalent position (as defined in Rule 16a-1(b) under the Exchange Act) of any shares of common stock or Related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 hypothecate or grant any security interest in any shares of common stock or Related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way transfer or dispose of any shares of common stock or Related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hedge or similar arrangement or agreement that transfers, in whole or in part, the economic risk of ownership of any shares of common stock or Related Securities, regardless of whether any such transaction is to be settled in securities, in cash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the offering of any shares of common stock or Related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or file any registration statement under the Securities Act in respect of any shares of common stock or Related Securities (other than as contemplated with respect to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reverse stock split, recapitalization, share consolidation, reclassification or similar transaction affecting the outstanding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we may (i) effect the transactions contemplated hereby, (ii) issue shares of common stock or Related Securities, or issue shares of common stock upon exercise of Related Securities, in each case, pursuant to any stock option, stock bonus, employee stock purchase plan, or other stock plan or arrangement, (iii) issue shares of common stock or Related Securities to any non-employee director pursuant to any non-employee director compensation plan or program, (iv) issue shares of common stock pursuant to the exercise or settlement of Related Securities, or upon the conversion of convertible securities outstanding on the date hereof, (v) file one or more registration statements on Form S-8 to register shares of common stock or Related Securities issued or issuable pursuant to any plans or programs described in (ii) or (iii) above, and (vi) issue shares of common stock or Related Securities, or enter into an agreement to issue shares of common stock or Related Securities, in connection with any merger, joint venture, strategic alliances, commercial, lending or other collaborative or strategic transaction, the creation of a scientific advisory board, or the acquisition or license of the business, property, technology or other assets of another individual or entity or the assumption of an employee benefit plan in connection with a merger or acquisition; provided that the aggregate number of shares of common stock or Related Securities (on an as-converted or as-exercised basis, as the case may be) that we may issue or agree to issue pursuant to this clause (vi) shall not exceed 5% of the total number of shares of our common stock immediately following the completion of the offering; and provided, that, in the case of clauses (ii), (iii), (iv) and (vi), each newly appointed director or executive officer that is a recipient thereof provides to Piper Sandler &amp; Co. and Cantor Fitzgerald &amp; Co. a signed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directors, executive officers and certain of our stockholders have agreed, subject to certain exceptions, that, without the prior written consent of Piper Sandler &amp; Co. and Cantor Fitzgerald &amp; Co. on behalf of the underwriters, they will not, during the period up to 60 days after the date of this prospectus supplement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offer to sell any shares of our common stock or related owned by the restricted party or any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under the Securities Act of the offer and sale of any shares of our common stock or related securities, or cause to be filed a registration statement, prospectus or prospectus supplement (or an amendment or supplement thereto) with respect to any such registration,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any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our directors, executive officers and securityholders with respect to, among other things, the transfer of shares of our common stock or related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611"/>
        <w:gridCol w:w="9189"/>
      </w:tblGrid>
      <w:tr>
        <w:trPr/>
        <w:tc>
          <w:tcPr>
            <w:tcW w:w="405"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or other entities formed for the direct or indirect benefit of the restricted party or any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family member of the restricted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restricted party is a trust, to a trustor, trustee or beneficiary of the trust or to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corporation, partnership, limited liability company or other entity of which the restricted party or any family member is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9185"/>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(vii)</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restricted party is a corporation, partnership, limited liability company, trust or other business entity, (A) to another corporation, partnership, limited liability company, trust or other business entity that is an affiliate of the restricted party, or to any investment fund or other entity controlling, controlled by, managing or managed by or under common control with the restricted party, or (B) as part of a distribution, transfer or other disposition by the restricted party to its stockholders, partners, members or other equity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(viii)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restricted party may purchase in open market transactions on or after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1"/>
        <w:gridCol w:w="9188"/>
      </w:tblGrid>
      <w:tr>
        <w:trPr/>
        <w:tc>
          <w:tcPr>
            <w:tcW w:w="4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(ix)</w:t>
            </w:r>
          </w:p>
        </w:tc>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pursuant to a court order or settlement agreement related to the distribution of assets in connection with the dissolution of a marriage or civil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612"/>
        <w:gridCol w:w="9187"/>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exercise or settlement on a cash basis of options or restricted stock units granted under a stock incentive plan or other equity award plan, which plan is described herein, provided that any shares of our common stock or related securities received as a result of such exercise, vesting or settlement shall remain subject to the restrictions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611"/>
        <w:gridCol w:w="9187"/>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(xi)</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(A) in connection with the net or cashless exercise of options or other rights to purchase shares of our common stock or related securities from us and (B)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which plan is described herein, provided that any shares of our common stock or related securities received as a result of such exercise, vesting or settlement shall remain subject to the restrictions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612"/>
        <w:gridCol w:w="9186"/>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(xii)</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restricted partys shares of our common stock and related securities shall remain subject to the restrictions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9185"/>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(xiii)</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shares of common stock pursuant to a trading plan established pursuant to Rule 10b5-1 under the Exchange Act (provided that such plan was established prior to the execution of the lockup agreement by the restricted party); provided that no filing under the Exchange Act or other public announcement shall be made voluntarily during the restricted period in connection with such transfer and, if the filing of a report is required under Section 16 of the Exchange Act during the restricted period, such filing shall state that such sales have been executed under a 10b5-1 trading plan and shall also state the date such 10b5-1 trading plan was adopted;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in the case of any transfer pursuant to clauses (i) through (vii) and (ix) above, each transferee executes and delivers to Piper Sandler &amp; Co. and Cantor Fitzgerald &amp; Co. a lock-up letter; in the case of any transfer pursuant to clauses (i) through (vii) and (viii) above, no public disclosure or filing shall be required, or made voluntarily, during the restricted period reporting a change in beneficial ownership of shares of our common stock or related securities in connection with such transfer; in the case of any transfer pursuant to clauses (ix), (x) and (xi) above, no public disclosure or filing reporting a change in beneficial ownership of our shares of common stock or related securities shall be made voluntarily during the restricted period, and if the restricted party is required to file a report under Section 16 of the Exchange Act reporting a change in beneficial ownership of shares of our common stock or related securities during the restricted period, the restricted party shall include a statement in such report to the effect that such transfer relates to the circumstances described in clause (ix), (x) or (xi), as applicable; and in the case of any transfer pursuant to clauses (i) through (vii) above, such transfer shall not involve a disposition for value.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Select Market or otherwise and, if commenced, may be discontinued at any time. The underwriters may also engage in passive market making transactions in our common stock. Passive market making consists of displaying bids on The Nasdaq Global Select Market limited by the prices of independent market makers and effecting purchases limited by those prices in response to order flow. Rule 103 of Regulation M promulgated by the SEC limits the amount of net purchases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each passive market maker may make and the displayed size of each bid. Passive market making may stabilize the market price of the common stock at a level above that which might otherwise prevail in the open market and, if commenced, may be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in electronic format may be made available on the web sites maintained by one or more of the underwriters and the underwriters may distribute prospectuses and prospectus supplements electronically. </w:t>
      </w:r>
    </w:p>
    <w:p>
      <w:pPr>
        <w:pStyle w:val="TextBody"/>
        <w:bidi w:val="0"/>
        <w:spacing w:before="360" w:after="0"/>
        <w:jc w:val="left"/>
        <w:rPr>
          <w:rFonts w:ascii="Times New Roman" w:hAnsi="Times New Roman"/>
          <w:b/>
          <w:sz w:val="20"/>
        </w:rPr>
      </w:pPr>
      <w:r>
        <w:rPr>
          <w:rFonts w:ascii="Times New Roman" w:hAnsi="Times New Roman"/>
          <w:b/>
          <w:sz w:val="20"/>
        </w:rPr>
        <w:t xml:space="preserve">Affiliations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the ordinary course of its businesses, the underwriters and certain of their affiliates have engaged, and may in the future engage, in commercial banking or investment banking transactions with us and our affiliates. We entered into an at-the-market sales agreement with certain of the underwriters in December 2021.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and pre-funded warrants have been offered or will be offered pursuant to the offering to the public in that Relevant State prior to the publication of a prospectus in relation to the shares of common stock and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and pre-funded warrants may be made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common stock and pre-funded warrants shall require us or any underwriter to publish a prospectus pursuant to Article 3 of the Prospectus Regulation or supplement a prospectus pursuant to Article 23 of the Prospectus Regulation and each person who initially acquires any shares of common stock and pre-funded warrants or to whom any offer is made will be deemed to have represented, acknowledged and agreed to and with each of the underwriters and us that it is a qualified investor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Article 2(e) of the Prospectus Regulation. In the case of any shares of common stock and pre-funded warrants being offered to a financial intermediary as that term is used in the Prospectus Regulation, each such financial intermediary will be deemed to have represented, acknowledged and agreed that the shares of common stock and pre-funded warrants acquired by it in the offer have not been acquired on a non-discretionary basis on behalf of, nor have they been acquired with a view to their offer or resale to, persons in circumstances which may give rise to an offer of any shares of common stock and pre-funded warrants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and pre-funded warrants in any Relevant State means the communication in any form and by any means of sufficient information on the terms of the offer and any shares of common stock and pre-funded warrants to be offered so as to enable an investor to decide to purchase or subscribe for any shares of common stock and pre-funded warrants, and the expression Prospectus Regulation means Regulation (EU) 2017/1129. </w:t>
      </w:r>
    </w:p>
    <w:p>
      <w:pPr>
        <w:pStyle w:val="TextBody"/>
        <w:bidi w:val="0"/>
        <w:spacing w:before="360" w:after="0"/>
        <w:jc w:val="left"/>
        <w:rPr>
          <w:rFonts w:ascii="Times New Roman" w:hAnsi="Times New Roman"/>
          <w:i/>
          <w:sz w:val="20"/>
        </w:rPr>
      </w:pPr>
      <w:r>
        <w:rPr>
          <w:rFonts w:ascii="Times New Roman" w:hAnsi="Times New Roman"/>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and pre-funded warrants have been offered or will be offered pursuant to the offering to the public in the United Kingdom prior to the publication of a prospectus in relation to the shares and pre-funded warrants which has been approved by the Financial Conduct Authority, except that the shares of common stock or pre-funded warrants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of common stock and pre-funded warrants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common stock and pre-funded warrants in the United Kingdom means the communication in any form and by any means of sufficient information on the terms of the offer and any shares of common stock and pre-funded warrants to be offered so as to enable an investor to decide to purchase or subscribe for any shares and pre-funded warrants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Any invitation or inducement to engage in investment activity (within the meaning of Section 21 of the FSMA) in connection with the issue or sale of the shares of common stock and pre-funded warrants may only be communicated or caused to be communicated in circumstances in which Section 21(1) of the FSMA does not apply to us. </w:t>
      </w:r>
    </w:p>
    <w:p>
      <w:pPr>
        <w:pStyle w:val="TextBody"/>
        <w:bidi w:val="0"/>
        <w:spacing w:before="240" w:after="0"/>
        <w:jc w:val="left"/>
        <w:rPr>
          <w:rFonts w:ascii="Times New Roman" w:hAnsi="Times New Roman"/>
          <w:sz w:val="20"/>
        </w:rPr>
      </w:pPr>
      <w:r>
        <w:rPr>
          <w:rFonts w:ascii="Times New Roman" w:hAnsi="Times New Roman"/>
          <w:sz w:val="20"/>
        </w:rPr>
        <w:t xml:space="preserve">All applicable provisions of the FSMA must be complied with in respect to anything done by any person in relation to the shares of common stock and pre-funded warrants of our common stock in, from or otherwise involving the United Kingdom. </w:t>
      </w:r>
    </w:p>
    <w:p>
      <w:pPr>
        <w:pStyle w:val="TextBody"/>
        <w:bidi w:val="0"/>
        <w:spacing w:before="360" w:after="0"/>
        <w:jc w:val="left"/>
        <w:rPr>
          <w:rFonts w:ascii="Times New Roman" w:hAnsi="Times New Roman"/>
          <w:i/>
          <w:sz w:val="20"/>
        </w:rPr>
      </w:pPr>
      <w:r>
        <w:rPr>
          <w:rFonts w:ascii="Times New Roman" w:hAnsi="Times New Roman"/>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and pre-funded warrants may be sold only to purchasers purchasing, or deemed to be purchasing, as principal that are accredited investors, as defined in National Instrument 45-106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Exemptions or subsection 73.3(1) of the Securities Act (Ontario), and are permitted clients, as defined in National Instrument 31-103 Registration Requirements, Exemptions and Ongoing Registrant Obligations. Any resale of the shares of common stock and pre-funded warrants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Germany </w:t>
      </w:r>
    </w:p>
    <w:p>
      <w:pPr>
        <w:pStyle w:val="TextBody"/>
        <w:bidi w:val="0"/>
        <w:spacing w:before="120" w:after="0"/>
        <w:jc w:val="left"/>
        <w:rPr>
          <w:rFonts w:ascii="Times New Roman" w:hAnsi="Times New Roman"/>
          <w:sz w:val="20"/>
        </w:rPr>
      </w:pPr>
      <w:r>
        <w:rPr>
          <w:rFonts w:ascii="Times New Roman" w:hAnsi="Times New Roman"/>
          <w:sz w:val="20"/>
        </w:rPr>
        <w:t xml:space="preserve">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common stock and pre-funded warrants. In particular, each underwriter has represented that it has not engaged and has agreed that it will not engage in a public offering in the Federal Republic of Germany within the meaning of the Act with respect to any of the shares of common stock and pre-funded warrants otherwise than in accordance with the Act and all other applicable legal and regulatory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and pre-funded warrants have not been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common stock and pre-funded warrants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common stock and pre-funded warrants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shares of common stock and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shares of common stock and pre-funded warrants to any person within the State of Israel, other than to Qualified Investors and up to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and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and pre-funded warrants; (iv) that the shares of common stock and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360" w:after="0"/>
        <w:jc w:val="left"/>
        <w:rPr>
          <w:rFonts w:ascii="Times New Roman" w:hAnsi="Times New Roman"/>
          <w:i/>
          <w:sz w:val="20"/>
        </w:rPr>
      </w:pPr>
      <w:r>
        <w:rPr>
          <w:rFonts w:ascii="Times New Roman" w:hAnsi="Times New Roman"/>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shares of common stock or pre-funded warrants or caused the shares of common stock or pre-funded warrants to be made the subject of an invitation for subscription or purchase and will not offer or sell any shares of common stock or pre-funded warrants or cause the shares of common stock or pre-funded warrants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and pre-funded warrants,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of common stock or pre-funded warrants are subscribed for or acquired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subscribed for or acquired the shares of common stock and pre-funded warrants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of the SFA (in the case of that corporation) or Section 276(4)(i)(B) of the SFA (in the case of that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Securities and Futures (Capital Markets Products) Regulations 2018 (CMP Regulations 2018), unless otherwise specified before an offer of shares of common stock and pre-funded warrants, we have determined, and hereby notify all relevant persons (as defined in Section 309A(1) of the SFA), that the shares of common stock and pre-funded warrants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shares of common stock and pre-funded warrants. The shares of common stock and pre-funded warrants may not be publicly offered, directly or indirectly, in Switzerland within the meaning of the Swiss Financial Services Act (the FinSA), and no application has or will be made to admit the shares of common stock and pre-funded warrants to trading on any trading venue (exchange or multilateral trading facility) in Switzerland. Neither this prospectus supplement, the accompanying prospectus nor any other offering or marketing material relating to the shares of common stock and pre-funded warrants constitutes a prospectus pursuant to the FinSA, and neither this prospectus supplement, the accompanying prospectus nor any other offering or marketing material relating to the shares of common stock and pre-funded warrants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and pre-funded warrants may not be offered to the public in the UAE and/or any of the free zones.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pre-funded warrants may be offered and issued only to a limited number of investors in the UAE or any of its free zones who qualify as sophisticated investors under the relevant laws and regulations of the UAE or the free zone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France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(including any amendment, supplement or replacement thereto) is not being distributed in the context of a public offering in France within the meaning of Article L. 411-1 of the French Monetary and Financial Code (Code monétaire et financier).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and will not be submitted to the French Autorité des marchés financiers (the AMF) for approval in France and accordingly may not and will not be distributed to the public in France.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Article 211-3 of the AMF General Regulation, French residents are hereby informed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does not require a prospectus to be submitted for approval to the AMF;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or entities referred to in Point 2°, Section II of Article L.411-2 of the Monetary and Financial Code may take part in the transaction solely for their own account, as provided in Articles D. 411-1, D. 734-1, D. 744-1, D. 754-1 and D. 764-1 of the Monetary and Financial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instruments thus acquired cannot be distributed directly or indirectly to the public otherwise than in accordance with Articles L. 411-1, L. 411-2, L. 412-1 and L. 621-8 to L. 621-8-3 of the Monetary and Financial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toc530878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supplement will be passed upon for us by Wilson Sonsini Goodrich &amp; Rosati, Professional Corporation, Palo Alto, California. Cooley LLP, San Francisco, California, is acting as counsel for the underwriters. </w:t>
      </w:r>
    </w:p>
    <w:p>
      <w:pPr>
        <w:pStyle w:val="TextBody"/>
        <w:bidi w:val="0"/>
        <w:spacing w:before="240" w:after="0"/>
        <w:jc w:val="center"/>
        <w:rPr>
          <w:rFonts w:ascii="Times New Roman" w:hAnsi="Times New Roman"/>
          <w:b/>
          <w:sz w:val="20"/>
        </w:rPr>
      </w:pPr>
      <w:bookmarkStart w:id="13" w:name="supptoc530878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ALX Oncology Holdings Inc. and subsidiaries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before="240" w:after="0"/>
        <w:jc w:val="center"/>
        <w:rPr>
          <w:rFonts w:ascii="Times New Roman" w:hAnsi="Times New Roman"/>
          <w:b/>
          <w:sz w:val="20"/>
        </w:rPr>
      </w:pPr>
      <w:bookmarkStart w:id="14" w:name="supptoc530878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2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upptoc530878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certain information we file with it, which means that we can disclose important information to you by referring you to another document filed separately with the SEC. The information incorporated by reference is deemed to be a part of this prospectus supplement and the accompanying prospectus, and subsequent information that we file later with the SEC will automatically update and supersede information contained in this prospectus supplement and the accompanying prospectus. Any statement contained in a previously filed document incorporated by reference will be deemed to be modified or superseded for purposes of this prospectus supplement and accompanying prospectus to the extent that a statement contained in this prospectus supplement modifies or replaces that statement. </w:t>
      </w:r>
    </w:p>
    <w:p>
      <w:pPr>
        <w:pStyle w:val="TextBody"/>
        <w:bidi w:val="0"/>
        <w:spacing w:before="120" w:after="0"/>
        <w:jc w:val="left"/>
        <w:rPr>
          <w:rFonts w:ascii="Times New Roman" w:hAnsi="Times New Roman"/>
          <w:sz w:val="20"/>
        </w:rPr>
      </w:pPr>
      <w:r>
        <w:rPr>
          <w:rFonts w:ascii="Times New Roman" w:hAnsi="Times New Roman"/>
          <w:sz w:val="20"/>
        </w:rPr>
        <w:t>This prospectus supplement incorporates by reference the documents set forth below that have previously been filed with the SEC (excluding any portions of any Form 8-K that are not deemed filed pursuant to the General Instructions of Form 8-K):</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9, 2023; </w:t>
            </w:r>
          </w:p>
        </w:tc>
      </w:tr>
    </w:tbl>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4">
              <w:r>
                <w:rPr>
                  <w:rStyle w:val="InternetLink"/>
                  <w:rFonts w:ascii="Times New Roman" w:hAnsi="Times New Roman"/>
                  <w:sz w:val="20"/>
                </w:rPr>
                <w:t>May  11, 2023</w:t>
              </w:r>
            </w:hyperlink>
            <w:r>
              <w:rPr>
                <w:rFonts w:ascii="Times New Roman" w:hAnsi="Times New Roman"/>
                <w:sz w:val="20"/>
              </w:rPr>
              <w:t xml:space="preserve"> and </w:t>
            </w:r>
            <w:hyperlink r:id="rId5">
              <w:r>
                <w:rPr>
                  <w:rStyle w:val="InternetLink"/>
                  <w:rFonts w:ascii="Times New Roman" w:hAnsi="Times New Roman"/>
                  <w:sz w:val="20"/>
                </w:rPr>
                <w:t>August 10, 2023</w:t>
              </w:r>
            </w:hyperlink>
            <w:r>
              <w:rPr>
                <w:rFonts w:ascii="Times New Roman" w:hAnsi="Times New Roman"/>
                <w:sz w:val="20"/>
              </w:rPr>
              <w:t xml:space="preserve">, respectively;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June 20, 2023</w:t>
              </w:r>
            </w:hyperlink>
            <w:r>
              <w:rPr>
                <w:rFonts w:ascii="Times New Roman" w:hAnsi="Times New Roman"/>
                <w:sz w:val="20"/>
              </w:rPr>
              <w:t xml:space="preserve">, </w:t>
            </w:r>
            <w:hyperlink r:id="rId7">
              <w:r>
                <w:rPr>
                  <w:rStyle w:val="InternetLink"/>
                  <w:rFonts w:ascii="Times New Roman" w:hAnsi="Times New Roman"/>
                  <w:sz w:val="20"/>
                </w:rPr>
                <w:t>September  6, 2023</w:t>
              </w:r>
            </w:hyperlink>
            <w:r>
              <w:rPr>
                <w:rFonts w:ascii="Times New Roman" w:hAnsi="Times New Roman"/>
                <w:sz w:val="20"/>
              </w:rPr>
              <w:t xml:space="preserve"> and </w:t>
            </w:r>
            <w:hyperlink r:id="rId8">
              <w:r>
                <w:rPr>
                  <w:rStyle w:val="InternetLink"/>
                  <w:rFonts w:ascii="Times New Roman" w:hAnsi="Times New Roman"/>
                  <w:sz w:val="20"/>
                </w:rPr>
                <w:t>October 4, 2023</w:t>
              </w:r>
            </w:hyperlink>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 our Annual Report on Form 10-K for the year ended December 31, 2022, from our </w:t>
            </w:r>
            <w:hyperlink r:id="rId9">
              <w:r>
                <w:rPr>
                  <w:rStyle w:val="InternetLink"/>
                  <w:rFonts w:ascii="Times New Roman" w:hAnsi="Times New Roman"/>
                  <w:sz w:val="20"/>
                </w:rPr>
                <w:t>definitive proxy statement</w:t>
              </w:r>
            </w:hyperlink>
            <w:r>
              <w:rPr>
                <w:rFonts w:ascii="Times New Roman" w:hAnsi="Times New Roman"/>
                <w:sz w:val="20"/>
              </w:rPr>
              <w:t xml:space="preserve"> relating to our 2023 annual meeting of stockholders, filed with the SEC on April 24, 2023; and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filed with the SEC on July 13, 2020, including any amendments thereto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and the accompanying prospectus Any documents we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into this prospectus supplement and the accompanying prospectus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may contain information that updates, modifies or is contrary to information in one or more of the documents incorporated by reference in this prospectus supplement and the accompanying prospectus. You should rely only on the information incorporated by reference or provided in this prospectus supplement and the accompanying prospectus. We have not authorized anyone else to provide you with different information. You should not assume that the information in this prospectus supplement is accurate as of any date other than the date of this prospectus supplement, the accompanying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a copy of any or all of the information that is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(excluding certain exhibits to the documents) but not delivered with the prospectus supplement. You can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323 Allerton Avenue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650-466-7125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 documents incorporated by reference in this prospectus supplement and the accompanying prospectus through our website at www.alxoncology .com. Except for the specific incorporated documents listed above, no information available on or through our website shall be deemed to be incorporated into this prospectus supplement and the accompanying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ALX Oncology Holdings,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787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17805" cy="787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$450,000,000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36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36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 </w:t>
      </w:r>
    </w:p>
    <w:p>
      <w:pPr>
        <w:pStyle w:val="TextBody"/>
        <w:bidi w:val="0"/>
        <w:spacing w:before="36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360" w:after="0"/>
        <w:jc w:val="left"/>
        <w:rPr/>
      </w:pPr>
      <w:r>
        <w:rPr>
          <w:rFonts w:ascii="Times New Roman" w:hAnsi="Times New Roman"/>
          <w:b/>
          <w:sz w:val="24"/>
        </w:rPr>
        <w:t>INVESTING IN OUR SECURITIES INVOLVES RISKS. SEE </w:t>
      </w:r>
      <w:hyperlink w:anchor="toc530878_3">
        <w:r>
          <w:rPr>
            <w:rStyle w:val="InternetLink"/>
            <w:rFonts w:ascii="Times New Roman" w:hAnsi="Times New Roman"/>
            <w:b/>
            <w:sz w:val="24"/>
          </w:rPr>
          <w:t>RISK FACTORS</w:t>
        </w:r>
      </w:hyperlink>
      <w:r>
        <w:rPr>
          <w:rFonts w:ascii="Times New Roman" w:hAnsi="Times New Roman"/>
          <w:b/>
          <w:sz w:val="24"/>
        </w:rPr>
        <w:t xml:space="preserve"> BEGINNING ON PAGE 2 OF THIS PROSPECTUS AND IN ANY SIMILAR SECTION CONTAINED IN OR INCORPORATED BY REFERENCE HEREIN OR IN THE APPLICABLE PROSPECTUS SUPPLEMENT CONCERNING FACTORS YOU SHOULD CONSIDER BEFORE INVESTING IN OUR SECURITIES. </w:t>
      </w:r>
    </w:p>
    <w:p>
      <w:pPr>
        <w:pStyle w:val="TextBody"/>
        <w:bidi w:val="0"/>
        <w:spacing w:before="36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On May 12, 2022, the last reported sale price of our common stock on The Nasdaq Global Select Market was $9.00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360" w:after="0"/>
        <w:jc w:val="center"/>
        <w:rPr>
          <w:rFonts w:ascii="Times New Roman" w:hAnsi="Times New Roman"/>
          <w:b/>
          <w:sz w:val="20"/>
        </w:rPr>
      </w:pPr>
      <w:r>
        <w:rPr>
          <w:rFonts w:ascii="Times New Roman" w:hAnsi="Times New Roman"/>
          <w:b/>
          <w:sz w:val="20"/>
        </w:rPr>
        <w:t xml:space="preserve">The date of this prospectus is May 25, 2022.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2"/>
        <w:gridCol w:w="349"/>
        <w:gridCol w:w="96"/>
        <w:gridCol w:w="425"/>
        <w:gridCol w:w="63"/>
      </w:tblGrid>
      <w:tr>
        <w:trPr/>
        <w:tc>
          <w:tcPr>
            <w:tcW w:w="927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2"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
              <w:r>
                <w:rPr>
                  <w:rStyle w:val="InternetLink"/>
                  <w:rFonts w:ascii="Times New Roman" w:hAnsi="Times New Roman"/>
                  <w:sz w:val="20"/>
                </w:rPr>
                <w:t>ABOUT THIS PROSPECTUS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2">
              <w:r>
                <w:rPr>
                  <w:rStyle w:val="InternetLink"/>
                  <w:rFonts w:ascii="Times New Roman" w:hAnsi="Times New Roman"/>
                  <w:sz w:val="20"/>
                </w:rPr>
                <w:t>THE COMPANY</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3">
              <w:r>
                <w:rPr>
                  <w:rStyle w:val="InternetLink"/>
                  <w:rFonts w:ascii="Times New Roman" w:hAnsi="Times New Roman"/>
                  <w:sz w:val="20"/>
                </w:rPr>
                <w:t>RISK FACTORS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4">
              <w:r>
                <w:rPr>
                  <w:rStyle w:val="InternetLink"/>
                  <w:rFonts w:ascii="Times New Roman" w:hAnsi="Times New Roman"/>
                  <w:sz w:val="20"/>
                </w:rPr>
                <w:t>SPECIAL NOTE REGARDING FORWARD LOOKING STATEMENTS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5">
              <w:r>
                <w:rPr>
                  <w:rStyle w:val="InternetLink"/>
                  <w:rFonts w:ascii="Times New Roman" w:hAnsi="Times New Roman"/>
                  <w:sz w:val="20"/>
                </w:rPr>
                <w:t>USE OF PROCEEDS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6">
              <w:r>
                <w:rPr>
                  <w:rStyle w:val="InternetLink"/>
                  <w:rFonts w:ascii="Times New Roman" w:hAnsi="Times New Roman"/>
                  <w:sz w:val="20"/>
                </w:rPr>
                <w:t>DESCRIPTION OF SECURITIES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7">
              <w:r>
                <w:rPr>
                  <w:rStyle w:val="InternetLink"/>
                  <w:rFonts w:ascii="Times New Roman" w:hAnsi="Times New Roman"/>
                  <w:sz w:val="20"/>
                </w:rPr>
                <w:t>DESCRIPTION OF CAPITAL STOCK</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8">
              <w:r>
                <w:rPr>
                  <w:rStyle w:val="InternetLink"/>
                  <w:rFonts w:ascii="Times New Roman" w:hAnsi="Times New Roman"/>
                  <w:sz w:val="20"/>
                </w:rPr>
                <w:t>DESCRIPTION OF WARRANTS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9">
              <w:r>
                <w:rPr>
                  <w:rStyle w:val="InternetLink"/>
                  <w:rFonts w:ascii="Times New Roman" w:hAnsi="Times New Roman"/>
                  <w:sz w:val="20"/>
                </w:rPr>
                <w:t>DESCRIPTION OF PURCHASE CONTRACTS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0">
              <w:r>
                <w:rPr>
                  <w:rStyle w:val="InternetLink"/>
                  <w:rFonts w:ascii="Times New Roman" w:hAnsi="Times New Roman"/>
                  <w:sz w:val="20"/>
                </w:rPr>
                <w:t>DESCRIPTION OF UNITS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1">
              <w:r>
                <w:rPr>
                  <w:rStyle w:val="InternetLink"/>
                  <w:rFonts w:ascii="Times New Roman" w:hAnsi="Times New Roman"/>
                  <w:sz w:val="20"/>
                </w:rPr>
                <w:t>PLAN OF DISTRIBUTION</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2">
              <w:r>
                <w:rPr>
                  <w:rStyle w:val="InternetLink"/>
                  <w:rFonts w:ascii="Times New Roman" w:hAnsi="Times New Roman"/>
                  <w:sz w:val="20"/>
                </w:rPr>
                <w:t>LEGAL MATTERS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3">
              <w:r>
                <w:rPr>
                  <w:rStyle w:val="InternetLink"/>
                  <w:rFonts w:ascii="Times New Roman" w:hAnsi="Times New Roman"/>
                  <w:sz w:val="20"/>
                </w:rPr>
                <w:t>EXPERTS</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4">
              <w:r>
                <w:rPr>
                  <w:rStyle w:val="InternetLink"/>
                  <w:rFonts w:ascii="Times New Roman" w:hAnsi="Times New Roman"/>
                  <w:sz w:val="20"/>
                </w:rPr>
                <w:t>WHERE YOU CAN FIND MORE INFORMATION</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2" w:type="dxa"/>
            <w:tcBorders/>
            <w:vAlign w:val="bottom"/>
          </w:tcPr>
          <w:p>
            <w:pPr>
              <w:pStyle w:val="TableContents"/>
              <w:bidi w:val="0"/>
              <w:spacing w:before="0" w:after="0"/>
              <w:jc w:val="left"/>
              <w:rPr/>
            </w:pPr>
            <w:hyperlink w:anchor="toc530878_15">
              <w:r>
                <w:rPr>
                  <w:rStyle w:val="InternetLink"/>
                  <w:rFonts w:ascii="Times New Roman" w:hAnsi="Times New Roman"/>
                  <w:sz w:val="20"/>
                </w:rPr>
                <w:t>INCORPORATION OF CERTAIN INFORMATION BY REFERENCE</w:t>
              </w:r>
            </w:hyperlink>
          </w:p>
        </w:tc>
        <w:tc>
          <w:tcPr>
            <w:tcW w:w="3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530878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ALX Oncology Holdings, we, our, us and the Company in this prospectus, we mean ALX Oncology Holdings Inc., unless the context indicates otherwise or unless otherwise specified. When we refer to you, we mean the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30878_2"/>
      <w:bookmarkEnd w:id="17"/>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March 31, 2022, we had dosed over 200 subjects with evorpacept across a range of hematologic and solid malignancies in combination with a number of leading anti-cancer agents. We plan to initiate additional studies in combination with leading anti-cancer agents. In solid tumors, we are conducting two ongoing randomized Phase 2 trials of evorpacept for the treatment of first-line advanced head and neck squamous cell carcinoma, or HNSCC, with the first subject enrolled in the first trial in May 2021 and the first subject enrolled in the second trial in July 2021. We also initiated a randomized Phase 2/3 trial of evorpacept in combination with trastuzumab, ramucirumab and paclitaxel for the treatment of second line advanced HER2-overexpressing gastric/gastroesophageal junction, or GEJ, cancer and dosed the first patient in March 2022. Our collaborator, Zymeworks, is also conducting an ongoing Phase 1 trial for the treatment of advanced HER2-expressing breast cancer and other solid tumors and enrolled the first subject in October 2021. In hematologic malignancies, we have initiated two Phase 1 trials of evorpacept for the treatment of myelodysplastic syndromes, or MDS, and acute myeloid leukemia, or AML, and are enrolling patients in both trials.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us and Tallac Therapeutics, Inc. (Tallac), combines our companys SIRPα antibodies with Tallacs toll-like receptor 9 (TRL9)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acquisition of ScalmiBio, Inc. (ScalmiBio) in the fourth quarter of 2021, we seek to expand our pipeline of drug candidates to antibody drug conjugates based on expertise in protein engineering and oncology. </w:t>
      </w:r>
    </w:p>
    <w:p>
      <w:pPr>
        <w:pStyle w:val="TextBody"/>
        <w:bidi w:val="0"/>
        <w:spacing w:before="240" w:after="0"/>
        <w:jc w:val="left"/>
        <w:rPr>
          <w:rFonts w:ascii="Times New Roman" w:hAnsi="Times New Roman"/>
          <w:sz w:val="20"/>
        </w:rPr>
      </w:pPr>
      <w:r>
        <w:rPr>
          <w:rFonts w:ascii="Times New Roman" w:hAnsi="Times New Roman"/>
          <w:sz w:val="20"/>
        </w:rPr>
        <w:t xml:space="preserve">Our office is located at 323 Allerton Avenue, South San Francisco, CA 94080. Our telephone number is 650-466-7125. Our website address is https://www.alxoncology.com. Information contained on, or that can be accessed through, our website is not incorporated by reference into this prospectus and should not be considered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30878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recently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30878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our ability to grow a sales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conduct preclinical research activities, and for the manufacture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and focus of our current and future clinical trials, and the reporting of data from those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the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impact of the ongoing COVID-19 pandemic or geopolitical risks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for and prospects of our acquisitions and other business development activities, and our ability to successfully capitalize on these opportunities;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our anticipated use of our existing cash, cash equivalents and investments.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30878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30878_6"/>
      <w:bookmarkEnd w:id="21"/>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from time to time, in one or more offerings,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par value $0.001 per share,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preferred stock, par value $0.001 per share,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shares of our common stock or preferred stock or other securities from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representing two or more of the foregoing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530878_7"/>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preferred stock and common stock. Our authorized capital stock consists of 1,100,000,000 shares, $0.001 par value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1,000,000,000 shares are designated as voting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are designated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shares of convertible preferred stock, holders of our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S-3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holders of our common stock were entitled to, and the necessary percentage of holders waived, their rights to notice of this offering and to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registration expenses, other than underwriting discounts and commissions, of the shares registered by the demand, Form S-3 and piggyback registrations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no less than a majority of the shares present in person or by proxy at the meeting and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affected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DGCL. Our amended and restated bylaws may be adopted, amended, altered, or repealed by stockholders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and do, carry directors and officers insurance providing coverage for our directors, officers and certain employees for some liabilities. We believe that these indemnification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ALXO.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250 Royall Street, Canton, Massachusetts 02021.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530878_8"/>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common stock or preferred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common stock, or preferred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530878_9"/>
      <w:bookmarkEnd w:id="24"/>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530878_10"/>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included in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oc530878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 the market offerings, negotiated transactions, block trades or a combination of these methods. 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530878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Wilson Sonsini Goodrich &amp; Rosati, Professional Corporation, Palo Alto, California, will pass upon certain legal matters relating to the issuance and sale of the securities offered hereby on behalf of ALX Oncology Holdings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oc530878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 </w:t>
      </w:r>
    </w:p>
    <w:p>
      <w:pPr>
        <w:pStyle w:val="TextBody"/>
        <w:bidi w:val="0"/>
        <w:spacing w:before="480" w:after="0"/>
        <w:jc w:val="center"/>
        <w:rPr>
          <w:rFonts w:ascii="Times New Roman" w:hAnsi="Times New Roman"/>
          <w:b/>
          <w:sz w:val="20"/>
        </w:rPr>
      </w:pPr>
      <w:bookmarkStart w:id="29" w:name="toc530878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oc530878_15"/>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2021, filed with the SEC on February 28,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3">
              <w:r>
                <w:rPr>
                  <w:rStyle w:val="InternetLink"/>
                  <w:rFonts w:ascii="Times New Roman" w:hAnsi="Times New Roman"/>
                  <w:sz w:val="20"/>
                </w:rPr>
                <w:t>Form 10-Q</w:t>
              </w:r>
            </w:hyperlink>
            <w:r>
              <w:rPr>
                <w:rFonts w:ascii="Times New Roman" w:hAnsi="Times New Roman"/>
                <w:sz w:val="20"/>
              </w:rPr>
              <w:t xml:space="preserve"> for the quarter ended March 31, 2022, filed with the SEC on May 9,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 our Annual Report on Form 10-K for the year ended December 31, 2021, from our </w:t>
            </w:r>
            <w:hyperlink r:id="rId14">
              <w:r>
                <w:rPr>
                  <w:rStyle w:val="InternetLink"/>
                  <w:rFonts w:ascii="Times New Roman" w:hAnsi="Times New Roman"/>
                  <w:sz w:val="20"/>
                </w:rPr>
                <w:t>definitive proxy statement</w:t>
              </w:r>
            </w:hyperlink>
            <w:r>
              <w:rPr>
                <w:rFonts w:ascii="Times New Roman" w:hAnsi="Times New Roman"/>
                <w:sz w:val="20"/>
              </w:rPr>
              <w:t xml:space="preserve"> relating to our 2022 annual meeting of stockholders, filed with the SEC on April 22,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15">
              <w:r>
                <w:rPr>
                  <w:rStyle w:val="InternetLink"/>
                  <w:rFonts w:ascii="Times New Roman" w:hAnsi="Times New Roman"/>
                  <w:sz w:val="20"/>
                </w:rPr>
                <w:t>Form 8-K</w:t>
              </w:r>
            </w:hyperlink>
            <w:r>
              <w:rPr>
                <w:rFonts w:ascii="Times New Roman" w:hAnsi="Times New Roman"/>
                <w:sz w:val="20"/>
              </w:rPr>
              <w:t xml:space="preserve">, which was filed with the SEC on April 12,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filed with the SEC on July 13, 2020, including any amendments thereto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ALX Oncology Holdings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323 Allerton Avenue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650-466-7125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or any document incorporated herein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17805" cy="787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217805" cy="78740"/>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28"/>
        </w:rPr>
      </w:pPr>
      <w:r>
        <w:rPr>
          <w:rFonts w:ascii="Times New Roman" w:hAnsi="Times New Roman"/>
          <w:b/>
          <w:sz w:val="28"/>
        </w:rPr>
        <w:t xml:space="preserve">7,370,690 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Pre-Funded Warrants to Purchase 1,250,000 Shares of 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8"/>
        </w:rPr>
      </w:pPr>
      <w:r>
        <w:rPr>
          <w:rFonts w:ascii="Times New Roman" w:hAnsi="Times New Roman"/>
          <w:sz w:val="28"/>
        </w:rPr>
        <w:t xml:space="preserve">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60"/>
        <w:gridCol w:w="101"/>
        <w:gridCol w:w="3164"/>
        <w:gridCol w:w="101"/>
        <w:gridCol w:w="3879"/>
      </w:tblGrid>
      <w:tr>
        <w:trPr/>
        <w:tc>
          <w:tcPr>
            <w:tcW w:w="29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2960" w:type="dxa"/>
            <w:tcBorders/>
          </w:tcPr>
          <w:p>
            <w:pPr>
              <w:pStyle w:val="TableContents"/>
              <w:bidi w:val="0"/>
              <w:spacing w:before="0" w:after="283"/>
              <w:jc w:val="left"/>
              <w:rPr>
                <w:b/>
              </w:rPr>
            </w:pPr>
            <w:r>
              <w:rPr>
                <w:b/>
              </w:rPr>
              <w:t>Piper Sandler</w:t>
            </w:r>
          </w:p>
        </w:tc>
        <w:tc>
          <w:tcPr>
            <w:tcW w:w="101" w:type="dxa"/>
            <w:tcBorders/>
            <w:vAlign w:val="bottom"/>
          </w:tcPr>
          <w:p>
            <w:pPr>
              <w:pStyle w:val="TableContents"/>
              <w:bidi w:val="0"/>
              <w:spacing w:before="0" w:after="283"/>
              <w:jc w:val="left"/>
              <w:rPr/>
            </w:pPr>
            <w:r>
              <w:rPr/>
              <w:t> </w:t>
            </w:r>
          </w:p>
        </w:tc>
        <w:tc>
          <w:tcPr>
            <w:tcW w:w="3164" w:type="dxa"/>
            <w:tcBorders/>
          </w:tcPr>
          <w:p>
            <w:pPr>
              <w:pStyle w:val="TableContents"/>
              <w:bidi w:val="0"/>
              <w:spacing w:before="0" w:after="283"/>
              <w:jc w:val="center"/>
              <w:rPr>
                <w:b/>
              </w:rPr>
            </w:pPr>
            <w:r>
              <w:rPr>
                <w:b/>
              </w:rPr>
              <w:t>Cantor</w:t>
            </w:r>
          </w:p>
        </w:tc>
        <w:tc>
          <w:tcPr>
            <w:tcW w:w="101" w:type="dxa"/>
            <w:tcBorders/>
            <w:vAlign w:val="bottom"/>
          </w:tcPr>
          <w:p>
            <w:pPr>
              <w:pStyle w:val="TableContents"/>
              <w:bidi w:val="0"/>
              <w:spacing w:before="0" w:after="283"/>
              <w:jc w:val="left"/>
              <w:rPr/>
            </w:pPr>
            <w:r>
              <w:rPr/>
              <w:t> </w:t>
            </w:r>
          </w:p>
        </w:tc>
        <w:tc>
          <w:tcPr>
            <w:tcW w:w="3879" w:type="dxa"/>
            <w:tcBorders/>
            <w:vAlign w:val="bottom"/>
          </w:tcPr>
          <w:p>
            <w:pPr>
              <w:pStyle w:val="TableContents"/>
              <w:bidi w:val="0"/>
              <w:spacing w:before="0" w:after="283"/>
              <w:jc w:val="right"/>
              <w:rPr>
                <w:b/>
              </w:rPr>
            </w:pPr>
            <w:r>
              <w:rPr>
                <w:b/>
              </w:rPr>
              <w:t>UBS Investment Bank</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4"/>
        <w:gridCol w:w="5511"/>
      </w:tblGrid>
      <w:tr>
        <w:trPr/>
        <w:tc>
          <w:tcPr>
            <w:tcW w:w="44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551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490" w:type="dxa"/>
            <w:tcBorders/>
            <w:vAlign w:val="center"/>
          </w:tcPr>
          <w:p>
            <w:pPr>
              <w:pStyle w:val="TableContents"/>
              <w:bidi w:val="0"/>
              <w:spacing w:before="0" w:after="283"/>
              <w:jc w:val="left"/>
              <w:rPr>
                <w:sz w:val="4"/>
                <w:szCs w:val="4"/>
              </w:rPr>
            </w:pPr>
            <w:r>
              <w:rPr>
                <w:sz w:val="4"/>
                <w:szCs w:val="4"/>
              </w:rPr>
            </w:r>
          </w:p>
        </w:tc>
        <w:tc>
          <w:tcPr>
            <w:tcW w:w="5715" w:type="dxa"/>
            <w:gridSpan w:val="2"/>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283"/>
              <w:jc w:val="left"/>
              <w:rPr>
                <w:b/>
              </w:rPr>
            </w:pPr>
            <w:r>
              <w:rPr>
                <w:b/>
              </w:rPr>
              <w:t>LifeSci Capital</w:t>
            </w:r>
          </w:p>
        </w:tc>
        <w:tc>
          <w:tcPr>
            <w:tcW w:w="204" w:type="dxa"/>
            <w:tcBorders/>
            <w:vAlign w:val="bottom"/>
          </w:tcPr>
          <w:p>
            <w:pPr>
              <w:pStyle w:val="TableContents"/>
              <w:bidi w:val="0"/>
              <w:spacing w:before="0" w:after="283"/>
              <w:jc w:val="left"/>
              <w:rPr/>
            </w:pPr>
            <w:r>
              <w:rPr/>
              <w:t> </w:t>
            </w:r>
          </w:p>
        </w:tc>
        <w:tc>
          <w:tcPr>
            <w:tcW w:w="5511" w:type="dxa"/>
            <w:tcBorders/>
          </w:tcPr>
          <w:p>
            <w:pPr>
              <w:pStyle w:val="TableContents"/>
              <w:bidi w:val="0"/>
              <w:spacing w:before="0" w:after="283"/>
              <w:jc w:val="right"/>
              <w:rPr>
                <w:b/>
              </w:rPr>
            </w:pPr>
            <w:r>
              <w:rPr>
                <w:b/>
              </w:rPr>
              <w:t>H.C. Wainwright &amp; Co.</w:t>
            </w:r>
          </w:p>
        </w:tc>
      </w:tr>
    </w:tbl>
    <w:p>
      <w:pPr>
        <w:pStyle w:val="TextBody"/>
        <w:bidi w:val="0"/>
        <w:spacing w:before="480" w:after="0"/>
        <w:jc w:val="center"/>
        <w:rPr>
          <w:rFonts w:ascii="Times New Roman" w:hAnsi="Times New Roman"/>
          <w:sz w:val="20"/>
        </w:rPr>
      </w:pPr>
      <w:r>
        <w:rPr>
          <w:rFonts w:ascii="Times New Roman" w:hAnsi="Times New Roman"/>
          <w:sz w:val="20"/>
        </w:rPr>
        <w:t xml:space="preserve">October 4, 2023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10182/000095017023007013/alxo-20221231.htm" TargetMode="External"/><Relationship Id="rId4" Type="http://schemas.openxmlformats.org/officeDocument/2006/relationships/hyperlink" Target="http://www.sec.gov/Archives/edgar/data/1810182/000095017023021247/alxo-20230331.htm" TargetMode="External"/><Relationship Id="rId5" Type="http://schemas.openxmlformats.org/officeDocument/2006/relationships/hyperlink" Target="http://www.sec.gov/Archives/edgar/data/1810182/000095017023041319/alxo-20230630.htm" TargetMode="External"/><Relationship Id="rId6" Type="http://schemas.openxmlformats.org/officeDocument/2006/relationships/hyperlink" Target="http://www.sec.gov/Archives/edgar/data/1810182/000095017023028787/alxo-20230616.htm" TargetMode="External"/><Relationship Id="rId7" Type="http://schemas.openxmlformats.org/officeDocument/2006/relationships/hyperlink" Target="http://www.sec.gov/Archives/edgar/data/../../../ix?doc=/Archives/edgar/data/0001810182/000119312523229584/d846509d8k.htm" TargetMode="External"/><Relationship Id="rId8" Type="http://schemas.openxmlformats.org/officeDocument/2006/relationships/hyperlink" Target="http://www.sec.gov/Archives/edgar/data/../../../ix?doc=/Archives/edgar/data/0001810182/000119312523250357/d539238d8k.htm" TargetMode="External"/><Relationship Id="rId9" Type="http://schemas.openxmlformats.org/officeDocument/2006/relationships/hyperlink" Target="http://www.sec.gov/Archives/edgar/data/1810182/000095017023013952/alxo_def_14a_2023_proxy.htm" TargetMode="External"/><Relationship Id="rId10" Type="http://schemas.openxmlformats.org/officeDocument/2006/relationships/hyperlink" Target="http://www.sec.gov/Archives/edgar/data/0001810182/000119312520191878/d936945d8a12b.htm" TargetMode="External"/><Relationship Id="rId11" Type="http://schemas.openxmlformats.org/officeDocument/2006/relationships/image" Target="media/image1.jpeg"/><Relationship Id="rId12" Type="http://schemas.openxmlformats.org/officeDocument/2006/relationships/hyperlink" Target="http://www.sec.gov/Archives/edgar/data/0001810182/000156459022007364/alxo-10k_20211231.htm" TargetMode="External"/><Relationship Id="rId13" Type="http://schemas.openxmlformats.org/officeDocument/2006/relationships/hyperlink" Target="http://www.sec.gov/Archives/edgar/data/../../../ix?doc=/Archives/edgar/data/0001810182/000095017022008499/alxo-20220331.htm" TargetMode="External"/><Relationship Id="rId14" Type="http://schemas.openxmlformats.org/officeDocument/2006/relationships/hyperlink" Target="http://www.sec.gov/Archives/edgar/data/0001810182/000095017022005982/alxo-def_14a-2022_proxy.htm" TargetMode="External"/><Relationship Id="rId15" Type="http://schemas.openxmlformats.org/officeDocument/2006/relationships/hyperlink" Target="http://www.sec.gov/Archives/edgar/data/../../../ix?doc=/Archives/edgar/data/0001810182/000095017022005597/alxo-20220411.htm" TargetMode="External"/><Relationship Id="rId16" Type="http://schemas.openxmlformats.org/officeDocument/2006/relationships/hyperlink" Target="http://www.sec.gov/Archives/edgar/data/0001810182/000119312520191878/d936945d8a12b.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27433</Words>
  <Characters>144558</Characters>
  <CharactersWithSpaces>172192</CharactersWithSpaces>
  <Paragraphs>1975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