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December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001-39386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85-0642577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323 Allerton Avenue</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3"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(650) 466-7125</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Arial" w:cs="Arial" w:eastAsia="Arial" w:hAnsi="Arial"/>
                <w:sz w:val="18"/>
                <w:szCs w:val="18"/>
                <w:b w:val="1"/>
                <w:bCs w:val="1"/>
                <w:color w:val="auto"/>
              </w:rPr>
              <w:t>ALXO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December 17, 2021, ALX Oncology Holdings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entered into a Sales Agreement (the “</w:t>
      </w:r>
      <w:r>
        <w:rPr>
          <w:rFonts w:ascii="Arial" w:cs="Arial" w:eastAsia="Arial" w:hAnsi="Arial"/>
          <w:sz w:val="18"/>
          <w:szCs w:val="18"/>
          <w:b w:val="1"/>
          <w:bCs w:val="1"/>
          <w:i w:val="1"/>
          <w:iCs w:val="1"/>
          <w:color w:val="auto"/>
        </w:rPr>
        <w:t>Sales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with Cantor Fitzgerald &amp; Co. and Credit Suisse Securities (USA) LLC (the “</w:t>
      </w:r>
      <w:r>
        <w:rPr>
          <w:rFonts w:ascii="Arial" w:cs="Arial" w:eastAsia="Arial" w:hAnsi="Arial"/>
          <w:sz w:val="18"/>
          <w:szCs w:val="18"/>
          <w:b w:val="1"/>
          <w:bCs w:val="1"/>
          <w:i w:val="1"/>
          <w:iCs w:val="1"/>
          <w:color w:val="auto"/>
        </w:rPr>
        <w:t>Sales Agents</w:t>
      </w:r>
      <w:r>
        <w:rPr>
          <w:rFonts w:ascii="Arial" w:cs="Arial" w:eastAsia="Arial" w:hAnsi="Arial"/>
          <w:sz w:val="18"/>
          <w:szCs w:val="18"/>
          <w:color w:val="auto"/>
        </w:rPr>
        <w:t>”), pursuant to which the Company may offer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sell from time to time through the Sales Agents up to $150 million of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common stock, par value $0.001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in such share amounts as the Company may specify by notice to the Sales Agents, in accordance with the terms and conditions set forth in the Sales Agreement.</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Upon delivery of a placement notice to one of the Sales Agents and subject to the terms and conditions of the Sales Agreement, sales, if any, of the Shares may be made in negotiated transactions or transactions that are deemed to be “at the market offerings” as defined in Rule 415(a)(4)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including sales made directly on the Nasdaq Stock Market. Under the Sales Agreement, the Company will set the parameters for the sale of Shares, including the number of Shares to be issued, the time period during which sales are requested to be made, any limitation on the number of Shares that may be sold in any one trading day and any minimum price below which sales may not be made. The Company is not obligated to sell any Shares under the Sales Agreement.</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Shares will be offered and sold pursuant to the Company’s shelf registration statement on Form S-3 (File No. 333-258812) which was automatically effective upon filing with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on August 13, 2021. The Company filed a prospectus supplement, dated December 17, 2021, with the SEC in connection with the offer and sale of the Shares.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or Sales Agents may suspend or terminate the Sales Agreement upon written notice to the other party for any reason or at any time under certain circumstances, including but not limited to the occurrence of a material adverse change in the Company.</w:t>
      </w:r>
    </w:p>
    <w:p>
      <w:pPr>
        <w:spacing w:after="0" w:line="1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Sales Agreement contains customary representations, warranties and agreements by the Company, and indemnification rights and obligations of the parties. The Sales Agreement provides that the Sales Agents will be entitled to compensation for their services of up to 3.0% of the gross sales price per share of all shares sold through the Sales Agents under the Sales Agreement. Under the terms of the Sales Agreement, the Company has agreed to indemnify the Sales Agents against certain specified types of liabilities, including liabilities under the Securities Act, to contribute to payments the Sales Agents may be required to make in respect of these liabilities, and to reimburse the Sales Agents for certain expenses.</w:t>
      </w:r>
    </w:p>
    <w:p>
      <w:pPr>
        <w:spacing w:after="0" w:line="16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above summary of the Sales Agreement does not purport to be complete and is qualified in its entirety by reference to the Sales Agreement, a copy which is attached as Exhibit 1.1 to this Current Report on Form 8-K and incorporated herein by reference. The legal opinion of Wilson Sonsini Goodrich &amp; Rosati, Professional Corporation relating to the shares of Common Stock being offered pursuant to the Sales Agreement is filed as Exhibit 5.1 to this Current Report on Form 8-K.</w:t>
      </w:r>
    </w:p>
    <w:p>
      <w:pPr>
        <w:sectPr>
          <w:pgSz w:w="11900" w:h="16838" w:orient="portrait"/>
          <w:cols w:equalWidth="0" w:num="1">
            <w:col w:w="10980"/>
          </w:cols>
          <w:pgMar w:left="440" w:top="297"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660" w:type="dxa"/>
            <w:vAlign w:val="bottom"/>
            <w:gridSpan w:val="4"/>
          </w:tcPr>
          <w:p>
            <w:pPr>
              <w:ind w:left="3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500" w:type="dxa"/>
            <w:vAlign w:val="bottom"/>
            <w:gridSpan w:val="5"/>
          </w:tcPr>
          <w:p>
            <w:pPr>
              <w:spacing w:after="0"/>
              <w:rPr>
                <w:sz w:val="20"/>
                <w:szCs w:val="20"/>
                <w:color w:val="auto"/>
              </w:rPr>
            </w:pPr>
            <w:r>
              <w:rPr>
                <w:rFonts w:ascii="Arial" w:cs="Arial" w:eastAsia="Arial" w:hAnsi="Arial"/>
                <w:sz w:val="18"/>
                <w:szCs w:val="18"/>
                <w:b w:val="1"/>
                <w:bCs w:val="1"/>
                <w:color w:val="auto"/>
              </w:rPr>
              <w:t>(d) Exhibits</w:t>
            </w:r>
          </w:p>
        </w:tc>
      </w:tr>
      <w:tr>
        <w:trPr>
          <w:trHeight w:val="373"/>
        </w:trPr>
        <w:tc>
          <w:tcPr>
            <w:tcW w:w="840" w:type="dxa"/>
            <w:vAlign w:val="bottom"/>
          </w:tcPr>
          <w:p>
            <w:pPr>
              <w:spacing w:after="0"/>
              <w:rPr>
                <w:sz w:val="20"/>
                <w:szCs w:val="20"/>
                <w:color w:val="auto"/>
              </w:rPr>
            </w:pPr>
            <w:r>
              <w:rPr>
                <w:rFonts w:ascii="Arial" w:cs="Arial" w:eastAsia="Arial" w:hAnsi="Arial"/>
                <w:sz w:val="14"/>
                <w:szCs w:val="14"/>
                <w:color w:val="auto"/>
              </w:rPr>
              <w:t>Exhibit</w:t>
            </w:r>
          </w:p>
        </w:tc>
        <w:tc>
          <w:tcPr>
            <w:tcW w:w="16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2"/>
        </w:trPr>
        <w:tc>
          <w:tcPr>
            <w:tcW w:w="840" w:type="dxa"/>
            <w:vAlign w:val="bottom"/>
          </w:tcPr>
          <w:p>
            <w:pPr>
              <w:ind w:left="100"/>
              <w:spacing w:after="0"/>
              <w:rPr>
                <w:sz w:val="20"/>
                <w:szCs w:val="20"/>
                <w:color w:val="auto"/>
              </w:rPr>
            </w:pPr>
            <w:r>
              <w:rPr>
                <w:rFonts w:ascii="Arial" w:cs="Arial" w:eastAsia="Arial" w:hAnsi="Arial"/>
                <w:sz w:val="14"/>
                <w:szCs w:val="14"/>
                <w:color w:val="auto"/>
              </w:rPr>
              <w:t>No.</w:t>
            </w:r>
          </w:p>
        </w:tc>
        <w:tc>
          <w:tcPr>
            <w:tcW w:w="1620" w:type="dxa"/>
            <w:vAlign w:val="bottom"/>
          </w:tcPr>
          <w:p>
            <w:pPr>
              <w:spacing w:after="0"/>
              <w:rPr>
                <w:sz w:val="15"/>
                <w:szCs w:val="15"/>
                <w:color w:val="auto"/>
              </w:rPr>
            </w:pPr>
          </w:p>
        </w:tc>
        <w:tc>
          <w:tcPr>
            <w:tcW w:w="8040" w:type="dxa"/>
            <w:vAlign w:val="bottom"/>
            <w:gridSpan w:val="3"/>
          </w:tcPr>
          <w:p>
            <w:pPr>
              <w:ind w:left="3140"/>
              <w:spacing w:after="0"/>
              <w:rPr>
                <w:sz w:val="20"/>
                <w:szCs w:val="20"/>
                <w:color w:val="auto"/>
              </w:rPr>
            </w:pPr>
            <w:r>
              <w:rPr>
                <w:rFonts w:ascii="Arial" w:cs="Arial" w:eastAsia="Arial" w:hAnsi="Arial"/>
                <w:sz w:val="14"/>
                <w:szCs w:val="14"/>
                <w:color w:val="auto"/>
              </w:rPr>
              <w:t>Description</w:t>
            </w:r>
          </w:p>
        </w:tc>
      </w:tr>
      <w:tr>
        <w:trPr>
          <w:trHeight w:val="268"/>
        </w:trPr>
        <w:tc>
          <w:tcPr>
            <w:tcW w:w="840" w:type="dxa"/>
            <w:vAlign w:val="bottom"/>
          </w:tcPr>
          <w:p>
            <w:pPr>
              <w:spacing w:after="0"/>
              <w:rPr>
                <w:sz w:val="20"/>
                <w:szCs w:val="20"/>
                <w:color w:val="auto"/>
              </w:rPr>
            </w:pPr>
            <w:r>
              <w:rPr>
                <w:rFonts w:ascii="Arial" w:cs="Arial" w:eastAsia="Arial" w:hAnsi="Arial"/>
                <w:sz w:val="18"/>
                <w:szCs w:val="18"/>
                <w:color w:val="auto"/>
              </w:rPr>
              <w:t>1.1</w:t>
            </w:r>
          </w:p>
        </w:tc>
        <w:tc>
          <w:tcPr>
            <w:tcW w:w="96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Sales Agreement, dated December 17, 2021, by and among ALX Oncology Holdings Inc., Cantor Fitzgerald &amp; Co., and Credit Suisse</w:t>
              </w:r>
            </w:hyperlink>
          </w:p>
        </w:tc>
      </w:tr>
      <w:tr>
        <w:trPr>
          <w:trHeight w:val="196"/>
        </w:trPr>
        <w:tc>
          <w:tcPr>
            <w:tcW w:w="840" w:type="dxa"/>
            <w:vAlign w:val="bottom"/>
          </w:tcPr>
          <w:p>
            <w:pPr>
              <w:spacing w:after="0"/>
              <w:rPr>
                <w:sz w:val="17"/>
                <w:szCs w:val="17"/>
                <w:color w:val="auto"/>
              </w:rPr>
            </w:pPr>
          </w:p>
        </w:tc>
        <w:tc>
          <w:tcPr>
            <w:tcW w:w="9660" w:type="dxa"/>
            <w:vAlign w:val="bottom"/>
            <w:gridSpan w:val="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Securities (USA) LLC</w:t>
              </w:r>
            </w:hyperlink>
          </w:p>
        </w:tc>
      </w:tr>
      <w:tr>
        <w:trPr>
          <w:trHeight w:val="20"/>
        </w:trPr>
        <w:tc>
          <w:tcPr>
            <w:tcW w:w="84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5.1</w:t>
            </w:r>
          </w:p>
        </w:tc>
        <w:tc>
          <w:tcPr>
            <w:tcW w:w="9660" w:type="dxa"/>
            <w:vAlign w:val="bottom"/>
            <w:gridSpan w:val="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Opinion of Wilson Sonsini Goodrich &amp; Rosati, Professional Corporation</w:t>
              </w:r>
            </w:hyperlink>
          </w:p>
        </w:tc>
      </w:tr>
      <w:tr>
        <w:trPr>
          <w:trHeight w:val="20"/>
        </w:trPr>
        <w:tc>
          <w:tcPr>
            <w:tcW w:w="840" w:type="dxa"/>
            <w:vAlign w:val="bottom"/>
          </w:tcPr>
          <w:p>
            <w:pPr>
              <w:spacing w:after="0" w:line="20" w:lineRule="exact"/>
              <w:rPr>
                <w:sz w:val="1"/>
                <w:szCs w:val="1"/>
                <w:color w:val="auto"/>
              </w:rPr>
            </w:pPr>
          </w:p>
        </w:tc>
        <w:tc>
          <w:tcPr>
            <w:tcW w:w="5240" w:type="dxa"/>
            <w:vAlign w:val="bottom"/>
            <w:gridSpan w:val="2"/>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9660" w:type="dxa"/>
            <w:vAlign w:val="bottom"/>
            <w:gridSpan w:val="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Consent of Wilson Sonsini Goodrich &amp; Rosati, Professional Corporation (included with the opinion filed as Exhibit 5.1)</w:t>
              </w:r>
            </w:hyperlink>
          </w:p>
        </w:tc>
      </w:tr>
      <w:tr>
        <w:trPr>
          <w:trHeight w:val="344"/>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86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0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500"/>
          </w:cols>
          <w:pgMar w:left="440" w:top="297" w:right="9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17, 2021</w:t>
      </w:r>
    </w:p>
    <w:p>
      <w:pPr>
        <w:sectPr>
          <w:pgSz w:w="11900" w:h="16838" w:orient="portrait"/>
          <w:cols w:equalWidth="0" w:num="1">
            <w:col w:w="10260"/>
          </w:cols>
          <w:pgMar w:left="440" w:top="297"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of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 value $0.001 per share)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Sales Agreement</w:t>
      </w:r>
    </w:p>
    <w:p>
      <w:pPr>
        <w:spacing w:after="0" w:line="229" w:lineRule="exact"/>
        <w:rPr>
          <w:sz w:val="20"/>
          <w:szCs w:val="20"/>
          <w:color w:val="auto"/>
        </w:rPr>
      </w:pPr>
    </w:p>
    <w:p>
      <w:pPr>
        <w:ind w:left="9600"/>
        <w:spacing w:after="0"/>
        <w:rPr>
          <w:sz w:val="20"/>
          <w:szCs w:val="20"/>
          <w:color w:val="auto"/>
        </w:rPr>
      </w:pPr>
      <w:r>
        <w:rPr>
          <w:rFonts w:ascii="Arial" w:cs="Arial" w:eastAsia="Arial" w:hAnsi="Arial"/>
          <w:sz w:val="16"/>
          <w:szCs w:val="16"/>
          <w:color w:val="auto"/>
        </w:rPr>
        <w:t>December 17,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499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ALX Oncology Holdings Inc., a Delaware corporation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confirms its agreement (this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with Cantor Fitzgerald &amp;</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 and Credit Suisse Securities (USA) LLC (collectively, the “</w:t>
      </w:r>
      <w:r>
        <w:rPr>
          <w:rFonts w:ascii="Arial" w:cs="Arial" w:eastAsia="Arial" w:hAnsi="Arial"/>
          <w:sz w:val="18"/>
          <w:szCs w:val="18"/>
          <w:b w:val="1"/>
          <w:bCs w:val="1"/>
          <w:u w:val="single" w:color="auto"/>
          <w:color w:val="auto"/>
        </w:rPr>
        <w:t>Agents</w:t>
      </w:r>
      <w:r>
        <w:rPr>
          <w:rFonts w:ascii="Arial" w:cs="Arial" w:eastAsia="Arial" w:hAnsi="Arial"/>
          <w:sz w:val="18"/>
          <w:szCs w:val="18"/>
          <w:color w:val="auto"/>
        </w:rPr>
        <w:t>”, each the “</w:t>
      </w:r>
      <w:r>
        <w:rPr>
          <w:rFonts w:ascii="Arial" w:cs="Arial" w:eastAsia="Arial" w:hAnsi="Arial"/>
          <w:sz w:val="18"/>
          <w:szCs w:val="18"/>
          <w:b w:val="1"/>
          <w:bCs w:val="1"/>
          <w:u w:val="single" w:color="auto"/>
          <w:color w:val="auto"/>
        </w:rPr>
        <w:t>Agent</w:t>
      </w:r>
      <w:r>
        <w:rPr>
          <w:rFonts w:ascii="Arial" w:cs="Arial" w:eastAsia="Arial" w:hAnsi="Arial"/>
          <w:sz w:val="18"/>
          <w:szCs w:val="18"/>
          <w:color w:val="auto"/>
        </w:rPr>
        <w:t>”), as follows:</w:t>
      </w:r>
    </w:p>
    <w:p>
      <w:pPr>
        <w:spacing w:after="0" w:line="211" w:lineRule="exact"/>
        <w:rPr>
          <w:sz w:val="20"/>
          <w:szCs w:val="20"/>
          <w:color w:val="auto"/>
        </w:rPr>
      </w:pPr>
    </w:p>
    <w:p>
      <w:pPr>
        <w:ind w:right="40" w:firstLine="436"/>
        <w:spacing w:after="0" w:line="286" w:lineRule="auto"/>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Issuance and Sale of Shares</w:t>
      </w:r>
      <w:r>
        <w:rPr>
          <w:rFonts w:ascii="Arial" w:cs="Arial" w:eastAsia="Arial" w:hAnsi="Arial"/>
          <w:sz w:val="16"/>
          <w:szCs w:val="16"/>
          <w:color w:val="auto"/>
        </w:rPr>
        <w:t>. The Company agrees that, from time to time during the term of this Agreement, on the terms and subject to the conditions set forth herein, it may issue and sell through the Agents, shares of common stock having aggregate gross sales proceeds of up to $150,000,000 (the “</w:t>
      </w:r>
      <w:r>
        <w:rPr>
          <w:rFonts w:ascii="Arial" w:cs="Arial" w:eastAsia="Arial" w:hAnsi="Arial"/>
          <w:sz w:val="16"/>
          <w:szCs w:val="16"/>
          <w:b w:val="1"/>
          <w:bCs w:val="1"/>
          <w:u w:val="single" w:color="auto"/>
          <w:color w:val="auto"/>
        </w:rPr>
        <w:t>Placement Shares</w:t>
      </w:r>
      <w:r>
        <w:rPr>
          <w:rFonts w:ascii="Arial" w:cs="Arial" w:eastAsia="Arial" w:hAnsi="Arial"/>
          <w:sz w:val="16"/>
          <w:szCs w:val="16"/>
          <w:color w:val="auto"/>
        </w:rPr>
        <w:t>”) of the Company, par value $0.001 per share (the “</w:t>
      </w: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the Company issue or sell through the Agents such number or dollar amount of Placement Shares that would exceed (a) the number or dollar amount of shares of Common Stock registered on the effective Registration Statement (defined below) pursuant to which the offering is being made, (b) the number of authorized but unissued shares of Common Stock (less shares of Common Stock issuable upon exercise, conversion or exchange of any outstanding securities of the Company or otherwise reserved from the Company’s authorized capital stock), (c) the number or dollar amount of shares of Common Stock permitted to be sold under Form S-3 (including General Instruction I.B.6 thereof, if applicable) or (d) the number or dollar amount of shares of Common Stock for which the Company has filed a Prospectus Supplement (defined below) (the lesser of (a), (b), (c) and (d), the “</w:t>
      </w:r>
      <w:r>
        <w:rPr>
          <w:rFonts w:ascii="Arial" w:cs="Arial" w:eastAsia="Arial" w:hAnsi="Arial"/>
          <w:sz w:val="16"/>
          <w:szCs w:val="16"/>
          <w:b w:val="1"/>
          <w:bCs w:val="1"/>
          <w:u w:val="single" w:color="auto"/>
          <w:color w:val="auto"/>
        </w:rPr>
        <w:t>Maximum</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Amount</w:t>
      </w:r>
      <w:r>
        <w:rPr>
          <w:rFonts w:ascii="Arial" w:cs="Arial" w:eastAsia="Arial" w:hAnsi="Arial"/>
          <w:sz w:val="16"/>
          <w:szCs w:val="16"/>
          <w:color w:val="auto"/>
        </w:rPr>
        <w:t>”). Notwithstanding anything to the contrary contained herein, the parties hereto agree that compliance with the limitations set forth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on the amount of Placement Shares issued and sold under this Agreement shall be the sole responsibility of the Company and that the Agents shall have no obligation in connection with such compliance. The offer and sale of Placement Shares through the Agents will be effected pursuant to the Registration Statement (as defined below) filed by the Company with the Securities and Exchange Commission (the “</w:t>
      </w:r>
      <w:r>
        <w:rPr>
          <w:rFonts w:ascii="Arial" w:cs="Arial" w:eastAsia="Arial" w:hAnsi="Arial"/>
          <w:sz w:val="16"/>
          <w:szCs w:val="16"/>
          <w:b w:val="1"/>
          <w:bCs w:val="1"/>
          <w:u w:val="single" w:color="auto"/>
          <w:color w:val="auto"/>
        </w:rPr>
        <w:t>Commission</w:t>
      </w:r>
      <w:r>
        <w:rPr>
          <w:rFonts w:ascii="Arial" w:cs="Arial" w:eastAsia="Arial" w:hAnsi="Arial"/>
          <w:sz w:val="16"/>
          <w:szCs w:val="16"/>
          <w:color w:val="auto"/>
        </w:rPr>
        <w:t>”) on August 13, 2021, and which became immediately effective upon filing pursuant to Rule 462(e) of the Securities Act (as defined below), although nothing in this Agreement shall be construed as requiring the Company to use the Registration Statement to issue Common Stock.</w:t>
      </w:r>
    </w:p>
    <w:p>
      <w:pPr>
        <w:sectPr>
          <w:pgSz w:w="11900" w:h="16838" w:orient="portrait"/>
          <w:cols w:equalWidth="0" w:num="1">
            <w:col w:w="11020"/>
          </w:cols>
          <w:pgMar w:left="440" w:top="121" w:right="439" w:bottom="1440" w:gutter="0" w:footer="0" w:header="0"/>
        </w:sectPr>
      </w:pPr>
    </w:p>
    <w:bookmarkStart w:id="5" w:name="page6"/>
    <w:bookmarkEnd w:id="5"/>
    <w:p>
      <w:pPr>
        <w:ind w:right="40"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filed, in accordance with the provisions of the Securities Act of 1933, as amended and the rules and regulations thereunder (the “</w:t>
      </w:r>
      <w:r>
        <w:rPr>
          <w:rFonts w:ascii="Arial" w:cs="Arial" w:eastAsia="Arial" w:hAnsi="Arial"/>
          <w:sz w:val="16"/>
          <w:szCs w:val="16"/>
          <w:b w:val="1"/>
          <w:bCs w:val="1"/>
          <w:u w:val="single" w:color="auto"/>
          <w:color w:val="auto"/>
        </w:rPr>
        <w:t>Securities Act</w:t>
      </w:r>
      <w:r>
        <w:rPr>
          <w:rFonts w:ascii="Arial" w:cs="Arial" w:eastAsia="Arial" w:hAnsi="Arial"/>
          <w:sz w:val="16"/>
          <w:szCs w:val="16"/>
          <w:color w:val="auto"/>
        </w:rPr>
        <w:t>”), with the Commission an automatic shelf registration statement on Form S-3 (File No. 333-258812), including a base prospectus, relating to certain securities, including the Placement Shares to be issued from time to time by the Company pursuant to this Agreement, and which incorporates by reference documents that the Company has filed or will file in accordance with the provisions of the Securities Exchange Act of 1934, as amended and the rules and regulations thereunder (the “</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The Company has prepared a prospectus or a prospectus supplement to the base prospectus included as part of the registration statement, which prospectus or prospectus supplement relates to the Placement Shares to be issued from time to time by the Company (the “</w:t>
      </w:r>
      <w:r>
        <w:rPr>
          <w:rFonts w:ascii="Arial" w:cs="Arial" w:eastAsia="Arial" w:hAnsi="Arial"/>
          <w:sz w:val="16"/>
          <w:szCs w:val="16"/>
          <w:b w:val="1"/>
          <w:bCs w:val="1"/>
          <w:u w:val="single" w:color="auto"/>
          <w:color w:val="auto"/>
        </w:rPr>
        <w:t>Prospectus Supplement</w:t>
      </w:r>
      <w:r>
        <w:rPr>
          <w:rFonts w:ascii="Arial" w:cs="Arial" w:eastAsia="Arial" w:hAnsi="Arial"/>
          <w:sz w:val="16"/>
          <w:szCs w:val="16"/>
          <w:color w:val="auto"/>
        </w:rPr>
        <w:t>”). The Company will furnish to the Agents, for use by the Agents, copies of the prospectus included as part of such registration statement, as supplemented, by the Prospectus Supplement, relating to the Placement Shares to be issued from time to time by the Company. The Company may file one or more additional registration statements from time to time that will contain a base prospectus and related prospectus or prospectus supplement, if applicable (which shall be a Prospectus Supplement), with respect to the Placement Shares.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or deemed to be a part of such registration statement pursuant to Rule 430B of the Securities Act, is herein called the “</w:t>
      </w:r>
      <w:r>
        <w:rPr>
          <w:rFonts w:ascii="Arial" w:cs="Arial" w:eastAsia="Arial" w:hAnsi="Arial"/>
          <w:sz w:val="16"/>
          <w:szCs w:val="16"/>
          <w:b w:val="1"/>
          <w:bCs w:val="1"/>
          <w:u w:val="single" w:color="auto"/>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Statement</w:t>
      </w:r>
      <w:r>
        <w:rPr>
          <w:rFonts w:ascii="Arial" w:cs="Arial" w:eastAsia="Arial" w:hAnsi="Arial"/>
          <w:sz w:val="16"/>
          <w:szCs w:val="16"/>
          <w:color w:val="auto"/>
        </w:rPr>
        <w:t>.” The base prospectus or base prospectuses, including all documents incorporated therein by reference, included in the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as it may be supplemented, if necessary, by the Prospectus Supplement, in the form in which such prospectus or prospectuses and/or Prospectus Supplement have most recently been filed by the Company with the Commission pursuant to Rule 424(b), together with the then issued Issuer Free Writing Prospectus(es), is herein called the “</w:t>
      </w:r>
      <w:r>
        <w:rPr>
          <w:rFonts w:ascii="Arial" w:cs="Arial" w:eastAsia="Arial" w:hAnsi="Arial"/>
          <w:sz w:val="16"/>
          <w:szCs w:val="16"/>
          <w:b w:val="1"/>
          <w:bCs w:val="1"/>
          <w:u w:val="single" w:color="auto"/>
          <w:color w:val="auto"/>
        </w:rPr>
        <w:t>Prospectus</w:t>
      </w:r>
      <w:r>
        <w:rPr>
          <w:rFonts w:ascii="Arial" w:cs="Arial" w:eastAsia="Arial" w:hAnsi="Arial"/>
          <w:sz w:val="16"/>
          <w:szCs w:val="16"/>
          <w:color w:val="auto"/>
        </w:rPr>
        <w:t>.”</w:t>
      </w:r>
    </w:p>
    <w:p>
      <w:pPr>
        <w:spacing w:after="0" w:line="17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Any reference herein to the Registration Statement, any Prospectus Supplement, Prospectus or any Issuer Free Writing Prospectus (defined below) shall be deemed to refer to and include the documents, if any, incorporated by reference therein (the “</w:t>
      </w:r>
      <w:r>
        <w:rPr>
          <w:rFonts w:ascii="Arial" w:cs="Arial" w:eastAsia="Arial" w:hAnsi="Arial"/>
          <w:sz w:val="16"/>
          <w:szCs w:val="16"/>
          <w:b w:val="1"/>
          <w:bCs w:val="1"/>
          <w:u w:val="single" w:color="auto"/>
          <w:color w:val="auto"/>
        </w:rPr>
        <w:t>Incorporated Documents</w:t>
      </w:r>
      <w:r>
        <w:rPr>
          <w:rFonts w:ascii="Arial" w:cs="Arial" w:eastAsia="Arial" w:hAnsi="Arial"/>
          <w:sz w:val="16"/>
          <w:szCs w:val="16"/>
          <w:color w:val="auto"/>
        </w:rPr>
        <w:t>”), including, unless the context otherwise requires, the documents, if any, filed as exhibits to such Incorporated Documents. Any reference herein to the terms “amend,” “amendment” or “supplement” with respect to the Registration Statement, any Prospectus Supplement, the Prospectus or any Issuer Free Writing Prospectus shall be deemed to refer to and include the filing of any document under the Exchange Act on or after the most-recent effective date of the Registration Statement, or the date of the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Arial" w:cs="Arial" w:eastAsia="Arial" w:hAnsi="Arial"/>
          <w:sz w:val="16"/>
          <w:szCs w:val="16"/>
          <w:b w:val="1"/>
          <w:bCs w:val="1"/>
          <w:u w:val="single" w:color="auto"/>
          <w:color w:val="auto"/>
        </w:rPr>
        <w:t>EDGAR</w:t>
      </w:r>
      <w:r>
        <w:rPr>
          <w:rFonts w:ascii="Arial" w:cs="Arial" w:eastAsia="Arial" w:hAnsi="Arial"/>
          <w:sz w:val="16"/>
          <w:szCs w:val="16"/>
          <w:color w:val="auto"/>
        </w:rPr>
        <w: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6" w:name="page7"/>
    <w:bookmarkEnd w:id="6"/>
    <w:p>
      <w:pPr>
        <w:ind w:firstLine="436"/>
        <w:spacing w:after="0" w:line="286" w:lineRule="auto"/>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Placements</w:t>
      </w:r>
      <w:r>
        <w:rPr>
          <w:rFonts w:ascii="Arial" w:cs="Arial" w:eastAsia="Arial" w:hAnsi="Arial"/>
          <w:sz w:val="16"/>
          <w:szCs w:val="16"/>
          <w:color w:val="auto"/>
        </w:rPr>
        <w:t>. Each time that the Company wishes to issue and sell Placement Shares hereunder (each, a “</w:t>
      </w:r>
      <w:r>
        <w:rPr>
          <w:rFonts w:ascii="Arial" w:cs="Arial" w:eastAsia="Arial" w:hAnsi="Arial"/>
          <w:sz w:val="16"/>
          <w:szCs w:val="16"/>
          <w:b w:val="1"/>
          <w:bCs w:val="1"/>
          <w:u w:val="single" w:color="auto"/>
          <w:color w:val="auto"/>
        </w:rPr>
        <w:t>Placement</w:t>
      </w:r>
      <w:r>
        <w:rPr>
          <w:rFonts w:ascii="Arial" w:cs="Arial" w:eastAsia="Arial" w:hAnsi="Arial"/>
          <w:sz w:val="16"/>
          <w:szCs w:val="16"/>
          <w:color w:val="auto"/>
        </w:rPr>
        <w:t>”), it will notify an Agent (the “</w:t>
      </w:r>
      <w:r>
        <w:rPr>
          <w:rFonts w:ascii="Arial" w:cs="Arial" w:eastAsia="Arial" w:hAnsi="Arial"/>
          <w:sz w:val="16"/>
          <w:szCs w:val="16"/>
          <w:b w:val="1"/>
          <w:bCs w:val="1"/>
          <w:u w:val="single" w:color="auto"/>
          <w:color w:val="auto"/>
        </w:rPr>
        <w:t>Designated Agent</w:t>
      </w:r>
      <w:r>
        <w:rPr>
          <w:rFonts w:ascii="Arial" w:cs="Arial" w:eastAsia="Arial" w:hAnsi="Arial"/>
          <w:sz w:val="16"/>
          <w:szCs w:val="16"/>
          <w:color w:val="auto"/>
        </w:rPr>
        <w:t>”) by email notice (or other method mutually agreed to by the parties) of the number of Placement Shares to be issued, the time period during which sales are requested to be made, any limitation on the number of Placement Shares that may be sold in any one Trading Day (defined below) and any minimum price below which sales may not be made (a “</w:t>
      </w:r>
      <w:r>
        <w:rPr>
          <w:rFonts w:ascii="Arial" w:cs="Arial" w:eastAsia="Arial" w:hAnsi="Arial"/>
          <w:sz w:val="16"/>
          <w:szCs w:val="16"/>
          <w:b w:val="1"/>
          <w:bCs w:val="1"/>
          <w:u w:val="single" w:color="auto"/>
          <w:color w:val="auto"/>
        </w:rPr>
        <w:t>Placement Notice</w:t>
      </w:r>
      <w:r>
        <w:rPr>
          <w:rFonts w:ascii="Arial" w:cs="Arial" w:eastAsia="Arial" w:hAnsi="Arial"/>
          <w:sz w:val="16"/>
          <w:szCs w:val="16"/>
          <w:color w:val="auto"/>
        </w:rPr>
        <w:t xml:space="preserve">”), the form of which is attached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The Placement Notice shall originate from any of the individuals from the Company set forth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(with a copy to each of the other individuals from the Company listed on such schedule), and shall be addressed to each of the individuals from the Designated Agent set forth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as such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may be amended from time to time. The Placement Notice shall be effective unless and until (i) the Designated Agent declines to accept the terms contained therein for any reason, in its sole discretion within two (2) Trading Days (defined below) of receipt of such Placement Notice, (ii) the entire amount of the Placement Shares thereunder have been sold, (iii) the Company suspends or terminates the Placement Notice or (iv) this Agreement has been terminated under the provisions of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The amount of any discount, commission or other compensation to be paid by the Company to the Designated Agent in connection with the sale of the Placement Shares shall be calculated in accordance with the terms set forth in </w:t>
      </w:r>
      <w:r>
        <w:rPr>
          <w:rFonts w:ascii="Arial" w:cs="Arial" w:eastAsia="Arial" w:hAnsi="Arial"/>
          <w:sz w:val="16"/>
          <w:szCs w:val="16"/>
          <w:u w:val="single" w:color="auto"/>
          <w:color w:val="auto"/>
        </w:rPr>
        <w:t>Schedule 2</w:t>
      </w:r>
      <w:r>
        <w:rPr>
          <w:rFonts w:ascii="Arial" w:cs="Arial" w:eastAsia="Arial" w:hAnsi="Arial"/>
          <w:sz w:val="16"/>
          <w:szCs w:val="16"/>
          <w:color w:val="auto"/>
        </w:rPr>
        <w:t>. It is expressly acknowledged and agreed that neither the Company nor the Agents will have any obligation whatsoever with respect to a Placement or any Placement Shares unless and until the Company delivers a Placement Notice to the Designated Agent and the Designated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71" w:lineRule="exact"/>
        <w:rPr>
          <w:rFonts w:ascii="Arial" w:cs="Arial" w:eastAsia="Arial" w:hAnsi="Arial"/>
          <w:sz w:val="16"/>
          <w:szCs w:val="16"/>
          <w:color w:val="auto"/>
        </w:rPr>
      </w:pPr>
    </w:p>
    <w:p>
      <w:pPr>
        <w:ind w:right="40" w:firstLine="436"/>
        <w:spacing w:after="0" w:line="287" w:lineRule="auto"/>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Sale of Placement Shares by Designated Agent</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5(a)</w:t>
      </w:r>
      <w:r>
        <w:rPr>
          <w:rFonts w:ascii="Arial" w:cs="Arial" w:eastAsia="Arial" w:hAnsi="Arial"/>
          <w:sz w:val="16"/>
          <w:szCs w:val="16"/>
          <w:color w:val="auto"/>
        </w:rPr>
        <w:t>, the Designated Agent, for the period specified in the Placement Notice, will use its commercially reasonable efforts consistent with its normal trading and sales practices and applicable state and federal laws, rules and regulations and the rules of the Nasdaq Global Select Market (the “</w:t>
      </w:r>
      <w:r>
        <w:rPr>
          <w:rFonts w:ascii="Arial" w:cs="Arial" w:eastAsia="Arial" w:hAnsi="Arial"/>
          <w:sz w:val="16"/>
          <w:szCs w:val="16"/>
          <w:b w:val="1"/>
          <w:bCs w:val="1"/>
          <w:u w:val="single" w:color="auto"/>
          <w:color w:val="auto"/>
        </w:rPr>
        <w:t>Exchange</w:t>
      </w:r>
      <w:r>
        <w:rPr>
          <w:rFonts w:ascii="Arial" w:cs="Arial" w:eastAsia="Arial" w:hAnsi="Arial"/>
          <w:sz w:val="16"/>
          <w:szCs w:val="16"/>
          <w:color w:val="auto"/>
        </w:rPr>
        <w:t xml:space="preserve">”), to sell the Placement Shares up to the amount specified, and otherwise in accordance with the terms of such Placement Notice. The Designated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Designated Agent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with respect to such sales, and the Net Proceeds (as defined below) payable to the Company, with an itemization of the deductions made by the Designated Agent (as set forth in </w:t>
      </w:r>
      <w:r>
        <w:rPr>
          <w:rFonts w:ascii="Arial" w:cs="Arial" w:eastAsia="Arial" w:hAnsi="Arial"/>
          <w:sz w:val="16"/>
          <w:szCs w:val="16"/>
          <w:u w:val="single" w:color="auto"/>
          <w:color w:val="auto"/>
        </w:rPr>
        <w:t>Section 5(b)</w:t>
      </w:r>
      <w:r>
        <w:rPr>
          <w:rFonts w:ascii="Arial" w:cs="Arial" w:eastAsia="Arial" w:hAnsi="Arial"/>
          <w:sz w:val="16"/>
          <w:szCs w:val="16"/>
          <w:color w:val="auto"/>
        </w:rPr>
        <w:t>) from the gross proceeds that it receives from such sales. Subject to the terms of the Placement Notice and the terms of this Agreement, the Designated Agent may sell Placement Shares by any method permitted by law deemed to be an “at the market offering” as defined in Rule 415(a)(4) of the Securities Act, including sales made directly on or through the Exchange or any other existing trading market for the Common Stock, in negotiated transactions at market prices prevailing at the time of sale or at prices related to such prevailing market prices and/or any other method permitted by law. “</w:t>
      </w:r>
      <w:r>
        <w:rPr>
          <w:rFonts w:ascii="Arial" w:cs="Arial" w:eastAsia="Arial" w:hAnsi="Arial"/>
          <w:sz w:val="16"/>
          <w:szCs w:val="16"/>
          <w:b w:val="1"/>
          <w:bCs w:val="1"/>
          <w:u w:val="single" w:color="auto"/>
          <w:color w:val="auto"/>
        </w:rPr>
        <w:t>Trading Day</w:t>
      </w:r>
      <w:r>
        <w:rPr>
          <w:rFonts w:ascii="Arial" w:cs="Arial" w:eastAsia="Arial" w:hAnsi="Arial"/>
          <w:sz w:val="16"/>
          <w:szCs w:val="16"/>
          <w:color w:val="auto"/>
        </w:rPr>
        <w:t>” means any day on which Common Stock is traded on the Exchange.</w:t>
      </w:r>
    </w:p>
    <w:p>
      <w:pPr>
        <w:spacing w:after="0" w:line="167" w:lineRule="exact"/>
        <w:rPr>
          <w:rFonts w:ascii="Arial" w:cs="Arial" w:eastAsia="Arial" w:hAnsi="Arial"/>
          <w:sz w:val="16"/>
          <w:szCs w:val="16"/>
          <w:color w:val="auto"/>
        </w:rPr>
      </w:pPr>
    </w:p>
    <w:p>
      <w:pPr>
        <w:ind w:right="20" w:firstLine="436"/>
        <w:spacing w:after="0" w:line="301" w:lineRule="auto"/>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Suspension of Sales</w:t>
      </w:r>
      <w:r>
        <w:rPr>
          <w:rFonts w:ascii="Arial" w:cs="Arial" w:eastAsia="Arial" w:hAnsi="Arial"/>
          <w:sz w:val="16"/>
          <w:szCs w:val="16"/>
          <w:color w:val="auto"/>
        </w:rPr>
        <w:t xml:space="preserve">. The Company or the Designated Agent may, upon notice to the other party in writing (including by email correspondence to each of the individuals of the other party set forth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6"/>
          <w:szCs w:val="16"/>
          <w:u w:val="single" w:color="auto"/>
          <w:color w:val="auto"/>
        </w:rPr>
        <w:t>Schedule 3</w:t>
      </w:r>
      <w:r>
        <w:rPr>
          <w:rFonts w:ascii="Arial" w:cs="Arial" w:eastAsia="Arial" w:hAnsi="Arial"/>
          <w:sz w:val="16"/>
          <w:szCs w:val="16"/>
          <w:color w:val="auto"/>
        </w:rPr>
        <w:t>), suspend any sale of Placement Shares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w:t>
      </w:r>
      <w:r>
        <w:rPr>
          <w:rFonts w:ascii="Arial" w:cs="Arial" w:eastAsia="Arial" w:hAnsi="Arial"/>
          <w:sz w:val="16"/>
          <w:szCs w:val="16"/>
          <w:b w:val="1"/>
          <w:bCs w:val="1"/>
          <w:u w:val="single" w:color="auto"/>
          <w:color w:val="auto"/>
        </w:rPr>
        <w:t>Suspension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Suspension shall not affect or impair any party’s obligations with respect to any Placement Shares sold hereunder prior to the receipt of such notice. While a Suspension is in effect any obligation under </w:t>
      </w:r>
      <w:r>
        <w:rPr>
          <w:rFonts w:ascii="Arial" w:cs="Arial" w:eastAsia="Arial" w:hAnsi="Arial"/>
          <w:sz w:val="16"/>
          <w:szCs w:val="16"/>
          <w:u w:val="single" w:color="auto"/>
          <w:color w:val="auto"/>
        </w:rPr>
        <w:t>Sections 7(l)</w:t>
      </w:r>
      <w:r>
        <w:rPr>
          <w:rFonts w:ascii="Arial" w:cs="Arial" w:eastAsia="Arial" w:hAnsi="Arial"/>
          <w:sz w:val="16"/>
          <w:szCs w:val="16"/>
          <w:color w:val="auto"/>
        </w:rPr>
        <w:t xml:space="preserve">, </w:t>
      </w:r>
      <w:r>
        <w:rPr>
          <w:rFonts w:ascii="Arial" w:cs="Arial" w:eastAsia="Arial" w:hAnsi="Arial"/>
          <w:sz w:val="16"/>
          <w:szCs w:val="16"/>
          <w:u w:val="single" w:color="auto"/>
          <w:color w:val="auto"/>
        </w:rPr>
        <w:t>7(m)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7(n)</w:t>
      </w:r>
      <w:r>
        <w:rPr>
          <w:rFonts w:ascii="Arial" w:cs="Arial" w:eastAsia="Arial" w:hAnsi="Arial"/>
          <w:sz w:val="16"/>
          <w:szCs w:val="16"/>
          <w:color w:val="auto"/>
        </w:rPr>
        <w:t xml:space="preserve"> with respect to the delivery of certificates, opinions, or comfort letters to the Agents, shall be waived. Each of the parties agrees that no such notice under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shall be effective against any other party unless it is made to one of the individuals named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hereto, as such Schedule may be amended from time to time. Notwithstanding any other provision of this Agreement, during any period in which the Company is in possession of material non-public information, the Company and the Agents agree that (i) no sale of Placement Shares will take place, (ii) the Company shall not request the sale of any Placement Shares, and (iii) the Agents shall not be obligated to sell or offer to sell any Placement Shares.</w:t>
      </w:r>
    </w:p>
    <w:p>
      <w:pPr>
        <w:spacing w:after="0" w:line="165" w:lineRule="exact"/>
        <w:rPr>
          <w:sz w:val="20"/>
          <w:szCs w:val="20"/>
          <w:color w:val="auto"/>
        </w:rPr>
      </w:pPr>
    </w:p>
    <w:p>
      <w:pPr>
        <w:ind w:left="620" w:hanging="184"/>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Sale and Delivery to the Designated Agent; Settlement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987"/>
        <w:spacing w:after="0" w:line="269" w:lineRule="auto"/>
        <w:tabs>
          <w:tab w:leader="none" w:pos="1236" w:val="left"/>
        </w:tabs>
        <w:numPr>
          <w:ilvl w:val="1"/>
          <w:numId w:val="4"/>
        </w:numPr>
        <w:rPr>
          <w:rFonts w:ascii="Arial" w:cs="Arial" w:eastAsia="Arial" w:hAnsi="Arial"/>
          <w:sz w:val="17"/>
          <w:szCs w:val="17"/>
          <w:color w:val="auto"/>
        </w:rPr>
      </w:pPr>
      <w:r>
        <w:rPr>
          <w:rFonts w:ascii="Arial" w:cs="Arial" w:eastAsia="Arial" w:hAnsi="Arial"/>
          <w:sz w:val="17"/>
          <w:szCs w:val="17"/>
          <w:u w:val="single" w:color="auto"/>
          <w:color w:val="auto"/>
        </w:rPr>
        <w:t>Sale of Placement Shares</w:t>
      </w:r>
      <w:r>
        <w:rPr>
          <w:rFonts w:ascii="Arial" w:cs="Arial" w:eastAsia="Arial" w:hAnsi="Arial"/>
          <w:sz w:val="17"/>
          <w:szCs w:val="17"/>
          <w:i w:val="1"/>
          <w:iCs w:val="1"/>
          <w:color w:val="auto"/>
        </w:rPr>
        <w:t>.</w:t>
      </w:r>
      <w:r>
        <w:rPr>
          <w:rFonts w:ascii="Arial" w:cs="Arial" w:eastAsia="Arial" w:hAnsi="Arial"/>
          <w:sz w:val="17"/>
          <w:szCs w:val="17"/>
          <w:color w:val="auto"/>
        </w:rPr>
        <w:t xml:space="preserve"> On the basis of the representations and warranties herein contained and subject to the terms and conditions herein set forth, upon the Designated Agent’s acceptance of the terms of a Placement Notice, and unless the sale of the Placement Shares described therein has been declined, suspended, or otherwise terminated in accordance with the terms of this Agreement, the Designated Agent, for the period specified in the Placement Notice, will use its commercially reasonable efforts consistent with its normal trading and sales practices and applicable law and regulations to sell such Placement Shares up to the amount specified, and otherwise in accordance with the terms of such Placement Notice. The Company acknowledges and agrees that (i) there can be no assurance that the Designated Agent will be successful in selling Placement Shares, (ii) the Designated Agent will incur no liability or obligation to the Company or any other person or entity if it does not sell Placement Shares for any reason other than a failure by the Designated Agent to use its commercially reasonable efforts consistent with its normal trading and sales practices and applicable law and regulations to sell such Placement Shares as required under this Agreement and (iii) the Designated Agent shall be under no obligation to purchase Placement Shares on a principal basis pursuant to this Agreement, except as otherwise agreed by the Designated Agent and the Company.</w:t>
      </w:r>
    </w:p>
    <w:p>
      <w:pPr>
        <w:spacing w:after="0" w:line="181" w:lineRule="exact"/>
        <w:rPr>
          <w:rFonts w:ascii="Arial" w:cs="Arial" w:eastAsia="Arial" w:hAnsi="Arial"/>
          <w:sz w:val="17"/>
          <w:szCs w:val="17"/>
          <w:color w:val="auto"/>
        </w:rPr>
      </w:pPr>
    </w:p>
    <w:p>
      <w:pPr>
        <w:ind w:right="40" w:firstLine="987"/>
        <w:spacing w:after="0" w:line="291" w:lineRule="auto"/>
        <w:tabs>
          <w:tab w:leader="none" w:pos="1246"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Settlement of Placement Shares</w:t>
      </w:r>
      <w:r>
        <w:rPr>
          <w:rFonts w:ascii="Arial" w:cs="Arial" w:eastAsia="Arial" w:hAnsi="Arial"/>
          <w:sz w:val="16"/>
          <w:szCs w:val="16"/>
          <w:i w:val="1"/>
          <w:iCs w:val="1"/>
          <w:color w:val="auto"/>
        </w:rPr>
        <w:t>.</w:t>
      </w:r>
      <w:r>
        <w:rPr>
          <w:rFonts w:ascii="Arial" w:cs="Arial" w:eastAsia="Arial" w:hAnsi="Arial"/>
          <w:sz w:val="16"/>
          <w:szCs w:val="16"/>
          <w:color w:val="auto"/>
        </w:rPr>
        <w:t xml:space="preserve"> Unless otherwise specified in the applicable Placement Notice, settlement for sales of Placement Shares will occur on the second (2</w:t>
      </w:r>
      <w:r>
        <w:rPr>
          <w:rFonts w:ascii="Arial" w:cs="Arial" w:eastAsia="Arial" w:hAnsi="Arial"/>
          <w:sz w:val="13"/>
          <w:szCs w:val="13"/>
          <w:color w:val="auto"/>
        </w:rPr>
        <w:t>nd</w:t>
      </w:r>
      <w:r>
        <w:rPr>
          <w:rFonts w:ascii="Arial" w:cs="Arial" w:eastAsia="Arial" w:hAnsi="Arial"/>
          <w:sz w:val="16"/>
          <w:szCs w:val="16"/>
          <w:color w:val="auto"/>
        </w:rPr>
        <w:t>) Trading Day (or such earlier day as is industry practice for regular-way trading) following the date on which such sales are made (each, a “</w:t>
      </w:r>
      <w:r>
        <w:rPr>
          <w:rFonts w:ascii="Arial" w:cs="Arial" w:eastAsia="Arial" w:hAnsi="Arial"/>
          <w:sz w:val="16"/>
          <w:szCs w:val="16"/>
          <w:b w:val="1"/>
          <w:bCs w:val="1"/>
          <w:u w:val="single" w:color="auto"/>
          <w:color w:val="auto"/>
        </w:rPr>
        <w:t>Settlement Date</w:t>
      </w:r>
      <w:r>
        <w:rPr>
          <w:rFonts w:ascii="Arial" w:cs="Arial" w:eastAsia="Arial" w:hAnsi="Arial"/>
          <w:sz w:val="16"/>
          <w:szCs w:val="16"/>
          <w:color w:val="auto"/>
        </w:rPr>
        <w:t>”). The Designated Agent shall notify the Company of each sale of Placement Shares no later than the opening of the Trading Day immediately following the Trading Day on which it has made sales of Placement Shares hereunder. The amount of proceeds to be delivered to the Company on a Settlement Date against receipt of the Placement Shares sold (the “</w:t>
      </w:r>
      <w:r>
        <w:rPr>
          <w:rFonts w:ascii="Arial" w:cs="Arial" w:eastAsia="Arial" w:hAnsi="Arial"/>
          <w:sz w:val="16"/>
          <w:szCs w:val="16"/>
          <w:b w:val="1"/>
          <w:bCs w:val="1"/>
          <w:u w:val="single" w:color="auto"/>
          <w:color w:val="auto"/>
        </w:rPr>
        <w:t>Net Proceeds</w:t>
      </w:r>
      <w:r>
        <w:rPr>
          <w:rFonts w:ascii="Arial" w:cs="Arial" w:eastAsia="Arial" w:hAnsi="Arial"/>
          <w:sz w:val="16"/>
          <w:szCs w:val="16"/>
          <w:color w:val="auto"/>
        </w:rPr>
        <w:t xml:space="preserve">”) will be equal to the aggregate sales price received by the Designated Agent, after deduction for (i) the Designated Agent’s commission, discount or other compensation for such sales payable by the Company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and (ii) any transaction fees imposed by any Governmental Authority in respect of such sales.</w:t>
      </w:r>
    </w:p>
    <w:p>
      <w:pPr>
        <w:spacing w:after="0" w:line="166" w:lineRule="exact"/>
        <w:rPr>
          <w:rFonts w:ascii="Arial" w:cs="Arial" w:eastAsia="Arial" w:hAnsi="Arial"/>
          <w:sz w:val="16"/>
          <w:szCs w:val="16"/>
          <w:color w:val="auto"/>
        </w:rPr>
      </w:pPr>
    </w:p>
    <w:p>
      <w:pPr>
        <w:ind w:right="80" w:firstLine="987"/>
        <w:spacing w:after="0" w:line="259" w:lineRule="auto"/>
        <w:tabs>
          <w:tab w:leader="none" w:pos="1236"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Delivery of Placement Shares</w:t>
      </w:r>
      <w:r>
        <w:rPr>
          <w:rFonts w:ascii="Arial" w:cs="Arial" w:eastAsia="Arial" w:hAnsi="Arial"/>
          <w:sz w:val="18"/>
          <w:szCs w:val="18"/>
          <w:color w:val="auto"/>
        </w:rPr>
        <w:t>. On or before each Settlement Date, the Company will, or will cause its transfer agent to, electronically transfer the Placement Shares being sold by crediting the Designated Agent’s or its designee’s account (provided the Designated Agent shall have given the Company written notice of such designee at least one Trading Day prior to the Settlement Date) at The Depository Trust Company through its Deposit and Withdrawal at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Custodian System or by such other means of delivery as may be mutually agreed upon by the parties hereto which in all cases shall be freely tradable,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transferable, registered shares in good deliverable form. On each Settlement Date, the Designated Agent will deliver the related Net Proceeds in same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 funds to an account designated by the Company on, or prior to, the Settlement Date. The Company agrees (other than as a result of a failure by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Designated Agent to provide instruction for delivery) that if the Company, or its transfer agent (if applicable), defaults in its obligation to deliver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Placement Shares on a Settlement Date, the Company agrees that in addition to and in no way limiting the rights and obligations set forth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10(a)</w:t>
      </w:r>
      <w:r>
        <w:rPr>
          <w:rFonts w:ascii="Arial" w:cs="Arial" w:eastAsia="Arial" w:hAnsi="Arial"/>
          <w:sz w:val="16"/>
          <w:szCs w:val="16"/>
          <w:color w:val="auto"/>
        </w:rPr>
        <w:t xml:space="preserve"> hereto, it will (i) hold the Designated Agent harmless against any loss, claim, damage, or reasonable and documented expense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reasonable legal fees and expenses), as incurred, arising out of or in connection with such default by the Company or its transfer agent (if applicable)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(ii) pay to the Designated Agent any commission, discount, or other compensation to which it would otherwise have been entitled absent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211" w:lineRule="exact"/>
        <w:rPr>
          <w:sz w:val="20"/>
          <w:szCs w:val="20"/>
          <w:color w:val="auto"/>
        </w:rPr>
      </w:pPr>
    </w:p>
    <w:p>
      <w:pPr>
        <w:ind w:firstLine="987"/>
        <w:spacing w:after="0" w:line="259" w:lineRule="auto"/>
        <w:tabs>
          <w:tab w:leader="none" w:pos="124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Denominations; Registration</w:t>
      </w:r>
      <w:r>
        <w:rPr>
          <w:rFonts w:ascii="Arial" w:cs="Arial" w:eastAsia="Arial" w:hAnsi="Arial"/>
          <w:sz w:val="18"/>
          <w:szCs w:val="18"/>
          <w:i w:val="1"/>
          <w:iCs w:val="1"/>
          <w:color w:val="auto"/>
        </w:rPr>
        <w:t>.</w:t>
      </w:r>
      <w:r>
        <w:rPr>
          <w:rFonts w:ascii="Arial" w:cs="Arial" w:eastAsia="Arial" w:hAnsi="Arial"/>
          <w:sz w:val="18"/>
          <w:szCs w:val="18"/>
          <w:color w:val="auto"/>
        </w:rPr>
        <w:t xml:space="preserve"> Certificates for the Placement Shares, if any, shall be in such denominations and registered in such names as the Designated Agent may request in writing at least one full Business Day (as defined below) before the Settlement Date. The certificates for the Placement Shares, if any, will be made available by the Company for examination and packaging by the Designated Agent in The City of New York not later than noon (New York time) on the Business Day prior to the Settlement Date.</w:t>
      </w:r>
    </w:p>
    <w:p>
      <w:pPr>
        <w:spacing w:after="0" w:line="186" w:lineRule="exact"/>
        <w:rPr>
          <w:rFonts w:ascii="Arial" w:cs="Arial" w:eastAsia="Arial" w:hAnsi="Arial"/>
          <w:sz w:val="18"/>
          <w:szCs w:val="18"/>
          <w:color w:val="auto"/>
        </w:rPr>
      </w:pPr>
    </w:p>
    <w:p>
      <w:pPr>
        <w:ind w:right="80" w:firstLine="987"/>
        <w:spacing w:after="0" w:line="290" w:lineRule="auto"/>
        <w:tabs>
          <w:tab w:leader="none" w:pos="1236"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Limitations on Offering Size</w:t>
      </w:r>
      <w:r>
        <w:rPr>
          <w:rFonts w:ascii="Arial" w:cs="Arial" w:eastAsia="Arial" w:hAnsi="Arial"/>
          <w:sz w:val="16"/>
          <w:szCs w:val="16"/>
          <w:i w:val="1"/>
          <w:iCs w:val="1"/>
          <w:color w:val="auto"/>
        </w:rPr>
        <w:t>.</w:t>
      </w:r>
      <w:r>
        <w:rPr>
          <w:rFonts w:ascii="Arial" w:cs="Arial" w:eastAsia="Arial" w:hAnsi="Arial"/>
          <w:sz w:val="16"/>
          <w:szCs w:val="16"/>
          <w:color w:val="auto"/>
        </w:rPr>
        <w:t xml:space="preserve"> 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and (B) the amount authorized from time to time to be issued and sold under this Agreement by the Company’s board of directors, a duly authorized committee thereof or a duly authorized executive committee, and notified to the Designated Agent in writing.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Further, under no circumstances shall the Company cause or permit the aggregate offering amount of Placement Shares sold pursuant to this Agreement to exceed the Maximum Amount.</w:t>
      </w:r>
    </w:p>
    <w:p>
      <w:pPr>
        <w:spacing w:after="0" w:line="165" w:lineRule="exact"/>
        <w:rPr>
          <w:rFonts w:ascii="Arial" w:cs="Arial" w:eastAsia="Arial" w:hAnsi="Arial"/>
          <w:sz w:val="16"/>
          <w:szCs w:val="16"/>
          <w:color w:val="auto"/>
        </w:rPr>
      </w:pPr>
    </w:p>
    <w:p>
      <w:pPr>
        <w:ind w:right="100" w:firstLine="987"/>
        <w:spacing w:after="0" w:line="259" w:lineRule="auto"/>
        <w:tabs>
          <w:tab w:leader="none" w:pos="121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Sales Through Agents</w:t>
      </w:r>
      <w:r>
        <w:rPr>
          <w:rFonts w:ascii="Arial" w:cs="Arial" w:eastAsia="Arial" w:hAnsi="Arial"/>
          <w:sz w:val="18"/>
          <w:szCs w:val="18"/>
          <w:color w:val="auto"/>
        </w:rPr>
        <w:t>. With respect to the offering and sale of Placement Shares pursuant to this Agreement, the Company agrees that any offer to sell Placement Shares, any solicitation of an offer to buy Placement Shares, and any sales of Placement Shares shall only be effected by or through a single Agent on any single given day, and the Company shall in no event request that more than one Agent offer or sell Placement Shares pursuant to this Agreement on the same day.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9" w:name="page10"/>
    <w:bookmarkEnd w:id="9"/>
    <w:p>
      <w:pPr>
        <w:ind w:left="-40" w:right="60" w:firstLine="436"/>
        <w:spacing w:after="0" w:line="342"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 of the Company</w:t>
      </w:r>
      <w:r>
        <w:rPr>
          <w:rFonts w:ascii="Arial" w:cs="Arial" w:eastAsia="Arial" w:hAnsi="Arial"/>
          <w:sz w:val="16"/>
          <w:szCs w:val="16"/>
          <w:color w:val="auto"/>
        </w:rPr>
        <w:t>. The Company represents and warrants to, and agrees with each of the Agents that as of the date of this Agreement and as of each Applicable Time (as defined below), unless such representation, warranty or agreement specifies a different time:</w:t>
      </w:r>
    </w:p>
    <w:p>
      <w:pPr>
        <w:spacing w:after="0" w:line="123" w:lineRule="exact"/>
        <w:rPr>
          <w:rFonts w:ascii="Arial" w:cs="Arial" w:eastAsia="Arial" w:hAnsi="Arial"/>
          <w:sz w:val="16"/>
          <w:szCs w:val="16"/>
          <w:color w:val="auto"/>
        </w:rPr>
      </w:pPr>
    </w:p>
    <w:p>
      <w:pPr>
        <w:ind w:left="-40" w:firstLine="987"/>
        <w:spacing w:after="0" w:line="285" w:lineRule="auto"/>
        <w:tabs>
          <w:tab w:leader="none" w:pos="1196"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Registration Statement and Prospectus</w:t>
      </w:r>
      <w:r>
        <w:rPr>
          <w:rFonts w:ascii="Arial" w:cs="Arial" w:eastAsia="Arial" w:hAnsi="Arial"/>
          <w:sz w:val="16"/>
          <w:szCs w:val="16"/>
          <w:color w:val="auto"/>
        </w:rPr>
        <w:t>. The Company and the transactions contemplated by this Agreement meet the requirements for and comply with the applicable conditions set forth in Form S-3 (including General Instructions I.A and I.B) under the Securities Act. The Registration Statement has been filed with the Commission and has become effective upon filing pursuant to Rule 462(e) under the Securities Act and any post-effective amendment thereto will become effective upon filing under Rule 462(e) of the Securities Act. The Prospectus Supplement will name the Agents as the agents in the section entitled “Plan of Distribution.” The Company has not received, and has no notice of, any order of the Commission preventing or suspending the use of the Registration Statement, or threatening or instituting proceedings for that purpose. At the time of the initial filing of the Registration Statement, the Company paid the required Commission filing fees relating to the Placement Shares in accordance with Rule 456(a) and 457(c) under the Securities Act. The Registration Statement and the offer and sale of Placement Shares as contemplated hereby meet the requirements of Rule 415 and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Incorporated Documents that were filed with the Commission on or prior to the date of this Agreement have been delivered, or are available through EDGAR, to the Agents and their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(as defined below) to which the Agents have consented, such consent not to be unreasonably withheld, conditioned or delayed. The Common Stock is registered pursuant to Section 12(b) of the Exchange Act and is currently listed on the Exchange under the trading symbol “ALXO.” The Company has taken no action designed to, or likely to have the effect of, terminating the registration of the Common Stock under the Exchange Act or delisting the Common Stock from the Exchange, nor has the Company received any notification that the Commission or the Exchange is contemplating terminating such registration or listing. To the Company’s knowledge, it is in compliance with all applicable listing requirements of the Exchange.</w:t>
      </w:r>
    </w:p>
    <w:p>
      <w:pPr>
        <w:spacing w:after="0" w:line="384" w:lineRule="exact"/>
        <w:rPr>
          <w:rFonts w:ascii="Arial" w:cs="Arial" w:eastAsia="Arial" w:hAnsi="Arial"/>
          <w:sz w:val="16"/>
          <w:szCs w:val="16"/>
          <w:color w:val="auto"/>
        </w:rPr>
      </w:pPr>
    </w:p>
    <w:p>
      <w:pPr>
        <w:ind w:left="-40" w:right="60" w:firstLine="987"/>
        <w:spacing w:after="0" w:line="271" w:lineRule="auto"/>
        <w:tabs>
          <w:tab w:leader="none" w:pos="1206" w:val="left"/>
        </w:tabs>
        <w:numPr>
          <w:ilvl w:val="1"/>
          <w:numId w:val="6"/>
        </w:numPr>
        <w:rPr>
          <w:rFonts w:ascii="Arial" w:cs="Arial" w:eastAsia="Arial" w:hAnsi="Arial"/>
          <w:sz w:val="17"/>
          <w:szCs w:val="17"/>
          <w:color w:val="auto"/>
        </w:rPr>
      </w:pPr>
      <w:r>
        <w:rPr>
          <w:rFonts w:ascii="Arial" w:cs="Arial" w:eastAsia="Arial" w:hAnsi="Arial"/>
          <w:sz w:val="17"/>
          <w:szCs w:val="17"/>
          <w:u w:val="single" w:color="auto"/>
          <w:color w:val="auto"/>
        </w:rPr>
        <w:t>No Misstatement or Omission</w:t>
      </w:r>
      <w:r>
        <w:rPr>
          <w:rFonts w:ascii="Arial" w:cs="Arial" w:eastAsia="Arial" w:hAnsi="Arial"/>
          <w:sz w:val="17"/>
          <w:szCs w:val="17"/>
          <w:color w:val="auto"/>
        </w:rPr>
        <w:t>. The Registration Statement, when it became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Incorporated Documents did not, and any further documents filed 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80" w:top="274" w:right="479" w:bottom="1440" w:gutter="0" w:footer="0" w:header="0"/>
        </w:sectPr>
      </w:pPr>
    </w:p>
    <w:bookmarkStart w:id="10" w:name="page11"/>
    <w:bookmarkEnd w:id="1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either of the Agents in writing specifically for use in the preparation thereof. There is no franchise, contract or other document of a character required to be described in the Registration Statement or Prospectus, or to be filed as an exhibit thereto, which is not described or filed as required.</w:t>
      </w:r>
    </w:p>
    <w:p>
      <w:pPr>
        <w:spacing w:after="0" w:line="192" w:lineRule="exact"/>
        <w:rPr>
          <w:sz w:val="20"/>
          <w:szCs w:val="20"/>
          <w:color w:val="auto"/>
        </w:rPr>
      </w:pPr>
    </w:p>
    <w:p>
      <w:pPr>
        <w:ind w:right="120" w:firstLine="987"/>
        <w:spacing w:after="0" w:line="259" w:lineRule="auto"/>
        <w:tabs>
          <w:tab w:leader="none" w:pos="123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Conformity with Securities Act and Exchange Act</w:t>
      </w:r>
      <w:r>
        <w:rPr>
          <w:rFonts w:ascii="Arial" w:cs="Arial" w:eastAsia="Arial" w:hAnsi="Arial"/>
          <w:sz w:val="18"/>
          <w:szCs w:val="18"/>
          <w:color w:val="auto"/>
        </w:rPr>
        <w:t>. The Registration Statement, the Prospectus, any Issuer Free Writing Prospectus or any amendment or supplement thereto, and the Incorporated Documents,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86" w:lineRule="exact"/>
        <w:rPr>
          <w:rFonts w:ascii="Arial" w:cs="Arial" w:eastAsia="Arial" w:hAnsi="Arial"/>
          <w:sz w:val="18"/>
          <w:szCs w:val="18"/>
          <w:color w:val="auto"/>
        </w:rPr>
      </w:pPr>
    </w:p>
    <w:p>
      <w:pPr>
        <w:ind w:firstLine="987"/>
        <w:spacing w:after="0" w:line="308" w:lineRule="auto"/>
        <w:tabs>
          <w:tab w:leader="none" w:pos="1246"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Status Under the Securities Act</w:t>
      </w:r>
      <w:r>
        <w:rPr>
          <w:rFonts w:ascii="Arial" w:cs="Arial" w:eastAsia="Arial" w:hAnsi="Arial"/>
          <w:sz w:val="17"/>
          <w:szCs w:val="17"/>
          <w:color w:val="auto"/>
        </w:rPr>
        <w:t>. The Company was not and is not an ineligible issuer as defined in Rule 405 under the Securities Act at the times specified in Rules 164 and 433 under the Securities Act in connection with the offering of the Placement Shares.</w:t>
      </w:r>
    </w:p>
    <w:p>
      <w:pPr>
        <w:spacing w:after="0" w:line="146" w:lineRule="exact"/>
        <w:rPr>
          <w:rFonts w:ascii="Arial" w:cs="Arial" w:eastAsia="Arial" w:hAnsi="Arial"/>
          <w:sz w:val="17"/>
          <w:szCs w:val="17"/>
          <w:color w:val="auto"/>
        </w:rPr>
      </w:pPr>
    </w:p>
    <w:p>
      <w:pPr>
        <w:ind w:firstLine="987"/>
        <w:spacing w:after="0" w:line="270" w:lineRule="auto"/>
        <w:tabs>
          <w:tab w:leader="none" w:pos="1236"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WKSI</w:t>
      </w:r>
      <w:r>
        <w:rPr>
          <w:rFonts w:ascii="Arial" w:cs="Arial" w:eastAsia="Arial" w:hAnsi="Arial"/>
          <w:sz w:val="17"/>
          <w:szCs w:val="17"/>
          <w:color w:val="auto"/>
        </w:rPr>
        <w:t>. (i) At the time of filing the Registration Statement, (ii) at the time of the most recent amendment thereto for the purposes of complying with Section 10(a)(3) of the Securities Act (whether such amendment was by post-effective amendment, incorporated report filed pursuant to Section 13 or 15(d) of the Exchange Act or form of prospectus), (iii) at the time the Company or any person acting on its behalf (within the meaning, for this clause only, of Rule 163(c) under the Securities Act) made any offer relating to the Placement Shares in reliance on the exemption of Rule 163 under the Securities Act, and (iv) as of the time of any Placement, the Company was and is a “well known seasoned issuer” as defined in Rule 405; the Registration Statement is an “automatic shelf registration statement,” as defined in Rule 405, that has become or became effective automatically not more than three (3) years prior to the date of any Placement the Company has not received from the Commission any notice pursuant to Rule 401(g)(2) under the Securities Act objecting to use of the automatic shelf registration statement form; and the Company has not otherwise ceased to be eligible to use the automatic shelf registration form.</w:t>
      </w:r>
    </w:p>
    <w:p>
      <w:pPr>
        <w:spacing w:after="0" w:line="180" w:lineRule="exact"/>
        <w:rPr>
          <w:rFonts w:ascii="Arial" w:cs="Arial" w:eastAsia="Arial" w:hAnsi="Arial"/>
          <w:sz w:val="17"/>
          <w:szCs w:val="17"/>
          <w:color w:val="auto"/>
        </w:rPr>
      </w:pPr>
    </w:p>
    <w:p>
      <w:pPr>
        <w:ind w:left="1220" w:hanging="233"/>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The Agreement</w:t>
      </w:r>
      <w:r>
        <w:rPr>
          <w:rFonts w:ascii="Arial" w:cs="Arial" w:eastAsia="Arial" w:hAnsi="Arial"/>
          <w:sz w:val="18"/>
          <w:szCs w:val="18"/>
          <w:color w:val="auto"/>
        </w:rPr>
        <w:t>. This Agreement has been duly authorized, executed and delivered by the Company.</w:t>
      </w:r>
    </w:p>
    <w:p>
      <w:pPr>
        <w:spacing w:after="0" w:line="225" w:lineRule="exact"/>
        <w:rPr>
          <w:rFonts w:ascii="Arial" w:cs="Arial" w:eastAsia="Arial" w:hAnsi="Arial"/>
          <w:sz w:val="18"/>
          <w:szCs w:val="18"/>
          <w:color w:val="auto"/>
        </w:rPr>
      </w:pPr>
    </w:p>
    <w:p>
      <w:pPr>
        <w:ind w:right="100" w:firstLine="987"/>
        <w:spacing w:after="0" w:line="259" w:lineRule="auto"/>
        <w:tabs>
          <w:tab w:leader="none" w:pos="124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Authorization of the Placement Shares</w:t>
      </w:r>
      <w:r>
        <w:rPr>
          <w:rFonts w:ascii="Arial" w:cs="Arial" w:eastAsia="Arial" w:hAnsi="Arial"/>
          <w:sz w:val="18"/>
          <w:szCs w:val="18"/>
          <w:color w:val="auto"/>
        </w:rPr>
        <w:t>. The Placement Shares have been duly authorized for issuance and sale pursuant to this Agreement and, when issued and delivered by the Company against payment therefor pursuant to this Agreement, will be validly issued, fully paid and nonassessable, and the issuance and sale of the Placement Shares is not subject to any preemptive rights, rights of first refusal or other similar rights to subscribe for or purchase the Placement Shares.</w:t>
      </w:r>
    </w:p>
    <w:p>
      <w:pPr>
        <w:spacing w:after="0" w:line="186" w:lineRule="exact"/>
        <w:rPr>
          <w:rFonts w:ascii="Arial" w:cs="Arial" w:eastAsia="Arial" w:hAnsi="Arial"/>
          <w:sz w:val="18"/>
          <w:szCs w:val="18"/>
          <w:color w:val="auto"/>
        </w:rPr>
      </w:pPr>
    </w:p>
    <w:p>
      <w:pPr>
        <w:jc w:val="both"/>
        <w:ind w:right="20" w:firstLine="987"/>
        <w:spacing w:after="0" w:line="263" w:lineRule="auto"/>
        <w:tabs>
          <w:tab w:leader="none" w:pos="124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No Applicable Registration or Other Similar Rights</w:t>
      </w:r>
      <w:r>
        <w:rPr>
          <w:rFonts w:ascii="Arial" w:cs="Arial" w:eastAsia="Arial" w:hAnsi="Arial"/>
          <w:sz w:val="18"/>
          <w:szCs w:val="18"/>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1" w:name="page12"/>
    <w:bookmarkEnd w:id="11"/>
    <w:p>
      <w:pPr>
        <w:ind w:left="-20" w:right="100" w:firstLine="987"/>
        <w:spacing w:after="0" w:line="287" w:lineRule="auto"/>
        <w:tabs>
          <w:tab w:leader="none" w:pos="1186"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Material Adverse Change</w:t>
      </w:r>
      <w:r>
        <w:rPr>
          <w:rFonts w:ascii="Arial" w:cs="Arial" w:eastAsia="Arial" w:hAnsi="Arial"/>
          <w:sz w:val="16"/>
          <w:szCs w:val="16"/>
          <w:color w:val="auto"/>
        </w:rPr>
        <w:t>. (i) there has been no material adverse change, or any development that could reasonably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Arial" w:cs="Arial" w:eastAsia="Arial" w:hAnsi="Arial"/>
          <w:sz w:val="16"/>
          <w:szCs w:val="16"/>
          <w:b w:val="1"/>
          <w:bCs w:val="1"/>
          <w:u w:val="single" w:color="auto"/>
          <w:color w:val="auto"/>
        </w:rPr>
        <w:t>Material Adverse Change</w:t>
      </w:r>
      <w:r>
        <w:rPr>
          <w:rFonts w:ascii="Arial" w:cs="Arial" w:eastAsia="Arial" w:hAnsi="Arial"/>
          <w:sz w:val="16"/>
          <w:szCs w:val="16"/>
          <w:color w:val="auto"/>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its subsidiaries, by the Company’s subsidiaries on any class of capital stock, or any repurchase or redemption by the Company or any of its subsidiaries of any class of capital stock.</w:t>
      </w:r>
    </w:p>
    <w:p>
      <w:pPr>
        <w:spacing w:after="0" w:line="167" w:lineRule="exact"/>
        <w:rPr>
          <w:rFonts w:ascii="Arial" w:cs="Arial" w:eastAsia="Arial" w:hAnsi="Arial"/>
          <w:sz w:val="16"/>
          <w:szCs w:val="16"/>
          <w:color w:val="auto"/>
        </w:rPr>
      </w:pPr>
    </w:p>
    <w:p>
      <w:pPr>
        <w:ind w:left="-20" w:right="100" w:firstLine="987"/>
        <w:spacing w:after="0" w:line="273" w:lineRule="auto"/>
        <w:tabs>
          <w:tab w:leader="none" w:pos="1186"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Independent Accountants</w:t>
      </w:r>
      <w:r>
        <w:rPr>
          <w:rFonts w:ascii="Arial" w:cs="Arial" w:eastAsia="Arial" w:hAnsi="Arial"/>
          <w:sz w:val="17"/>
          <w:szCs w:val="17"/>
          <w:color w:val="auto"/>
        </w:rPr>
        <w:t>. KPMG LLP, which has expressed its opinion with respect to the financial statements (which term as used in this Agreement includes the related notes thereto) filed with the Commission and incorporated by reference in the Registration Statement and the Prospectus, is (i) an independent registered public accounting firm as required by the Securities Act and the rules of the Public Company Accounting Oversight Board (“</w:t>
      </w:r>
      <w:r>
        <w:rPr>
          <w:rFonts w:ascii="Arial" w:cs="Arial" w:eastAsia="Arial" w:hAnsi="Arial"/>
          <w:sz w:val="17"/>
          <w:szCs w:val="17"/>
          <w:b w:val="1"/>
          <w:bCs w:val="1"/>
          <w:u w:val="single" w:color="auto"/>
          <w:color w:val="auto"/>
        </w:rPr>
        <w:t>PCAOB</w:t>
      </w:r>
      <w:r>
        <w:rPr>
          <w:rFonts w:ascii="Arial" w:cs="Arial" w:eastAsia="Arial" w:hAnsi="Arial"/>
          <w:sz w:val="17"/>
          <w:szCs w:val="17"/>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77" w:lineRule="exact"/>
        <w:rPr>
          <w:rFonts w:ascii="Arial" w:cs="Arial" w:eastAsia="Arial" w:hAnsi="Arial"/>
          <w:sz w:val="17"/>
          <w:szCs w:val="17"/>
          <w:color w:val="auto"/>
        </w:rPr>
      </w:pPr>
    </w:p>
    <w:p>
      <w:pPr>
        <w:ind w:left="-20" w:firstLine="987"/>
        <w:spacing w:after="0" w:line="269" w:lineRule="auto"/>
        <w:tabs>
          <w:tab w:leader="none" w:pos="1226"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filed with the Commission as a part of or incorporated by reference in the Registration Statement and the Prospectus present fairly, in all material respects, the consolidated financial position of the Company and ALX Oncology Limited, the Company’s predecessor and wholly-owned subsidiary, and their respective subsidiaries as of the dates indicated and the results of their operations, changes in stockholders’ equity (deficit) and cash flows for the periods specified. Such financial statements have been prepared in conformity with generally accepted accounting principles as applied in the United States (“</w:t>
      </w:r>
      <w:r>
        <w:rPr>
          <w:rFonts w:ascii="Arial" w:cs="Arial" w:eastAsia="Arial" w:hAnsi="Arial"/>
          <w:sz w:val="17"/>
          <w:szCs w:val="17"/>
          <w:b w:val="1"/>
          <w:bCs w:val="1"/>
          <w:u w:val="single" w:color="auto"/>
          <w:color w:val="auto"/>
        </w:rPr>
        <w:t>GAAP</w:t>
      </w:r>
      <w:r>
        <w:rPr>
          <w:rFonts w:ascii="Arial" w:cs="Arial" w:eastAsia="Arial" w:hAnsi="Arial"/>
          <w:sz w:val="17"/>
          <w:szCs w:val="17"/>
          <w:color w:val="auto"/>
        </w:rPr>
        <w:t>”) applied on a consistent basis throughout the periods involved, except as may be expressly stated in the related notes thereto. The interactive data in eXtensible Business Reporting Language included in the Registration Statement and the Prospectus fairly presents the information called for in all material respects and has been prepared in accordance with the Commission’s rules and guidelines applicable thereto. No other financial statements are required to be included in the Registration Statement or the Prospectus. The financial data set forth in the Registration Statement and the Prospectus fairly presents, in all material respects, the information set forth therein on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4" w:right="459" w:bottom="1440" w:gutter="0" w:footer="0" w:header="0"/>
        </w:sectPr>
      </w:pPr>
    </w:p>
    <w:bookmarkStart w:id="12" w:name="page13"/>
    <w:bookmarkEnd w:id="12"/>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basis consistent with that of the audited financial statements contained in the Registration Statement and the Prospectus. All disclosures contained in the Registration Statement or the Prospectus and any Issuer Free Writing Prospectus, that constitute non-GAAP financial measures (as defined by the rules and regulations under the Securities Act and the Exchange Act)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or other financial data filed with the Commission as a part of the Registration Statement and the Prospectus.</w:t>
      </w:r>
    </w:p>
    <w:p>
      <w:pPr>
        <w:spacing w:after="0" w:line="195" w:lineRule="exact"/>
        <w:rPr>
          <w:sz w:val="20"/>
          <w:szCs w:val="20"/>
          <w:color w:val="auto"/>
        </w:rPr>
      </w:pPr>
    </w:p>
    <w:p>
      <w:pPr>
        <w:ind w:right="220" w:firstLine="987"/>
        <w:spacing w:after="0" w:line="271" w:lineRule="auto"/>
        <w:tabs>
          <w:tab w:leader="none" w:pos="1206"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Company’s Accounting System</w:t>
      </w:r>
      <w:r>
        <w:rPr>
          <w:rFonts w:ascii="Arial" w:cs="Arial" w:eastAsia="Arial" w:hAnsi="Arial"/>
          <w:sz w:val="17"/>
          <w:szCs w:val="17"/>
          <w:color w:val="auto"/>
        </w:rPr>
        <w:t>. The Company and each of its wholly-owned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178" w:lineRule="exact"/>
        <w:rPr>
          <w:rFonts w:ascii="Arial" w:cs="Arial" w:eastAsia="Arial" w:hAnsi="Arial"/>
          <w:sz w:val="17"/>
          <w:szCs w:val="17"/>
          <w:color w:val="auto"/>
        </w:rPr>
      </w:pPr>
    </w:p>
    <w:p>
      <w:pPr>
        <w:ind w:firstLine="987"/>
        <w:spacing w:after="0" w:line="269" w:lineRule="auto"/>
        <w:tabs>
          <w:tab w:leader="none" w:pos="1296"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Disclosure Controls and Procedures; Deficiencies in or Changes to Internal Control Over Financial Reporting</w:t>
      </w:r>
      <w:r>
        <w:rPr>
          <w:rFonts w:ascii="Arial" w:cs="Arial" w:eastAsia="Arial" w:hAnsi="Arial"/>
          <w:sz w:val="17"/>
          <w:szCs w:val="17"/>
          <w:color w:val="auto"/>
        </w:rPr>
        <w:t>.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Except as otherwise disclosed in the Registration Statement and the Prospectus, since the end of the Company’s most recent audited fiscal year: (A) there have been no significant deficiencies or material weakness in the Company’s and ALX Oncology Limited’s internal control over financial reporting (whether or not remediated) and (B) no change in the Company’s and ALX Oncology Limited’s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3" w:name="page14"/>
    <w:bookmarkEnd w:id="13"/>
    <w:p>
      <w:pPr>
        <w:ind w:right="40" w:firstLine="987"/>
        <w:spacing w:after="0" w:line="273" w:lineRule="auto"/>
        <w:tabs>
          <w:tab w:leader="none" w:pos="1246"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and Good Standing of the Company</w:t>
      </w:r>
      <w:r>
        <w:rPr>
          <w:rFonts w:ascii="Arial" w:cs="Arial" w:eastAsia="Arial" w:hAnsi="Arial"/>
          <w:sz w:val="17"/>
          <w:szCs w:val="17"/>
          <w:color w:val="auto"/>
        </w:rPr>
        <w:t>. 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Registration Statement and the Prospectus and to enter into and perform its obligations under this Agreement. The Company is duly qualified as a foreign corporation to transact business and is in good standing each jurisdiction in which such qualification is required, whether by reason of the ownership or leasing of property or the conduct of business, except where the failure so to qualify or to be in good standing could not reasonably be expected to result in a Material Adverse Change.</w:t>
      </w:r>
    </w:p>
    <w:p>
      <w:pPr>
        <w:spacing w:after="0" w:line="177" w:lineRule="exact"/>
        <w:rPr>
          <w:rFonts w:ascii="Arial" w:cs="Arial" w:eastAsia="Arial" w:hAnsi="Arial"/>
          <w:sz w:val="17"/>
          <w:szCs w:val="17"/>
          <w:color w:val="auto"/>
        </w:rPr>
      </w:pPr>
    </w:p>
    <w:p>
      <w:pPr>
        <w:ind w:firstLine="987"/>
        <w:spacing w:after="0" w:line="286" w:lineRule="auto"/>
        <w:tabs>
          <w:tab w:leader="none" w:pos="1246"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Subsidiaries</w:t>
      </w:r>
      <w:r>
        <w:rPr>
          <w:rFonts w:ascii="Arial" w:cs="Arial" w:eastAsia="Arial" w:hAnsi="Arial"/>
          <w:sz w:val="16"/>
          <w:szCs w:val="16"/>
          <w:color w:val="auto"/>
        </w:rPr>
        <w:t>. The Company’s “subsidiaries” (for purposes of this Agreement, as defined in Rule 405 under the Securities Act)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so to qualify or to be in good standing could not reasonably be expected to result in a Material Adverse Change. All of the issued and outstanding capital stock or other equity or ownership interests of each of the Company’s subsidiaries have been duly authorized and validly issued, are fully paid and nonassessable and, except as otherwise disclosed in the Registration Statement and the Prospectus,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ALX Oncology Limited is a wholly-owned subsidiary of the Company.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 to the Company’s Annual Report on Form 10-K for the most recently ended fiscal year.</w:t>
      </w:r>
    </w:p>
    <w:p>
      <w:pPr>
        <w:spacing w:after="0" w:line="167" w:lineRule="exact"/>
        <w:rPr>
          <w:rFonts w:ascii="Arial" w:cs="Arial" w:eastAsia="Arial" w:hAnsi="Arial"/>
          <w:sz w:val="16"/>
          <w:szCs w:val="16"/>
          <w:color w:val="auto"/>
        </w:rPr>
      </w:pPr>
    </w:p>
    <w:p>
      <w:pPr>
        <w:ind w:right="60" w:firstLine="987"/>
        <w:spacing w:after="0" w:line="284" w:lineRule="auto"/>
        <w:tabs>
          <w:tab w:leader="none" w:pos="1246"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Capitalization and Other Capital Stock Matters</w:t>
      </w:r>
      <w:r>
        <w:rPr>
          <w:rFonts w:ascii="Arial" w:cs="Arial" w:eastAsia="Arial" w:hAnsi="Arial"/>
          <w:sz w:val="16"/>
          <w:szCs w:val="16"/>
          <w:color w:val="auto"/>
        </w:rPr>
        <w:t>. The authorized, issued and outstanding capital stock of the Company is as set forth in the Registration Statement and the Prospectus (other than for subsequent issuances, if any, pursuant to employee benefit plans, or upon the exercise of outstanding options or warrants, or pursuant to the automatic conversions of preferred stock of the Company into shares of common stock as a result of the public offering contemplated hereby, in each case as described in the Registration Statement and the Prospectus). The Common Stock (including the Placement Shares) conform in all material respects to the description thereof contained in the Prospectus. All of the issued and outstanding Shares have been duly authorized and validly issued, are fully paid and nonassessable and have been issued in compliance with all federal and state securities laws.</w:t>
      </w:r>
    </w:p>
    <w:p>
      <w:pPr>
        <w:spacing w:after="0" w:line="4" w:lineRule="exact"/>
        <w:rPr>
          <w:rFonts w:ascii="Arial" w:cs="Arial" w:eastAsia="Arial" w:hAnsi="Arial"/>
          <w:sz w:val="16"/>
          <w:szCs w:val="16"/>
          <w:color w:val="auto"/>
        </w:rPr>
      </w:pPr>
    </w:p>
    <w:p>
      <w:pPr>
        <w:ind w:right="40"/>
        <w:spacing w:after="0" w:line="252" w:lineRule="auto"/>
        <w:rPr>
          <w:rFonts w:ascii="Arial" w:cs="Arial" w:eastAsia="Arial" w:hAnsi="Arial"/>
          <w:sz w:val="16"/>
          <w:szCs w:val="16"/>
          <w:color w:val="auto"/>
        </w:rPr>
      </w:pPr>
      <w:r>
        <w:rPr>
          <w:rFonts w:ascii="Arial" w:cs="Arial" w:eastAsia="Arial" w:hAnsi="Arial"/>
          <w:sz w:val="18"/>
          <w:szCs w:val="18"/>
          <w:color w:val="auto"/>
        </w:rPr>
        <w:t>None of the outstanding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and the Prospectus. The descriptions of the Company’s and ALX Oncology Limited’s stock option, stock bonus and other stock plans or arrangements, and the options or other rights granted thereunder, set forth in the Registration Statement and the Prospectus in all material respects accurately and fairly presents the information required to be shown with respect to such plans, arrangements, options and rights.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4" w:name="page15"/>
    <w:bookmarkEnd w:id="14"/>
    <w:p>
      <w:pPr>
        <w:ind w:right="40" w:firstLine="987"/>
        <w:spacing w:after="0" w:line="257" w:lineRule="auto"/>
        <w:tabs>
          <w:tab w:leader="none" w:pos="124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Exchange Listing</w:t>
      </w:r>
      <w:r>
        <w:rPr>
          <w:rFonts w:ascii="Arial" w:cs="Arial" w:eastAsia="Arial" w:hAnsi="Arial"/>
          <w:sz w:val="18"/>
          <w:szCs w:val="18"/>
          <w:color w:val="auto"/>
        </w:rPr>
        <w:t>. The Common Stock is registered pursuant to Section 12(b) or 12(g) of the Exchange Act and is listed on the Exchange, and the Company has taken no action designed to, or likely to have the effect of, terminating the registration of the Common Stock under the Exchange Act or delisting the Common Stock from the Exchange, nor has the Company received any notification that the Commission or the Exchange is contemplating terminating such registration or listing. To the Company’s knowledge, it is in compliance with all applicable listing requirements of the Exchange.</w:t>
      </w:r>
    </w:p>
    <w:p>
      <w:pPr>
        <w:spacing w:after="0" w:line="187" w:lineRule="exact"/>
        <w:rPr>
          <w:rFonts w:ascii="Arial" w:cs="Arial" w:eastAsia="Arial" w:hAnsi="Arial"/>
          <w:sz w:val="18"/>
          <w:szCs w:val="18"/>
          <w:color w:val="auto"/>
        </w:rPr>
      </w:pPr>
    </w:p>
    <w:p>
      <w:pPr>
        <w:ind w:firstLine="987"/>
        <w:spacing w:after="0" w:line="284" w:lineRule="auto"/>
        <w:tabs>
          <w:tab w:leader="none" w:pos="1216"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Non-Contravention of Existing Instruments; No Further Authorizations or Approvals Required</w:t>
      </w:r>
      <w:r>
        <w:rPr>
          <w:rFonts w:ascii="Arial" w:cs="Arial" w:eastAsia="Arial" w:hAnsi="Arial"/>
          <w:sz w:val="16"/>
          <w:szCs w:val="16"/>
          <w:color w:val="auto"/>
        </w:rPr>
        <w:t>. Neither the Company nor any of its subsidiaries is in violation of its charter or by-laws, partnership agreement or operating agreement or similar organizational documents, as applicable, or is in default (or, with the giving of notice or lapse of time, would be in default) (“</w:t>
      </w:r>
      <w:r>
        <w:rPr>
          <w:rFonts w:ascii="Arial" w:cs="Arial" w:eastAsia="Arial" w:hAnsi="Arial"/>
          <w:sz w:val="16"/>
          <w:szCs w:val="16"/>
          <w:b w:val="1"/>
          <w:bCs w:val="1"/>
          <w:u w:val="single" w:color="auto"/>
          <w:color w:val="auto"/>
        </w:rPr>
        <w:t>Default</w:t>
      </w:r>
      <w:r>
        <w:rPr>
          <w:rFonts w:ascii="Arial" w:cs="Arial" w:eastAsia="Arial" w:hAnsi="Arial"/>
          <w:sz w:val="16"/>
          <w:szCs w:val="16"/>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Arial" w:cs="Arial" w:eastAsia="Arial" w:hAnsi="Arial"/>
          <w:sz w:val="16"/>
          <w:szCs w:val="16"/>
          <w:b w:val="1"/>
          <w:bCs w:val="1"/>
          <w:u w:val="single" w:color="auto"/>
          <w:color w:val="auto"/>
        </w:rPr>
        <w:t>Existing Instrument</w:t>
      </w:r>
      <w:r>
        <w:rPr>
          <w:rFonts w:ascii="Arial" w:cs="Arial" w:eastAsia="Arial" w:hAnsi="Arial"/>
          <w:sz w:val="16"/>
          <w:szCs w:val="16"/>
          <w:color w:val="auto"/>
        </w:rPr>
        <w:t>”), except for such Defaults as would not reasonably be expected, individually or in the aggregate, to result in a Material Adverse Change. The Company’s execution, delivery and performance of this Agreement, consummation of the transactions contemplated hereby and by the Registration Statement and the Prospectus and the issuance and sale of the Placement Shares (including the use of proceeds from the sale of the Placement Shares as described in the Registration Statement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of its subsidiaries,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except for such Defaults or a Debt Repayment Triggering Event as would not reasonably be expected, individually or in the aggregate, to result in a Material Adverse Change, and (iii) will not result in any violation of any law, administrative regulation or administrative or court decree applicable to the Company or any of its subsidiaries, except for such violations as would not reasonably be expected, individually or in the aggregate, to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and the Prospectus, except such as have been obtained or made by the Company and are in full force and effect under the Securities Act and such as may be required under applicable state securities or blue sky laws or the Financial Industry Regulatory Authority, Inc. (“</w:t>
      </w:r>
      <w:r>
        <w:rPr>
          <w:rFonts w:ascii="Arial" w:cs="Arial" w:eastAsia="Arial" w:hAnsi="Arial"/>
          <w:sz w:val="16"/>
          <w:szCs w:val="16"/>
          <w:b w:val="1"/>
          <w:bCs w:val="1"/>
          <w:u w:val="single" w:color="auto"/>
          <w:color w:val="auto"/>
        </w:rPr>
        <w:t>FINRA</w:t>
      </w:r>
      <w:r>
        <w:rPr>
          <w:rFonts w:ascii="Arial" w:cs="Arial" w:eastAsia="Arial" w:hAnsi="Arial"/>
          <w:sz w:val="16"/>
          <w:szCs w:val="16"/>
          <w:color w:val="auto"/>
        </w:rPr>
        <w:t>”). As used herein, a “</w:t>
      </w:r>
      <w:r>
        <w:rPr>
          <w:rFonts w:ascii="Arial" w:cs="Arial" w:eastAsia="Arial" w:hAnsi="Arial"/>
          <w:sz w:val="16"/>
          <w:szCs w:val="16"/>
          <w:b w:val="1"/>
          <w:bCs w:val="1"/>
          <w:u w:val="single" w:color="auto"/>
          <w:color w:val="auto"/>
        </w:rPr>
        <w:t>Debt Repayment Triggering Event</w:t>
      </w:r>
      <w:r>
        <w:rPr>
          <w:rFonts w:ascii="Arial" w:cs="Arial" w:eastAsia="Arial" w:hAnsi="Arial"/>
          <w:sz w:val="16"/>
          <w:szCs w:val="16"/>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5" w:name="page16"/>
    <w:bookmarkEnd w:id="15"/>
    <w:p>
      <w:pPr>
        <w:jc w:val="both"/>
        <w:ind w:left="4" w:right="60" w:firstLine="987"/>
        <w:spacing w:after="0" w:line="263" w:lineRule="auto"/>
        <w:tabs>
          <w:tab w:leader="none" w:pos="123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Laws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and its subsidiaries have been and are in compliance in all material respects with all applicable laws, rules and regulations, except where failure to be so in compliance could not reasonably be expected, individually or in the aggregate, to result in a Material Adverse Change, except as set forth in or contemplated in the Prospectus.</w:t>
      </w:r>
    </w:p>
    <w:p>
      <w:pPr>
        <w:spacing w:after="0" w:line="183" w:lineRule="exact"/>
        <w:rPr>
          <w:rFonts w:ascii="Arial" w:cs="Arial" w:eastAsia="Arial" w:hAnsi="Arial"/>
          <w:sz w:val="18"/>
          <w:szCs w:val="18"/>
          <w:color w:val="auto"/>
        </w:rPr>
      </w:pPr>
    </w:p>
    <w:p>
      <w:pPr>
        <w:ind w:left="4" w:right="200" w:firstLine="987"/>
        <w:spacing w:after="0" w:line="254" w:lineRule="auto"/>
        <w:tabs>
          <w:tab w:leader="none" w:pos="121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No Material Actions or Proceedings</w:t>
      </w:r>
      <w:r>
        <w:rPr>
          <w:rFonts w:ascii="Arial" w:cs="Arial" w:eastAsia="Arial" w:hAnsi="Arial"/>
          <w:sz w:val="18"/>
          <w:szCs w:val="18"/>
          <w:color w:val="auto"/>
        </w:rPr>
        <w:t>. There is no action, suit, proceeding, inquiry or investigation brought by or before any legal or governmental entity now pending or, to the knowledge of the Company, threatened, against or affecting the Company or any of its subsidiaries, which could reasonably be expected, individually or in the aggregate, to result in a Material Adverse Change, except as set forth in or contemplated in the Prospectus. Except as forth in in the Prospectus and as would not reasonably be expected, individually or in the aggregate, to result in a Material Adverse Change, (i) no labor dispute with the employees of the Company or any of its subsidiaries, or with the employees of any principal supplier, manufacturer, customer or contractor of the Company or any of its subsidiaries, exists or, (ii) to the knowledge of the Company, is threatened or imminent.</w:t>
      </w:r>
    </w:p>
    <w:p>
      <w:pPr>
        <w:spacing w:after="0" w:line="194" w:lineRule="exact"/>
        <w:rPr>
          <w:rFonts w:ascii="Arial" w:cs="Arial" w:eastAsia="Arial" w:hAnsi="Arial"/>
          <w:sz w:val="18"/>
          <w:szCs w:val="18"/>
          <w:color w:val="auto"/>
        </w:rPr>
      </w:pPr>
    </w:p>
    <w:p>
      <w:pPr>
        <w:ind w:left="4" w:firstLine="987"/>
        <w:spacing w:after="0" w:line="283" w:lineRule="auto"/>
        <w:tabs>
          <w:tab w:leader="none" w:pos="1250"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The Company and its subsidiaries own, or have obtained valid and enforceable licenses for the inventions, patent applications, patents, trademarks, trade names, service names, service marks, copyrights, trade secrets, know how (including unpatented and/or unpatentable proprietary of confidential information, systems or procedures) and other intellectual property described in the Registration Statement and the Prospectus as being owned or licensed by them or which are necessary for the conduct of their respective businesses as currently conducted or as currently proposed to be conducted (collectively, “</w:t>
      </w:r>
      <w:r>
        <w:rPr>
          <w:rFonts w:ascii="Arial" w:cs="Arial" w:eastAsia="Arial" w:hAnsi="Arial"/>
          <w:sz w:val="16"/>
          <w:szCs w:val="16"/>
          <w:b w:val="1"/>
          <w:bCs w:val="1"/>
          <w:u w:val="single" w:color="auto"/>
          <w:color w:val="auto"/>
        </w:rPr>
        <w:t>Intellectual Property</w:t>
      </w:r>
      <w:r>
        <w:rPr>
          <w:rFonts w:ascii="Arial" w:cs="Arial" w:eastAsia="Arial" w:hAnsi="Arial"/>
          <w:sz w:val="16"/>
          <w:szCs w:val="16"/>
          <w:color w:val="auto"/>
        </w:rPr>
        <w:t>”), and the conduct of their respective businesses does not and will not infringe upon or misappropriate in any material respect any such rights of others. The Intellectual Property of the Company and its subsidiaries has not been adjudged by a court of competent jurisdiction to be invalid or unenforceable, in whole or in part, and the Company is unaware of any facts which would form a reasonable basis for any such adjudication. To the Company’s knowledge: (i) there are no third parties who have rights to any Intellectual Property, including no liens, security interests, or other encumbrances, except for customary reversionary rights of third-party licensors with respect to Intellectual Property that is disclosed in the Registration Statement and the Prospectus as licensed to the Company or one or more of its subsidiaries; and</w:t>
      </w:r>
    </w:p>
    <w:p>
      <w:pPr>
        <w:spacing w:after="0" w:line="4" w:lineRule="exact"/>
        <w:rPr>
          <w:rFonts w:ascii="Arial" w:cs="Arial" w:eastAsia="Arial" w:hAnsi="Arial"/>
          <w:sz w:val="16"/>
          <w:szCs w:val="16"/>
          <w:color w:val="auto"/>
        </w:rPr>
      </w:pPr>
    </w:p>
    <w:p>
      <w:pPr>
        <w:ind w:left="4" w:hanging="4"/>
        <w:spacing w:after="0" w:line="268" w:lineRule="auto"/>
        <w:tabs>
          <w:tab w:leader="none" w:pos="269"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there is no infringement by third parties of any Intellectual Property. The Intellectual Property has not been adjudged by a court of competent jurisdiction invalid or unenforceable, in whole or in part, and the Company is unaware of any facts which would form a reasonable basis for any such adjudication. Neither the Company nor any of its subsidiaries has received any notice of any claim, or is otherwise aware, of any infringement or misappropriation of any intellectual property rights of another, and the Company is unaware of any facts which would form a reasonable basis for any such notice or claim. There is no pending or threatened action, suit, proceeding or claim by others: (A) challenging the Company’s or any of its subsidiaries’ rights in or to any Intellectual Property, and the Company is unaware of any facts which would form a reasonable basis for any such action, suit, proceeding or claim; (B) challenging the validity, enforceability or scope of any Intellectual Property, including no interferences, oppositions, reexaminations, or government proceedings, and</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16" w:name="page17"/>
    <w:bookmarkEnd w:id="16"/>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is unaware of any facts which would form a reasonable basis for any such action, suit, proceeding or claim; or (C) asserting that the Company or any of its subsidiaries infringes, misappropriates, or otherwise violates, or would, upon the commercialization of any product or service described in the Registration Statement or the Prospectus as under development, infringe, misappropriate, or violate, any patent, trademark, trade name, service name, copyright, trade secret or other proprietary rights of others, and the Company is unaware of any facts which would form a reasonable basis for any such action, suit, proceeding or claim. The Company and its subsidiaries have complied with the terms of each agreement pursuant to which Intellectual Property has been licensed to the Company or any of its subsidiaries, and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including the execution of appropriate nondisclosure, confidentiality agreements and invention assignment agreements and invention assignments with their employees, and no employee of the Company is in or has been in violation of any term of any employment contract, patent disclosure agreement, invention assignment</w:t>
      </w:r>
    </w:p>
    <w:p>
      <w:pPr>
        <w:spacing w:after="0" w:line="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agreement, non-competition agreement, non-solicitation agreement, nondisclosure agreement, or any restrictive covenant to or with a former employer where the basis of such violation relates to such employee’s employment with the Company. The duty of candor and good faith as required by the United States Patent and Trademark Office during the prosecution of the United States patents and patent applications included in the Intellectual Property have been complied with; and in all foreign offices having similar requirements, all such requirements have been complied with. None of the Intellectual Property owned by the Company or its subsidiaries or technology (including information technology and outsourced arrangements) employed by the Company or its subsidiaries has been obtained or is being used by the Company or its subsidiaries in violation of any contractual obligation binding on the Company or its subsidiaries or any of their respective officers, directors or employees or otherwise in violation of the rights of any persons. The product candidates described in the Registration Statement and the Prospectus as under development by the Company or any of its subsidiaries fall within the scope of the claims of one or more patents owned by, or exclusively licensed to, the Company or any of its subsidiaries.</w:t>
      </w:r>
    </w:p>
    <w:p>
      <w:pPr>
        <w:spacing w:after="0" w:line="172" w:lineRule="exact"/>
        <w:rPr>
          <w:sz w:val="20"/>
          <w:szCs w:val="20"/>
          <w:color w:val="auto"/>
        </w:rPr>
      </w:pPr>
    </w:p>
    <w:p>
      <w:pPr>
        <w:ind w:right="80" w:firstLine="987"/>
        <w:spacing w:after="0" w:line="289" w:lineRule="auto"/>
        <w:tabs>
          <w:tab w:leader="none" w:pos="1246"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All Necessary Permits, etc</w:t>
      </w:r>
      <w:r>
        <w:rPr>
          <w:rFonts w:ascii="Arial" w:cs="Arial" w:eastAsia="Arial" w:hAnsi="Arial"/>
          <w:sz w:val="16"/>
          <w:szCs w:val="16"/>
          <w:color w:val="auto"/>
        </w:rPr>
        <w:t>. The Company and its subsidiaries possess such valid and current licenses, certificates, authorizations, approvals, consents or permits required by state, federal or foreign regulatory agencies or bodies to conduct their respective businesses as currently conducted and as described in the Registration Statement or the Prospectus (“</w:t>
      </w:r>
      <w:r>
        <w:rPr>
          <w:rFonts w:ascii="Arial" w:cs="Arial" w:eastAsia="Arial" w:hAnsi="Arial"/>
          <w:sz w:val="16"/>
          <w:szCs w:val="16"/>
          <w:b w:val="1"/>
          <w:bCs w:val="1"/>
          <w:u w:val="single" w:color="auto"/>
          <w:color w:val="auto"/>
        </w:rPr>
        <w:t>Permits</w:t>
      </w:r>
      <w:r>
        <w:rPr>
          <w:rFonts w:ascii="Arial" w:cs="Arial" w:eastAsia="Arial" w:hAnsi="Arial"/>
          <w:sz w:val="16"/>
          <w:szCs w:val="16"/>
          <w:color w:val="auto"/>
        </w:rPr>
        <w:t>”). Neither the Company nor any of its subsidiaries is in violation of, or in default under, any of the Permits or has received any notice of proceedings relating to the revocation or suspension of, or non-compliance with, any such certificate, authorization or permit. The Company and its subsidiaries have filed, obtained, maintained or submitted all reports, documents, forms, notices, applications, records, claims, submissions and supplements or amendments as required by any Permits and that all such reports, documents, forms, notices, applications, records, claims, submissions and supplements or amendments were timely, complete, correct and not misleading on the date filed (or were corrected or supplemented by a subsequent submission), except, in each case, where the failure to do so would not reasonably be expected, individually or in the aggregate, to result in a Material Adverse Change.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7" w:name="page18"/>
    <w:bookmarkEnd w:id="17"/>
    <w:p>
      <w:pPr>
        <w:ind w:left="4" w:right="180" w:firstLine="987"/>
        <w:spacing w:after="0" w:line="284" w:lineRule="auto"/>
        <w:tabs>
          <w:tab w:leader="none" w:pos="1290"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Title to Properties</w:t>
      </w:r>
      <w:r>
        <w:rPr>
          <w:rFonts w:ascii="Arial" w:cs="Arial" w:eastAsia="Arial" w:hAnsi="Arial"/>
          <w:sz w:val="16"/>
          <w:szCs w:val="16"/>
          <w:color w:val="auto"/>
        </w:rPr>
        <w:t>. Except as otherwise disclosed in the Registration Statement and the Prospectus, the Company and its subsidiaries have good and marketable title to all of the personal property and other assets reflected as owned in the financial statements referred to in Section 1(k) above (or elsewhere in the Registration Statement or the Prospectus), in each case free and clear of any security interests, mortgages, liens, encumbrances, equities, adverse claims and other defects. The real property, improvements, equipment and personal property held under lease by the Company or any of its subsidiaries are held under valid and enforceable leases (subject to the effects of (i) bankruptcy, insolvency, fraudulent conveyance, fraudulent transfer, reorganization, moratorium or other similar laws relating to or affecting rights or remedies of creditors generally;</w:t>
      </w:r>
    </w:p>
    <w:p>
      <w:pPr>
        <w:spacing w:after="0" w:line="4" w:lineRule="exact"/>
        <w:rPr>
          <w:rFonts w:ascii="Arial" w:cs="Arial" w:eastAsia="Arial" w:hAnsi="Arial"/>
          <w:sz w:val="16"/>
          <w:szCs w:val="16"/>
          <w:color w:val="auto"/>
        </w:rPr>
      </w:pPr>
    </w:p>
    <w:p>
      <w:pPr>
        <w:ind w:left="4" w:right="40" w:hanging="4"/>
        <w:spacing w:after="0" w:line="253" w:lineRule="auto"/>
        <w:tabs>
          <w:tab w:leader="none" w:pos="2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application of general principles of equity (including without limitation, concepts of materiality, reasonableness, good faith and fair dealing, regardless of whether enforcement is considered in proceedings at law or in equity); and (iii) applicable law and public policy with respect to rights to indemnity and contribution), with such exceptions as are not material and do not materially interfere with the use made or proposed to be made of such real property, improvements, equipment or personal property by the Company or such subsidiary. The Company and its subsidiaries do not own any real property.</w:t>
      </w:r>
    </w:p>
    <w:p>
      <w:pPr>
        <w:spacing w:after="0" w:line="190" w:lineRule="exact"/>
        <w:rPr>
          <w:rFonts w:ascii="Arial" w:cs="Arial" w:eastAsia="Arial" w:hAnsi="Arial"/>
          <w:sz w:val="18"/>
          <w:szCs w:val="18"/>
          <w:color w:val="auto"/>
        </w:rPr>
      </w:pPr>
    </w:p>
    <w:p>
      <w:pPr>
        <w:ind w:left="4" w:right="100" w:firstLine="987"/>
        <w:spacing w:after="0" w:line="271" w:lineRule="auto"/>
        <w:tabs>
          <w:tab w:leader="none" w:pos="1250"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Tax Law Compliance</w:t>
      </w:r>
      <w:r>
        <w:rPr>
          <w:rFonts w:ascii="Arial" w:cs="Arial" w:eastAsia="Arial" w:hAnsi="Arial"/>
          <w:sz w:val="17"/>
          <w:szCs w:val="17"/>
          <w:color w:val="auto"/>
        </w:rPr>
        <w:t>. The Company and its subsidiaries have filed all necessary U.S. federal, state and foreign income and franchise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to the extent that failure to file or pay could reasonably be expected to result in a Material Adverse Change, except as set forth in or contemplated in the Registration Statement or the Prospectus. The Company has made adequate charges, accruals and reserves in the applicable financial statements included or incorporated by reference in the Registration Statement and the Prospectus in respect of all U.S. federal, state and foreign income and franchise taxes for all periods as to which the tax liability of the Company or any of its subsidiaries has not been finally determined, to the extent that failure to do so could reasonably be expected to result in a Material Adverse Change.</w:t>
      </w:r>
    </w:p>
    <w:p>
      <w:pPr>
        <w:spacing w:after="0" w:line="178" w:lineRule="exact"/>
        <w:rPr>
          <w:rFonts w:ascii="Arial" w:cs="Arial" w:eastAsia="Arial" w:hAnsi="Arial"/>
          <w:sz w:val="17"/>
          <w:szCs w:val="17"/>
          <w:color w:val="auto"/>
        </w:rPr>
      </w:pPr>
    </w:p>
    <w:p>
      <w:pPr>
        <w:ind w:left="4" w:firstLine="987"/>
        <w:spacing w:after="0" w:line="270" w:lineRule="auto"/>
        <w:tabs>
          <w:tab w:leader="none" w:pos="1250"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Each of the Company and its subsidiaries are insured by recognized, financially sound and reputable institutions with policies in such amounts and with such deductibles and covering such risks as the Company reasonably believes is adequate and customary for their businesses including, but not limited to, policies covering real and personal property owned or leased by the Company and its subsidiaries against theft, damage, destruction and acts of vandalism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could not reasonably be expected, individually or in the aggregate, to result in a Material Adverse Change except as set forth in or contemplated in the Registration Statement or the Prospectus. Neither the Company nor any of its subsidiaries has been denied any insurance coverage which it has sought or for which it has applied.</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18" w:name="page19"/>
    <w:bookmarkEnd w:id="18"/>
    <w:p>
      <w:pPr>
        <w:ind w:firstLine="987"/>
        <w:spacing w:after="0" w:line="283" w:lineRule="auto"/>
        <w:tabs>
          <w:tab w:leader="none" w:pos="1236"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Environmental Laws</w:t>
      </w:r>
      <w:r>
        <w:rPr>
          <w:rFonts w:ascii="Arial" w:cs="Arial" w:eastAsia="Arial" w:hAnsi="Arial"/>
          <w:sz w:val="16"/>
          <w:szCs w:val="16"/>
          <w:color w:val="auto"/>
        </w:rPr>
        <w:t>. Except as would not reasonably be expected, individually or in the aggregate, to result in a Material 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6"/>
          <w:szCs w:val="16"/>
          <w:b w:val="1"/>
          <w:bCs w:val="1"/>
          <w:u w:val="single" w:color="auto"/>
          <w:color w:val="auto"/>
        </w:rPr>
        <w:t>Hazardous Materials</w:t>
      </w:r>
      <w:r>
        <w:rPr>
          <w:rFonts w:ascii="Arial" w:cs="Arial" w:eastAsia="Arial" w:hAnsi="Arial"/>
          <w:sz w:val="16"/>
          <w:szCs w:val="16"/>
          <w:color w:val="auto"/>
        </w:rPr>
        <w:t>”) or to the manufacture, processing, distribution, use, treatment, storage, disposal, transport or handling of Hazardous Materials (collectively, “</w:t>
      </w:r>
      <w:r>
        <w:rPr>
          <w:rFonts w:ascii="Arial" w:cs="Arial" w:eastAsia="Arial" w:hAnsi="Arial"/>
          <w:sz w:val="16"/>
          <w:szCs w:val="16"/>
          <w:b w:val="1"/>
          <w:bCs w:val="1"/>
          <w:u w:val="single" w:color="auto"/>
          <w:color w:val="auto"/>
        </w:rPr>
        <w:t>Environmental Laws</w:t>
      </w:r>
      <w:r>
        <w:rPr>
          <w:rFonts w:ascii="Arial" w:cs="Arial" w:eastAsia="Arial" w:hAnsi="Arial"/>
          <w:sz w:val="16"/>
          <w:szCs w:val="16"/>
          <w:color w:val="auto"/>
        </w:rPr>
        <w:t>”); (ii) the Company and its subsidiaries have all permits, authorizations and approvals required under any applicable Environmental Laws and are each in compliance with their requirements; (iii) except as described in the Prospectus,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(iv) to the Company’s knowledge, there are no events or circumstances that might reasonably be expected to form the basis of an order</w:t>
      </w:r>
    </w:p>
    <w:p>
      <w:pPr>
        <w:spacing w:after="0" w:line="2" w:lineRule="exact"/>
        <w:rPr>
          <w:rFonts w:ascii="Arial" w:cs="Arial" w:eastAsia="Arial" w:hAnsi="Arial"/>
          <w:sz w:val="16"/>
          <w:szCs w:val="16"/>
          <w:color w:val="auto"/>
        </w:rPr>
      </w:pPr>
    </w:p>
    <w:p>
      <w:pPr>
        <w:ind w:right="100"/>
        <w:spacing w:after="0" w:line="260" w:lineRule="auto"/>
        <w:rPr>
          <w:rFonts w:ascii="Arial" w:cs="Arial" w:eastAsia="Arial" w:hAnsi="Arial"/>
          <w:sz w:val="16"/>
          <w:szCs w:val="16"/>
          <w:color w:val="auto"/>
        </w:rPr>
      </w:pPr>
      <w:r>
        <w:rPr>
          <w:rFonts w:ascii="Arial" w:cs="Arial" w:eastAsia="Arial" w:hAnsi="Arial"/>
          <w:sz w:val="18"/>
          <w:szCs w:val="18"/>
          <w:color w:val="auto"/>
        </w:rPr>
        <w:t>for clean-up or remediation, or an action, suit or proceeding by any private party or governmental body or agency, against or affecting the Company or any of its subsidiaries relating to Hazardous Materials or any Environmental Laws.</w:t>
      </w:r>
    </w:p>
    <w:p>
      <w:pPr>
        <w:spacing w:after="0" w:line="185" w:lineRule="exact"/>
        <w:rPr>
          <w:sz w:val="20"/>
          <w:szCs w:val="20"/>
          <w:color w:val="auto"/>
        </w:rPr>
      </w:pPr>
    </w:p>
    <w:p>
      <w:pPr>
        <w:ind w:firstLine="987"/>
        <w:spacing w:after="0" w:line="286" w:lineRule="auto"/>
        <w:tabs>
          <w:tab w:leader="none" w:pos="1316"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ERISA Compliance</w:t>
      </w:r>
      <w:r>
        <w:rPr>
          <w:rFonts w:ascii="Arial" w:cs="Arial" w:eastAsia="Arial" w:hAnsi="Arial"/>
          <w:sz w:val="16"/>
          <w:szCs w:val="16"/>
          <w:color w:val="auto"/>
        </w:rPr>
        <w:t>. The Company and its subsidiaries and any “employee benefit plan” (as defined under the Employee Retirement Income Security Act of 1974, as amended, and the regulations and published interpretations thereunder (collectively, “</w:t>
      </w:r>
      <w:r>
        <w:rPr>
          <w:rFonts w:ascii="Arial" w:cs="Arial" w:eastAsia="Arial" w:hAnsi="Arial"/>
          <w:sz w:val="16"/>
          <w:szCs w:val="16"/>
          <w:b w:val="1"/>
          <w:bCs w:val="1"/>
          <w:u w:val="single" w:color="auto"/>
          <w:color w:val="auto"/>
        </w:rPr>
        <w:t>ERISA</w:t>
      </w:r>
      <w:r>
        <w:rPr>
          <w:rFonts w:ascii="Arial" w:cs="Arial" w:eastAsia="Arial" w:hAnsi="Arial"/>
          <w:sz w:val="16"/>
          <w:szCs w:val="16"/>
          <w:color w:val="auto"/>
        </w:rPr>
        <w:t>”)) established or maintained by the Company, its subsidiaries or, to Company’s knowledge, their “ERISA Affiliates” (as defined below) are in compliance in all material respects with ERISA. “</w:t>
      </w:r>
      <w:r>
        <w:rPr>
          <w:rFonts w:ascii="Arial" w:cs="Arial" w:eastAsia="Arial" w:hAnsi="Arial"/>
          <w:sz w:val="16"/>
          <w:szCs w:val="16"/>
          <w:b w:val="1"/>
          <w:bCs w:val="1"/>
          <w:u w:val="single" w:color="auto"/>
          <w:color w:val="auto"/>
        </w:rPr>
        <w:t>ERISA Affiliate</w:t>
      </w:r>
      <w:r>
        <w:rPr>
          <w:rFonts w:ascii="Arial" w:cs="Arial" w:eastAsia="Arial" w:hAnsi="Arial"/>
          <w:sz w:val="16"/>
          <w:szCs w:val="16"/>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Arial" w:cs="Arial" w:eastAsia="Arial" w:hAnsi="Arial"/>
          <w:sz w:val="16"/>
          <w:szCs w:val="16"/>
          <w:b w:val="1"/>
          <w:bCs w:val="1"/>
          <w:u w:val="single" w:color="auto"/>
          <w:color w:val="auto"/>
        </w:rPr>
        <w:t>Code</w:t>
      </w:r>
      <w:r>
        <w:rPr>
          <w:rFonts w:ascii="Arial" w:cs="Arial" w:eastAsia="Arial" w:hAnsi="Arial"/>
          <w:sz w:val="16"/>
          <w:szCs w:val="16"/>
          <w:color w:val="auto"/>
        </w:rPr>
        <w:t>”) of which the Company or such subsidiary thereof is a member. No “reportable event” (as defined under Section 4043 of ERISA) has occurred or is reasonably expected to occur with respect to any “employee benefit plan” established or maintained by the Company, its subsidiaries or any of their ERISA Affiliates, that would reasonably be expected to result in material liability to the Company or its subsidiaries. No “employee benefit plan” established or maintained by the Company, its subsidiaries or any of their ERISA Affiliates, if such “employee benefit plan” were terminated, would have any “amount of unfunded benefit liabilities” (as defined under Section 4001(a)(18) of ERISA) that would reasonably be expected to result in material liability to the Company and its subsidiaries. Neither the Company, its subsidiaries nor any of their ERISA Affiliates has incurred or reasonably expects to incur any material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to the Company’s knowledge, nothing has occurred, whether by action or failure to act, which would reasonably be expected to cause the loss of such qualification.</w:t>
      </w:r>
    </w:p>
    <w:p>
      <w:pPr>
        <w:spacing w:after="0" w:line="167" w:lineRule="exact"/>
        <w:rPr>
          <w:rFonts w:ascii="Arial" w:cs="Arial" w:eastAsia="Arial" w:hAnsi="Arial"/>
          <w:sz w:val="16"/>
          <w:szCs w:val="16"/>
          <w:color w:val="auto"/>
        </w:rPr>
      </w:pPr>
    </w:p>
    <w:p>
      <w:pPr>
        <w:ind w:right="20" w:firstLine="987"/>
        <w:spacing w:after="0" w:line="286" w:lineRule="auto"/>
        <w:tabs>
          <w:tab w:leader="none" w:pos="1336"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Company Not an “Investment Company</w:t>
      </w:r>
      <w:r>
        <w:rPr>
          <w:rFonts w:ascii="Arial" w:cs="Arial" w:eastAsia="Arial" w:hAnsi="Arial"/>
          <w:sz w:val="17"/>
          <w:szCs w:val="17"/>
          <w:color w:val="auto"/>
        </w:rPr>
        <w:t xml:space="preserve">.” The Company is not, and will not be, either after receipt of payment for the Placement Shares or after the application of the proceeds therefrom as described under “Use of Proceeds” in the Registration Statement or the Prospectus, required to register as an “investment company” under the Investment Company Act of 1940, as amended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Investment Company Act</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40" w:top="274" w:right="519" w:bottom="1440" w:gutter="0" w:footer="0" w:header="0"/>
        </w:sectPr>
      </w:pPr>
    </w:p>
    <w:bookmarkStart w:id="19" w:name="page20"/>
    <w:bookmarkEnd w:id="19"/>
    <w:p>
      <w:pPr>
        <w:ind w:right="140" w:firstLine="987"/>
        <w:spacing w:after="0" w:line="257" w:lineRule="auto"/>
        <w:tabs>
          <w:tab w:leader="none" w:pos="131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Price Stabilization or Manipulation; Compliance with Regulation M</w:t>
      </w:r>
      <w:r>
        <w:rPr>
          <w:rFonts w:ascii="Arial" w:cs="Arial" w:eastAsia="Arial" w:hAnsi="Arial"/>
          <w:sz w:val="18"/>
          <w:szCs w:val="18"/>
          <w:color w:val="auto"/>
        </w:rPr>
        <w:t xml:space="preserve">. Neither the Company nor any of its subsidiaries has taken, directly or indirectly, any action designed, or that would reasonably be expected, to cause or result in stabilization or manipulation of the price of the Common Stock or of any “reference security” (as defined in Rule 100 of Regulation M under the Exchange Act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Regulation M</w:t>
      </w:r>
      <w:r>
        <w:rPr>
          <w:rFonts w:ascii="Arial" w:cs="Arial" w:eastAsia="Arial" w:hAnsi="Arial"/>
          <w:sz w:val="18"/>
          <w:szCs w:val="18"/>
          <w:b w:val="1"/>
          <w:bCs w:val="1"/>
          <w:color w:val="auto"/>
        </w:rPr>
        <w:t>”))</w:t>
      </w:r>
      <w:r>
        <w:rPr>
          <w:rFonts w:ascii="Arial" w:cs="Arial" w:eastAsia="Arial" w:hAnsi="Arial"/>
          <w:sz w:val="18"/>
          <w:szCs w:val="18"/>
          <w:color w:val="auto"/>
        </w:rPr>
        <w:t xml:space="preserve"> with respect to the Shares, whether to facilitate the sale or resale of the Placement Shares or otherwise, and has taken no action which would directly or indirectly violate Regulation M.</w:t>
      </w:r>
    </w:p>
    <w:p>
      <w:pPr>
        <w:spacing w:after="0" w:line="187" w:lineRule="exact"/>
        <w:rPr>
          <w:rFonts w:ascii="Arial" w:cs="Arial" w:eastAsia="Arial" w:hAnsi="Arial"/>
          <w:sz w:val="18"/>
          <w:szCs w:val="18"/>
          <w:color w:val="auto"/>
        </w:rPr>
      </w:pPr>
    </w:p>
    <w:p>
      <w:pPr>
        <w:ind w:right="400" w:firstLine="987"/>
        <w:spacing w:after="0" w:line="342" w:lineRule="auto"/>
        <w:tabs>
          <w:tab w:leader="none" w:pos="1336"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Related-Party Transactions</w:t>
      </w:r>
      <w:r>
        <w:rPr>
          <w:rFonts w:ascii="Arial" w:cs="Arial" w:eastAsia="Arial" w:hAnsi="Arial"/>
          <w:sz w:val="16"/>
          <w:szCs w:val="16"/>
          <w:color w:val="auto"/>
        </w:rPr>
        <w:t>. There are no business relationships or related-party transactions involving the Company or any of its subsidiaries or any other person required to be described in the Registration Statement or the Prospectus that have not been described as required.</w:t>
      </w:r>
    </w:p>
    <w:p>
      <w:pPr>
        <w:spacing w:after="0" w:line="123" w:lineRule="exact"/>
        <w:rPr>
          <w:rFonts w:ascii="Arial" w:cs="Arial" w:eastAsia="Arial" w:hAnsi="Arial"/>
          <w:sz w:val="16"/>
          <w:szCs w:val="16"/>
          <w:color w:val="auto"/>
        </w:rPr>
      </w:pPr>
    </w:p>
    <w:p>
      <w:pPr>
        <w:ind w:right="40" w:firstLine="987"/>
        <w:spacing w:after="0" w:line="257" w:lineRule="auto"/>
        <w:tabs>
          <w:tab w:leader="none" w:pos="131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FINRA Matters</w:t>
      </w:r>
      <w:r>
        <w:rPr>
          <w:rFonts w:ascii="Arial" w:cs="Arial" w:eastAsia="Arial" w:hAnsi="Arial"/>
          <w:sz w:val="18"/>
          <w:szCs w:val="18"/>
          <w:color w:val="auto"/>
        </w:rPr>
        <w:t>. All of the information provided to the Agents or to counsel for the Agents by the Company, its counsel, its officers and directors and, to the Company’s knowledge, the holders of any securities (debt or equity) or options to acquire any securities of the Company in connection with the offering of the Placement Shares is true, complete and correct in all material respects and compliant with FINRA’s rules and any letters, filings or other supplemental information provided to FINRA pursuant to FINRA Rules or NASD Conduct Rules is true, complete and correct in all material respects.</w:t>
      </w:r>
    </w:p>
    <w:p>
      <w:pPr>
        <w:spacing w:after="0" w:line="187" w:lineRule="exact"/>
        <w:rPr>
          <w:rFonts w:ascii="Arial" w:cs="Arial" w:eastAsia="Arial" w:hAnsi="Arial"/>
          <w:sz w:val="18"/>
          <w:szCs w:val="18"/>
          <w:color w:val="auto"/>
        </w:rPr>
      </w:pPr>
    </w:p>
    <w:p>
      <w:pPr>
        <w:jc w:val="both"/>
        <w:ind w:right="80" w:firstLine="987"/>
        <w:spacing w:after="0" w:line="286" w:lineRule="auto"/>
        <w:tabs>
          <w:tab w:leader="none" w:pos="1273"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Statistical and Market-Related Data</w:t>
      </w:r>
      <w:r>
        <w:rPr>
          <w:rFonts w:ascii="Arial" w:cs="Arial" w:eastAsia="Arial" w:hAnsi="Arial"/>
          <w:sz w:val="17"/>
          <w:szCs w:val="17"/>
          <w:color w:val="auto"/>
        </w:rPr>
        <w:t>. All statistical, demographic and market-related data included in the Registration Statement or the Prospectus are based on or derived from sources that the Company believes, after reasonable inquiry, to be reliable and accurate in all material respects. To the extent required, the Company has obtained the written consent to the use of such data from such sources.</w:t>
      </w:r>
    </w:p>
    <w:p>
      <w:pPr>
        <w:spacing w:after="0" w:line="165" w:lineRule="exact"/>
        <w:rPr>
          <w:rFonts w:ascii="Arial" w:cs="Arial" w:eastAsia="Arial" w:hAnsi="Arial"/>
          <w:sz w:val="17"/>
          <w:szCs w:val="17"/>
          <w:color w:val="auto"/>
        </w:rPr>
      </w:pPr>
    </w:p>
    <w:p>
      <w:pPr>
        <w:ind w:firstLine="987"/>
        <w:spacing w:after="0" w:line="263" w:lineRule="auto"/>
        <w:tabs>
          <w:tab w:leader="none" w:pos="133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Sarbanes-Oxley Act</w:t>
      </w:r>
      <w:r>
        <w:rPr>
          <w:rFonts w:ascii="Arial" w:cs="Arial" w:eastAsia="Arial" w:hAnsi="Arial"/>
          <w:sz w:val="18"/>
          <w:szCs w:val="18"/>
          <w:color w:val="auto"/>
        </w:rPr>
        <w:t>. There is, and has been, no failure on the part of the Company or any of its directors or officers, in their capacities as such, to comply with any applicable provision of the Sarbanes-Oxley Act of 2002, as amended and the rules and regulations promulgated in connection therewith, including Section 402 related to loans and Sections 302 and 906 related to certifications.</w:t>
      </w:r>
    </w:p>
    <w:p>
      <w:pPr>
        <w:spacing w:after="0" w:line="183" w:lineRule="exact"/>
        <w:rPr>
          <w:rFonts w:ascii="Arial" w:cs="Arial" w:eastAsia="Arial" w:hAnsi="Arial"/>
          <w:sz w:val="18"/>
          <w:szCs w:val="18"/>
          <w:color w:val="auto"/>
        </w:rPr>
      </w:pPr>
    </w:p>
    <w:p>
      <w:pPr>
        <w:jc w:val="both"/>
        <w:ind w:right="240" w:firstLine="987"/>
        <w:spacing w:after="0" w:line="311" w:lineRule="auto"/>
        <w:tabs>
          <w:tab w:leader="none" w:pos="1336"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No Unlawful Contributions or Other Payments</w:t>
      </w:r>
      <w:r>
        <w:rPr>
          <w:rFonts w:ascii="Arial" w:cs="Arial" w:eastAsia="Arial" w:hAnsi="Arial"/>
          <w:sz w:val="16"/>
          <w:szCs w:val="16"/>
          <w:color w:val="auto"/>
        </w:rPr>
        <w:t>. Neither the Company nor any of its subsidiaries nor, to the Company’s knowledge, any employee or agent of the Company or any of its subsidiaries, has made any contribution or other payment to any official of, or candidate for, any federal, state or foreign office in violation of any law or of the character required to be disclosed in the Registration Statement or the Prospectus.</w:t>
      </w:r>
    </w:p>
    <w:p>
      <w:pPr>
        <w:spacing w:after="0" w:line="144" w:lineRule="exact"/>
        <w:rPr>
          <w:rFonts w:ascii="Arial" w:cs="Arial" w:eastAsia="Arial" w:hAnsi="Arial"/>
          <w:sz w:val="16"/>
          <w:szCs w:val="16"/>
          <w:color w:val="auto"/>
        </w:rPr>
      </w:pPr>
    </w:p>
    <w:p>
      <w:pPr>
        <w:ind w:right="20" w:firstLine="987"/>
        <w:spacing w:after="0" w:line="281" w:lineRule="auto"/>
        <w:tabs>
          <w:tab w:leader="none" w:pos="1256"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Anti-Corruption and Anti-Bribery Laws</w:t>
      </w:r>
      <w:r>
        <w:rPr>
          <w:rFonts w:ascii="Arial" w:cs="Arial" w:eastAsia="Arial" w:hAnsi="Arial"/>
          <w:sz w:val="17"/>
          <w:szCs w:val="17"/>
          <w:b w:val="1"/>
          <w:bCs w:val="1"/>
          <w:color w:val="auto"/>
        </w:rPr>
        <w:t>.</w:t>
      </w:r>
      <w:r>
        <w:rPr>
          <w:rFonts w:ascii="Arial" w:cs="Arial" w:eastAsia="Arial" w:hAnsi="Arial"/>
          <w:sz w:val="17"/>
          <w:szCs w:val="17"/>
          <w:color w:val="auto"/>
        </w:rPr>
        <w:t xml:space="preserve"> Neither the Company nor any of its subsidiaries nor any director, officer, or employee of the 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furtherance of an offer, promise, or authorization of any direct or indirect unlawful payment or benefit to any foreign or domestic government official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 employee, including of any government-owned or controlled entity or public international organization, or any political party, party official,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candidate for political office; (iii) violated or is in violation of any provision of the U.S. Foreign Corrupt Practices Act of 1977,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FCPA</w:t>
      </w:r>
      <w:r>
        <w:rPr>
          <w:rFonts w:ascii="Arial" w:cs="Arial" w:eastAsia="Arial" w:hAnsi="Arial"/>
          <w:sz w:val="16"/>
          <w:szCs w:val="16"/>
          <w:color w:val="auto"/>
        </w:rPr>
        <w:t>”), the UK Bribery Act 2010, or any other applicable anti-bribery or anti-corruption law; or (iv) made, offered, authorized, requested, or taken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 in furtherance of any unlawful bribe, rebate, payoff, influence payment, kickback or other unlawful payment or benefit. The Company and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subsidiaries and, to the knowledge of the Company, the Company’s affiliates have conducted their respective businesses in compliance with the FCPA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have instituted and maintain policies and procedures designed to ensure, and which are reasonably expected to continue to ensure, continued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compliance therewith.</w:t>
      </w:r>
    </w:p>
    <w:p>
      <w:pPr>
        <w:spacing w:after="0" w:line="207" w:lineRule="exact"/>
        <w:rPr>
          <w:sz w:val="20"/>
          <w:szCs w:val="20"/>
          <w:color w:val="auto"/>
        </w:rPr>
      </w:pPr>
    </w:p>
    <w:p>
      <w:pPr>
        <w:ind w:right="160" w:firstLine="987"/>
        <w:spacing w:after="0" w:line="274" w:lineRule="auto"/>
        <w:tabs>
          <w:tab w:leader="none" w:pos="1256"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Money Laundering Laws</w:t>
      </w:r>
      <w:r>
        <w:rPr>
          <w:rFonts w:ascii="Arial" w:cs="Arial" w:eastAsia="Arial" w:hAnsi="Arial"/>
          <w:sz w:val="17"/>
          <w:szCs w:val="17"/>
          <w:b w:val="1"/>
          <w:bCs w:val="1"/>
          <w:color w:val="auto"/>
        </w:rPr>
        <w:t>.</w:t>
      </w:r>
      <w:r>
        <w:rPr>
          <w:rFonts w:ascii="Arial" w:cs="Arial" w:eastAsia="Arial" w:hAnsi="Arial"/>
          <w:sz w:val="17"/>
          <w:szCs w:val="17"/>
          <w:color w:val="auto"/>
        </w:rPr>
        <w:t xml:space="preserve"> The operations of the Company and its subsidiaries,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7"/>
          <w:szCs w:val="17"/>
          <w:b w:val="1"/>
          <w:bCs w:val="1"/>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3" w:lineRule="exact"/>
        <w:rPr>
          <w:rFonts w:ascii="Arial" w:cs="Arial" w:eastAsia="Arial" w:hAnsi="Arial"/>
          <w:sz w:val="17"/>
          <w:szCs w:val="17"/>
          <w:color w:val="auto"/>
        </w:rPr>
      </w:pPr>
    </w:p>
    <w:p>
      <w:pPr>
        <w:ind w:firstLine="987"/>
        <w:spacing w:after="0" w:line="287" w:lineRule="auto"/>
        <w:tabs>
          <w:tab w:leader="none" w:pos="1336"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Sanctions</w:t>
      </w:r>
      <w:r>
        <w:rPr>
          <w:rFonts w:ascii="Arial" w:cs="Arial" w:eastAsia="Arial" w:hAnsi="Arial"/>
          <w:sz w:val="16"/>
          <w:szCs w:val="16"/>
          <w:b w:val="1"/>
          <w:bCs w:val="1"/>
          <w:color w:val="auto"/>
        </w:rPr>
        <w:t>.</w:t>
      </w:r>
      <w:r>
        <w:rPr>
          <w:rFonts w:ascii="Arial" w:cs="Arial" w:eastAsia="Arial" w:hAnsi="Arial"/>
          <w:sz w:val="16"/>
          <w:szCs w:val="16"/>
          <w:color w:val="auto"/>
        </w:rPr>
        <w:t xml:space="preserve"> Neither the Company nor any of its subsidiaries, directors, officers, or employees, nor, to the knowledge of the Company, after due inquiry, any agent, affiliate or other person acting on behalf of the Company or any of its subsidiaries is currently the subject or the target of any U.S. sanctions administered by the Office of Foreign Assets Control of the U.S. Department of the Treasury (“</w:t>
      </w:r>
      <w:r>
        <w:rPr>
          <w:rFonts w:ascii="Arial" w:cs="Arial" w:eastAsia="Arial" w:hAnsi="Arial"/>
          <w:sz w:val="16"/>
          <w:szCs w:val="16"/>
          <w:b w:val="1"/>
          <w:bCs w:val="1"/>
          <w:u w:val="single" w:color="auto"/>
          <w:color w:val="auto"/>
        </w:rPr>
        <w:t>OFAC</w:t>
      </w:r>
      <w:r>
        <w:rPr>
          <w:rFonts w:ascii="Arial" w:cs="Arial" w:eastAsia="Arial" w:hAnsi="Arial"/>
          <w:sz w:val="16"/>
          <w:szCs w:val="16"/>
          <w:color w:val="auto"/>
        </w:rPr>
        <w:t>”) or the U.S. Department of State, the United Nations Security Council, the European Union, Her Majesty’s Treasury of the United Kingdom, the Swiss Secretariat of Economic Affairs or other relevant sanctions authority (collectively, “</w:t>
      </w:r>
      <w:r>
        <w:rPr>
          <w:rFonts w:ascii="Arial" w:cs="Arial" w:eastAsia="Arial" w:hAnsi="Arial"/>
          <w:sz w:val="16"/>
          <w:szCs w:val="16"/>
          <w:b w:val="1"/>
          <w:bCs w:val="1"/>
          <w:u w:val="single" w:color="auto"/>
          <w:color w:val="auto"/>
        </w:rPr>
        <w:t>Sanctions</w:t>
      </w:r>
      <w:r>
        <w:rPr>
          <w:rFonts w:ascii="Arial" w:cs="Arial" w:eastAsia="Arial" w:hAnsi="Arial"/>
          <w:sz w:val="16"/>
          <w:szCs w:val="16"/>
          <w:color w:val="auto"/>
        </w:rPr>
        <w:t>”); nor is the Company or any of its subsidiaries located, organized or resident in a country or territory that is the subject or the target of Sanctions, including, without limitation, Crimea, Cuba, Iran, North Korea, and Syria;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67" w:lineRule="exact"/>
        <w:rPr>
          <w:rFonts w:ascii="Arial" w:cs="Arial" w:eastAsia="Arial" w:hAnsi="Arial"/>
          <w:sz w:val="16"/>
          <w:szCs w:val="16"/>
          <w:color w:val="auto"/>
        </w:rPr>
      </w:pPr>
    </w:p>
    <w:p>
      <w:pPr>
        <w:ind w:right="180" w:firstLine="987"/>
        <w:spacing w:after="0" w:line="282" w:lineRule="auto"/>
        <w:tabs>
          <w:tab w:leader="none" w:pos="125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b w:val="1"/>
          <w:bCs w:val="1"/>
          <w:color w:val="auto"/>
        </w:rPr>
        <w:t>.</w:t>
      </w:r>
      <w:r>
        <w:rPr>
          <w:rFonts w:ascii="Arial" w:cs="Arial" w:eastAsia="Arial" w:hAnsi="Arial"/>
          <w:sz w:val="18"/>
          <w:szCs w:val="18"/>
          <w:color w:val="auto"/>
        </w:rPr>
        <w:t xml:space="preserve"> Except pursuant to this Agreement, there is no broker, finder or other party that is entitled to receive from the Company any brokerage or finder’s fee or other fee or commission as a result of any transactions contemplated by this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1" w:name="page22"/>
    <w:bookmarkEnd w:id="21"/>
    <w:p>
      <w:pPr>
        <w:ind w:left="4"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(mm) </w:t>
      </w:r>
      <w:r>
        <w:rPr>
          <w:rFonts w:ascii="Arial" w:cs="Arial" w:eastAsia="Arial" w:hAnsi="Arial"/>
          <w:sz w:val="18"/>
          <w:szCs w:val="18"/>
          <w:u w:val="single" w:color="auto"/>
          <w:color w:val="auto"/>
        </w:rPr>
        <w:t>Forward-Looking Statements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was false or misleading.</w:t>
      </w:r>
    </w:p>
    <w:p>
      <w:pPr>
        <w:spacing w:after="0" w:line="192" w:lineRule="exact"/>
        <w:rPr>
          <w:sz w:val="20"/>
          <w:szCs w:val="20"/>
          <w:color w:val="auto"/>
        </w:rPr>
      </w:pPr>
    </w:p>
    <w:p>
      <w:pPr>
        <w:ind w:left="4" w:right="60" w:firstLine="987"/>
        <w:spacing w:after="0" w:line="263" w:lineRule="auto"/>
        <w:tabs>
          <w:tab w:leader="none" w:pos="134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No Outstanding Loans or Other Extensions of Credit</w:t>
      </w:r>
      <w:r>
        <w:rPr>
          <w:rFonts w:ascii="Arial" w:cs="Arial" w:eastAsia="Arial" w:hAnsi="Arial"/>
          <w:sz w:val="18"/>
          <w:szCs w:val="18"/>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183" w:lineRule="exact"/>
        <w:rPr>
          <w:rFonts w:ascii="Arial" w:cs="Arial" w:eastAsia="Arial" w:hAnsi="Arial"/>
          <w:sz w:val="18"/>
          <w:szCs w:val="18"/>
          <w:color w:val="auto"/>
        </w:rPr>
      </w:pPr>
    </w:p>
    <w:p>
      <w:pPr>
        <w:ind w:left="4" w:right="60" w:firstLine="987"/>
        <w:spacing w:after="0" w:line="283" w:lineRule="auto"/>
        <w:tabs>
          <w:tab w:leader="none" w:pos="1340"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Cybersecurity</w:t>
      </w:r>
      <w:r>
        <w:rPr>
          <w:rFonts w:ascii="Arial" w:cs="Arial" w:eastAsia="Arial" w:hAnsi="Arial"/>
          <w:sz w:val="16"/>
          <w:szCs w:val="16"/>
          <w:color w:val="auto"/>
        </w:rPr>
        <w:t>. The Company and its subsidiaries’ information technology assets and equipment, computers, systems, networks, hardware, software, websites, applications, and databases (collectively, “</w:t>
      </w:r>
      <w:r>
        <w:rPr>
          <w:rFonts w:ascii="Arial" w:cs="Arial" w:eastAsia="Arial" w:hAnsi="Arial"/>
          <w:sz w:val="16"/>
          <w:szCs w:val="16"/>
          <w:b w:val="1"/>
          <w:bCs w:val="1"/>
          <w:u w:val="single" w:color="auto"/>
          <w:color w:val="auto"/>
        </w:rPr>
        <w:t>IT Systems</w:t>
      </w:r>
      <w:r>
        <w:rPr>
          <w:rFonts w:ascii="Arial" w:cs="Arial" w:eastAsia="Arial" w:hAnsi="Arial"/>
          <w:sz w:val="16"/>
          <w:szCs w:val="16"/>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all “Personal Data” (defined below) and all sensitive, confidential or regulated data (“</w:t>
      </w:r>
      <w:r>
        <w:rPr>
          <w:rFonts w:ascii="Arial" w:cs="Arial" w:eastAsia="Arial" w:hAnsi="Arial"/>
          <w:sz w:val="16"/>
          <w:szCs w:val="16"/>
          <w:b w:val="1"/>
          <w:bCs w:val="1"/>
          <w:u w:val="single" w:color="auto"/>
          <w:color w:val="auto"/>
        </w:rPr>
        <w:t>Confidential Data</w:t>
      </w:r>
      <w:r>
        <w:rPr>
          <w:rFonts w:ascii="Arial" w:cs="Arial" w:eastAsia="Arial" w:hAnsi="Arial"/>
          <w:sz w:val="16"/>
          <w:szCs w:val="16"/>
          <w:color w:val="auto"/>
        </w:rPr>
        <w:t>”) used in connection with their businesses. “</w:t>
      </w:r>
      <w:r>
        <w:rPr>
          <w:rFonts w:ascii="Arial" w:cs="Arial" w:eastAsia="Arial" w:hAnsi="Arial"/>
          <w:sz w:val="16"/>
          <w:szCs w:val="16"/>
          <w:b w:val="1"/>
          <w:bCs w:val="1"/>
          <w:u w:val="single" w:color="auto"/>
          <w:color w:val="auto"/>
        </w:rPr>
        <w:t>Personal Data</w:t>
      </w:r>
      <w:r>
        <w:rPr>
          <w:rFonts w:ascii="Arial" w:cs="Arial" w:eastAsia="Arial" w:hAnsi="Arial"/>
          <w:sz w:val="16"/>
          <w:szCs w:val="16"/>
          <w:color w:val="auto"/>
        </w:rPr>
        <w:t>” means (i) a natural person’s name, street address, telephone number, e-mail address, photograph, social security number or other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w:t>
      </w:r>
    </w:p>
    <w:p>
      <w:pPr>
        <w:spacing w:after="0" w:line="4" w:lineRule="exact"/>
        <w:rPr>
          <w:rFonts w:ascii="Arial" w:cs="Arial" w:eastAsia="Arial" w:hAnsi="Arial"/>
          <w:sz w:val="16"/>
          <w:szCs w:val="16"/>
          <w:color w:val="auto"/>
        </w:rPr>
      </w:pPr>
    </w:p>
    <w:p>
      <w:pPr>
        <w:ind w:left="4" w:hanging="4"/>
        <w:spacing w:after="0" w:line="286" w:lineRule="auto"/>
        <w:tabs>
          <w:tab w:leader="none" w:pos="30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information which would qualify as “protected health information” under the Health Insurance Portability and Accountability Act of 1996, as amended by the Health Information Technology for Economic and Clinical Health Act (collectively, “</w:t>
      </w:r>
      <w:r>
        <w:rPr>
          <w:rFonts w:ascii="Arial" w:cs="Arial" w:eastAsia="Arial" w:hAnsi="Arial"/>
          <w:sz w:val="16"/>
          <w:szCs w:val="16"/>
          <w:b w:val="1"/>
          <w:bCs w:val="1"/>
          <w:u w:val="single" w:color="auto"/>
          <w:color w:val="auto"/>
        </w:rPr>
        <w:t>HIPAA</w:t>
      </w:r>
      <w:r>
        <w:rPr>
          <w:rFonts w:ascii="Arial" w:cs="Arial" w:eastAsia="Arial" w:hAnsi="Arial"/>
          <w:sz w:val="16"/>
          <w:szCs w:val="16"/>
          <w:b w:val="1"/>
          <w:bCs w:val="1"/>
          <w:color w:val="auto"/>
        </w:rPr>
        <w:t>”</w:t>
      </w:r>
      <w:r>
        <w:rPr>
          <w:rFonts w:ascii="Arial" w:cs="Arial" w:eastAsia="Arial" w:hAnsi="Arial"/>
          <w:sz w:val="16"/>
          <w:szCs w:val="16"/>
          <w:color w:val="auto"/>
        </w:rPr>
        <w:t>); (v) any “personal information” as defined by the California Consumer Privacy Act (“</w:t>
      </w:r>
      <w:r>
        <w:rPr>
          <w:rFonts w:ascii="Arial" w:cs="Arial" w:eastAsia="Arial" w:hAnsi="Arial"/>
          <w:sz w:val="16"/>
          <w:szCs w:val="16"/>
          <w:b w:val="1"/>
          <w:bCs w:val="1"/>
          <w:u w:val="single" w:color="auto"/>
          <w:color w:val="auto"/>
        </w:rPr>
        <w:t>CCPA</w:t>
      </w:r>
      <w:r>
        <w:rPr>
          <w:rFonts w:ascii="Arial" w:cs="Arial" w:eastAsia="Arial" w:hAnsi="Arial"/>
          <w:sz w:val="16"/>
          <w:szCs w:val="16"/>
          <w:color w:val="auto"/>
        </w:rPr>
        <w:t>”); and (vi) any other piece of information that allows the identification of such natural person, or his or her family, or permits the collection or analysis of any data related to an identified person’s health or sexual orientation. Except as would not, individually or in the aggregate, result in a Material Adverse Change, in the past five years,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Confidential Data, and Personal Data and to the protection of such IT Systems, Confidential Data, and Personal Data from unauthorized use, access, misappropriation or modification.</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22" w:name="page23"/>
    <w:bookmarkEnd w:id="22"/>
    <w:p>
      <w:pPr>
        <w:ind w:firstLine="987"/>
        <w:spacing w:after="0" w:line="268" w:lineRule="auto"/>
        <w:tabs>
          <w:tab w:leader="none" w:pos="1336"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Data Privacy Laws</w:t>
      </w:r>
      <w:r>
        <w:rPr>
          <w:rFonts w:ascii="Arial" w:cs="Arial" w:eastAsia="Arial" w:hAnsi="Arial"/>
          <w:sz w:val="17"/>
          <w:szCs w:val="17"/>
          <w:color w:val="auto"/>
        </w:rPr>
        <w:t>. The Company and its subsidiaries are, and at all prior times were, in material compliance with all applicable state and federal data privacy and security laws and regulations, including without limitation HIPAA, CCPA, and the European Union General Data Protection Regulation (“</w:t>
      </w:r>
      <w:r>
        <w:rPr>
          <w:rFonts w:ascii="Arial" w:cs="Arial" w:eastAsia="Arial" w:hAnsi="Arial"/>
          <w:sz w:val="17"/>
          <w:szCs w:val="17"/>
          <w:b w:val="1"/>
          <w:bCs w:val="1"/>
          <w:u w:val="single" w:color="auto"/>
          <w:color w:val="auto"/>
        </w:rPr>
        <w:t>GDPR</w:t>
      </w:r>
      <w:r>
        <w:rPr>
          <w:rFonts w:ascii="Arial" w:cs="Arial" w:eastAsia="Arial" w:hAnsi="Arial"/>
          <w:sz w:val="17"/>
          <w:szCs w:val="17"/>
          <w:color w:val="auto"/>
        </w:rPr>
        <w:t>”) (EU 2016/679) (collectively, the “</w:t>
      </w:r>
      <w:r>
        <w:rPr>
          <w:rFonts w:ascii="Arial" w:cs="Arial" w:eastAsia="Arial" w:hAnsi="Arial"/>
          <w:sz w:val="17"/>
          <w:szCs w:val="17"/>
          <w:b w:val="1"/>
          <w:bCs w:val="1"/>
          <w:u w:val="single" w:color="auto"/>
          <w:color w:val="auto"/>
        </w:rPr>
        <w:t>Privacy Laws</w:t>
      </w:r>
      <w:r>
        <w:rPr>
          <w:rFonts w:ascii="Arial" w:cs="Arial" w:eastAsia="Arial" w:hAnsi="Arial"/>
          <w:sz w:val="17"/>
          <w:szCs w:val="17"/>
          <w:color w:val="auto"/>
        </w:rPr>
        <w:t>”). To ensure compliance with the Privacy Laws, the Company and its subsidiaries have in place, comply with, and take appropriate steps to ensure compliance in all material respects with their policies and procedures relating to data privacy and security and the collection, storage, use, processing, disclosure, handling, and analysis of Personal Data and Confidential Data (the “</w:t>
      </w:r>
      <w:r>
        <w:rPr>
          <w:rFonts w:ascii="Arial" w:cs="Arial" w:eastAsia="Arial" w:hAnsi="Arial"/>
          <w:sz w:val="17"/>
          <w:szCs w:val="17"/>
          <w:b w:val="1"/>
          <w:bCs w:val="1"/>
          <w:u w:val="single" w:color="auto"/>
          <w:color w:val="auto"/>
        </w:rPr>
        <w:t>Policies</w:t>
      </w:r>
      <w:r>
        <w:rPr>
          <w:rFonts w:ascii="Arial" w:cs="Arial" w:eastAsia="Arial" w:hAnsi="Arial"/>
          <w:sz w:val="17"/>
          <w:szCs w:val="17"/>
          <w:color w:val="auto"/>
        </w:rPr>
        <w:t>”). The Company and its subsidiaries have, except as would not reasonably be expected, individually or in the aggregate, to result in a Material Adverse Change, at all times made all disclosures to users or customers required by applicable laws and regulatory rules or requirements, and none of such disclosures made or contained in any Policy have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86" w:lineRule="exact"/>
        <w:rPr>
          <w:rFonts w:ascii="Arial" w:cs="Arial" w:eastAsia="Arial" w:hAnsi="Arial"/>
          <w:sz w:val="17"/>
          <w:szCs w:val="17"/>
          <w:color w:val="auto"/>
        </w:rPr>
      </w:pPr>
    </w:p>
    <w:p>
      <w:pPr>
        <w:ind w:right="80" w:firstLine="987"/>
        <w:spacing w:after="0" w:line="263" w:lineRule="auto"/>
        <w:tabs>
          <w:tab w:leader="none" w:pos="133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Emerging Growth Company Status</w:t>
      </w:r>
      <w:r>
        <w:rPr>
          <w:rFonts w:ascii="Arial" w:cs="Arial" w:eastAsia="Arial" w:hAnsi="Arial"/>
          <w:sz w:val="18"/>
          <w:szCs w:val="18"/>
          <w:color w:val="auto"/>
        </w:rPr>
        <w:t>. The Company has been and is an “emerging growth company,” as defined in Section 2(a) of the Securities Act (an “</w:t>
      </w:r>
      <w:r>
        <w:rPr>
          <w:rFonts w:ascii="Arial" w:cs="Arial" w:eastAsia="Arial" w:hAnsi="Arial"/>
          <w:sz w:val="18"/>
          <w:szCs w:val="18"/>
          <w:b w:val="1"/>
          <w:bCs w:val="1"/>
          <w:u w:val="single" w:color="auto"/>
          <w:color w:val="auto"/>
        </w:rPr>
        <w:t>Emerging Growth Company</w:t>
      </w:r>
      <w:r>
        <w:rPr>
          <w:rFonts w:ascii="Arial" w:cs="Arial" w:eastAsia="Arial" w:hAnsi="Arial"/>
          <w:sz w:val="18"/>
          <w:szCs w:val="18"/>
          <w:color w:val="auto"/>
        </w:rPr>
        <w:t>”). The Company agrees to notify the Agents promptly upon the Company ceasing to be an Emerging Growth Company.</w:t>
      </w:r>
    </w:p>
    <w:p>
      <w:pPr>
        <w:spacing w:after="0" w:line="183" w:lineRule="exact"/>
        <w:rPr>
          <w:rFonts w:ascii="Arial" w:cs="Arial" w:eastAsia="Arial" w:hAnsi="Arial"/>
          <w:sz w:val="18"/>
          <w:szCs w:val="18"/>
          <w:color w:val="auto"/>
        </w:rPr>
      </w:pPr>
    </w:p>
    <w:p>
      <w:pPr>
        <w:ind w:right="60" w:firstLine="987"/>
        <w:spacing w:after="0" w:line="287" w:lineRule="auto"/>
        <w:tabs>
          <w:tab w:leader="none" w:pos="1276"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Clinical Data and Regulatory Compliance</w:t>
      </w:r>
      <w:r>
        <w:rPr>
          <w:rFonts w:ascii="Arial" w:cs="Arial" w:eastAsia="Arial" w:hAnsi="Arial"/>
          <w:sz w:val="16"/>
          <w:szCs w:val="16"/>
          <w:color w:val="auto"/>
        </w:rPr>
        <w:t>. The preclinical tests and clinical trials, and other studies used to support regulatory approval (collectively, “</w:t>
      </w:r>
      <w:r>
        <w:rPr>
          <w:rFonts w:ascii="Arial" w:cs="Arial" w:eastAsia="Arial" w:hAnsi="Arial"/>
          <w:sz w:val="16"/>
          <w:szCs w:val="16"/>
          <w:b w:val="1"/>
          <w:bCs w:val="1"/>
          <w:u w:val="single" w:color="auto"/>
          <w:color w:val="auto"/>
        </w:rPr>
        <w:t>studies</w:t>
      </w:r>
      <w:r>
        <w:rPr>
          <w:rFonts w:ascii="Arial" w:cs="Arial" w:eastAsia="Arial" w:hAnsi="Arial"/>
          <w:sz w:val="16"/>
          <w:szCs w:val="16"/>
          <w:color w:val="auto"/>
        </w:rPr>
        <w:t>”) that are described in, or the results of which are referred to in, the Registration Statement or the Prospectus were and, if still pending, are being conducted in all material respects in accordance with applicable study protocols approved for such studies and with applicable statutes and regulations promulgated by the U.S. Food and Drug Administration (“</w:t>
      </w:r>
      <w:r>
        <w:rPr>
          <w:rFonts w:ascii="Arial" w:cs="Arial" w:eastAsia="Arial" w:hAnsi="Arial"/>
          <w:sz w:val="16"/>
          <w:szCs w:val="16"/>
          <w:b w:val="1"/>
          <w:bCs w:val="1"/>
          <w:u w:val="single" w:color="auto"/>
          <w:color w:val="auto"/>
        </w:rPr>
        <w:t>FDA</w:t>
      </w:r>
      <w:r>
        <w:rPr>
          <w:rFonts w:ascii="Arial" w:cs="Arial" w:eastAsia="Arial" w:hAnsi="Arial"/>
          <w:sz w:val="16"/>
          <w:szCs w:val="16"/>
          <w:color w:val="auto"/>
        </w:rPr>
        <w:t>”);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or the Prospectus; the Company and its subsidiaries have made all such filings and obtained all such approvals as may be required by the FDA or any committee thereof or from any other U.S. or foreign government or drug regulatory agency, or health care facility Institutional Review Board, each having jurisdiction over biopharmaceutical products (collectively, the “</w:t>
      </w:r>
      <w:r>
        <w:rPr>
          <w:rFonts w:ascii="Arial" w:cs="Arial" w:eastAsia="Arial" w:hAnsi="Arial"/>
          <w:sz w:val="16"/>
          <w:szCs w:val="16"/>
          <w:b w:val="1"/>
          <w:bCs w:val="1"/>
          <w:u w:val="single" w:color="auto"/>
          <w:color w:val="auto"/>
        </w:rPr>
        <w:t>Regulatory Agencies</w:t>
      </w:r>
      <w:r>
        <w:rPr>
          <w:rFonts w:ascii="Arial" w:cs="Arial" w:eastAsia="Arial" w:hAnsi="Arial"/>
          <w:sz w:val="16"/>
          <w:szCs w:val="16"/>
          <w:color w:val="auto"/>
        </w:rPr>
        <w:t>”); neither the Company nor any of its subsidiaries has received any notice of, or correspondence from, any Regulatory Agency requiring the termination or suspension of any clinical trials that are described or referred to in the Registration Statement or the Prospectus; and the Company and its subsidiaries have each operated and currently are in compliance in all material respects with all applicable rules, regulations and policies of the Regulatory Agencies.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3" w:name="page24"/>
    <w:bookmarkEnd w:id="23"/>
    <w:p>
      <w:pPr>
        <w:ind w:right="40" w:firstLine="987"/>
        <w:spacing w:after="0" w:line="283" w:lineRule="auto"/>
        <w:tabs>
          <w:tab w:leader="none" w:pos="1296"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Health Care Laws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and its subsidiaries are, and at all times have been, in material compliance with all Health Care Laws applicable to biopharmaceutical products. For purposes of this Agreement, “Health Care Laws” means: (i) the Federal Food, Drug, and Cosmetic Act (21 U.S.C. Section 301 et seq.), the Public Health Service Act (42 U.S.C. Section 201 et seq.), and the regulations promulgated thereunder pertaining to biopharmaceutical products; (ii) to the extent applicable to pre-commercial biopharmaceutical products,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w:t>
      </w:r>
      <w:r>
        <w:rPr>
          <w:rFonts w:ascii="Arial" w:cs="Arial" w:eastAsia="Arial" w:hAnsi="Arial"/>
          <w:sz w:val="16"/>
          <w:szCs w:val="16"/>
          <w:b w:val="1"/>
          <w:bCs w:val="1"/>
          <w:u w:val="single" w:color="auto"/>
          <w:color w:val="auto"/>
        </w:rPr>
        <w:t>HIPAA</w:t>
      </w:r>
      <w:r>
        <w:rPr>
          <w:rFonts w:ascii="Arial" w:cs="Arial" w:eastAsia="Arial" w:hAnsi="Arial"/>
          <w:sz w:val="16"/>
          <w:szCs w:val="16"/>
          <w:color w:val="auto"/>
        </w:rPr>
        <w:t>”) (42 U.S.C. Section 1320d et seq.), the civil monetary penalties law (42 U.S.C. Section 1320a-7a), the exclusion law (42 U.S.C. Section 1320a-7), and applicable laws governing government funded or sponsored healthcare programs; (iii) HIPAA, as amended by the Health Information Technology for Economic and Clinical Health Act (42 U.S.C. Section 17921 et seq.); (iv) all other local, state, federal, national, supranational and foreign laws, relating to the regulation of the Company or its subsidiaries; and (v) the directives and regulations promulgated pursuant to such statutes and any state</w:t>
      </w:r>
    </w:p>
    <w:p>
      <w:pPr>
        <w:spacing w:after="0" w:line="3" w:lineRule="exact"/>
        <w:rPr>
          <w:rFonts w:ascii="Arial" w:cs="Arial" w:eastAsia="Arial" w:hAnsi="Arial"/>
          <w:sz w:val="16"/>
          <w:szCs w:val="16"/>
          <w:color w:val="auto"/>
        </w:rPr>
      </w:pPr>
    </w:p>
    <w:p>
      <w:pPr>
        <w:ind w:right="20"/>
        <w:spacing w:after="0" w:line="285" w:lineRule="auto"/>
        <w:rPr>
          <w:rFonts w:ascii="Arial" w:cs="Arial" w:eastAsia="Arial" w:hAnsi="Arial"/>
          <w:sz w:val="16"/>
          <w:szCs w:val="16"/>
          <w:color w:val="auto"/>
        </w:rPr>
      </w:pPr>
      <w:r>
        <w:rPr>
          <w:rFonts w:ascii="Arial" w:cs="Arial" w:eastAsia="Arial" w:hAnsi="Arial"/>
          <w:sz w:val="16"/>
          <w:szCs w:val="16"/>
          <w:color w:val="auto"/>
        </w:rPr>
        <w:t>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nor any of its subsidiaries nor any of their respective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171" w:lineRule="exact"/>
        <w:rPr>
          <w:rFonts w:ascii="Arial" w:cs="Arial" w:eastAsia="Arial" w:hAnsi="Arial"/>
          <w:sz w:val="16"/>
          <w:szCs w:val="16"/>
          <w:color w:val="auto"/>
        </w:rPr>
      </w:pPr>
    </w:p>
    <w:p>
      <w:pPr>
        <w:ind w:firstLine="987"/>
        <w:spacing w:after="0" w:line="296" w:lineRule="auto"/>
        <w:tabs>
          <w:tab w:leader="none" w:pos="1256"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No Contract Terminations</w:t>
      </w:r>
      <w:r>
        <w:rPr>
          <w:rFonts w:ascii="Arial" w:cs="Arial" w:eastAsia="Arial" w:hAnsi="Arial"/>
          <w:sz w:val="16"/>
          <w:szCs w:val="16"/>
          <w:i w:val="1"/>
          <w:iCs w:val="1"/>
          <w:color w:val="auto"/>
        </w:rPr>
        <w:t>.</w:t>
      </w:r>
      <w:r>
        <w:rPr>
          <w:rFonts w:ascii="Arial" w:cs="Arial" w:eastAsia="Arial" w:hAnsi="Arial"/>
          <w:sz w:val="16"/>
          <w:szCs w:val="16"/>
          <w:color w:val="auto"/>
        </w:rPr>
        <w:t xml:space="preserve"> Except as otherwise disclosed in the Registration Statement or the Prospectus, neither the Company nor any of its subsidiaries has sent or received any communication regarding termination of, or intent not to renew, any of the contracts or agreements referred to or described in the Prospectus or any Issuer Free Writing Prospectus, or referred to or described in, or filed as an exhibit to, the Registration Statement,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24" w:name="page25"/>
    <w:bookmarkEnd w:id="24"/>
    <w:p>
      <w:pPr>
        <w:ind w:right="20" w:firstLine="987"/>
        <w:spacing w:after="0" w:line="257" w:lineRule="auto"/>
        <w:tabs>
          <w:tab w:leader="none" w:pos="133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 Restrictions</w:t>
      </w:r>
      <w:r>
        <w:rPr>
          <w:rFonts w:ascii="Arial" w:cs="Arial" w:eastAsia="Arial" w:hAnsi="Arial"/>
          <w:sz w:val="18"/>
          <w:szCs w:val="18"/>
          <w:color w:val="auto"/>
        </w:rPr>
        <w:t>. Except as otherwise disclosed in the Registration Statement and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87" w:lineRule="exact"/>
        <w:rPr>
          <w:rFonts w:ascii="Arial" w:cs="Arial" w:eastAsia="Arial" w:hAnsi="Arial"/>
          <w:sz w:val="18"/>
          <w:szCs w:val="18"/>
          <w:color w:val="auto"/>
        </w:rPr>
      </w:pPr>
    </w:p>
    <w:p>
      <w:pPr>
        <w:ind w:right="160" w:firstLine="987"/>
        <w:spacing w:after="0" w:line="263" w:lineRule="auto"/>
        <w:tabs>
          <w:tab w:leader="none" w:pos="133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 Ratings</w:t>
      </w:r>
      <w:r>
        <w:rPr>
          <w:rFonts w:ascii="Arial" w:cs="Arial" w:eastAsia="Arial" w:hAnsi="Arial"/>
          <w:sz w:val="18"/>
          <w:szCs w:val="18"/>
          <w:color w:val="auto"/>
        </w:rPr>
        <w:t>. There are no debt securities, convertible securities or preferred stock issued or guaranteed by the Company or any of its subsidiaries that are rated by a “nationally recognized statistical rating organization”, as such term is defined in Section 3(a)(62) under the Exchange Act.</w:t>
      </w:r>
    </w:p>
    <w:p>
      <w:pPr>
        <w:spacing w:after="0" w:line="183" w:lineRule="exact"/>
        <w:rPr>
          <w:rFonts w:ascii="Arial" w:cs="Arial" w:eastAsia="Arial" w:hAnsi="Arial"/>
          <w:sz w:val="18"/>
          <w:szCs w:val="18"/>
          <w:color w:val="auto"/>
        </w:rPr>
      </w:pPr>
    </w:p>
    <w:p>
      <w:pPr>
        <w:jc w:val="both"/>
        <w:ind w:right="20" w:firstLine="987"/>
        <w:spacing w:after="0" w:line="259" w:lineRule="auto"/>
        <w:tabs>
          <w:tab w:leader="none" w:pos="141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Underwriter Agreements</w:t>
      </w:r>
      <w:r>
        <w:rPr>
          <w:rFonts w:ascii="Arial" w:cs="Arial" w:eastAsia="Arial" w:hAnsi="Arial"/>
          <w:sz w:val="18"/>
          <w:szCs w:val="18"/>
          <w:color w:val="auto"/>
        </w:rPr>
        <w:t>. The Company is not a party to any agreement with an agent or underwriter for any other “at the market” or continuous equity transaction. Except as disclosed in the Registration Statement and the Prospectus, the Company (i) does not have any material lending or other relationship with any bank or lending affiliate of the Agents and (ii) does not intend to use any of the proceeds from the sale of the Placement Shares hereunder to repay any outstanding debt owed to any affiliate of the Agents.</w:t>
      </w:r>
    </w:p>
    <w:p>
      <w:pPr>
        <w:spacing w:after="0" w:line="186" w:lineRule="exact"/>
        <w:rPr>
          <w:rFonts w:ascii="Arial" w:cs="Arial" w:eastAsia="Arial" w:hAnsi="Arial"/>
          <w:sz w:val="18"/>
          <w:szCs w:val="18"/>
          <w:color w:val="auto"/>
        </w:rPr>
      </w:pPr>
    </w:p>
    <w:p>
      <w:pPr>
        <w:ind w:right="40" w:firstLine="987"/>
        <w:spacing w:after="0" w:line="263" w:lineRule="auto"/>
        <w:tabs>
          <w:tab w:leader="none" w:pos="133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Margin Rules</w:t>
      </w:r>
      <w:r>
        <w:rPr>
          <w:rFonts w:ascii="Arial" w:cs="Arial" w:eastAsia="Arial" w:hAnsi="Arial"/>
          <w:sz w:val="18"/>
          <w:szCs w:val="18"/>
          <w:color w:val="auto"/>
        </w:rPr>
        <w:t>. The application of the proceeds received by the Company from the issuance, sale and delivery of the Placement Shares as described in the Prospectus will not violate Regulation T, U or X of the Board of Governors of the Federal Reserve system or any other regulation of such Board of Governors.</w:t>
      </w:r>
    </w:p>
    <w:p>
      <w:pPr>
        <w:spacing w:after="0" w:line="183" w:lineRule="exact"/>
        <w:rPr>
          <w:rFonts w:ascii="Arial" w:cs="Arial" w:eastAsia="Arial" w:hAnsi="Arial"/>
          <w:sz w:val="18"/>
          <w:szCs w:val="18"/>
          <w:color w:val="auto"/>
        </w:rPr>
      </w:pPr>
    </w:p>
    <w:p>
      <w:pPr>
        <w:jc w:val="both"/>
        <w:ind w:right="240" w:firstLine="987"/>
        <w:spacing w:after="0" w:line="311" w:lineRule="auto"/>
        <w:tabs>
          <w:tab w:leader="none" w:pos="133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Agent Purchases</w:t>
      </w:r>
      <w:r>
        <w:rPr>
          <w:rFonts w:ascii="Arial" w:cs="Arial" w:eastAsia="Arial" w:hAnsi="Arial"/>
          <w:sz w:val="16"/>
          <w:szCs w:val="16"/>
          <w:color w:val="auto"/>
        </w:rPr>
        <w:t xml:space="preserve">. The Company acknowledges and agrees that Agents have informed the Company that each of the Agents may, to the extent permitted under the Securities Act and the Exchange Act, purchase and sell Common Stock for its own account while this Agreement is in effect, </w:t>
      </w:r>
      <w:r>
        <w:rPr>
          <w:rFonts w:ascii="Arial" w:cs="Arial" w:eastAsia="Arial" w:hAnsi="Arial"/>
          <w:sz w:val="16"/>
          <w:szCs w:val="16"/>
          <w:i w:val="1"/>
          <w:iCs w:val="1"/>
          <w:color w:val="auto"/>
        </w:rPr>
        <w:t>provided</w:t>
      </w:r>
      <w:r>
        <w:rPr>
          <w:rFonts w:ascii="Arial" w:cs="Arial" w:eastAsia="Arial" w:hAnsi="Arial"/>
          <w:sz w:val="16"/>
          <w:szCs w:val="16"/>
          <w:color w:val="auto"/>
        </w:rPr>
        <w:t>, that the Company shall not be deemed to have authorized or consented to any such purchases or sales by any such Agent.</w:t>
      </w:r>
    </w:p>
    <w:p>
      <w:pPr>
        <w:spacing w:after="0" w:line="149"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Any certificate signed by an officer of the Company and delivered to the Agents or to counsel for the Agents pursuant to or in connection with this Agreement shall be deemed to be a representation and warranty by the Company, as applicable, to each of the Agents as to the matters set forth therein.</w:t>
      </w:r>
    </w:p>
    <w:p>
      <w:pPr>
        <w:spacing w:after="0" w:line="124" w:lineRule="exact"/>
        <w:rPr>
          <w:sz w:val="20"/>
          <w:szCs w:val="20"/>
          <w:color w:val="auto"/>
        </w:rPr>
      </w:pPr>
    </w:p>
    <w:p>
      <w:pPr>
        <w:ind w:left="620" w:hanging="184"/>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with each of the Agents that:</w:t>
      </w:r>
    </w:p>
    <w:p>
      <w:pPr>
        <w:spacing w:after="0" w:line="225" w:lineRule="exact"/>
        <w:rPr>
          <w:rFonts w:ascii="Arial" w:cs="Arial" w:eastAsia="Arial" w:hAnsi="Arial"/>
          <w:sz w:val="18"/>
          <w:szCs w:val="18"/>
          <w:color w:val="auto"/>
        </w:rPr>
      </w:pPr>
    </w:p>
    <w:p>
      <w:pPr>
        <w:ind w:right="200" w:firstLine="987"/>
        <w:spacing w:after="0" w:line="290" w:lineRule="auto"/>
        <w:tabs>
          <w:tab w:leader="none" w:pos="1236"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Registration Statement Amendments</w:t>
      </w:r>
      <w:r>
        <w:rPr>
          <w:rFonts w:ascii="Arial" w:cs="Arial" w:eastAsia="Arial" w:hAnsi="Arial"/>
          <w:sz w:val="16"/>
          <w:szCs w:val="16"/>
          <w:color w:val="auto"/>
        </w:rPr>
        <w:t>. After the date of this Agreement and during any period in which a Prospectus relating to any Placement Shares is required to be delivered by the Agents under the Securities Act (including in circumstances where such requirement may be satisfied pursuant to Rule 172 or similar rule), (i) the Company will notify the Agents promptly of the time when any subsequent amendment to the Registration Statement, other than Incorporated Documents,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failure of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5" w:name="page26"/>
    <w:bookmarkEnd w:id="2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Agents to make such request shall not relieve the Company of any obligation or liability hereunder, or affect the Agents’ right to rely on the representations and warranties made by the Company in this Agreement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only remedy the Agents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Shares or a security convertible into the Placement Shares unless a copy thereof has been submitted to the Agents within a reasonable period of time before the filing and the Agents have not objected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failure of the Agents to make such objection shall not relieve the Company of any obligation or liability hereunder, or affect the Agents’ right to rely on the representations and warranties made by the Company in this Agreement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only remedy the Agents shall have with respect to the failure by the Company to obtain such consent shall be to cease making sales under this Agreement) and the Company will furnish to the Agents at the time of filing thereof a copy of any document that upon filing is deemed to be an Incorporated Document, except for those documents available via EDGAR; and (iv) the Company will cause each amendment or supplement to the Prospectus to be filed with the Commission as required pursuant to the applicable paragraph of Rule 424(b)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Arial" w:cs="Arial" w:eastAsia="Arial" w:hAnsi="Arial"/>
          <w:sz w:val="16"/>
          <w:szCs w:val="16"/>
          <w:u w:val="single" w:color="auto"/>
          <w:color w:val="auto"/>
        </w:rPr>
        <w:t>Section 7(a)</w:t>
      </w:r>
      <w:r>
        <w:rPr>
          <w:rFonts w:ascii="Arial" w:cs="Arial" w:eastAsia="Arial" w:hAnsi="Arial"/>
          <w:sz w:val="16"/>
          <w:szCs w:val="16"/>
          <w:color w:val="auto"/>
        </w:rPr>
        <w:t>, based on the Company’s reasonable opinion or reasonable objections, shall be made exclusively by the Company).</w:t>
      </w:r>
    </w:p>
    <w:p>
      <w:pPr>
        <w:spacing w:after="0" w:line="171" w:lineRule="exact"/>
        <w:rPr>
          <w:sz w:val="20"/>
          <w:szCs w:val="20"/>
          <w:color w:val="auto"/>
        </w:rPr>
      </w:pPr>
    </w:p>
    <w:p>
      <w:pPr>
        <w:ind w:right="100" w:firstLine="987"/>
        <w:spacing w:after="0" w:line="271" w:lineRule="auto"/>
        <w:tabs>
          <w:tab w:leader="none" w:pos="1246"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Notice of Commission Stop Orders</w:t>
      </w:r>
      <w:r>
        <w:rPr>
          <w:rFonts w:ascii="Arial" w:cs="Arial" w:eastAsia="Arial" w:hAnsi="Arial"/>
          <w:sz w:val="17"/>
          <w:szCs w:val="17"/>
          <w:color w:val="auto"/>
        </w:rPr>
        <w:t>. The Company will advise the Agents,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Agents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78" w:lineRule="exact"/>
        <w:rPr>
          <w:rFonts w:ascii="Arial" w:cs="Arial" w:eastAsia="Arial" w:hAnsi="Arial"/>
          <w:sz w:val="17"/>
          <w:szCs w:val="17"/>
          <w:color w:val="auto"/>
        </w:rPr>
      </w:pPr>
    </w:p>
    <w:p>
      <w:pPr>
        <w:ind w:right="140" w:firstLine="987"/>
        <w:spacing w:after="0" w:line="291" w:lineRule="auto"/>
        <w:tabs>
          <w:tab w:leader="none" w:pos="1236"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Delivery of Prospectus; Subsequent Changes</w:t>
      </w:r>
      <w:r>
        <w:rPr>
          <w:rFonts w:ascii="Arial" w:cs="Arial" w:eastAsia="Arial" w:hAnsi="Arial"/>
          <w:sz w:val="16"/>
          <w:szCs w:val="16"/>
          <w:color w:val="auto"/>
        </w:rPr>
        <w:t>. During any period in which a Prospectus relating to the Placement Shares is required to be delivered by the Agents under the Securities Act with respect to the offer and sale of the Placement Shares, (including in circumstances where such requirement may be satisfied pursuant to Rule 172 or similar rule),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it will use its reasonable best efforts to comply with the provisions of and make all requisite filings with the Commission pursuant to said Rule 430B and to notify the Agents promptly of all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6" w:name="page27"/>
    <w:bookmarkEnd w:id="26"/>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filings.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Agents to suspend the offering of Placement Shares during such period and the Company will promptly amend or supplement the Registration Statement or Prospectus (at the expense of the Company) so as to correct such statement or omission or effect such compliance; provided, however, that the Company may delay any such amendment or supplement if, in the reasonable judgment of the Company, it is in the interests of the Company to do so. Until such time as the Company shall have corrected such statement or omission or effected such compliance, the Company shall not notify the Agents to resume the offering of Placement Shares.</w:t>
      </w:r>
    </w:p>
    <w:p>
      <w:pPr>
        <w:spacing w:after="0" w:line="178" w:lineRule="exact"/>
        <w:rPr>
          <w:sz w:val="20"/>
          <w:szCs w:val="20"/>
          <w:color w:val="auto"/>
        </w:rPr>
      </w:pPr>
    </w:p>
    <w:p>
      <w:pPr>
        <w:ind w:right="200" w:firstLine="987"/>
        <w:spacing w:after="0" w:line="277" w:lineRule="auto"/>
        <w:tabs>
          <w:tab w:leader="none" w:pos="124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Listing of Placement Shares</w:t>
      </w:r>
      <w:r>
        <w:rPr>
          <w:rFonts w:ascii="Arial" w:cs="Arial" w:eastAsia="Arial" w:hAnsi="Arial"/>
          <w:sz w:val="18"/>
          <w:szCs w:val="18"/>
          <w:color w:val="auto"/>
        </w:rPr>
        <w:t>. Prior to the date of the first Placement Notice, the Company will use its reasonable best efforts to cause the Placement Shares to be listed on the Exchange.</w:t>
      </w:r>
    </w:p>
    <w:p>
      <w:pPr>
        <w:spacing w:after="0" w:line="170" w:lineRule="exact"/>
        <w:rPr>
          <w:rFonts w:ascii="Arial" w:cs="Arial" w:eastAsia="Arial" w:hAnsi="Arial"/>
          <w:sz w:val="18"/>
          <w:szCs w:val="18"/>
          <w:color w:val="auto"/>
        </w:rPr>
      </w:pPr>
    </w:p>
    <w:p>
      <w:pPr>
        <w:ind w:firstLine="987"/>
        <w:spacing w:after="0" w:line="271" w:lineRule="auto"/>
        <w:tabs>
          <w:tab w:leader="none" w:pos="1236"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Delivery of Registration Statement and Prospectus</w:t>
      </w:r>
      <w:r>
        <w:rPr>
          <w:rFonts w:ascii="Arial" w:cs="Arial" w:eastAsia="Arial" w:hAnsi="Arial"/>
          <w:sz w:val="17"/>
          <w:szCs w:val="17"/>
          <w:color w:val="auto"/>
        </w:rPr>
        <w:t xml:space="preserve">. The Company will furnish to the Agents and their counsel (at the expense of the Company) copies of the Registration Statement, the Prospectus (including all Incorporated Documents)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Agents may from time to time reasonably request and, at the Agents’ request, will also furnish copies of the Prospectus to each exchange or market on which sales of the Placement Shares may be made;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required to furnish any document (other than the Prospectus) to the Agents to the extent such document is available on EDGAR.</w:t>
      </w:r>
    </w:p>
    <w:p>
      <w:pPr>
        <w:spacing w:after="0" w:line="178" w:lineRule="exact"/>
        <w:rPr>
          <w:rFonts w:ascii="Arial" w:cs="Arial" w:eastAsia="Arial" w:hAnsi="Arial"/>
          <w:sz w:val="17"/>
          <w:szCs w:val="17"/>
          <w:color w:val="auto"/>
        </w:rPr>
      </w:pPr>
    </w:p>
    <w:p>
      <w:pPr>
        <w:ind w:right="80" w:firstLine="987"/>
        <w:spacing w:after="0" w:line="263" w:lineRule="auto"/>
        <w:tabs>
          <w:tab w:leader="none" w:pos="121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Earning Statement</w:t>
      </w:r>
      <w:r>
        <w:rPr>
          <w:rFonts w:ascii="Arial" w:cs="Arial" w:eastAsia="Arial" w:hAnsi="Arial"/>
          <w:sz w:val="18"/>
          <w:szCs w:val="18"/>
          <w:color w:val="auto"/>
        </w:rPr>
        <w:t>. The Company will make generally available to its security holders as soon as practicable, but in any event not later than 15 months after the end of the Company’s current fiscal quarter, an earning statement covering a 12-month period that satisfies the provisions of Section 11(a) of and Rule 158 under the Securities Act.</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The Company will use the Net Proceeds as described in the Prospectus in the section entitled “Use of Proceeds.”</w:t>
      </w:r>
    </w:p>
    <w:p>
      <w:pPr>
        <w:spacing w:after="0" w:line="248" w:lineRule="exact"/>
        <w:rPr>
          <w:rFonts w:ascii="Arial" w:cs="Arial" w:eastAsia="Arial" w:hAnsi="Arial"/>
          <w:sz w:val="16"/>
          <w:szCs w:val="16"/>
          <w:color w:val="auto"/>
        </w:rPr>
      </w:pPr>
    </w:p>
    <w:p>
      <w:pPr>
        <w:ind w:right="20" w:firstLine="987"/>
        <w:spacing w:after="0" w:line="272" w:lineRule="auto"/>
        <w:tabs>
          <w:tab w:leader="none" w:pos="1246"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Notice of Other Sales</w:t>
      </w:r>
      <w:r>
        <w:rPr>
          <w:rFonts w:ascii="Arial" w:cs="Arial" w:eastAsia="Arial" w:hAnsi="Arial"/>
          <w:sz w:val="17"/>
          <w:szCs w:val="17"/>
          <w:color w:val="auto"/>
        </w:rPr>
        <w:t>. Without the prior written consent of the Agents,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fifth (5</w:t>
      </w:r>
      <w:r>
        <w:rPr>
          <w:rFonts w:ascii="Arial" w:cs="Arial" w:eastAsia="Arial" w:hAnsi="Arial"/>
          <w:sz w:val="14"/>
          <w:szCs w:val="14"/>
          <w:color w:val="auto"/>
        </w:rPr>
        <w:t>th</w:t>
      </w:r>
      <w:r>
        <w:rPr>
          <w:rFonts w:ascii="Arial" w:cs="Arial" w:eastAsia="Arial" w:hAnsi="Arial"/>
          <w:sz w:val="17"/>
          <w:szCs w:val="17"/>
          <w:color w:val="auto"/>
        </w:rPr>
        <w:t>) Trading Day immediately prior to the date on which any Placement Notice is delivered to Agents hereunder and ending on the fifth (5</w:t>
      </w:r>
      <w:r>
        <w:rPr>
          <w:rFonts w:ascii="Arial" w:cs="Arial" w:eastAsia="Arial" w:hAnsi="Arial"/>
          <w:sz w:val="14"/>
          <w:szCs w:val="14"/>
          <w:color w:val="auto"/>
        </w:rPr>
        <w:t>th</w:t>
      </w:r>
      <w:r>
        <w:rPr>
          <w:rFonts w:ascii="Arial" w:cs="Arial" w:eastAsia="Arial" w:hAnsi="Arial"/>
          <w:sz w:val="17"/>
          <w:szCs w:val="17"/>
          <w:color w:val="auto"/>
        </w:rPr>
        <w:t>)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7" w:name="page28"/>
    <w:bookmarkEnd w:id="27"/>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sixtieth (60</w:t>
      </w:r>
      <w:r>
        <w:rPr>
          <w:rFonts w:ascii="Arial" w:cs="Arial" w:eastAsia="Arial" w:hAnsi="Arial"/>
          <w:sz w:val="14"/>
          <w:szCs w:val="14"/>
          <w:color w:val="auto"/>
        </w:rPr>
        <w:t>th</w:t>
      </w:r>
      <w:r>
        <w:rPr>
          <w:rFonts w:ascii="Arial" w:cs="Arial" w:eastAsia="Arial" w:hAnsi="Arial"/>
          <w:sz w:val="17"/>
          <w:szCs w:val="17"/>
          <w:color w:val="auto"/>
        </w:rPr>
        <w:t xml:space="preserve">) day immediately following the termination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restrictions will not be required in connection with the Company’s issuance or sale of (i) Common Stock, options to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other securities under the Company’s existing stock incentive plans or equity incentive plans or Common Stock issuable upon the exercise of options, pursuant to any employee or director stock option or benefits plan, stock ownership plan or dividend reinvestment plan (but not Common Stock subject to a waiver to exceed plan limits in its dividend reinvestment plan) of the Company whether now in effect or hereafter implemented, (ii) Common Stock issuable upon conversion of securities or the exercise of warrants, options or other rights in effect or outstanding, and disclosed in filings by the Company available on EDGAR or otherwise in writing to the Agents and (iii) Common Stock or securities convertible into or exchangeable for shares of Common Stock as consideration for mergers, acquisitions, other business combinations or strategic alliances occurring after the date of this Agreement which are not issued for capital raising purposes.</w:t>
      </w:r>
    </w:p>
    <w:p>
      <w:pPr>
        <w:spacing w:after="0" w:line="182" w:lineRule="exact"/>
        <w:rPr>
          <w:sz w:val="20"/>
          <w:szCs w:val="20"/>
          <w:color w:val="auto"/>
        </w:rPr>
      </w:pPr>
    </w:p>
    <w:p>
      <w:pPr>
        <w:ind w:right="20" w:firstLine="987"/>
        <w:spacing w:after="0" w:line="263" w:lineRule="auto"/>
        <w:tabs>
          <w:tab w:leader="none" w:pos="120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Change of Circumstances</w:t>
      </w:r>
      <w:r>
        <w:rPr>
          <w:rFonts w:ascii="Arial" w:cs="Arial" w:eastAsia="Arial" w:hAnsi="Arial"/>
          <w:sz w:val="18"/>
          <w:szCs w:val="18"/>
          <w:color w:val="auto"/>
        </w:rPr>
        <w:t>. The Company will, at any time during the pendency of a Placement Notice advise the Agents promptly after it shall have received notice or obtained knowledge thereof, of any information or fact that would alter or affect in any material respect any opinion, certificate, letter or other document required to be provided to the Agents pursuant to this Agreement.</w:t>
      </w:r>
    </w:p>
    <w:p>
      <w:pPr>
        <w:spacing w:after="0" w:line="183" w:lineRule="exact"/>
        <w:rPr>
          <w:rFonts w:ascii="Arial" w:cs="Arial" w:eastAsia="Arial" w:hAnsi="Arial"/>
          <w:sz w:val="18"/>
          <w:szCs w:val="18"/>
          <w:color w:val="auto"/>
        </w:rPr>
      </w:pPr>
    </w:p>
    <w:p>
      <w:pPr>
        <w:jc w:val="both"/>
        <w:ind w:right="200" w:firstLine="987"/>
        <w:spacing w:after="0" w:line="311" w:lineRule="auto"/>
        <w:tabs>
          <w:tab w:leader="none" w:pos="1206"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Due Diligence Cooperation</w:t>
      </w:r>
      <w:r>
        <w:rPr>
          <w:rFonts w:ascii="Arial" w:cs="Arial" w:eastAsia="Arial" w:hAnsi="Arial"/>
          <w:sz w:val="16"/>
          <w:szCs w:val="16"/>
          <w:color w:val="auto"/>
        </w:rPr>
        <w:t>. The Company will cooperate with any reasonable due diligence review conducted by the Agents or its representatives in connection with the transactions contemplated hereby, including, without limitation, providing information and making available documents and senior corporate officers, during regular business hours and at the Company’s principal offices, as the Agents may reasonably request.</w:t>
      </w:r>
    </w:p>
    <w:p>
      <w:pPr>
        <w:spacing w:after="0" w:line="148" w:lineRule="exact"/>
        <w:rPr>
          <w:rFonts w:ascii="Arial" w:cs="Arial" w:eastAsia="Arial" w:hAnsi="Arial"/>
          <w:sz w:val="16"/>
          <w:szCs w:val="16"/>
          <w:color w:val="auto"/>
        </w:rPr>
      </w:pPr>
    </w:p>
    <w:p>
      <w:pPr>
        <w:ind w:firstLine="987"/>
        <w:spacing w:after="0" w:line="289" w:lineRule="auto"/>
        <w:tabs>
          <w:tab w:leader="none" w:pos="1246"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Required Filings Relating to Placement of Placement Shares</w:t>
      </w:r>
      <w:r>
        <w:rPr>
          <w:rFonts w:ascii="Arial" w:cs="Arial" w:eastAsia="Arial" w:hAnsi="Arial"/>
          <w:sz w:val="16"/>
          <w:szCs w:val="16"/>
          <w:color w:val="auto"/>
        </w:rPr>
        <w:t>. The Company shall disclose, in its quarterly reports on Form 10-Q and in its annual report on Form 10-K to be filed by the Company with the Commission from time to time, the number of the Placement Shares sold through the Agents under this Agreement, and the net proceeds to the Company from the sale of the Placement Shares pursuant to this Agreement during the relevant quarter or, in the case of an Annual Report on Form 10-K, during the fiscal year covered by such Annual Report and the fourth quarter of such fiscal year. The Company agrees that on such dates as the Securities Act shall require, the Company will (i) file a prospectus supplement with the Commission under the applicable paragraph of Rule 424(b), which prospectus supplement will set forth, within the relevant period, the amount of Placement Shares sold through the Agents, the Net Proceeds to the Company and the compensation payable by the Company to the Agents with respect to such Placement Shares, and (ii) deliver such number of copies of each such prospectus supplement to each exchange or market on which such sales were effected as may be required by the rules or regulations of such exchange or market.</w:t>
      </w:r>
    </w:p>
    <w:p>
      <w:pPr>
        <w:spacing w:after="0" w:line="166" w:lineRule="exact"/>
        <w:rPr>
          <w:rFonts w:ascii="Arial" w:cs="Arial" w:eastAsia="Arial" w:hAnsi="Arial"/>
          <w:sz w:val="16"/>
          <w:szCs w:val="16"/>
          <w:color w:val="auto"/>
        </w:rPr>
      </w:pPr>
    </w:p>
    <w:p>
      <w:pPr>
        <w:ind w:left="1200" w:hanging="213"/>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Representation Dates; Certificate</w:t>
      </w:r>
      <w:r>
        <w:rPr>
          <w:rFonts w:ascii="Arial" w:cs="Arial" w:eastAsia="Arial" w:hAnsi="Arial"/>
          <w:sz w:val="18"/>
          <w:szCs w:val="18"/>
          <w:color w:val="auto"/>
        </w:rPr>
        <w:t>. (1) Prior to the date of the first Placement Notice and (2) each time the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4" w:right="499" w:bottom="1440" w:gutter="0" w:footer="0" w:header="0"/>
        </w:sectPr>
      </w:pPr>
    </w:p>
    <w:bookmarkStart w:id="28" w:name="page29"/>
    <w:bookmarkEnd w:id="28"/>
    <w:p>
      <w:pPr>
        <w:ind w:left="440" w:hanging="4"/>
        <w:spacing w:after="0" w:line="259"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78" w:lineRule="exact"/>
        <w:rPr>
          <w:rFonts w:ascii="Arial" w:cs="Arial" w:eastAsia="Arial" w:hAnsi="Arial"/>
          <w:sz w:val="18"/>
          <w:szCs w:val="18"/>
          <w:color w:val="auto"/>
        </w:rPr>
      </w:pPr>
    </w:p>
    <w:p>
      <w:pPr>
        <w:ind w:left="440" w:right="420" w:hanging="4"/>
        <w:spacing w:after="0" w:line="277"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files an annual report on Form 10-K under the Exchange Act (including any Form 10-K/A containing amended financial information or a material amendment to the previously filed Form 10-K);</w:t>
      </w:r>
    </w:p>
    <w:p>
      <w:pPr>
        <w:spacing w:after="0" w:line="62" w:lineRule="exact"/>
        <w:rPr>
          <w:rFonts w:ascii="Arial" w:cs="Arial" w:eastAsia="Arial" w:hAnsi="Arial"/>
          <w:sz w:val="18"/>
          <w:szCs w:val="18"/>
          <w:color w:val="auto"/>
        </w:rPr>
      </w:pPr>
    </w:p>
    <w:p>
      <w:pPr>
        <w:ind w:left="760" w:hanging="32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files its quarterly reports on Form 10-Q under the Exchange Act; or</w:t>
      </w:r>
    </w:p>
    <w:p>
      <w:pPr>
        <w:spacing w:after="0" w:line="117" w:lineRule="exact"/>
        <w:rPr>
          <w:rFonts w:ascii="Arial" w:cs="Arial" w:eastAsia="Arial" w:hAnsi="Arial"/>
          <w:sz w:val="18"/>
          <w:szCs w:val="18"/>
          <w:color w:val="auto"/>
        </w:rPr>
      </w:pPr>
    </w:p>
    <w:p>
      <w:pPr>
        <w:ind w:left="740" w:hanging="304"/>
        <w:spacing w:after="0"/>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files a current report on Form 8-K containing amended financial information (other than information “furnished” pursuant to Items 2.02 or</w:t>
      </w:r>
    </w:p>
    <w:p>
      <w:pPr>
        <w:spacing w:after="0" w:line="35" w:lineRule="exact"/>
        <w:rPr>
          <w:sz w:val="20"/>
          <w:szCs w:val="20"/>
          <w:color w:val="auto"/>
        </w:rPr>
      </w:pPr>
    </w:p>
    <w:p>
      <w:pPr>
        <w:jc w:val="both"/>
        <w:ind w:left="440" w:right="120"/>
        <w:spacing w:after="0" w:line="255" w:lineRule="auto"/>
        <w:rPr>
          <w:sz w:val="20"/>
          <w:szCs w:val="20"/>
          <w:color w:val="auto"/>
        </w:rPr>
      </w:pPr>
      <w:r>
        <w:rPr>
          <w:rFonts w:ascii="Arial" w:cs="Arial" w:eastAsia="Arial" w:hAnsi="Arial"/>
          <w:sz w:val="18"/>
          <w:szCs w:val="18"/>
          <w:color w:val="auto"/>
        </w:rPr>
        <w:t>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rFonts w:ascii="Arial" w:cs="Arial" w:eastAsia="Arial" w:hAnsi="Arial"/>
          <w:sz w:val="18"/>
          <w:szCs w:val="18"/>
          <w:b w:val="1"/>
          <w:bCs w:val="1"/>
          <w:u w:val="single" w:color="auto"/>
          <w:color w:val="auto"/>
        </w:rPr>
        <w:t>Representation Date</w:t>
      </w:r>
      <w:r>
        <w:rPr>
          <w:rFonts w:ascii="Arial" w:cs="Arial" w:eastAsia="Arial" w:hAnsi="Arial"/>
          <w:sz w:val="18"/>
          <w:szCs w:val="18"/>
          <w:color w:val="auto"/>
        </w:rPr>
        <w:t>”);</w:t>
      </w:r>
    </w:p>
    <w:p>
      <w:pPr>
        <w:spacing w:after="0" w:line="19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the Company shall furnish the Agents (but in the case of clause (iv) above only if the Agents reasonably determines that the information contained in such Form 8-K is material) with a certificate dated the Representation Date, in the form and substance reasonably satisfactory to the Agents and their counsel, substantially similar to the form previously provided to the Agents and their counsel, modified, as necessary, to relate to the Registration Statement and the Prospectus as amended or supplemented. The requirement to provide a certificate under this </w:t>
      </w:r>
      <w:r>
        <w:rPr>
          <w:rFonts w:ascii="Arial" w:cs="Arial" w:eastAsia="Arial" w:hAnsi="Arial"/>
          <w:sz w:val="17"/>
          <w:szCs w:val="17"/>
          <w:u w:val="single" w:color="auto"/>
          <w:color w:val="auto"/>
        </w:rPr>
        <w:t>Section 7(l)</w:t>
      </w:r>
      <w:r>
        <w:rPr>
          <w:rFonts w:ascii="Arial" w:cs="Arial" w:eastAsia="Arial" w:hAnsi="Arial"/>
          <w:sz w:val="17"/>
          <w:szCs w:val="17"/>
          <w:color w:val="auto"/>
        </w:rPr>
        <w:t xml:space="preserve"> shall be waived for any Representation Date occurring at a time a Suspension is in effect, which waiver shall continue until the earlier to occur of the date the Company delivers instructions for the sale of Placement Shares hereunder (which for such calendar quarter shall be considered a Representation Date) and the next occurring Representation Date. Notwithstanding the foregoing, if the Company subsequently decides to sell Placement Shares following a Representation Date when a Suspension was in effect and did not provide the Agents with a certificate under this </w:t>
      </w:r>
      <w:r>
        <w:rPr>
          <w:rFonts w:ascii="Arial" w:cs="Arial" w:eastAsia="Arial" w:hAnsi="Arial"/>
          <w:sz w:val="17"/>
          <w:szCs w:val="17"/>
          <w:u w:val="single" w:color="auto"/>
          <w:color w:val="auto"/>
        </w:rPr>
        <w:t>Section 7(l)</w:t>
      </w:r>
      <w:r>
        <w:rPr>
          <w:rFonts w:ascii="Arial" w:cs="Arial" w:eastAsia="Arial" w:hAnsi="Arial"/>
          <w:sz w:val="17"/>
          <w:szCs w:val="17"/>
          <w:color w:val="auto"/>
        </w:rPr>
        <w:t xml:space="preserve">, then before the Company delivers the instructions for the sale of Placement Shares or the Agents sell any Placement Shares pursuant to such instructions, the Company shall provide the Agents with a certificate in conformity with this </w:t>
      </w:r>
      <w:r>
        <w:rPr>
          <w:rFonts w:ascii="Arial" w:cs="Arial" w:eastAsia="Arial" w:hAnsi="Arial"/>
          <w:sz w:val="17"/>
          <w:szCs w:val="17"/>
          <w:u w:val="single" w:color="auto"/>
          <w:color w:val="auto"/>
        </w:rPr>
        <w:t>Section 7(l)</w:t>
      </w:r>
      <w:r>
        <w:rPr>
          <w:rFonts w:ascii="Arial" w:cs="Arial" w:eastAsia="Arial" w:hAnsi="Arial"/>
          <w:sz w:val="17"/>
          <w:szCs w:val="17"/>
          <w:color w:val="auto"/>
        </w:rPr>
        <w:t xml:space="preserve"> dated as of the date that the instructions for the sale of Placement Shares are issued.</w:t>
      </w:r>
    </w:p>
    <w:p>
      <w:pPr>
        <w:spacing w:after="0" w:line="182" w:lineRule="exact"/>
        <w:rPr>
          <w:sz w:val="20"/>
          <w:szCs w:val="20"/>
          <w:color w:val="auto"/>
        </w:rPr>
      </w:pPr>
    </w:p>
    <w:p>
      <w:pPr>
        <w:ind w:firstLine="987"/>
        <w:spacing w:after="0" w:line="291" w:lineRule="auto"/>
        <w:tabs>
          <w:tab w:leader="none" w:pos="1296"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Legal Opinion</w:t>
      </w:r>
      <w:r>
        <w:rPr>
          <w:rFonts w:ascii="Arial" w:cs="Arial" w:eastAsia="Arial" w:hAnsi="Arial"/>
          <w:sz w:val="16"/>
          <w:szCs w:val="16"/>
          <w:color w:val="auto"/>
        </w:rPr>
        <w:t xml:space="preserve">. (1) Prior to the date of the first Placement Notice and (2) within five (5) Trading Days of each Representation Date with respect to which the Company is obligated to deliver a certificate pursuant to </w:t>
      </w:r>
      <w:r>
        <w:rPr>
          <w:rFonts w:ascii="Arial" w:cs="Arial" w:eastAsia="Arial" w:hAnsi="Arial"/>
          <w:sz w:val="16"/>
          <w:szCs w:val="16"/>
          <w:u w:val="single" w:color="auto"/>
          <w:color w:val="auto"/>
        </w:rPr>
        <w:t>Section 7(l)</w:t>
      </w:r>
      <w:r>
        <w:rPr>
          <w:rFonts w:ascii="Arial" w:cs="Arial" w:eastAsia="Arial" w:hAnsi="Arial"/>
          <w:sz w:val="16"/>
          <w:szCs w:val="16"/>
          <w:color w:val="auto"/>
        </w:rPr>
        <w:t xml:space="preserve"> for which no waiver is applicable and excluding the date of this Agreement, the Company shall cause to be furnished to the Agents a (A) written opinion and negative assurance letter of Wilson Sonsini Goodrich &amp; Rosati, Professional Corporation (“</w:t>
      </w:r>
      <w:r>
        <w:rPr>
          <w:rFonts w:ascii="Arial" w:cs="Arial" w:eastAsia="Arial" w:hAnsi="Arial"/>
          <w:sz w:val="16"/>
          <w:szCs w:val="16"/>
          <w:b w:val="1"/>
          <w:bCs w:val="1"/>
          <w:u w:val="single" w:color="auto"/>
          <w:color w:val="auto"/>
        </w:rPr>
        <w:t>Company Counsel</w:t>
      </w:r>
      <w:r>
        <w:rPr>
          <w:rFonts w:ascii="Arial" w:cs="Arial" w:eastAsia="Arial" w:hAnsi="Arial"/>
          <w:sz w:val="16"/>
          <w:szCs w:val="16"/>
          <w:color w:val="auto"/>
        </w:rPr>
        <w:t>”), or other counsel satisfactory to the Agents, and (B) written opinion of Morrison &amp; Foerster LLP (“</w:t>
      </w:r>
      <w:r>
        <w:rPr>
          <w:rFonts w:ascii="Arial" w:cs="Arial" w:eastAsia="Arial" w:hAnsi="Arial"/>
          <w:sz w:val="16"/>
          <w:szCs w:val="16"/>
          <w:b w:val="1"/>
          <w:bCs w:val="1"/>
          <w:u w:val="single" w:color="auto"/>
          <w:color w:val="auto"/>
        </w:rPr>
        <w:t>IP Counsel</w:t>
      </w:r>
      <w:r>
        <w:rPr>
          <w:rFonts w:ascii="Arial" w:cs="Arial" w:eastAsia="Arial" w:hAnsi="Arial"/>
          <w:sz w:val="16"/>
          <w:szCs w:val="16"/>
          <w:color w:val="auto"/>
        </w:rPr>
        <w:t xml:space="preserve">”), intellectual property counsel for the Company, each in form and substance reasonably satisfactory to Agents and their counsel, substantially similar to the form previously provided to the Agents and their counsel, modified, as necessary, to relate to the Registration Statement and the Prospectus as then amended or supplemented;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the Company shall be required to furnish to Agents no more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9" w:name="page30"/>
    <w:bookmarkEnd w:id="29"/>
    <w:p>
      <w:pPr>
        <w:ind w:left="4"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than one Company Counsel opinion and negative assurance letter, and one IP Counsel opinion hereunder per each report on Form 10-Q or Form 10-K that the Company files with the Commission;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in lieu of such opinions or negative assurance letters for subsequent periodic filings under the Exchange Act, counsel may furnish the Agents with a letter (a “</w:t>
      </w:r>
      <w:r>
        <w:rPr>
          <w:rFonts w:ascii="Arial" w:cs="Arial" w:eastAsia="Arial" w:hAnsi="Arial"/>
          <w:sz w:val="18"/>
          <w:szCs w:val="18"/>
          <w:b w:val="1"/>
          <w:bCs w:val="1"/>
          <w:u w:val="single" w:color="auto"/>
          <w:color w:val="auto"/>
        </w:rPr>
        <w:t>Reliance Letter</w:t>
      </w:r>
      <w:r>
        <w:rPr>
          <w:rFonts w:ascii="Arial" w:cs="Arial" w:eastAsia="Arial" w:hAnsi="Arial"/>
          <w:sz w:val="18"/>
          <w:szCs w:val="18"/>
          <w:color w:val="auto"/>
        </w:rPr>
        <w:t xml:space="preserve">”) to the effect that the Agents may rely on a prior opinion or negative assurance letter delivered under this </w:t>
      </w:r>
      <w:r>
        <w:rPr>
          <w:rFonts w:ascii="Arial" w:cs="Arial" w:eastAsia="Arial" w:hAnsi="Arial"/>
          <w:sz w:val="18"/>
          <w:szCs w:val="18"/>
          <w:u w:val="single" w:color="auto"/>
          <w:color w:val="auto"/>
        </w:rPr>
        <w:t>Section 7(m)</w:t>
      </w:r>
      <w:r>
        <w:rPr>
          <w:rFonts w:ascii="Arial" w:cs="Arial" w:eastAsia="Arial" w:hAnsi="Arial"/>
          <w:sz w:val="18"/>
          <w:szCs w:val="18"/>
          <w:color w:val="auto"/>
        </w:rPr>
        <w:t xml:space="preserve"> to the same extent as if it were dated the date of such letter (except that statements in such prior opinion or negative assurance letter shall be deemed to relate to the Registration Statement and the Prospectus as amended or supplemented as of the date of the Reliance Letter).</w:t>
      </w:r>
    </w:p>
    <w:p>
      <w:pPr>
        <w:spacing w:after="0" w:line="192" w:lineRule="exact"/>
        <w:rPr>
          <w:sz w:val="20"/>
          <w:szCs w:val="20"/>
          <w:color w:val="auto"/>
        </w:rPr>
      </w:pPr>
    </w:p>
    <w:p>
      <w:pPr>
        <w:ind w:left="4" w:right="80" w:firstLine="987"/>
        <w:spacing w:after="0" w:line="287" w:lineRule="auto"/>
        <w:tabs>
          <w:tab w:leader="none" w:pos="1250"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Comfort Letter</w:t>
      </w:r>
      <w:r>
        <w:rPr>
          <w:rFonts w:ascii="Arial" w:cs="Arial" w:eastAsia="Arial" w:hAnsi="Arial"/>
          <w:sz w:val="16"/>
          <w:szCs w:val="16"/>
          <w:color w:val="auto"/>
        </w:rPr>
        <w:t xml:space="preserve">. (1) Prior to the date of the first Placement Notice and (2) within five (5) Trading Days of each Representation Date with respect to which the Company is obligated to deliver a certificate pursuant to </w:t>
      </w:r>
      <w:r>
        <w:rPr>
          <w:rFonts w:ascii="Arial" w:cs="Arial" w:eastAsia="Arial" w:hAnsi="Arial"/>
          <w:sz w:val="16"/>
          <w:szCs w:val="16"/>
          <w:u w:val="single" w:color="auto"/>
          <w:color w:val="auto"/>
        </w:rPr>
        <w:t>Section 7(l)</w:t>
      </w:r>
      <w:r>
        <w:rPr>
          <w:rFonts w:ascii="Arial" w:cs="Arial" w:eastAsia="Arial" w:hAnsi="Arial"/>
          <w:sz w:val="16"/>
          <w:szCs w:val="16"/>
          <w:color w:val="auto"/>
        </w:rPr>
        <w:t xml:space="preserve"> for which no waiver is applicable and excluding the date of this Agreement, the Company shall cause its independent registered public accounting firm to furnish the Agents letters (the “</w:t>
      </w:r>
      <w:r>
        <w:rPr>
          <w:rFonts w:ascii="Arial" w:cs="Arial" w:eastAsia="Arial" w:hAnsi="Arial"/>
          <w:sz w:val="16"/>
          <w:szCs w:val="16"/>
          <w:b w:val="1"/>
          <w:bCs w:val="1"/>
          <w:u w:val="single" w:color="auto"/>
          <w:color w:val="auto"/>
        </w:rPr>
        <w:t>Comfort Letters</w:t>
      </w:r>
      <w:r>
        <w:rPr>
          <w:rFonts w:ascii="Arial" w:cs="Arial" w:eastAsia="Arial" w:hAnsi="Arial"/>
          <w:sz w:val="16"/>
          <w:szCs w:val="16"/>
          <w:color w:val="auto"/>
        </w:rPr>
        <w:t xml:space="preserve">”), dated the date the Comfort Letter is delivered, which shall meet the requirements set forth in this </w:t>
      </w:r>
      <w:r>
        <w:rPr>
          <w:rFonts w:ascii="Arial" w:cs="Arial" w:eastAsia="Arial" w:hAnsi="Arial"/>
          <w:sz w:val="16"/>
          <w:szCs w:val="16"/>
          <w:u w:val="single" w:color="auto"/>
          <w:color w:val="auto"/>
        </w:rPr>
        <w:t>Section 7(n)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if reasonably requested by the Agents, the Company shall cause a Comfort Letter to be furnished to the Agents within ten (10) Trading Days of the date of occurrence of any material transaction or event, including the restatement of the Company’s financial statements. The Comfort Letter from the Company’s independent registered public accounting firm shall be in a form and substance reasonably satisfactory to the Agents,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6"/>
          <w:szCs w:val="16"/>
          <w:b w:val="1"/>
          <w:bCs w:val="1"/>
          <w:u w:val="single" w:color="auto"/>
          <w:color w:val="auto"/>
        </w:rPr>
        <w:t>Initial Comfort Letter</w:t>
      </w:r>
      <w:r>
        <w:rPr>
          <w:rFonts w:ascii="Arial" w:cs="Arial" w:eastAsia="Arial" w:hAnsi="Arial"/>
          <w:sz w:val="16"/>
          <w:szCs w:val="16"/>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67" w:lineRule="exact"/>
        <w:rPr>
          <w:rFonts w:ascii="Arial" w:cs="Arial" w:eastAsia="Arial" w:hAnsi="Arial"/>
          <w:sz w:val="16"/>
          <w:szCs w:val="16"/>
          <w:color w:val="auto"/>
        </w:rPr>
      </w:pPr>
    </w:p>
    <w:p>
      <w:pPr>
        <w:ind w:left="4" w:firstLine="987"/>
        <w:spacing w:after="0" w:line="287" w:lineRule="auto"/>
        <w:tabs>
          <w:tab w:leader="none" w:pos="1250"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Market Activities</w:t>
      </w:r>
      <w:r>
        <w:rPr>
          <w:rFonts w:ascii="Arial" w:cs="Arial" w:eastAsia="Arial" w:hAnsi="Arial"/>
          <w:sz w:val="16"/>
          <w:szCs w:val="16"/>
          <w:color w:val="auto"/>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Common Stock in violation of the Exchange Act or the rules and regulations thereunder, or the Securities Act or the Securities Act Regulations or</w:t>
      </w:r>
    </w:p>
    <w:p>
      <w:pPr>
        <w:spacing w:after="0" w:line="2" w:lineRule="exact"/>
        <w:rPr>
          <w:rFonts w:ascii="Arial" w:cs="Arial" w:eastAsia="Arial" w:hAnsi="Arial"/>
          <w:sz w:val="16"/>
          <w:szCs w:val="16"/>
          <w:color w:val="auto"/>
        </w:rPr>
      </w:pPr>
    </w:p>
    <w:p>
      <w:pPr>
        <w:ind w:left="4" w:right="520" w:hanging="4"/>
        <w:spacing w:after="0" w:line="260" w:lineRule="auto"/>
        <w:tabs>
          <w:tab w:leader="none" w:pos="269"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sell, bid for, or purchase Common Stock in violation of Regulation M under the Exchange Act, or pay anyone any compensation for soliciting purchases of the Placement Shares other than the Agents.</w:t>
      </w:r>
    </w:p>
    <w:p>
      <w:pPr>
        <w:spacing w:after="0" w:line="185" w:lineRule="exact"/>
        <w:rPr>
          <w:rFonts w:ascii="Arial" w:cs="Arial" w:eastAsia="Arial" w:hAnsi="Arial"/>
          <w:sz w:val="18"/>
          <w:szCs w:val="18"/>
          <w:color w:val="auto"/>
        </w:rPr>
      </w:pPr>
    </w:p>
    <w:p>
      <w:pPr>
        <w:jc w:val="both"/>
        <w:ind w:left="4" w:right="100" w:firstLine="987"/>
        <w:spacing w:after="0" w:line="263" w:lineRule="auto"/>
        <w:tabs>
          <w:tab w:leader="none" w:pos="125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w:t>
      </w:r>
    </w:p>
    <w:p>
      <w:pPr>
        <w:spacing w:after="0" w:line="183" w:lineRule="exact"/>
        <w:rPr>
          <w:rFonts w:ascii="Arial" w:cs="Arial" w:eastAsia="Arial" w:hAnsi="Arial"/>
          <w:sz w:val="18"/>
          <w:szCs w:val="18"/>
          <w:color w:val="auto"/>
        </w:rPr>
      </w:pPr>
    </w:p>
    <w:p>
      <w:pPr>
        <w:jc w:val="both"/>
        <w:ind w:left="4" w:right="160" w:firstLine="987"/>
        <w:spacing w:after="0" w:line="279" w:lineRule="auto"/>
        <w:tabs>
          <w:tab w:leader="none" w:pos="1250"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No Offer to Sell</w:t>
      </w:r>
      <w:r>
        <w:rPr>
          <w:rFonts w:ascii="Arial" w:cs="Arial" w:eastAsia="Arial" w:hAnsi="Arial"/>
          <w:sz w:val="17"/>
          <w:szCs w:val="17"/>
          <w:color w:val="auto"/>
        </w:rPr>
        <w:t>. Other than an Issuer Free Writing Prospectus approved in advance by the Company and the Agents in their capacity as agents hereunder, neither the Agents nor the Company (including its agents and representatives, other than the Agents in their capacity as such) will make, use, prepare, authorize, approve or refer to any written communication (as defined in Rule 405), required to be filed with the Commission, that constitutes an offer to sell or solicitation of an offer to buy Placement Shares hereunder.</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30" w:name="page31"/>
    <w:bookmarkEnd w:id="30"/>
    <w:p>
      <w:pPr>
        <w:ind w:right="60" w:firstLine="987"/>
        <w:spacing w:after="0" w:line="289" w:lineRule="auto"/>
        <w:tabs>
          <w:tab w:leader="none" w:pos="1216"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Blue Sky and Other Qualifications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will use its commercially reasonable efforts, in cooperation with the Agents, to qualify the Placement Shares for offering and sale, or to obtain an exemption for the Placement Shares to be offered and sold, under the applicable securities laws of such states and other jurisdictions (domestic or foreign) as the Agents may designate and to maintain such qualifications and exemptions in effect for so long as required for the distribution of the Placement Shares (but in no event for less than one year from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66" w:lineRule="exact"/>
        <w:rPr>
          <w:rFonts w:ascii="Arial" w:cs="Arial" w:eastAsia="Arial" w:hAnsi="Arial"/>
          <w:sz w:val="16"/>
          <w:szCs w:val="16"/>
          <w:color w:val="auto"/>
        </w:rPr>
      </w:pPr>
    </w:p>
    <w:p>
      <w:pPr>
        <w:ind w:firstLine="987"/>
        <w:spacing w:after="0" w:line="268" w:lineRule="auto"/>
        <w:tabs>
          <w:tab w:leader="none" w:pos="1226"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Sarbanes-Oxley Act</w:t>
      </w:r>
      <w:r>
        <w:rPr>
          <w:rFonts w:ascii="Arial" w:cs="Arial" w:eastAsia="Arial" w:hAnsi="Arial"/>
          <w:sz w:val="17"/>
          <w:szCs w:val="17"/>
          <w:color w:val="auto"/>
        </w:rPr>
        <w:t>.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1" w:name="page32"/>
    <w:bookmarkEnd w:id="31"/>
    <w:p>
      <w:pPr>
        <w:ind w:left="-20" w:right="60" w:firstLine="987"/>
        <w:spacing w:after="0" w:line="293" w:lineRule="auto"/>
        <w:tabs>
          <w:tab w:leader="none" w:pos="1186"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Secretary’s Certificate; Further Documentation</w:t>
      </w:r>
      <w:r>
        <w:rPr>
          <w:rFonts w:ascii="Arial" w:cs="Arial" w:eastAsia="Arial" w:hAnsi="Arial"/>
          <w:sz w:val="16"/>
          <w:szCs w:val="16"/>
          <w:color w:val="auto"/>
        </w:rPr>
        <w:t>. Prior to the date of the first Placement Notice, the Company shall deliver to the Agents a certificate of the Secretary of the Company and attested to by an executive officer of the Company, dated as of such date, certifying as to (i) the Certificate of Incorporation of the Company, (ii) the By-laws of the Company, (iii) the resolutions of the board of directors of the Company authorizing the execution, delivery and performance of this Agreement and the issuance of the Placement Shares and (iv) the incumbency of the officers duly authorized to execute this Agreement and the other documents contemplated by this Agreement. Within five (5) Trading Days of each Representation Date, the Company shall have furnished to the Agents such further information, certificates and documents as the Agents may reasonably request.</w:t>
      </w:r>
    </w:p>
    <w:p>
      <w:pPr>
        <w:spacing w:after="0" w:line="164" w:lineRule="exact"/>
        <w:rPr>
          <w:rFonts w:ascii="Arial" w:cs="Arial" w:eastAsia="Arial" w:hAnsi="Arial"/>
          <w:sz w:val="16"/>
          <w:szCs w:val="16"/>
          <w:color w:val="auto"/>
        </w:rPr>
      </w:pPr>
    </w:p>
    <w:p>
      <w:pPr>
        <w:ind w:left="-20" w:right="160" w:firstLine="987"/>
        <w:spacing w:after="0" w:line="277" w:lineRule="auto"/>
        <w:tabs>
          <w:tab w:leader="none" w:pos="1226"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Emerging Growth Company Status</w:t>
      </w:r>
      <w:r>
        <w:rPr>
          <w:rFonts w:ascii="Arial" w:cs="Arial" w:eastAsia="Arial" w:hAnsi="Arial"/>
          <w:sz w:val="18"/>
          <w:szCs w:val="18"/>
          <w:color w:val="auto"/>
        </w:rPr>
        <w:t>. The Company will promptly notify the Agents if the Company ceases to be an Emerging Growth Company at any time during the term of this Agreement.</w:t>
      </w:r>
    </w:p>
    <w:p>
      <w:pPr>
        <w:spacing w:after="0" w:line="170" w:lineRule="exact"/>
        <w:rPr>
          <w:rFonts w:ascii="Arial" w:cs="Arial" w:eastAsia="Arial" w:hAnsi="Arial"/>
          <w:sz w:val="18"/>
          <w:szCs w:val="18"/>
          <w:color w:val="auto"/>
        </w:rPr>
      </w:pPr>
    </w:p>
    <w:p>
      <w:pPr>
        <w:ind w:left="-20" w:firstLine="436"/>
        <w:spacing w:after="0" w:line="268" w:lineRule="auto"/>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Payment of Expenses</w:t>
      </w:r>
      <w:r>
        <w:rPr>
          <w:rFonts w:ascii="Arial" w:cs="Arial" w:eastAsia="Arial" w:hAnsi="Arial"/>
          <w:sz w:val="17"/>
          <w:szCs w:val="17"/>
          <w:color w:val="auto"/>
        </w:rPr>
        <w:t xml:space="preserve">. The Company will pay all expenses incident to the performance of its obligations under this Agreement, including (i) the preparation and filing of the Registration Statement, including any fees required by the Commission, and the printing or electronic delivery of the Prospectus as originally filed and of each amendment and supplement thereto, in such number as the Agents shall deem necessary, (ii) the printing and delivery to the Agents of this Agreement and such other documents as may be reasonably required in connection with the offering, purchase, sale, issuance or delivery of the Placement Shares, (iii) the preparation, issuance and delivery of the certificates, if any, for the Placement Shares to the Agent, including any stock or other transfer taxes and any capital duties, stamp duties or other duties or taxes payable upon the sale, issuance or delivery of the Placement Shares to the Agent, (iv) the fees and disbursements of the counsel, accountants and other advisors to the Company, (v) the fees and expenses of Agents including but not limited to the fees and expenses of the counsel to the Agent, payable upon the execution of this Agreement, in an amount not to exceed $75,000, (vi) the qualification or exemption of the Placement Shares under state securities laws in accordance with the provisions of </w:t>
      </w:r>
      <w:r>
        <w:rPr>
          <w:rFonts w:ascii="Arial" w:cs="Arial" w:eastAsia="Arial" w:hAnsi="Arial"/>
          <w:sz w:val="17"/>
          <w:szCs w:val="17"/>
          <w:u w:val="single" w:color="auto"/>
          <w:color w:val="auto"/>
        </w:rPr>
        <w:t>Section 7(r)</w:t>
      </w:r>
      <w:r>
        <w:rPr>
          <w:rFonts w:ascii="Arial" w:cs="Arial" w:eastAsia="Arial" w:hAnsi="Arial"/>
          <w:sz w:val="17"/>
          <w:szCs w:val="17"/>
          <w:color w:val="auto"/>
        </w:rPr>
        <w:t xml:space="preserve"> hereof, including filing fees, but excluding fees of the Agents’ counsel, (vii) the printing and delivery to the Agents of copies of any Permitted Issuer Free Writing Prospectus and the Prospectus and any amendments or supplements thereto in such number as the Agents shall deem necessary, (viii) the preparation, printing and delivery to the Agents of copies of the blue sky survey, (ix) the fees and expenses of the transfer agent and registrar for the Common Stock, (x) the filing and other fees incident to any review by FINRA of the terms of the sale of the Placement Shares including the fees of the Agents’ counsel (subject to the cap, set forth in clause (v) above), and (xi) the fees and expenses incurred in connection with the listing of the Placement Shares on the Exchange.</w:t>
      </w:r>
    </w:p>
    <w:p>
      <w:pPr>
        <w:spacing w:after="0" w:line="181" w:lineRule="exact"/>
        <w:rPr>
          <w:rFonts w:ascii="Arial" w:cs="Arial" w:eastAsia="Arial" w:hAnsi="Arial"/>
          <w:sz w:val="17"/>
          <w:szCs w:val="17"/>
          <w:color w:val="auto"/>
        </w:rPr>
      </w:pPr>
    </w:p>
    <w:p>
      <w:pPr>
        <w:ind w:left="-20" w:right="440" w:firstLine="436"/>
        <w:spacing w:after="0" w:line="279" w:lineRule="auto"/>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Conditions to Agents’ Obligations</w:t>
      </w:r>
      <w:r>
        <w:rPr>
          <w:rFonts w:ascii="Arial" w:cs="Arial" w:eastAsia="Arial" w:hAnsi="Arial"/>
          <w:sz w:val="17"/>
          <w:szCs w:val="17"/>
          <w:color w:val="auto"/>
        </w:rPr>
        <w:t>. The obligations of the Agents hereunder with respect to a Placement will be subject to the continuing accuracy and completeness of the representations and warranties made by the Company herein, to the due performance by the Company of its obligations hereunder, to the completion by the Agents of a due diligence review satisfactory to it in its reasonable judgment, and to the continuing satisfaction (or waiver by each of the Agents in its sole discretion) of the following additional conditions:</w:t>
      </w:r>
    </w:p>
    <w:p>
      <w:pPr>
        <w:spacing w:after="0" w:line="171" w:lineRule="exact"/>
        <w:rPr>
          <w:rFonts w:ascii="Arial" w:cs="Arial" w:eastAsia="Arial" w:hAnsi="Arial"/>
          <w:sz w:val="17"/>
          <w:szCs w:val="17"/>
          <w:color w:val="auto"/>
        </w:rPr>
      </w:pPr>
    </w:p>
    <w:p>
      <w:pPr>
        <w:ind w:left="-20" w:right="100" w:firstLine="987"/>
        <w:spacing w:after="0" w:line="263" w:lineRule="auto"/>
        <w:tabs>
          <w:tab w:leader="none" w:pos="1216"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Registration Statement Effective</w:t>
      </w:r>
      <w:r>
        <w:rPr>
          <w:rFonts w:ascii="Arial" w:cs="Arial" w:eastAsia="Arial" w:hAnsi="Arial"/>
          <w:sz w:val="18"/>
          <w:szCs w:val="18"/>
          <w:color w:val="auto"/>
        </w:rPr>
        <w:t>. The Registration Statement shall have become effective and shall be available for the (i) resale of all Placement Shares issued to an Agent and not yet sold by such Agent and (ii) sale of all Placement Shares contemplated to be issued by any Placement Notice.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60" w:top="274" w:right="459" w:bottom="1440" w:gutter="0" w:footer="0" w:header="0"/>
        </w:sectPr>
      </w:pPr>
    </w:p>
    <w:bookmarkStart w:id="32" w:name="page33"/>
    <w:bookmarkEnd w:id="32"/>
    <w:p>
      <w:pPr>
        <w:ind w:right="40" w:firstLine="987"/>
        <w:spacing w:after="0" w:line="287" w:lineRule="auto"/>
        <w:tabs>
          <w:tab w:leader="none" w:pos="1246"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Material Notices</w:t>
      </w:r>
      <w:r>
        <w:rPr>
          <w:rFonts w:ascii="Arial" w:cs="Arial" w:eastAsia="Arial" w:hAnsi="Arial"/>
          <w:sz w:val="16"/>
          <w:szCs w:val="16"/>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statement of a material fact made in the Registration Statement or the Prospectus or any Incorporated Document or any document deemed to be incorporated therein by reference untrue or that requires the making of any changes in the Registration Statement, the Prospectus or documents so that, in the case of the Registration Statement, it will not contain an untrue statement of a material fact or omit to state any material fact required to be stated therein or necessary to make the statements therein not misleading and, that in the case of the Prospectus, it will not contain an untrue statement of a material fact or omit to state a material fact required to be stated therein or necessary to make the statements therein, in the light of the circumstances under which they were made, not misleading.</w:t>
      </w:r>
    </w:p>
    <w:p>
      <w:pPr>
        <w:spacing w:after="0" w:line="167" w:lineRule="exact"/>
        <w:rPr>
          <w:rFonts w:ascii="Arial" w:cs="Arial" w:eastAsia="Arial" w:hAnsi="Arial"/>
          <w:sz w:val="16"/>
          <w:szCs w:val="16"/>
          <w:color w:val="auto"/>
        </w:rPr>
      </w:pPr>
    </w:p>
    <w:p>
      <w:pPr>
        <w:ind w:right="40" w:firstLine="987"/>
        <w:spacing w:after="0" w:line="311" w:lineRule="auto"/>
        <w:tabs>
          <w:tab w:leader="none" w:pos="1236"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No Misstatement or Material Omission</w:t>
      </w:r>
      <w:r>
        <w:rPr>
          <w:rFonts w:ascii="Arial" w:cs="Arial" w:eastAsia="Arial" w:hAnsi="Arial"/>
          <w:sz w:val="16"/>
          <w:szCs w:val="16"/>
          <w:color w:val="auto"/>
        </w:rPr>
        <w:t>. The Agents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48" w:lineRule="exact"/>
        <w:rPr>
          <w:rFonts w:ascii="Arial" w:cs="Arial" w:eastAsia="Arial" w:hAnsi="Arial"/>
          <w:sz w:val="16"/>
          <w:szCs w:val="16"/>
          <w:color w:val="auto"/>
        </w:rPr>
      </w:pPr>
    </w:p>
    <w:p>
      <w:pPr>
        <w:ind w:firstLine="987"/>
        <w:spacing w:after="0" w:line="271" w:lineRule="auto"/>
        <w:tabs>
          <w:tab w:leader="none" w:pos="1246"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Material Changes</w:t>
      </w:r>
      <w:r>
        <w:rPr>
          <w:rFonts w:ascii="Arial" w:cs="Arial" w:eastAsia="Arial" w:hAnsi="Arial"/>
          <w:sz w:val="17"/>
          <w:szCs w:val="17"/>
          <w:color w:val="auto"/>
        </w:rPr>
        <w:t>. Except as contemplated in the Prospectus, or disclosed in the Company’s reports filed with the Commission, there shall not have been any material adverse change in the authorized capital stock of the Company or any Material Adverse Change or any development that would reasonably be expected to cause a Material Adverse Change,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Agents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78" w:lineRule="exact"/>
        <w:rPr>
          <w:rFonts w:ascii="Arial" w:cs="Arial" w:eastAsia="Arial" w:hAnsi="Arial"/>
          <w:sz w:val="17"/>
          <w:szCs w:val="17"/>
          <w:color w:val="auto"/>
        </w:rPr>
      </w:pPr>
    </w:p>
    <w:p>
      <w:pPr>
        <w:ind w:right="40" w:firstLine="987"/>
        <w:spacing w:after="0" w:line="277" w:lineRule="auto"/>
        <w:tabs>
          <w:tab w:leader="none" w:pos="123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xml:space="preserve">. The Agents shall have received the opinions of Company Counsel and IP Counsel required to be delivered pursuant to </w:t>
      </w:r>
      <w:r>
        <w:rPr>
          <w:rFonts w:ascii="Arial" w:cs="Arial" w:eastAsia="Arial" w:hAnsi="Arial"/>
          <w:sz w:val="18"/>
          <w:szCs w:val="18"/>
          <w:u w:val="single" w:color="auto"/>
          <w:color w:val="auto"/>
        </w:rPr>
        <w:t>Section 7(m)</w:t>
      </w:r>
      <w:r>
        <w:rPr>
          <w:rFonts w:ascii="Arial" w:cs="Arial" w:eastAsia="Arial" w:hAnsi="Arial"/>
          <w:sz w:val="18"/>
          <w:szCs w:val="18"/>
          <w:color w:val="auto"/>
        </w:rPr>
        <w:t xml:space="preserve"> on or before the date on which such delivery of such opinions is required pursuant to </w:t>
      </w:r>
      <w:r>
        <w:rPr>
          <w:rFonts w:ascii="Arial" w:cs="Arial" w:eastAsia="Arial" w:hAnsi="Arial"/>
          <w:sz w:val="18"/>
          <w:szCs w:val="18"/>
          <w:u w:val="single" w:color="auto"/>
          <w:color w:val="auto"/>
        </w:rPr>
        <w:t>Section 7(m)</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40" w:firstLine="987"/>
        <w:spacing w:after="0" w:line="277" w:lineRule="auto"/>
        <w:tabs>
          <w:tab w:leader="none" w:pos="121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Comfort Letter</w:t>
      </w:r>
      <w:r>
        <w:rPr>
          <w:rFonts w:ascii="Arial" w:cs="Arial" w:eastAsia="Arial" w:hAnsi="Arial"/>
          <w:sz w:val="18"/>
          <w:szCs w:val="18"/>
          <w:color w:val="auto"/>
        </w:rPr>
        <w:t xml:space="preserve">. The Agents shall have received the Comfort Letter required to be delivered pursuant to </w:t>
      </w:r>
      <w:r>
        <w:rPr>
          <w:rFonts w:ascii="Arial" w:cs="Arial" w:eastAsia="Arial" w:hAnsi="Arial"/>
          <w:sz w:val="18"/>
          <w:szCs w:val="18"/>
          <w:u w:val="single" w:color="auto"/>
          <w:color w:val="auto"/>
        </w:rPr>
        <w:t>Section 7(n)</w:t>
      </w:r>
      <w:r>
        <w:rPr>
          <w:rFonts w:ascii="Arial" w:cs="Arial" w:eastAsia="Arial" w:hAnsi="Arial"/>
          <w:sz w:val="18"/>
          <w:szCs w:val="18"/>
          <w:color w:val="auto"/>
        </w:rPr>
        <w:t xml:space="preserve"> on or before the date on which such delivery of such Comfort Letter is required pursuant to </w:t>
      </w:r>
      <w:r>
        <w:rPr>
          <w:rFonts w:ascii="Arial" w:cs="Arial" w:eastAsia="Arial" w:hAnsi="Arial"/>
          <w:sz w:val="18"/>
          <w:szCs w:val="18"/>
          <w:u w:val="single" w:color="auto"/>
          <w:color w:val="auto"/>
        </w:rPr>
        <w:t>Section 7(n)</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3" w:name="page34"/>
    <w:bookmarkEnd w:id="33"/>
    <w:p>
      <w:pPr>
        <w:ind w:right="80" w:firstLine="987"/>
        <w:spacing w:after="0" w:line="277" w:lineRule="auto"/>
        <w:tabs>
          <w:tab w:leader="none" w:pos="1246"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 Certificate</w:t>
      </w:r>
      <w:r>
        <w:rPr>
          <w:rFonts w:ascii="Arial" w:cs="Arial" w:eastAsia="Arial" w:hAnsi="Arial"/>
          <w:sz w:val="18"/>
          <w:szCs w:val="18"/>
          <w:color w:val="auto"/>
        </w:rPr>
        <w:t xml:space="preserve">. The Agents shall have received the certificate required to be delivered pursuant to </w:t>
      </w:r>
      <w:r>
        <w:rPr>
          <w:rFonts w:ascii="Arial" w:cs="Arial" w:eastAsia="Arial" w:hAnsi="Arial"/>
          <w:sz w:val="18"/>
          <w:szCs w:val="18"/>
          <w:u w:val="single" w:color="auto"/>
          <w:color w:val="auto"/>
        </w:rPr>
        <w:t>Section 7(l)</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7(l)</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40" w:firstLine="987"/>
        <w:spacing w:after="0" w:line="277" w:lineRule="auto"/>
        <w:tabs>
          <w:tab w:leader="none" w:pos="1246"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No Suspension</w:t>
      </w:r>
      <w:r>
        <w:rPr>
          <w:rFonts w:ascii="Arial" w:cs="Arial" w:eastAsia="Arial" w:hAnsi="Arial"/>
          <w:sz w:val="18"/>
          <w:szCs w:val="18"/>
          <w:color w:val="auto"/>
        </w:rPr>
        <w:t>. Trading in the Common Stock shall not have been suspended on the Exchange and the Common Stock shall not have been delisted from the Exchange.</w:t>
      </w:r>
    </w:p>
    <w:p>
      <w:pPr>
        <w:spacing w:after="0" w:line="170" w:lineRule="exact"/>
        <w:rPr>
          <w:rFonts w:ascii="Arial" w:cs="Arial" w:eastAsia="Arial" w:hAnsi="Arial"/>
          <w:sz w:val="18"/>
          <w:szCs w:val="18"/>
          <w:color w:val="auto"/>
        </w:rPr>
      </w:pPr>
    </w:p>
    <w:p>
      <w:pPr>
        <w:ind w:right="300" w:firstLine="987"/>
        <w:spacing w:after="0" w:line="286" w:lineRule="auto"/>
        <w:tabs>
          <w:tab w:leader="none" w:pos="1206"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Other Materials</w:t>
      </w:r>
      <w:r>
        <w:rPr>
          <w:rFonts w:ascii="Arial" w:cs="Arial" w:eastAsia="Arial" w:hAnsi="Arial"/>
          <w:sz w:val="17"/>
          <w:szCs w:val="17"/>
          <w:color w:val="auto"/>
        </w:rPr>
        <w:t xml:space="preserve">. On each date on which the Company is required to deliver a certificate pursuant to </w:t>
      </w:r>
      <w:r>
        <w:rPr>
          <w:rFonts w:ascii="Arial" w:cs="Arial" w:eastAsia="Arial" w:hAnsi="Arial"/>
          <w:sz w:val="17"/>
          <w:szCs w:val="17"/>
          <w:u w:val="single" w:color="auto"/>
          <w:color w:val="auto"/>
        </w:rPr>
        <w:t>Section 7(l)</w:t>
      </w:r>
      <w:r>
        <w:rPr>
          <w:rFonts w:ascii="Arial" w:cs="Arial" w:eastAsia="Arial" w:hAnsi="Arial"/>
          <w:sz w:val="17"/>
          <w:szCs w:val="17"/>
          <w:color w:val="auto"/>
        </w:rPr>
        <w:t>, the Company shall have furnished to the Agents such appropriate further information, opinions, certificates, letters and other documents as the Agents may reasonably request. All such opinions, certificates, letters and other documents will be in compliance with the provisions hereof.</w:t>
      </w:r>
    </w:p>
    <w:p>
      <w:pPr>
        <w:spacing w:after="0" w:line="165" w:lineRule="exact"/>
        <w:rPr>
          <w:rFonts w:ascii="Arial" w:cs="Arial" w:eastAsia="Arial" w:hAnsi="Arial"/>
          <w:sz w:val="17"/>
          <w:szCs w:val="17"/>
          <w:color w:val="auto"/>
        </w:rPr>
      </w:pPr>
    </w:p>
    <w:p>
      <w:pPr>
        <w:ind w:right="480" w:firstLine="987"/>
        <w:spacing w:after="0" w:line="308" w:lineRule="auto"/>
        <w:tabs>
          <w:tab w:leader="none" w:pos="1206"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Securities Act Filings Made</w:t>
      </w:r>
      <w:r>
        <w:rPr>
          <w:rFonts w:ascii="Arial" w:cs="Arial" w:eastAsia="Arial" w:hAnsi="Arial"/>
          <w:sz w:val="17"/>
          <w:szCs w:val="17"/>
          <w:color w:val="auto"/>
        </w:rPr>
        <w:t>. All filings with the Commission required by Rule 424 to have been filed prior to the issuance of any Placement Notice hereunder shall have been made within the applicable time period prescribed for such filing by Rule 424.</w:t>
      </w:r>
    </w:p>
    <w:p>
      <w:pPr>
        <w:spacing w:after="0" w:line="146" w:lineRule="exact"/>
        <w:rPr>
          <w:rFonts w:ascii="Arial" w:cs="Arial" w:eastAsia="Arial" w:hAnsi="Arial"/>
          <w:sz w:val="17"/>
          <w:szCs w:val="17"/>
          <w:color w:val="auto"/>
        </w:rPr>
      </w:pPr>
    </w:p>
    <w:p>
      <w:pPr>
        <w:ind w:right="220" w:firstLine="987"/>
        <w:spacing w:after="0" w:line="286" w:lineRule="auto"/>
        <w:tabs>
          <w:tab w:leader="none" w:pos="1246"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Approval for Listing</w:t>
      </w:r>
      <w:r>
        <w:rPr>
          <w:rFonts w:ascii="Arial" w:cs="Arial" w:eastAsia="Arial" w:hAnsi="Arial"/>
          <w:sz w:val="17"/>
          <w:szCs w:val="17"/>
          <w:color w:val="auto"/>
        </w:rPr>
        <w:t>. The Placement Shares shall either have been (i) approved for listing on the Exchange, subject only to notice of issuance, or (ii) the Company shall have filed an application for listing of the Placement Shares on the Exchange at, or prior to, the issuance of any Placement Notice and the Exchange shall have reviewed such application and not provided any objections thereto.</w:t>
      </w:r>
    </w:p>
    <w:p>
      <w:pPr>
        <w:spacing w:after="0" w:line="165" w:lineRule="exact"/>
        <w:rPr>
          <w:rFonts w:ascii="Arial" w:cs="Arial" w:eastAsia="Arial" w:hAnsi="Arial"/>
          <w:sz w:val="17"/>
          <w:szCs w:val="17"/>
          <w:color w:val="auto"/>
        </w:rPr>
      </w:pPr>
    </w:p>
    <w:p>
      <w:pPr>
        <w:ind w:right="100" w:firstLine="987"/>
        <w:spacing w:after="0" w:line="277" w:lineRule="auto"/>
        <w:tabs>
          <w:tab w:leader="none" w:pos="1206"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FINRA</w:t>
      </w:r>
      <w:r>
        <w:rPr>
          <w:rFonts w:ascii="Arial" w:cs="Arial" w:eastAsia="Arial" w:hAnsi="Arial"/>
          <w:sz w:val="18"/>
          <w:szCs w:val="18"/>
          <w:color w:val="auto"/>
        </w:rPr>
        <w:t>. If applicable, FINRA shall have raised no objection to the terms of this offering and the amount of compensation allowable or payable to the Agents as described in the Prospectus.</w:t>
      </w:r>
    </w:p>
    <w:p>
      <w:pPr>
        <w:spacing w:after="0" w:line="170" w:lineRule="exact"/>
        <w:rPr>
          <w:rFonts w:ascii="Arial" w:cs="Arial" w:eastAsia="Arial" w:hAnsi="Arial"/>
          <w:sz w:val="18"/>
          <w:szCs w:val="18"/>
          <w:color w:val="auto"/>
        </w:rPr>
      </w:pPr>
    </w:p>
    <w:p>
      <w:pPr>
        <w:ind w:left="1300" w:hanging="313"/>
        <w:spacing w:after="0"/>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No Termination Event</w:t>
      </w:r>
      <w:r>
        <w:rPr>
          <w:rFonts w:ascii="Arial" w:cs="Arial" w:eastAsia="Arial" w:hAnsi="Arial"/>
          <w:sz w:val="16"/>
          <w:szCs w:val="16"/>
          <w:color w:val="auto"/>
        </w:rPr>
        <w:t>. There shall not have occurred any event that would permit the Agents to terminate this Agreement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12(a)</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700" w:hanging="264"/>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520" w:firstLine="987"/>
        <w:spacing w:after="0" w:line="263" w:lineRule="auto"/>
        <w:tabs>
          <w:tab w:leader="none" w:pos="1236"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Company Indemnification</w:t>
      </w:r>
      <w:r>
        <w:rPr>
          <w:rFonts w:ascii="Arial" w:cs="Arial" w:eastAsia="Arial" w:hAnsi="Arial"/>
          <w:sz w:val="18"/>
          <w:szCs w:val="18"/>
          <w:color w:val="auto"/>
        </w:rPr>
        <w:t>. The Company agrees to indemnify and hold harmless the Agents, their affiliates and their respective partners, members, directors, officers, employees and agents and each person, if any, who controls the applicable Agent or any affiliate within the meaning of Section 15 of the Securities Act or Section 20 of the Exchange Act as follows:</w:t>
      </w:r>
    </w:p>
    <w:p>
      <w:pPr>
        <w:spacing w:after="0" w:line="183" w:lineRule="exact"/>
        <w:rPr>
          <w:rFonts w:ascii="Arial" w:cs="Arial" w:eastAsia="Arial" w:hAnsi="Arial"/>
          <w:sz w:val="18"/>
          <w:szCs w:val="18"/>
          <w:color w:val="auto"/>
        </w:rPr>
      </w:pPr>
    </w:p>
    <w:p>
      <w:pPr>
        <w:ind w:firstLine="1428"/>
        <w:spacing w:after="0" w:line="273" w:lineRule="auto"/>
        <w:tabs>
          <w:tab w:leader="none" w:pos="1647" w:val="left"/>
        </w:tabs>
        <w:numPr>
          <w:ilvl w:val="2"/>
          <w:numId w:val="39"/>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4" w:name="page35"/>
    <w:bookmarkEnd w:id="34"/>
    <w:p>
      <w:pPr>
        <w:ind w:right="120" w:firstLine="1428"/>
        <w:spacing w:after="0" w:line="257" w:lineRule="auto"/>
        <w:tabs>
          <w:tab w:leader="none" w:pos="1697"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against any and all loss, liability, claim, damage and expense whatsoever,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w:t>
      </w:r>
      <w:r>
        <w:rPr>
          <w:rFonts w:ascii="Arial" w:cs="Arial" w:eastAsia="Arial" w:hAnsi="Arial"/>
          <w:sz w:val="18"/>
          <w:szCs w:val="18"/>
          <w:u w:val="single" w:color="auto"/>
          <w:color w:val="auto"/>
        </w:rPr>
        <w:t>Section 10(d)</w:t>
      </w:r>
      <w:r>
        <w:rPr>
          <w:rFonts w:ascii="Arial" w:cs="Arial" w:eastAsia="Arial" w:hAnsi="Arial"/>
          <w:sz w:val="18"/>
          <w:szCs w:val="18"/>
          <w:color w:val="auto"/>
        </w:rPr>
        <w:t xml:space="preserve"> below) any such settlement is effected with the written consent of the Company, which consent shall not unreasonably be delayed or withheld; and</w:t>
      </w:r>
    </w:p>
    <w:p>
      <w:pPr>
        <w:spacing w:after="0" w:line="187" w:lineRule="exact"/>
        <w:rPr>
          <w:rFonts w:ascii="Arial" w:cs="Arial" w:eastAsia="Arial" w:hAnsi="Arial"/>
          <w:sz w:val="18"/>
          <w:szCs w:val="18"/>
          <w:color w:val="auto"/>
        </w:rPr>
      </w:pPr>
    </w:p>
    <w:p>
      <w:pPr>
        <w:ind w:right="240" w:firstLine="1428"/>
        <w:spacing w:after="0" w:line="279" w:lineRule="auto"/>
        <w:tabs>
          <w:tab w:leader="none" w:pos="1747" w:val="left"/>
        </w:tabs>
        <w:numPr>
          <w:ilvl w:val="0"/>
          <w:numId w:val="40"/>
        </w:numPr>
        <w:rPr>
          <w:rFonts w:ascii="Arial" w:cs="Arial" w:eastAsia="Arial" w:hAnsi="Arial"/>
          <w:sz w:val="17"/>
          <w:szCs w:val="17"/>
          <w:color w:val="auto"/>
        </w:rPr>
      </w:pPr>
      <w:r>
        <w:rPr>
          <w:rFonts w:ascii="Arial" w:cs="Arial" w:eastAsia="Arial" w:hAnsi="Arial"/>
          <w:sz w:val="17"/>
          <w:szCs w:val="17"/>
          <w:color w:val="auto"/>
        </w:rPr>
        <w:t>against any and all expense whatsoever, as incurred (including the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(i) or (ii) above,</w:t>
      </w:r>
    </w:p>
    <w:p>
      <w:pPr>
        <w:spacing w:after="0" w:line="17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this indemnity agreement shall not apply to any loss, liability, claim, damage or expense to the extent arising out of any untrue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or omission or alleged untrue statement or omission made solely in reliance upon and in conformity with the Agent Information (as defined below).</w:t>
      </w:r>
    </w:p>
    <w:p>
      <w:pPr>
        <w:spacing w:after="0" w:line="184" w:lineRule="exact"/>
        <w:rPr>
          <w:sz w:val="20"/>
          <w:szCs w:val="20"/>
          <w:color w:val="auto"/>
        </w:rPr>
      </w:pPr>
    </w:p>
    <w:p>
      <w:pPr>
        <w:ind w:firstLine="987"/>
        <w:spacing w:after="0" w:line="269" w:lineRule="auto"/>
        <w:tabs>
          <w:tab w:leader="none" w:pos="1246"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Indemnification by the Agents</w:t>
      </w:r>
      <w:r>
        <w:rPr>
          <w:rFonts w:ascii="Arial" w:cs="Arial" w:eastAsia="Arial" w:hAnsi="Arial"/>
          <w:sz w:val="17"/>
          <w:szCs w:val="17"/>
          <w:color w:val="auto"/>
        </w:rPr>
        <w:t xml:space="preserve">. Each Agent, severally but not jointly, agrees to indemnify and hold harmless the Company and its directors and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Arial" w:cs="Arial" w:eastAsia="Arial" w:hAnsi="Arial"/>
          <w:sz w:val="17"/>
          <w:szCs w:val="17"/>
          <w:u w:val="single" w:color="auto"/>
          <w:color w:val="auto"/>
        </w:rPr>
        <w:t>Section 10(a)</w:t>
      </w:r>
      <w:r>
        <w:rPr>
          <w:rFonts w:ascii="Arial" w:cs="Arial" w:eastAsia="Arial" w:hAnsi="Arial"/>
          <w:sz w:val="17"/>
          <w:szCs w:val="17"/>
          <w:color w:val="auto"/>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such Agent and furnished to the Company in writing by such Agent expressly for use therein. The Company hereby acknowledges that the only information that the Agents have furnished to the Company expressly for use in the Registration Statement, the Prospectus or any Issuer Free Writing Prospectus (or any amendment or supplement thereto) are the statements set forth in the seventh and eighth paragraphs under the caption “Plan of Distribution” in the Prospectus (the “</w:t>
      </w:r>
      <w:r>
        <w:rPr>
          <w:rFonts w:ascii="Arial" w:cs="Arial" w:eastAsia="Arial" w:hAnsi="Arial"/>
          <w:sz w:val="17"/>
          <w:szCs w:val="17"/>
          <w:b w:val="1"/>
          <w:bCs w:val="1"/>
          <w:u w:val="single" w:color="auto"/>
          <w:color w:val="auto"/>
        </w:rPr>
        <w:t>Agent Information</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right="20" w:firstLine="987"/>
        <w:spacing w:after="0" w:line="271" w:lineRule="auto"/>
        <w:tabs>
          <w:tab w:leader="none" w:pos="1236"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xml:space="preserve">. Any party that proposes to assert the right to be indemnified under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will, promptly after receipt of notice of commencement of any action against such party in respect of which a claim is to be made against an indemnifying party or parties under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and (ii) any liability that it may have to any indemnified party under the foregoing provision of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5" w:name="page36"/>
    <w:bookmarkEnd w:id="35"/>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after the indemnifying party receives a reasonably detailed written invoice relating to fees, disbursements and other charges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182" w:lineRule="exact"/>
        <w:rPr>
          <w:sz w:val="20"/>
          <w:szCs w:val="20"/>
          <w:color w:val="auto"/>
        </w:rPr>
      </w:pPr>
    </w:p>
    <w:p>
      <w:pPr>
        <w:ind w:right="120" w:firstLine="987"/>
        <w:spacing w:after="0" w:line="273" w:lineRule="auto"/>
        <w:tabs>
          <w:tab w:leader="none" w:pos="1246"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Settlement Without Consent if Failure to Reimburse</w:t>
      </w:r>
      <w:r>
        <w:rPr>
          <w:rFonts w:ascii="Arial" w:cs="Arial" w:eastAsia="Arial" w:hAnsi="Arial"/>
          <w:sz w:val="17"/>
          <w:szCs w:val="17"/>
          <w:i w:val="1"/>
          <w:iCs w:val="1"/>
          <w:color w:val="auto"/>
        </w:rPr>
        <w:t>.</w:t>
      </w:r>
      <w:r>
        <w:rPr>
          <w:rFonts w:ascii="Arial" w:cs="Arial" w:eastAsia="Arial" w:hAnsi="Arial"/>
          <w:sz w:val="17"/>
          <w:szCs w:val="17"/>
          <w:color w:val="auto"/>
        </w:rPr>
        <w:t xml:space="preserve"> If an indemnified party shall have requested an indemnifying party to reimburse the indemnified party for reasonable fees and expenses of counsel for which it is entitled to be reimbursed under this section, such indemnifying party agrees that it shall be liable for any settlement of the nature contemplated by </w:t>
      </w:r>
      <w:r>
        <w:rPr>
          <w:rFonts w:ascii="Arial" w:cs="Arial" w:eastAsia="Arial" w:hAnsi="Arial"/>
          <w:sz w:val="17"/>
          <w:szCs w:val="17"/>
          <w:u w:val="single" w:color="auto"/>
          <w:color w:val="auto"/>
        </w:rPr>
        <w:t>Section 10(a)(ii)</w:t>
      </w:r>
      <w:r>
        <w:rPr>
          <w:rFonts w:ascii="Arial" w:cs="Arial" w:eastAsia="Arial" w:hAnsi="Arial"/>
          <w:sz w:val="17"/>
          <w:szCs w:val="17"/>
          <w:color w:val="auto"/>
        </w:rPr>
        <w:t xml:space="preserve"> effected without its written consent if (1) such settlement is entered into more than 45 days after receipt by such indemnifying party of the aforesaid request, (2) such indemnifying party shall have received notice of the terms of such settlement at least 30 days prior to such settlement being entered into and (3) such indemnifying party shall not have reimbursed such indemnified party in accordance with such request prior to the date of such settlement.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36" w:name="page37"/>
    <w:bookmarkEnd w:id="36"/>
    <w:p>
      <w:pPr>
        <w:ind w:firstLine="987"/>
        <w:spacing w:after="0" w:line="283" w:lineRule="auto"/>
        <w:tabs>
          <w:tab w:leader="none" w:pos="1236"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Contribution</w:t>
      </w:r>
      <w:r>
        <w:rPr>
          <w:rFonts w:ascii="Arial" w:cs="Arial" w:eastAsia="Arial" w:hAnsi="Arial"/>
          <w:sz w:val="16"/>
          <w:szCs w:val="16"/>
          <w:color w:val="auto"/>
        </w:rPr>
        <w:t xml:space="preserve">. In order to provide for just and equitable contribution in circumstances in which the indemnification provided for in the foregoing paragraphs of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is applicable in accordance with its terms but for any reason is held to be unavailable or insufficient from the Company or an Agent, the Company and such Agent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such Agent may be subject in such proportion as shall be appropriate to reflect the relative benefits received by the Company on the one hand and the Agents on the other hand. The relative benefits received by the Company on the one hand and the Agents on the other hand shall be deemed to be in the same proportion as the total net proceeds from the sale of the Placement Shares (before deducting expenses) received by the Company bear to the total compensation received by the Agents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such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such Agent, the intent of the parties and their relative knowledge, access to information and opportunity to correct or prevent such statement or omission. The Company and such Agent agree that it would not be just and equitable if contributions pursuant to this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shall be deemed to include, for the purpose of this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any legal or other expenses reasonably incurred by such indemnified party in connection with investigating or defending any such action or claim to the extent consistent with </w:t>
      </w:r>
      <w:r>
        <w:rPr>
          <w:rFonts w:ascii="Arial" w:cs="Arial" w:eastAsia="Arial" w:hAnsi="Arial"/>
          <w:sz w:val="16"/>
          <w:szCs w:val="16"/>
          <w:u w:val="single" w:color="auto"/>
          <w:color w:val="auto"/>
        </w:rPr>
        <w:t>Section 10(c)</w:t>
      </w:r>
      <w:r>
        <w:rPr>
          <w:rFonts w:ascii="Arial" w:cs="Arial" w:eastAsia="Arial" w:hAnsi="Arial"/>
          <w:sz w:val="16"/>
          <w:szCs w:val="16"/>
          <w:color w:val="auto"/>
        </w:rPr>
        <w:t xml:space="preserve"> hereof. Notwithstanding the foregoing provisions of this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no Agent shall be required to contribute any amount in excess of the commissions received by such Agent under this Agreement and no person found guilty of fraudulent misrepresentation (within the meaning of </w:t>
      </w:r>
      <w:r>
        <w:rPr>
          <w:rFonts w:ascii="Arial" w:cs="Arial" w:eastAsia="Arial" w:hAnsi="Arial"/>
          <w:sz w:val="16"/>
          <w:szCs w:val="16"/>
          <w:u w:val="single" w:color="auto"/>
          <w:color w:val="auto"/>
        </w:rPr>
        <w:t>Section 11(f)</w:t>
      </w:r>
      <w:r>
        <w:rPr>
          <w:rFonts w:ascii="Arial" w:cs="Arial" w:eastAsia="Arial" w:hAnsi="Arial"/>
          <w:sz w:val="16"/>
          <w:szCs w:val="16"/>
          <w:color w:val="auto"/>
        </w:rPr>
        <w:t xml:space="preserve"> of the Securities Act) will be entitled to contribution from any person who was not guilty of such fraudulent misrepresentation. For purposes of this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any person who controls a party to this Agreement within the meaning of the Securities Act, any affiliates of an Agent and any officers, directors, partners, employees or agents of an Agent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Arial" w:cs="Arial" w:eastAsia="Arial" w:hAnsi="Arial"/>
          <w:sz w:val="16"/>
          <w:szCs w:val="16"/>
          <w:u w:val="single" w:color="auto"/>
          <w:color w:val="auto"/>
        </w:rPr>
        <w:t>Section 10(c)</w:t>
      </w:r>
      <w:r>
        <w:rPr>
          <w:rFonts w:ascii="Arial" w:cs="Arial" w:eastAsia="Arial" w:hAnsi="Arial"/>
          <w:sz w:val="16"/>
          <w:szCs w:val="16"/>
          <w:color w:val="auto"/>
        </w:rPr>
        <w:t xml:space="preserve"> hereof, no party will be liable for contribution with respect to any action or claim settled without its written consent if such consent is required pursuant to </w:t>
      </w:r>
      <w:r>
        <w:rPr>
          <w:rFonts w:ascii="Arial" w:cs="Arial" w:eastAsia="Arial" w:hAnsi="Arial"/>
          <w:sz w:val="16"/>
          <w:szCs w:val="16"/>
          <w:u w:val="single" w:color="auto"/>
          <w:color w:val="auto"/>
        </w:rPr>
        <w:t>Section 10(c)</w:t>
      </w:r>
      <w:r>
        <w:rPr>
          <w:rFonts w:ascii="Arial" w:cs="Arial" w:eastAsia="Arial" w:hAnsi="Arial"/>
          <w:sz w:val="16"/>
          <w:szCs w:val="16"/>
          <w:color w:val="auto"/>
        </w:rPr>
        <w:t xml:space="preserve"> hereof. The Agents’ respective obligations to contribute pursuant to this Section 10(e) are several in proportion to the respective number of Placement Shares they have sold hereunder, and not joint.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37" w:name="page38"/>
    <w:bookmarkEnd w:id="37"/>
    <w:p>
      <w:pPr>
        <w:ind w:left="-20" w:right="120" w:firstLine="436"/>
        <w:spacing w:after="0" w:line="257" w:lineRule="auto"/>
        <w:tabs>
          <w:tab w:leader="none" w:pos="683"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Agreements to Survive Delivery</w:t>
      </w:r>
      <w:r>
        <w:rPr>
          <w:rFonts w:ascii="Arial" w:cs="Arial" w:eastAsia="Arial" w:hAnsi="Arial"/>
          <w:sz w:val="18"/>
          <w:szCs w:val="18"/>
          <w:color w:val="auto"/>
        </w:rPr>
        <w:t xml:space="preserve">. The indemnity and contribution agreements contained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this Agreement and all representations and warranties of the Company herein or in certificates delivered pursuant hereto shall survive, as of their respective dates, regardless of (i) any investigation made by or on behalf of any Agent, any controlling persons, or the Company (or any of their respective officers, directors, employees or controlling persons), (ii) delivery and acceptance of the Placement Shares and payment therefor or (iii) any termination of this Agreement.</w:t>
      </w:r>
    </w:p>
    <w:p>
      <w:pPr>
        <w:spacing w:after="0" w:line="187" w:lineRule="exact"/>
        <w:rPr>
          <w:rFonts w:ascii="Arial" w:cs="Arial" w:eastAsia="Arial" w:hAnsi="Arial"/>
          <w:sz w:val="18"/>
          <w:szCs w:val="18"/>
          <w:color w:val="auto"/>
        </w:rPr>
      </w:pPr>
    </w:p>
    <w:p>
      <w:pPr>
        <w:ind w:left="680" w:hanging="264"/>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987"/>
        <w:spacing w:after="0" w:line="285" w:lineRule="auto"/>
        <w:tabs>
          <w:tab w:leader="none" w:pos="1216"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An Agent may terminate this Agreement with respect to itself,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properties, earnings, results of operations or prospects of the Company and its subsidiaries considered as one enterprise, whether or not arising in the ordinary course of business, which individually or in the aggregate, in the sole judgment of such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(Payment of Expenses),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(Indemnification and Contribution),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(Representations and Agreements to Survive Delivery),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(Governing Law and Time; Waiver of Jury Trial) and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(Consent to Jurisdiction) hereof shall remain in full force and effect notwithstanding such termination. If an Agent elects to terminate this Agreement as provided in this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such Agent shall provide the required notice as specified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(Notices). For the avoidance of doubt, the termination by one Agent of its rights and obligations under this Agreement pursuant to this Section 12(a) shall not affect the rights and obligations of the other Agent under this Agreement.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460" w:top="274" w:right="479" w:bottom="1440" w:gutter="0" w:footer="0" w:header="0"/>
        </w:sectPr>
      </w:pPr>
    </w:p>
    <w:bookmarkStart w:id="38" w:name="page39"/>
    <w:bookmarkEnd w:id="38"/>
    <w:p>
      <w:pPr>
        <w:ind w:right="40" w:firstLine="987"/>
        <w:spacing w:after="0" w:line="311" w:lineRule="auto"/>
        <w:tabs>
          <w:tab w:leader="none" w:pos="1246" w:val="left"/>
        </w:tabs>
        <w:numPr>
          <w:ilvl w:val="1"/>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hereof shall remain in full force and effect notwithstanding such termination.</w:t>
      </w:r>
    </w:p>
    <w:p>
      <w:pPr>
        <w:spacing w:after="0" w:line="148" w:lineRule="exact"/>
        <w:rPr>
          <w:rFonts w:ascii="Arial" w:cs="Arial" w:eastAsia="Arial" w:hAnsi="Arial"/>
          <w:sz w:val="16"/>
          <w:szCs w:val="16"/>
          <w:color w:val="auto"/>
        </w:rPr>
      </w:pPr>
    </w:p>
    <w:p>
      <w:pPr>
        <w:ind w:firstLine="987"/>
        <w:spacing w:after="0" w:line="296" w:lineRule="auto"/>
        <w:tabs>
          <w:tab w:leader="none" w:pos="1236"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Each of the Agents shall have the right, by giving ten (10) days’ notice as hereinafter specified to terminate this Agreement in its sole discretion at any time after the date of this Agreement, with respect to such Agent’s rights and obligations under this Agreement. Any such termination shall be without liability of any party to any other party except that the provisions of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hereof shall remain in full force and effect notwithstanding such termination. For the avoidance of doubt, the termination by one Agent of its rights and obligations under this Agreement pursuant to this Section 12(c) shall not affect the rights and obligations of the other Agent under this Agreement.</w:t>
      </w:r>
    </w:p>
    <w:p>
      <w:pPr>
        <w:spacing w:after="0" w:line="161" w:lineRule="exact"/>
        <w:rPr>
          <w:rFonts w:ascii="Arial" w:cs="Arial" w:eastAsia="Arial" w:hAnsi="Arial"/>
          <w:sz w:val="16"/>
          <w:szCs w:val="16"/>
          <w:color w:val="auto"/>
        </w:rPr>
      </w:pPr>
    </w:p>
    <w:p>
      <w:pPr>
        <w:ind w:firstLine="987"/>
        <w:spacing w:after="0" w:line="279" w:lineRule="auto"/>
        <w:tabs>
          <w:tab w:leader="none" w:pos="1246" w:val="left"/>
        </w:tabs>
        <w:numPr>
          <w:ilvl w:val="1"/>
          <w:numId w:val="45"/>
        </w:numPr>
        <w:rPr>
          <w:rFonts w:ascii="Arial" w:cs="Arial" w:eastAsia="Arial" w:hAnsi="Arial"/>
          <w:sz w:val="17"/>
          <w:szCs w:val="17"/>
          <w:color w:val="auto"/>
        </w:rPr>
      </w:pPr>
      <w:r>
        <w:rPr>
          <w:rFonts w:ascii="Arial" w:cs="Arial" w:eastAsia="Arial" w:hAnsi="Arial"/>
          <w:sz w:val="17"/>
          <w:szCs w:val="17"/>
          <w:color w:val="auto"/>
        </w:rPr>
        <w:t xml:space="preserve">This Agreement shall remain in full force and effect unless (i) automatically terminated upon the issuance and sale of all the Placement Shares through the Agents on the terms and subject to the conditions set forth here, (ii) terminated pursuant to </w:t>
      </w:r>
      <w:r>
        <w:rPr>
          <w:rFonts w:ascii="Arial" w:cs="Arial" w:eastAsia="Arial" w:hAnsi="Arial"/>
          <w:sz w:val="17"/>
          <w:szCs w:val="17"/>
          <w:u w:val="single" w:color="auto"/>
          <w:color w:val="auto"/>
        </w:rPr>
        <w:t>Sections 12(a)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above or otherwise by mutual agreement of the parties;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each case any such termination by mutual agreement shall in all cases be deemed to provide that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shall remain in full force and effect.</w:t>
      </w:r>
    </w:p>
    <w:p>
      <w:pPr>
        <w:spacing w:after="0" w:line="171" w:lineRule="exact"/>
        <w:rPr>
          <w:rFonts w:ascii="Arial" w:cs="Arial" w:eastAsia="Arial" w:hAnsi="Arial"/>
          <w:sz w:val="17"/>
          <w:szCs w:val="17"/>
          <w:color w:val="auto"/>
        </w:rPr>
      </w:pPr>
    </w:p>
    <w:p>
      <w:pPr>
        <w:ind w:right="120" w:firstLine="987"/>
        <w:spacing w:after="0" w:line="259" w:lineRule="auto"/>
        <w:tabs>
          <w:tab w:leader="none" w:pos="1236"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Any termination of this Agreement shall be effective on the date specified in such notice of 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termination shall not be effective until the close of business on the date of receipt of such notice by an Agent or the Company, as the case may be. If such termination shall occur prior to the Settlement Date for any sale of Placement Shares, such Placement Shares shall settle in accordance with the provisions of this Agreement.</w:t>
      </w:r>
    </w:p>
    <w:p>
      <w:pPr>
        <w:spacing w:after="0" w:line="186" w:lineRule="exact"/>
        <w:rPr>
          <w:rFonts w:ascii="Arial" w:cs="Arial" w:eastAsia="Arial" w:hAnsi="Arial"/>
          <w:sz w:val="18"/>
          <w:szCs w:val="18"/>
          <w:color w:val="auto"/>
        </w:rPr>
      </w:pPr>
    </w:p>
    <w:p>
      <w:pPr>
        <w:ind w:right="240" w:firstLine="436"/>
        <w:spacing w:after="0" w:line="263" w:lineRule="auto"/>
        <w:tabs>
          <w:tab w:leader="none" w:pos="71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required or permitted to be given by any party to any other party pursuant to the terms of this Agreement shall be in writing (including by electronic communication, if applicable), unless otherwise specified, and if sent to the Agents, shall be delivered to:</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Cantor Fitzgerald &amp; Co.</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499 Park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10022</w:t>
      </w:r>
    </w:p>
    <w:p>
      <w:pPr>
        <w:spacing w:after="0" w:line="4"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auto"/>
              </w:rPr>
              <w:t>Attention:</w:t>
            </w:r>
          </w:p>
        </w:tc>
        <w:tc>
          <w:tcPr>
            <w:tcW w:w="1680" w:type="dxa"/>
            <w:vAlign w:val="bottom"/>
          </w:tcPr>
          <w:p>
            <w:pPr>
              <w:spacing w:after="0"/>
              <w:rPr>
                <w:sz w:val="20"/>
                <w:szCs w:val="20"/>
                <w:color w:val="auto"/>
              </w:rPr>
            </w:pPr>
            <w:r>
              <w:rPr>
                <w:rFonts w:ascii="Arial" w:cs="Arial" w:eastAsia="Arial" w:hAnsi="Arial"/>
                <w:sz w:val="18"/>
                <w:szCs w:val="18"/>
                <w:color w:val="auto"/>
              </w:rPr>
              <w:t>Capital Markets</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Facsimile:</w:t>
            </w:r>
          </w:p>
        </w:tc>
        <w:tc>
          <w:tcPr>
            <w:tcW w:w="1680" w:type="dxa"/>
            <w:vAlign w:val="bottom"/>
          </w:tcPr>
          <w:p>
            <w:pPr>
              <w:spacing w:after="0"/>
              <w:rPr>
                <w:sz w:val="20"/>
                <w:szCs w:val="20"/>
                <w:color w:val="auto"/>
              </w:rPr>
            </w:pPr>
            <w:r>
              <w:rPr>
                <w:rFonts w:ascii="Arial" w:cs="Arial" w:eastAsia="Arial" w:hAnsi="Arial"/>
                <w:sz w:val="18"/>
                <w:szCs w:val="18"/>
                <w:color w:val="auto"/>
              </w:rPr>
              <w:t>(212) 829-4708</w:t>
            </w:r>
          </w:p>
        </w:tc>
      </w:tr>
      <w:tr>
        <w:trPr>
          <w:trHeight w:val="190"/>
        </w:trPr>
        <w:tc>
          <w:tcPr>
            <w:tcW w:w="1200" w:type="dxa"/>
            <w:vAlign w:val="bottom"/>
          </w:tcPr>
          <w:p>
            <w:pPr>
              <w:spacing w:after="0" w:line="190" w:lineRule="exact"/>
              <w:rPr>
                <w:sz w:val="20"/>
                <w:szCs w:val="20"/>
                <w:color w:val="auto"/>
              </w:rPr>
            </w:pPr>
            <w:r>
              <w:rPr>
                <w:rFonts w:ascii="Arial" w:cs="Arial" w:eastAsia="Arial" w:hAnsi="Arial"/>
                <w:sz w:val="18"/>
                <w:szCs w:val="18"/>
                <w:color w:val="auto"/>
              </w:rPr>
              <w:t>Email:</w:t>
            </w:r>
          </w:p>
        </w:tc>
        <w:tc>
          <w:tcPr>
            <w:tcW w:w="16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8"/>
              </w:rPr>
              <w:t>sage.kelly@cantor.com</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Cantor Fitzgerald &amp; Co.</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499 Park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980"/>
        <w:spacing w:after="0"/>
        <w:tabs>
          <w:tab w:leader="none" w:pos="21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980"/>
        <w:spacing w:after="0"/>
        <w:tabs>
          <w:tab w:leader="none" w:pos="21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829-4708</w:t>
      </w:r>
    </w:p>
    <w:p>
      <w:pPr>
        <w:spacing w:after="0" w:line="9" w:lineRule="exact"/>
        <w:rPr>
          <w:sz w:val="20"/>
          <w:szCs w:val="20"/>
          <w:color w:val="auto"/>
        </w:rPr>
      </w:pPr>
    </w:p>
    <w:p>
      <w:pPr>
        <w:ind w:left="980"/>
        <w:spacing w:after="0"/>
        <w:tabs>
          <w:tab w:leader="none" w:pos="21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#legal-IBD@cantor.com</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40" w:top="274" w:right="49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10010</w:t>
      </w:r>
    </w:p>
    <w:p>
      <w:pPr>
        <w:spacing w:after="0" w:line="9" w:lineRule="exact"/>
        <w:rPr>
          <w:sz w:val="20"/>
          <w:szCs w:val="20"/>
          <w:color w:val="auto"/>
        </w:rPr>
      </w:pPr>
    </w:p>
    <w:p>
      <w:pPr>
        <w:ind w:left="980"/>
        <w:spacing w:after="0"/>
        <w:tabs>
          <w:tab w:leader="none" w:pos="21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325-4296</w:t>
      </w:r>
    </w:p>
    <w:p>
      <w:pPr>
        <w:spacing w:after="0" w:line="9" w:lineRule="exact"/>
        <w:rPr>
          <w:sz w:val="20"/>
          <w:szCs w:val="20"/>
          <w:color w:val="auto"/>
        </w:rPr>
      </w:pPr>
    </w:p>
    <w:p>
      <w:pPr>
        <w:ind w:left="980"/>
        <w:spacing w:after="0"/>
        <w:tabs>
          <w:tab w:leader="none" w:pos="21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IB CM&amp;A Legal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55 Hudson Yards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10001-2157</w:t>
      </w:r>
    </w:p>
    <w:p>
      <w:pPr>
        <w:spacing w:after="0" w:line="4"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auto"/>
              </w:rPr>
              <w:t>Attention:</w:t>
            </w:r>
          </w:p>
        </w:tc>
        <w:tc>
          <w:tcPr>
            <w:tcW w:w="1760" w:type="dxa"/>
            <w:vAlign w:val="bottom"/>
            <w:gridSpan w:val="2"/>
          </w:tcPr>
          <w:p>
            <w:pPr>
              <w:spacing w:after="0"/>
              <w:rPr>
                <w:sz w:val="20"/>
                <w:szCs w:val="20"/>
                <w:color w:val="auto"/>
              </w:rPr>
            </w:pPr>
            <w:r>
              <w:rPr>
                <w:rFonts w:ascii="Arial" w:cs="Arial" w:eastAsia="Arial" w:hAnsi="Arial"/>
                <w:sz w:val="18"/>
                <w:szCs w:val="18"/>
                <w:color w:val="auto"/>
                <w:w w:val="91"/>
              </w:rPr>
              <w:t>Daniel I. Goldberg, Esq.</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Facsimile:</w:t>
            </w:r>
          </w:p>
        </w:tc>
        <w:tc>
          <w:tcPr>
            <w:tcW w:w="1720" w:type="dxa"/>
            <w:vAlign w:val="bottom"/>
          </w:tcPr>
          <w:p>
            <w:pPr>
              <w:spacing w:after="0"/>
              <w:rPr>
                <w:sz w:val="20"/>
                <w:szCs w:val="20"/>
                <w:color w:val="auto"/>
              </w:rPr>
            </w:pPr>
            <w:r>
              <w:rPr>
                <w:rFonts w:ascii="Arial" w:cs="Arial" w:eastAsia="Arial" w:hAnsi="Arial"/>
                <w:sz w:val="18"/>
                <w:szCs w:val="18"/>
                <w:color w:val="auto"/>
              </w:rPr>
              <w:t>(212) 479-6275</w:t>
            </w:r>
          </w:p>
        </w:tc>
        <w:tc>
          <w:tcPr>
            <w:tcW w:w="40" w:type="dxa"/>
            <w:vAlign w:val="bottom"/>
          </w:tcPr>
          <w:p>
            <w:pPr>
              <w:spacing w:after="0"/>
              <w:rPr>
                <w:sz w:val="18"/>
                <w:szCs w:val="18"/>
                <w:color w:val="auto"/>
              </w:rPr>
            </w:pPr>
          </w:p>
        </w:tc>
      </w:tr>
      <w:tr>
        <w:trPr>
          <w:trHeight w:val="190"/>
        </w:trPr>
        <w:tc>
          <w:tcPr>
            <w:tcW w:w="1200" w:type="dxa"/>
            <w:vAlign w:val="bottom"/>
          </w:tcPr>
          <w:p>
            <w:pPr>
              <w:spacing w:after="0" w:line="190" w:lineRule="exact"/>
              <w:rPr>
                <w:sz w:val="20"/>
                <w:szCs w:val="20"/>
                <w:color w:val="auto"/>
              </w:rPr>
            </w:pPr>
            <w:r>
              <w:rPr>
                <w:rFonts w:ascii="Arial" w:cs="Arial" w:eastAsia="Arial" w:hAnsi="Arial"/>
                <w:sz w:val="18"/>
                <w:szCs w:val="18"/>
                <w:color w:val="auto"/>
              </w:rPr>
              <w:t>Email:</w:t>
            </w:r>
          </w:p>
        </w:tc>
        <w:tc>
          <w:tcPr>
            <w:tcW w:w="17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dgoldberg@cooley.com</w:t>
            </w:r>
          </w:p>
        </w:tc>
        <w:tc>
          <w:tcPr>
            <w:tcW w:w="40" w:type="dxa"/>
            <w:vAlign w:val="bottom"/>
          </w:tcPr>
          <w:p>
            <w:pPr>
              <w:spacing w:after="0"/>
              <w:rPr>
                <w:sz w:val="16"/>
                <w:szCs w:val="16"/>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and if to the Company, shall be delivered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ALX Oncology Holdings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323 Allerton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Peter Garcia</w:t>
      </w:r>
    </w:p>
    <w:p>
      <w:pPr>
        <w:spacing w:after="0" w:line="9" w:lineRule="exact"/>
        <w:rPr>
          <w:sz w:val="20"/>
          <w:szCs w:val="20"/>
          <w:color w:val="auto"/>
        </w:rPr>
      </w:pPr>
    </w:p>
    <w:p>
      <w:pPr>
        <w:ind w:left="980"/>
        <w:spacing w:after="0"/>
        <w:tabs>
          <w:tab w:leader="none" w:pos="21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(650) 466-7138</w:t>
      </w:r>
    </w:p>
    <w:p>
      <w:pPr>
        <w:spacing w:after="0" w:line="9" w:lineRule="exact"/>
        <w:rPr>
          <w:sz w:val="20"/>
          <w:szCs w:val="20"/>
          <w:color w:val="auto"/>
        </w:rPr>
      </w:pPr>
    </w:p>
    <w:p>
      <w:pPr>
        <w:ind w:left="980"/>
        <w:spacing w:after="0"/>
        <w:tabs>
          <w:tab w:leader="none" w:pos="21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peter@alxoncology.com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Wilson Sonsini Goodrich &amp; Rosati, Professional Corporation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Palo Alto, California 94304</w:t>
      </w:r>
    </w:p>
    <w:p>
      <w:pPr>
        <w:spacing w:after="0" w:line="9" w:lineRule="exact"/>
        <w:rPr>
          <w:sz w:val="20"/>
          <w:szCs w:val="20"/>
          <w:color w:val="auto"/>
        </w:rPr>
      </w:pPr>
    </w:p>
    <w:p>
      <w:pPr>
        <w:ind w:left="980"/>
        <w:spacing w:after="0"/>
        <w:tabs>
          <w:tab w:leader="none" w:pos="21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Kenneth Clark and Michael Coke</w:t>
      </w:r>
    </w:p>
    <w:p>
      <w:pPr>
        <w:spacing w:after="0" w:line="9" w:lineRule="exact"/>
        <w:rPr>
          <w:sz w:val="20"/>
          <w:szCs w:val="20"/>
          <w:color w:val="auto"/>
        </w:rPr>
      </w:pPr>
    </w:p>
    <w:p>
      <w:pPr>
        <w:ind w:left="980"/>
        <w:spacing w:after="0"/>
        <w:tabs>
          <w:tab w:leader="none" w:pos="21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(650) 493-6811</w:t>
      </w:r>
    </w:p>
    <w:p>
      <w:pPr>
        <w:spacing w:after="0" w:line="9" w:lineRule="exact"/>
        <w:rPr>
          <w:sz w:val="20"/>
          <w:szCs w:val="20"/>
          <w:color w:val="auto"/>
        </w:rPr>
      </w:pPr>
    </w:p>
    <w:p>
      <w:pPr>
        <w:ind w:left="980"/>
        <w:spacing w:after="0"/>
        <w:tabs>
          <w:tab w:leader="none" w:pos="21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mcoke@wsgr.com</w:t>
      </w:r>
    </w:p>
    <w:p>
      <w:pPr>
        <w:spacing w:after="0" w:line="211"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Each party to this Agreement may change such address for notices by sending to the parties to this Agreement written notice of a new address for such purpose. Each such notice or other communication shall be deemed given (i) when delivered personally, by verifiable facsimile transmission (with an original to follow) or by Electronic Notice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Arial" w:cs="Arial" w:eastAsia="Arial" w:hAnsi="Arial"/>
          <w:sz w:val="16"/>
          <w:szCs w:val="16"/>
          <w:b w:val="1"/>
          <w:bCs w:val="1"/>
          <w:u w:val="single" w:color="auto"/>
          <w:color w:val="auto"/>
        </w:rPr>
        <w:t>Business Day</w:t>
      </w:r>
      <w:r>
        <w:rPr>
          <w:rFonts w:ascii="Arial" w:cs="Arial" w:eastAsia="Arial" w:hAnsi="Arial"/>
          <w:sz w:val="16"/>
          <w:szCs w:val="16"/>
          <w:color w:val="auto"/>
        </w:rPr>
        <w:t>” shall mean any day on which the Exchange and commercial banks in the City of New York are open for business.</w:t>
      </w:r>
    </w:p>
    <w:p>
      <w:pPr>
        <w:spacing w:after="0" w:line="160"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An electronic communication (“</w:t>
      </w:r>
      <w:r>
        <w:rPr>
          <w:rFonts w:ascii="Arial" w:cs="Arial" w:eastAsia="Arial" w:hAnsi="Arial"/>
          <w:sz w:val="18"/>
          <w:szCs w:val="18"/>
          <w:b w:val="1"/>
          <w:bCs w:val="1"/>
          <w:u w:val="single" w:color="auto"/>
          <w:color w:val="auto"/>
        </w:rPr>
        <w:t>Electronic Notice</w:t>
      </w:r>
      <w:r>
        <w:rPr>
          <w:rFonts w:ascii="Arial" w:cs="Arial" w:eastAsia="Arial" w:hAnsi="Arial"/>
          <w:sz w:val="18"/>
          <w:szCs w:val="18"/>
          <w:color w:val="auto"/>
        </w:rPr>
        <w:t>”) shall be deemed written notice for purposes of this Section 13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Arial" w:cs="Arial" w:eastAsia="Arial" w:hAnsi="Arial"/>
          <w:sz w:val="18"/>
          <w:szCs w:val="18"/>
          <w:b w:val="1"/>
          <w:bCs w:val="1"/>
          <w:u w:val="single" w:color="auto"/>
          <w:color w:val="auto"/>
        </w:rPr>
        <w:t>Nonelectronic Notic</w:t>
      </w:r>
      <w:r>
        <w:rPr>
          <w:rFonts w:ascii="Arial" w:cs="Arial" w:eastAsia="Arial" w:hAnsi="Arial"/>
          <w:sz w:val="18"/>
          <w:szCs w:val="18"/>
          <w:b w:val="1"/>
          <w:bCs w:val="1"/>
          <w:color w:val="auto"/>
        </w:rPr>
        <w:t>e</w:t>
      </w:r>
      <w:r>
        <w:rPr>
          <w:rFonts w:ascii="Arial" w:cs="Arial" w:eastAsia="Arial" w:hAnsi="Arial"/>
          <w:sz w:val="18"/>
          <w:szCs w:val="18"/>
          <w:color w:val="auto"/>
        </w:rPr>
        <w:t>”) which shall be sent to the requesting party within ten (10) days of receipt of the written request for Nonelectronic Notice.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40" w:name="page41"/>
    <w:bookmarkEnd w:id="40"/>
    <w:p>
      <w:pPr>
        <w:ind w:firstLine="436"/>
        <w:spacing w:after="0" w:line="254" w:lineRule="auto"/>
        <w:tabs>
          <w:tab w:leader="none" w:pos="71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Successors and Assigns</w:t>
      </w:r>
      <w:r>
        <w:rPr>
          <w:rFonts w:ascii="Arial" w:cs="Arial" w:eastAsia="Arial" w:hAnsi="Arial"/>
          <w:sz w:val="18"/>
          <w:szCs w:val="18"/>
          <w:color w:val="auto"/>
        </w:rPr>
        <w:t xml:space="preserve">. This Agreement shall inure to the benefit of and be binding upon the Company and the Agents and their respective successors and the parties referred to in Section 10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 Agent may assign its rights and obligations hereunder to an affiliate thereof without obtaining the Company’s consent.</w:t>
      </w:r>
    </w:p>
    <w:p>
      <w:pPr>
        <w:spacing w:after="0" w:line="194" w:lineRule="exact"/>
        <w:rPr>
          <w:rFonts w:ascii="Arial" w:cs="Arial" w:eastAsia="Arial" w:hAnsi="Arial"/>
          <w:sz w:val="18"/>
          <w:szCs w:val="18"/>
          <w:color w:val="auto"/>
        </w:rPr>
      </w:pPr>
    </w:p>
    <w:p>
      <w:pPr>
        <w:ind w:right="120" w:firstLine="436"/>
        <w:spacing w:after="0" w:line="277" w:lineRule="auto"/>
        <w:tabs>
          <w:tab w:leader="none" w:pos="71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Adjustments for Stock Splits</w:t>
      </w:r>
      <w:r>
        <w:rPr>
          <w:rFonts w:ascii="Arial" w:cs="Arial" w:eastAsia="Arial" w:hAnsi="Arial"/>
          <w:sz w:val="18"/>
          <w:szCs w:val="18"/>
          <w:color w:val="auto"/>
        </w:rPr>
        <w:t>. The parties acknowledge and agree that all share-related numbers contained in this Agreement shall be adjusted to take into account any stock split, stock dividend or similar event effected with respect to the Placement Shares.</w:t>
      </w:r>
    </w:p>
    <w:p>
      <w:pPr>
        <w:spacing w:after="0" w:line="170" w:lineRule="exact"/>
        <w:rPr>
          <w:rFonts w:ascii="Arial" w:cs="Arial" w:eastAsia="Arial" w:hAnsi="Arial"/>
          <w:sz w:val="18"/>
          <w:szCs w:val="18"/>
          <w:color w:val="auto"/>
        </w:rPr>
      </w:pPr>
    </w:p>
    <w:p>
      <w:pPr>
        <w:ind w:right="40" w:firstLine="436"/>
        <w:spacing w:after="0" w:line="269" w:lineRule="auto"/>
        <w:tabs>
          <w:tab w:leader="none" w:pos="71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Entire Agreement; Amendment; Severability; Waiver</w:t>
      </w:r>
      <w:r>
        <w:rPr>
          <w:rFonts w:ascii="Arial" w:cs="Arial" w:eastAsia="Arial" w:hAnsi="Arial"/>
          <w:sz w:val="17"/>
          <w:szCs w:val="17"/>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each of the Agents.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77" w:lineRule="exact"/>
        <w:rPr>
          <w:rFonts w:ascii="Arial" w:cs="Arial" w:eastAsia="Arial" w:hAnsi="Arial"/>
          <w:sz w:val="17"/>
          <w:szCs w:val="17"/>
          <w:color w:val="auto"/>
        </w:rPr>
      </w:pPr>
    </w:p>
    <w:p>
      <w:pPr>
        <w:ind w:right="160" w:firstLine="436"/>
        <w:spacing w:after="0" w:line="256" w:lineRule="auto"/>
        <w:tabs>
          <w:tab w:leader="none" w:pos="71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AND TIME; WAIVER OF JURY TRIAL</w:t>
      </w:r>
      <w:r>
        <w:rPr>
          <w:rFonts w:ascii="Arial" w:cs="Arial" w:eastAsia="Arial" w:hAnsi="Arial"/>
          <w:sz w:val="18"/>
          <w:szCs w:val="18"/>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41" w:name="page42"/>
    <w:bookmarkEnd w:id="41"/>
    <w:p>
      <w:pPr>
        <w:ind w:firstLine="436"/>
        <w:spacing w:after="0" w:line="269" w:lineRule="auto"/>
        <w:tabs>
          <w:tab w:leader="none" w:pos="710" w:val="left"/>
        </w:tabs>
        <w:numPr>
          <w:ilvl w:val="0"/>
          <w:numId w:val="48"/>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 TO JURISDICTION</w:t>
      </w:r>
      <w:r>
        <w:rPr>
          <w:rFonts w:ascii="Arial" w:cs="Arial" w:eastAsia="Arial" w:hAnsi="Arial"/>
          <w:sz w:val="17"/>
          <w:szCs w:val="17"/>
          <w:b w:val="1"/>
          <w:bCs w:val="1"/>
          <w:color w:val="auto"/>
        </w:rPr>
        <w:t xml:space="preserve">. EACH PARTY HEREBY IRREVOCABLY SUBMITS TO THE EXCLUSIVE JURISDICTION OF THE STATE AND FEDERAL </w:t>
      </w:r>
      <w:r>
        <w:rPr>
          <w:rFonts w:ascii="Arial" w:cs="Arial" w:eastAsia="Arial" w:hAnsi="Arial"/>
          <w:sz w:val="17"/>
          <w:szCs w:val="17"/>
          <w:color w:val="auto"/>
        </w:rPr>
        <w:t>COURTS SITTING IN THE CITY OF NEW YORK, BOROUGH OF MANHATTAN, FOR THE ADJUDICATION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85" w:lineRule="exact"/>
        <w:rPr>
          <w:rFonts w:ascii="Arial" w:cs="Arial" w:eastAsia="Arial" w:hAnsi="Arial"/>
          <w:sz w:val="17"/>
          <w:szCs w:val="17"/>
          <w:color w:val="auto"/>
        </w:rPr>
      </w:pPr>
    </w:p>
    <w:p>
      <w:pPr>
        <w:ind w:right="140" w:firstLine="436"/>
        <w:spacing w:after="0" w:line="259" w:lineRule="auto"/>
        <w:tabs>
          <w:tab w:leader="none" w:pos="71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w:t>
      </w:r>
    </w:p>
    <w:p>
      <w:pPr>
        <w:spacing w:after="0" w:line="186" w:lineRule="exact"/>
        <w:rPr>
          <w:rFonts w:ascii="Arial" w:cs="Arial" w:eastAsia="Arial" w:hAnsi="Arial"/>
          <w:sz w:val="18"/>
          <w:szCs w:val="18"/>
          <w:color w:val="auto"/>
        </w:rPr>
      </w:pPr>
    </w:p>
    <w:p>
      <w:pPr>
        <w:ind w:firstLine="436"/>
        <w:spacing w:after="0" w:line="279" w:lineRule="auto"/>
        <w:tabs>
          <w:tab w:leader="none" w:pos="71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Construction</w:t>
      </w:r>
      <w:r>
        <w:rPr>
          <w:rFonts w:ascii="Arial" w:cs="Arial" w:eastAsia="Arial" w:hAnsi="Arial"/>
          <w:sz w:val="17"/>
          <w:szCs w:val="17"/>
          <w:color w:val="auto"/>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71" w:lineRule="exact"/>
        <w:rPr>
          <w:rFonts w:ascii="Arial" w:cs="Arial" w:eastAsia="Arial" w:hAnsi="Arial"/>
          <w:sz w:val="17"/>
          <w:szCs w:val="17"/>
          <w:color w:val="auto"/>
        </w:rPr>
      </w:pPr>
    </w:p>
    <w:p>
      <w:pPr>
        <w:ind w:firstLine="436"/>
        <w:spacing w:after="0" w:line="289" w:lineRule="auto"/>
        <w:tabs>
          <w:tab w:leader="none" w:pos="71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Permitted Free Writing Prospectuses</w:t>
      </w:r>
      <w:r>
        <w:rPr>
          <w:rFonts w:ascii="Arial" w:cs="Arial" w:eastAsia="Arial" w:hAnsi="Arial"/>
          <w:sz w:val="16"/>
          <w:szCs w:val="16"/>
          <w:color w:val="auto"/>
        </w:rPr>
        <w:t>. The Company represents, warrants and agrees that, unless it obtains the prior written consent, which shall not be unreasonably withheld, conditioned or delayed, of each of the Agents, and each of the Agents represents, warrants and agrees that, unless it obtains the prior written consent of the Company and the other Agent,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Agents or by the Company, as the case may be, is hereinafter referred to as a “</w:t>
      </w:r>
      <w:r>
        <w:rPr>
          <w:rFonts w:ascii="Arial" w:cs="Arial" w:eastAsia="Arial" w:hAnsi="Arial"/>
          <w:sz w:val="16"/>
          <w:szCs w:val="16"/>
          <w:b w:val="1"/>
          <w:bCs w:val="1"/>
          <w:u w:val="single" w:color="auto"/>
          <w:color w:val="auto"/>
        </w:rPr>
        <w:t>Permitted Free Writing Prospectus</w:t>
      </w:r>
      <w:r>
        <w:rPr>
          <w:rFonts w:ascii="Arial" w:cs="Arial" w:eastAsia="Arial" w:hAnsi="Arial"/>
          <w:sz w:val="16"/>
          <w:szCs w:val="16"/>
          <w:color w:val="auto"/>
        </w:rPr>
        <w:t xml:space="preserve">.”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Arial" w:cs="Arial" w:eastAsia="Arial" w:hAnsi="Arial"/>
          <w:sz w:val="16"/>
          <w:szCs w:val="16"/>
          <w:u w:val="single" w:color="auto"/>
          <w:color w:val="auto"/>
        </w:rPr>
        <w:t>Exhibit 21</w:t>
      </w:r>
      <w:r>
        <w:rPr>
          <w:rFonts w:ascii="Arial" w:cs="Arial" w:eastAsia="Arial" w:hAnsi="Arial"/>
          <w:sz w:val="16"/>
          <w:szCs w:val="16"/>
          <w:color w:val="auto"/>
        </w:rPr>
        <w:t xml:space="preserve"> hereto are Permitted Free Writing Prospectuses.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0" w:right="459" w:bottom="1440" w:gutter="0" w:footer="0" w:header="0"/>
        </w:sectPr>
      </w:pPr>
    </w:p>
    <w:bookmarkStart w:id="42" w:name="page43"/>
    <w:bookmarkEnd w:id="42"/>
    <w:p>
      <w:pPr>
        <w:ind w:left="704" w:hanging="264"/>
        <w:spacing w:after="0"/>
        <w:tabs>
          <w:tab w:leader="none" w:pos="70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Fiduciary Relationship</w:t>
      </w:r>
      <w:r>
        <w:rPr>
          <w:rFonts w:ascii="Arial" w:cs="Arial" w:eastAsia="Arial" w:hAnsi="Arial"/>
          <w:sz w:val="18"/>
          <w:szCs w:val="18"/>
          <w:color w:val="auto"/>
        </w:rPr>
        <w:t>. The Company acknowledges and agrees that:</w:t>
      </w:r>
    </w:p>
    <w:p>
      <w:pPr>
        <w:spacing w:after="0" w:line="225" w:lineRule="exact"/>
        <w:rPr>
          <w:rFonts w:ascii="Arial" w:cs="Arial" w:eastAsia="Arial" w:hAnsi="Arial"/>
          <w:sz w:val="18"/>
          <w:szCs w:val="18"/>
          <w:color w:val="auto"/>
        </w:rPr>
      </w:pPr>
    </w:p>
    <w:p>
      <w:pPr>
        <w:ind w:left="4" w:right="180" w:firstLine="987"/>
        <w:spacing w:after="0" w:line="273" w:lineRule="auto"/>
        <w:tabs>
          <w:tab w:leader="none" w:pos="124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each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Agents, on the other hand, has been or will be created in respect of any of the transactions contemplated by this Agreement, irrespective of whether or not such Agent has advised or is advising the Company on other matters, and no Agent has any obligation to the Company with respect to the transactions contemplated by this Agreement except the obligations expressly set forth in this Agreement;</w:t>
      </w:r>
    </w:p>
    <w:p>
      <w:pPr>
        <w:spacing w:after="0" w:line="177" w:lineRule="exact"/>
        <w:rPr>
          <w:rFonts w:ascii="Arial" w:cs="Arial" w:eastAsia="Arial" w:hAnsi="Arial"/>
          <w:sz w:val="17"/>
          <w:szCs w:val="17"/>
          <w:color w:val="auto"/>
        </w:rPr>
      </w:pPr>
    </w:p>
    <w:p>
      <w:pPr>
        <w:ind w:left="4" w:right="740" w:firstLine="987"/>
        <w:spacing w:after="0" w:line="277" w:lineRule="auto"/>
        <w:tabs>
          <w:tab w:leader="none" w:pos="125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it is capable of evaluating and understanding, and understands and accepts, the terms, risks and conditions of the transactions contemplated by this Agreement;</w:t>
      </w:r>
    </w:p>
    <w:p>
      <w:pPr>
        <w:spacing w:after="0" w:line="170" w:lineRule="exact"/>
        <w:rPr>
          <w:rFonts w:ascii="Arial" w:cs="Arial" w:eastAsia="Arial" w:hAnsi="Arial"/>
          <w:sz w:val="18"/>
          <w:szCs w:val="18"/>
          <w:color w:val="auto"/>
        </w:rPr>
      </w:pPr>
    </w:p>
    <w:p>
      <w:pPr>
        <w:jc w:val="both"/>
        <w:ind w:left="4" w:right="380" w:firstLine="987"/>
        <w:spacing w:after="0" w:line="342" w:lineRule="auto"/>
        <w:tabs>
          <w:tab w:leader="none" w:pos="12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neither the Agents nor their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23" w:lineRule="exact"/>
        <w:rPr>
          <w:rFonts w:ascii="Arial" w:cs="Arial" w:eastAsia="Arial" w:hAnsi="Arial"/>
          <w:sz w:val="16"/>
          <w:szCs w:val="16"/>
          <w:color w:val="auto"/>
        </w:rPr>
      </w:pPr>
    </w:p>
    <w:p>
      <w:pPr>
        <w:ind w:left="4" w:right="100" w:firstLine="987"/>
        <w:spacing w:after="0" w:line="263" w:lineRule="auto"/>
        <w:tabs>
          <w:tab w:leader="none" w:pos="125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it is aware that each Agent and their respective affiliates are engaged in a broad range of transactions which may involve interests that differ from those of the Company and the Agents and their affiliates have no obligation to disclose such interests and transactions to the Company by virtue of any fiduciary, advisory or agency relationship or otherwise; and</w:t>
      </w:r>
    </w:p>
    <w:p>
      <w:pPr>
        <w:spacing w:after="0" w:line="183" w:lineRule="exact"/>
        <w:rPr>
          <w:rFonts w:ascii="Arial" w:cs="Arial" w:eastAsia="Arial" w:hAnsi="Arial"/>
          <w:sz w:val="18"/>
          <w:szCs w:val="18"/>
          <w:color w:val="auto"/>
        </w:rPr>
      </w:pPr>
    </w:p>
    <w:p>
      <w:pPr>
        <w:jc w:val="both"/>
        <w:ind w:left="4" w:right="40" w:firstLine="987"/>
        <w:spacing w:after="0" w:line="279" w:lineRule="auto"/>
        <w:tabs>
          <w:tab w:leader="none" w:pos="1240" w:val="left"/>
        </w:tabs>
        <w:numPr>
          <w:ilvl w:val="1"/>
          <w:numId w:val="49"/>
        </w:numPr>
        <w:rPr>
          <w:rFonts w:ascii="Arial" w:cs="Arial" w:eastAsia="Arial" w:hAnsi="Arial"/>
          <w:sz w:val="17"/>
          <w:szCs w:val="17"/>
          <w:color w:val="auto"/>
        </w:rPr>
      </w:pPr>
      <w:r>
        <w:rPr>
          <w:rFonts w:ascii="Arial" w:cs="Arial" w:eastAsia="Arial" w:hAnsi="Arial"/>
          <w:sz w:val="17"/>
          <w:szCs w:val="17"/>
          <w:color w:val="auto"/>
        </w:rPr>
        <w:t>it waives, to the fullest extent permitted by law, any claims it may have against an Agent or its affiliates for breach of fiduciary duty or alleged breach of fiduciary duty in connection with the sale of Placement Shares under this Agreement and agrees that such Agent and its affiliates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171" w:lineRule="exact"/>
        <w:rPr>
          <w:rFonts w:ascii="Arial" w:cs="Arial" w:eastAsia="Arial" w:hAnsi="Arial"/>
          <w:sz w:val="17"/>
          <w:szCs w:val="17"/>
          <w:color w:val="auto"/>
        </w:rPr>
      </w:pPr>
    </w:p>
    <w:p>
      <w:pPr>
        <w:ind w:left="704" w:hanging="264"/>
        <w:spacing w:after="0"/>
        <w:tabs>
          <w:tab w:leader="none" w:pos="70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have the respective meanings set forth below:</w:t>
      </w:r>
    </w:p>
    <w:p>
      <w:pPr>
        <w:spacing w:after="0" w:line="221" w:lineRule="exact"/>
        <w:rPr>
          <w:sz w:val="20"/>
          <w:szCs w:val="20"/>
          <w:color w:val="auto"/>
        </w:rPr>
      </w:pPr>
    </w:p>
    <w:p>
      <w:pPr>
        <w:ind w:left="4" w:right="5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Applicable Time</w:t>
      </w:r>
      <w:r>
        <w:rPr>
          <w:rFonts w:ascii="Arial" w:cs="Arial" w:eastAsia="Arial" w:hAnsi="Arial"/>
          <w:sz w:val="18"/>
          <w:szCs w:val="18"/>
          <w:color w:val="auto"/>
        </w:rPr>
        <w:t>” means (i) each Representation Date, (ii) the time of each sale of any Placement Shares pursuant to this Agreement and (iii) each Settlement Date.</w:t>
      </w:r>
    </w:p>
    <w:p>
      <w:pPr>
        <w:spacing w:after="0" w:line="162" w:lineRule="exact"/>
        <w:rPr>
          <w:sz w:val="20"/>
          <w:szCs w:val="20"/>
          <w:color w:val="auto"/>
        </w:rPr>
      </w:pPr>
    </w:p>
    <w:p>
      <w:pPr>
        <w:ind w:left="4" w:right="46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Governmental Authority</w:t>
      </w:r>
      <w:r>
        <w:rPr>
          <w:rFonts w:ascii="Arial" w:cs="Arial" w:eastAsia="Arial" w:hAnsi="Arial"/>
          <w:sz w:val="16"/>
          <w:szCs w:val="16"/>
          <w:color w:val="auto"/>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142" w:lineRule="exact"/>
        <w:rPr>
          <w:sz w:val="20"/>
          <w:szCs w:val="20"/>
          <w:color w:val="auto"/>
        </w:rPr>
      </w:pPr>
    </w:p>
    <w:p>
      <w:pPr>
        <w:jc w:val="both"/>
        <w:ind w:left="4"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Issuer Free Writing Prospectus</w:t>
      </w:r>
      <w:r>
        <w:rPr>
          <w:rFonts w:ascii="Arial" w:cs="Arial" w:eastAsia="Arial" w:hAnsi="Arial"/>
          <w:sz w:val="16"/>
          <w:szCs w:val="16"/>
          <w:color w:val="auto"/>
        </w:rPr>
        <w:t>” means any “issuer free writing prospectus,” as defined in Rule 433, relating to the Placement Shares that (1) is required to be filed with the Commission by the Company, (2) is a “road show” that is a “written communication” within the meaning of Rule 433(d)(8)</w:t>
      </w:r>
    </w:p>
    <w:p>
      <w:pPr>
        <w:spacing w:after="0" w:line="1" w:lineRule="exact"/>
        <w:rPr>
          <w:sz w:val="20"/>
          <w:szCs w:val="20"/>
          <w:color w:val="auto"/>
        </w:rPr>
      </w:pPr>
    </w:p>
    <w:p>
      <w:pPr>
        <w:ind w:left="4" w:right="40" w:hanging="4"/>
        <w:spacing w:after="0" w:line="277" w:lineRule="auto"/>
        <w:tabs>
          <w:tab w:leader="none" w:pos="219" w:val="left"/>
        </w:tabs>
        <w:numPr>
          <w:ilvl w:val="0"/>
          <w:numId w:val="50"/>
        </w:numPr>
        <w:rPr>
          <w:rFonts w:ascii="Arial" w:cs="Arial" w:eastAsia="Arial" w:hAnsi="Arial"/>
          <w:sz w:val="17"/>
          <w:szCs w:val="17"/>
          <w:color w:val="auto"/>
        </w:rPr>
      </w:pPr>
      <w:r>
        <w:rPr>
          <w:rFonts w:ascii="Arial" w:cs="Arial" w:eastAsia="Arial" w:hAnsi="Arial"/>
          <w:sz w:val="17"/>
          <w:szCs w:val="17"/>
          <w:color w:val="auto"/>
        </w:rPr>
        <w:t>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w:t>
      </w:r>
    </w:p>
    <w:p>
      <w:pPr>
        <w:spacing w:after="0" w:line="10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4"/>
          </w:cols>
          <w:pgMar w:left="436" w:top="274" w:right="479" w:bottom="1440" w:gutter="0" w:footer="0" w:header="0"/>
        </w:sectPr>
      </w:pPr>
    </w:p>
    <w:bookmarkStart w:id="43" w:name="page44"/>
    <w:bookmarkEnd w:id="43"/>
    <w:p>
      <w:pPr>
        <w:ind w:right="5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Rule 164</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Rule 172</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Rule 405</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Rule 415</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Rule 424</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Rule 424(b)</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Rule 430B</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Rule 433</w:t>
      </w:r>
      <w:r>
        <w:rPr>
          <w:rFonts w:ascii="Arial" w:cs="Arial" w:eastAsia="Arial" w:hAnsi="Arial"/>
          <w:sz w:val="18"/>
          <w:szCs w:val="18"/>
          <w:color w:val="auto"/>
        </w:rPr>
        <w:t>” refer to such rules under the Securities Act.</w:t>
      </w:r>
    </w:p>
    <w:p>
      <w:pPr>
        <w:spacing w:after="0" w:line="166"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4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Agents outside of the United States.</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Follows</w:t>
      </w:r>
      <w:r>
        <w:rPr>
          <w:rFonts w:ascii="Arial" w:cs="Arial" w:eastAsia="Arial" w:hAnsi="Arial"/>
          <w:sz w:val="18"/>
          <w:szCs w:val="18"/>
          <w:color w:val="auto"/>
        </w:rPr>
        <w:t>]</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40"/>
          </w:cols>
          <w:pgMar w:left="440" w:top="270" w:right="519" w:bottom="1440" w:gutter="0" w:footer="0" w:header="0"/>
        </w:sectPr>
      </w:pPr>
    </w:p>
    <w:bookmarkStart w:id="44" w:name="page45"/>
    <w:bookmarkEnd w:id="4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correctly sets forth the understanding among the Company and the Agents, please so indicate in the space provided below for that purpose, whereupon this letter shall constitute a binding agreement among the Company and the Agents.</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ALX ONCOLOGY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Peter Garcia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ACCEPTED as of the date first-above written: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CANTOR FITZGERALD &amp; CO.</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Sage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Sage Kelly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Senior Managing Director, Global Head of</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Investment Banking</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CREDIT SUISSE SECURITIES (USA)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Andrew E. 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Andrew E. Singer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940"/>
          </w:cols>
          <w:pgMar w:left="440" w:top="274" w:right="519"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Placement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From:</w:t>
            </w: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rPr>
              <w:t>ALX Oncology Holdings Inc.,</w:t>
            </w:r>
          </w:p>
        </w:tc>
      </w:tr>
      <w:tr>
        <w:trPr>
          <w:trHeight w:val="283"/>
        </w:trPr>
        <w:tc>
          <w:tcPr>
            <w:tcW w:w="600" w:type="dxa"/>
            <w:vAlign w:val="bottom"/>
          </w:tcPr>
          <w:p>
            <w:pPr>
              <w:spacing w:after="0"/>
              <w:rPr>
                <w:sz w:val="20"/>
                <w:szCs w:val="20"/>
                <w:color w:val="auto"/>
              </w:rPr>
            </w:pPr>
            <w:r>
              <w:rPr>
                <w:rFonts w:ascii="Arial" w:cs="Arial" w:eastAsia="Arial" w:hAnsi="Arial"/>
                <w:sz w:val="18"/>
                <w:szCs w:val="18"/>
                <w:color w:val="auto"/>
              </w:rPr>
              <w:t>To:</w:t>
            </w:r>
          </w:p>
        </w:tc>
        <w:tc>
          <w:tcPr>
            <w:tcW w:w="3500" w:type="dxa"/>
            <w:vAlign w:val="bottom"/>
            <w:gridSpan w:val="3"/>
          </w:tcPr>
          <w:p>
            <w:pPr>
              <w:ind w:left="140"/>
              <w:spacing w:after="0"/>
              <w:rPr>
                <w:sz w:val="20"/>
                <w:szCs w:val="20"/>
                <w:color w:val="auto"/>
              </w:rPr>
            </w:pPr>
            <w:r>
              <w:rPr>
                <w:rFonts w:ascii="Arial" w:cs="Arial" w:eastAsia="Arial" w:hAnsi="Arial"/>
                <w:sz w:val="18"/>
                <w:szCs w:val="18"/>
                <w:color w:val="auto"/>
                <w:w w:val="91"/>
              </w:rPr>
              <w:t>[Designated Agent] (the “</w:t>
            </w:r>
            <w:r>
              <w:rPr>
                <w:rFonts w:ascii="Arial" w:cs="Arial" w:eastAsia="Arial" w:hAnsi="Arial"/>
                <w:sz w:val="18"/>
                <w:szCs w:val="18"/>
                <w:b w:val="1"/>
                <w:bCs w:val="1"/>
                <w:color w:val="auto"/>
                <w:w w:val="91"/>
              </w:rPr>
              <w:t>Designated Agent</w:t>
            </w:r>
            <w:r>
              <w:rPr>
                <w:rFonts w:ascii="Arial" w:cs="Arial" w:eastAsia="Arial" w:hAnsi="Arial"/>
                <w:sz w:val="18"/>
                <w:szCs w:val="18"/>
                <w:color w:val="auto"/>
                <w:w w:val="91"/>
              </w:rPr>
              <w:t>”)</w:t>
            </w:r>
          </w:p>
        </w:tc>
      </w:tr>
      <w:tr>
        <w:trPr>
          <w:trHeight w:val="237"/>
        </w:trPr>
        <w:tc>
          <w:tcPr>
            <w:tcW w:w="600" w:type="dxa"/>
            <w:vAlign w:val="bottom"/>
          </w:tcPr>
          <w:p>
            <w:pPr>
              <w:spacing w:after="0"/>
              <w:rPr>
                <w:sz w:val="20"/>
                <w:szCs w:val="20"/>
                <w:color w:val="auto"/>
              </w:rPr>
            </w:pPr>
          </w:p>
        </w:tc>
        <w:tc>
          <w:tcPr>
            <w:tcW w:w="2000" w:type="dxa"/>
            <w:vAlign w:val="bottom"/>
          </w:tcPr>
          <w:p>
            <w:pPr>
              <w:ind w:left="140"/>
              <w:spacing w:after="0"/>
              <w:rPr>
                <w:sz w:val="20"/>
                <w:szCs w:val="20"/>
                <w:color w:val="auto"/>
              </w:rPr>
            </w:pPr>
            <w:r>
              <w:rPr>
                <w:rFonts w:ascii="Arial" w:cs="Arial" w:eastAsia="Arial" w:hAnsi="Arial"/>
                <w:sz w:val="18"/>
                <w:szCs w:val="18"/>
                <w:color w:val="auto"/>
              </w:rPr>
              <w:t>Attention: [•]</w:t>
            </w:r>
          </w:p>
        </w:tc>
        <w:tc>
          <w:tcPr>
            <w:tcW w:w="13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bl>
    <w:p>
      <w:pPr>
        <w:spacing w:after="0" w:line="94"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Subject:</w:t>
      </w:r>
      <w:r>
        <w:rPr>
          <w:sz w:val="20"/>
          <w:szCs w:val="20"/>
          <w:color w:val="auto"/>
        </w:rPr>
        <w:tab/>
      </w:r>
      <w:r>
        <w:rPr>
          <w:rFonts w:ascii="Arial" w:cs="Arial" w:eastAsia="Arial" w:hAnsi="Arial"/>
          <w:sz w:val="16"/>
          <w:szCs w:val="16"/>
          <w:color w:val="auto"/>
        </w:rPr>
        <w:t>Placement Notice</w:t>
      </w:r>
    </w:p>
    <w:p>
      <w:pPr>
        <w:spacing w:after="0" w:line="117"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Pursuant to the terms and subject to the conditions contained in the Sales Agreement among ALX Oncology Holdings Inc., a Delaware corporation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Cantor Fitzgerald &amp; Co. and Credit Suisse Securities (USA) LLC (each individually, a “</w:t>
      </w:r>
      <w:r>
        <w:rPr>
          <w:rFonts w:ascii="Arial" w:cs="Arial" w:eastAsia="Arial" w:hAnsi="Arial"/>
          <w:sz w:val="17"/>
          <w:szCs w:val="17"/>
          <w:b w:val="1"/>
          <w:bCs w:val="1"/>
          <w:u w:val="single" w:color="auto"/>
          <w:color w:val="auto"/>
        </w:rPr>
        <w:t>Designated Agent</w:t>
      </w:r>
      <w:r>
        <w:rPr>
          <w:rFonts w:ascii="Arial" w:cs="Arial" w:eastAsia="Arial" w:hAnsi="Arial"/>
          <w:sz w:val="17"/>
          <w:szCs w:val="17"/>
          <w:color w:val="auto"/>
        </w:rPr>
        <w:t>”), dated December 17, 2021, the Company hereby requests that the Designated Agent sell up to [•] of the Company’s common stock, par value $0.001 per share, at a minimum market price of $[•] per share, during the time period beginning [month, day, time] and ending [month, day, time].</w:t>
      </w:r>
    </w:p>
    <w:p>
      <w:pPr>
        <w:sectPr>
          <w:pgSz w:w="11900" w:h="16838" w:orient="portrait"/>
          <w:cols w:equalWidth="0" w:num="1">
            <w:col w:w="10940"/>
          </w:cols>
          <w:pgMar w:left="440" w:top="270" w:right="519" w:bottom="1440" w:gutter="0" w:footer="0" w:header="0"/>
        </w:sectPr>
      </w:pPr>
    </w:p>
    <w:bookmarkStart w:id="46" w:name="page47"/>
    <w:bookmarkEnd w:id="46"/>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Company shall pay to the Designated Agent in cash, upon each sale of Placement Shares pursuant to this Agreement, an amount up to 3.0% of the aggregate gross proceeds from each sale of Placement Shares.</w:t>
      </w:r>
    </w:p>
    <w:p>
      <w:pPr>
        <w:sectPr>
          <w:pgSz w:w="11900" w:h="16838" w:orient="portrait"/>
          <w:cols w:equalWidth="0" w:num="1">
            <w:col w:w="10820"/>
          </w:cols>
          <w:pgMar w:left="440" w:top="270" w:right="639" w:bottom="1440" w:gutter="0" w:footer="0" w:header="0"/>
        </w:sectPr>
      </w:pPr>
    </w:p>
    <w:bookmarkStart w:id="47" w:name="page48"/>
    <w:bookmarkEnd w:id="47"/>
    <w:p>
      <w:pPr>
        <w:jc w:val="right"/>
        <w:ind w:right="39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960"/>
        <w:spacing w:after="0"/>
        <w:rPr>
          <w:sz w:val="20"/>
          <w:szCs w:val="20"/>
          <w:color w:val="auto"/>
        </w:rPr>
      </w:pPr>
      <w:r>
        <w:rPr>
          <w:rFonts w:ascii="Arial" w:cs="Arial" w:eastAsia="Arial" w:hAnsi="Arial"/>
          <w:sz w:val="16"/>
          <w:szCs w:val="16"/>
          <w:b w:val="1"/>
          <w:bCs w:val="1"/>
          <w:color w:val="auto"/>
        </w:rPr>
        <w:t>Notice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263525</wp:posOffset>
            </wp:positionV>
            <wp:extent cx="1474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Peter Garcia (peter@alxoncology.com)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Sameer Vasudev (svasudev@cantor.com)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cfceo@cantor.com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Craig A. Wiele (VMEE 2) (Private Side) craig.wiele@credit-suisse.com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Andy Singer (VMJC) (Private Side) andrew.singer@credit-suisse.com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John F. Hoffman (VMEB 21) (Private Side) john.hoffman@credit-suisse.com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Kevin Builes (VMEB 21) (Private Side) kevin.builes@credit-suisse.com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 Obert (VMJA 2) (Private Side) cy.obert@credit-suisse.com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Gaby S. Coetzee (VMEB 11) (Private Side) gaby.coetzee@credit-suisse.com</w:t>
      </w:r>
    </w:p>
    <w:p>
      <w:pPr>
        <w:sectPr>
          <w:pgSz w:w="11900" w:h="16838" w:orient="portrait"/>
          <w:cols w:equalWidth="0" w:num="1">
            <w:col w:w="10019"/>
          </w:cols>
          <w:pgMar w:left="440" w:top="270" w:right="1440" w:bottom="1440" w:gutter="0" w:footer="0" w:header="0"/>
        </w:sectPr>
      </w:pPr>
    </w:p>
    <w:bookmarkStart w:id="48" w:name="page49"/>
    <w:bookmarkEnd w:id="48"/>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to Exhibit 21 of the Company’s most recently filed Form 10-K.</w:t>
      </w:r>
    </w:p>
    <w:p>
      <w:pPr>
        <w:sectPr>
          <w:pgSz w:w="11900" w:h="16838" w:orient="portrait"/>
          <w:cols w:equalWidth="0" w:num="1">
            <w:col w:w="10019"/>
          </w:cols>
          <w:pgMar w:left="440" w:top="270" w:right="1440" w:bottom="1440" w:gutter="0" w:footer="0" w:header="0"/>
        </w:sectPr>
      </w:pPr>
    </w:p>
    <w:bookmarkStart w:id="49" w:name="page50"/>
    <w:bookmarkEnd w:id="49"/>
    <w:p>
      <w:pPr>
        <w:jc w:val="center"/>
        <w:ind w:right="-10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21</w:t>
      </w:r>
    </w:p>
    <w:p>
      <w:pPr>
        <w:spacing w:after="0" w:line="225" w:lineRule="exact"/>
        <w:rPr>
          <w:sz w:val="20"/>
          <w:szCs w:val="20"/>
          <w:color w:val="auto"/>
        </w:rPr>
      </w:pPr>
    </w:p>
    <w:p>
      <w:pPr>
        <w:jc w:val="right"/>
        <w:ind w:right="3159"/>
        <w:spacing w:after="0"/>
        <w:rPr>
          <w:sz w:val="20"/>
          <w:szCs w:val="20"/>
          <w:color w:val="auto"/>
        </w:rPr>
      </w:pPr>
      <w:r>
        <w:rPr>
          <w:rFonts w:ascii="Arial" w:cs="Arial" w:eastAsia="Arial" w:hAnsi="Arial"/>
          <w:sz w:val="18"/>
          <w:szCs w:val="18"/>
          <w:b w:val="1"/>
          <w:bCs w:val="1"/>
          <w:color w:val="auto"/>
        </w:rPr>
        <w:t>Permitted Free Writing Prospectus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19"/>
          </w:cols>
          <w:pgMar w:left="440" w:top="270"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320165" cy="5746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20165" cy="57467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Palo Alto, California 94304-1050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O</w:t>
      </w:r>
      <w:r>
        <w:rPr>
          <w:rFonts w:ascii="Arial" w:cs="Arial" w:eastAsia="Arial" w:hAnsi="Arial"/>
          <w:sz w:val="17"/>
          <w:szCs w:val="17"/>
          <w:color w:val="auto"/>
        </w:rPr>
        <w:t>: 650.493.9300</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w:t>
      </w:r>
      <w:r>
        <w:rPr>
          <w:rFonts w:ascii="Arial" w:cs="Arial" w:eastAsia="Arial" w:hAnsi="Arial"/>
          <w:sz w:val="17"/>
          <w:szCs w:val="17"/>
          <w:color w:val="auto"/>
        </w:rPr>
        <w:t>: 650.493.6811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ALX Oncology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323 Allerton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u w:val="single" w:color="auto"/>
          <w:color w:val="auto"/>
        </w:rPr>
        <w:t>ALX Oncology Holdings Inc. – “At the Market” Sale and Issuance of up to $150 million of Shares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This opinion is furnished to you in connection with the Registration Statement on Form S-3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by ALX Oncology Holdings Inc. (the “</w:t>
      </w:r>
      <w:r>
        <w:rPr>
          <w:rFonts w:ascii="Arial" w:cs="Arial" w:eastAsia="Arial" w:hAnsi="Arial"/>
          <w:sz w:val="18"/>
          <w:szCs w:val="18"/>
          <w:b w:val="1"/>
          <w:bCs w:val="1"/>
          <w:color w:val="auto"/>
        </w:rPr>
        <w:t>Company</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on August 13, 2021 pursuant to Rule 462(e)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the prospectus contained within the registration statement (the “</w:t>
      </w:r>
      <w:r>
        <w:rPr>
          <w:rFonts w:ascii="Arial" w:cs="Arial" w:eastAsia="Arial" w:hAnsi="Arial"/>
          <w:sz w:val="18"/>
          <w:szCs w:val="18"/>
          <w:b w:val="1"/>
          <w:bCs w:val="1"/>
          <w:color w:val="auto"/>
        </w:rPr>
        <w:t>Prospectus</w:t>
      </w:r>
      <w:r>
        <w:rPr>
          <w:rFonts w:ascii="Arial" w:cs="Arial" w:eastAsia="Arial" w:hAnsi="Arial"/>
          <w:sz w:val="18"/>
          <w:szCs w:val="18"/>
          <w:color w:val="auto"/>
        </w:rPr>
        <w:t>”) and the prospectus supplement to the Registration Statement dated December 17, 2021 (the “</w:t>
      </w:r>
      <w:r>
        <w:rPr>
          <w:rFonts w:ascii="Arial" w:cs="Arial" w:eastAsia="Arial" w:hAnsi="Arial"/>
          <w:sz w:val="18"/>
          <w:szCs w:val="18"/>
          <w:b w:val="1"/>
          <w:bCs w:val="1"/>
          <w:color w:val="auto"/>
        </w:rPr>
        <w:t>Prospectus Supplement</w:t>
      </w:r>
      <w:r>
        <w:rPr>
          <w:rFonts w:ascii="Arial" w:cs="Arial" w:eastAsia="Arial" w:hAnsi="Arial"/>
          <w:sz w:val="18"/>
          <w:szCs w:val="18"/>
          <w:color w:val="auto"/>
        </w:rPr>
        <w:t>”) in connection with the registration under the Securities Act of up to $150,000,000 of shares of the Company’s common stock, $0.001 par value per share (the “</w:t>
      </w:r>
      <w:r>
        <w:rPr>
          <w:rFonts w:ascii="Arial" w:cs="Arial" w:eastAsia="Arial" w:hAnsi="Arial"/>
          <w:sz w:val="18"/>
          <w:szCs w:val="18"/>
          <w:b w:val="1"/>
          <w:bCs w:val="1"/>
          <w:color w:val="auto"/>
        </w:rPr>
        <w:t>Shares</w:t>
      </w:r>
      <w:r>
        <w:rPr>
          <w:rFonts w:ascii="Arial" w:cs="Arial" w:eastAsia="Arial" w:hAnsi="Arial"/>
          <w:sz w:val="18"/>
          <w:szCs w:val="18"/>
          <w:color w:val="auto"/>
        </w:rPr>
        <w:t>”), to be issued and sold by the Company. We understand that the Company has agreed to issue and sell the Shares from time to time through Cantor Fitzgerald &amp; Co. and Credit Suisse Securities (USA) LLC, as sales agents (the “</w:t>
      </w:r>
      <w:r>
        <w:rPr>
          <w:rFonts w:ascii="Arial" w:cs="Arial" w:eastAsia="Arial" w:hAnsi="Arial"/>
          <w:sz w:val="18"/>
          <w:szCs w:val="18"/>
          <w:b w:val="1"/>
          <w:bCs w:val="1"/>
          <w:color w:val="auto"/>
        </w:rPr>
        <w:t>Sales Agents</w:t>
      </w:r>
      <w:r>
        <w:rPr>
          <w:rFonts w:ascii="Arial" w:cs="Arial" w:eastAsia="Arial" w:hAnsi="Arial"/>
          <w:sz w:val="18"/>
          <w:szCs w:val="18"/>
          <w:color w:val="auto"/>
        </w:rPr>
        <w:t>”) pursuant to a sales agreement by and among the Company and the Sales Agents (the “</w:t>
      </w:r>
      <w:r>
        <w:rPr>
          <w:rFonts w:ascii="Arial" w:cs="Arial" w:eastAsia="Arial" w:hAnsi="Arial"/>
          <w:sz w:val="18"/>
          <w:szCs w:val="18"/>
          <w:b w:val="1"/>
          <w:bCs w:val="1"/>
          <w:color w:val="auto"/>
        </w:rPr>
        <w:t>Sales Agreement</w:t>
      </w:r>
      <w:r>
        <w:rPr>
          <w:rFonts w:ascii="Arial" w:cs="Arial" w:eastAsia="Arial" w:hAnsi="Arial"/>
          <w:sz w:val="18"/>
          <w:szCs w:val="18"/>
          <w:color w:val="auto"/>
        </w:rPr>
        <w:t>”).</w:t>
      </w:r>
    </w:p>
    <w:p>
      <w:pPr>
        <w:spacing w:after="0" w:line="196"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We are acting as counsel for the Company in connection with the issuance and sale of the Shares by the Company.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76"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We express no opinion herein as to the laws of any state or jurisdiction other than the General Corporation Law of the State of Delaware</w:t>
      </w:r>
    </w:p>
    <w:p>
      <w:pPr>
        <w:spacing w:after="0" w:line="35"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(including the statutory provisions and all applicable judicial decisions interpreting those laws) and the federal laws of the United States of America.</w:t>
      </w:r>
    </w:p>
    <w:p>
      <w:pPr>
        <w:spacing w:after="0" w:line="229" w:lineRule="exact"/>
        <w:rPr>
          <w:sz w:val="20"/>
          <w:szCs w:val="20"/>
          <w:color w:val="auto"/>
        </w:rPr>
      </w:pPr>
    </w:p>
    <w:p>
      <w:pPr>
        <w:jc w:val="center"/>
        <w:ind w:right="20"/>
        <w:spacing w:after="0"/>
        <w:tabs>
          <w:tab w:leader="none" w:pos="120" w:val="left"/>
          <w:tab w:leader="none" w:pos="120" w:val="left"/>
          <w:tab w:leader="none" w:pos="120" w:val="left"/>
          <w:tab w:leader="none" w:pos="120" w:val="left"/>
          <w:tab w:leader="none" w:pos="120" w:val="left"/>
          <w:tab w:leader="none" w:pos="120" w:val="left"/>
          <w:tab w:leader="none" w:pos="120" w:val="left"/>
          <w:tab w:leader="none" w:pos="120" w:val="left"/>
        </w:tabs>
        <w:rPr>
          <w:sz w:val="20"/>
          <w:szCs w:val="20"/>
          <w:color w:val="auto"/>
        </w:rPr>
      </w:pPr>
      <w:r>
        <w:rPr>
          <w:rFonts w:ascii="Arial" w:cs="Arial" w:eastAsia="Arial" w:hAnsi="Arial"/>
          <w:sz w:val="14"/>
          <w:szCs w:val="14"/>
          <w:color w:val="auto"/>
        </w:rPr>
        <w:t>AUSTIN</w:t>
        <w:tab/>
        <w:t>BEIJING</w:t>
        <w:tab/>
        <w:t>BOSTON</w:t>
        <w:tab/>
        <w:t>BRUSSELS</w:t>
        <w:tab/>
        <w:t>HONG KONG</w:t>
        <w:tab/>
        <w:t>LONDON</w:t>
        <w:tab/>
        <w:t>LOS ANGELES</w:t>
        <w:tab/>
        <w:t>NEW YORK</w:t>
      </w:r>
      <w:r>
        <w:rPr>
          <w:sz w:val="20"/>
          <w:szCs w:val="20"/>
          <w:color w:val="auto"/>
        </w:rPr>
        <w:tab/>
      </w:r>
      <w:r>
        <w:rPr>
          <w:rFonts w:ascii="Arial" w:cs="Arial" w:eastAsia="Arial" w:hAnsi="Arial"/>
          <w:sz w:val="13"/>
          <w:szCs w:val="13"/>
          <w:color w:val="auto"/>
        </w:rPr>
        <w:t>PALO ALTO</w:t>
      </w:r>
    </w:p>
    <w:p>
      <w:pPr>
        <w:jc w:val="center"/>
        <w:spacing w:after="0"/>
        <w:tabs>
          <w:tab w:leader="none" w:pos="140" w:val="left"/>
          <w:tab w:leader="none" w:pos="120" w:val="left"/>
          <w:tab w:leader="none" w:pos="120" w:val="left"/>
          <w:tab w:leader="none" w:pos="140" w:val="left"/>
          <w:tab w:leader="none" w:pos="120" w:val="left"/>
        </w:tabs>
        <w:rPr>
          <w:sz w:val="20"/>
          <w:szCs w:val="20"/>
          <w:color w:val="auto"/>
        </w:rPr>
      </w:pPr>
      <w:r>
        <w:rPr>
          <w:rFonts w:ascii="Arial" w:cs="Arial" w:eastAsia="Arial" w:hAnsi="Arial"/>
          <w:sz w:val="14"/>
          <w:szCs w:val="14"/>
          <w:color w:val="auto"/>
        </w:rPr>
        <w:t>SAN DIEGO</w:t>
        <w:tab/>
        <w:t>SAN FRANCISCO</w:t>
        <w:tab/>
        <w:t>SEATTLE</w:t>
        <w:tab/>
        <w:t>SHANGHAI</w:t>
        <w:tab/>
        <w:t>WASHINGTON, DC</w:t>
        <w:tab/>
        <w:t>WILMINGTON, DE</w:t>
      </w:r>
    </w:p>
    <w:p>
      <w:pPr>
        <w:sectPr>
          <w:pgSz w:w="11900" w:h="16838" w:orient="portrait"/>
          <w:cols w:equalWidth="0" w:num="1">
            <w:col w:w="11020"/>
          </w:cols>
          <w:pgMar w:left="440" w:top="121" w:right="4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85800" cy="308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685800" cy="308610"/>
                    </a:xfrm>
                    <a:prstGeom prst="rect">
                      <a:avLst/>
                    </a:prstGeom>
                    <a:noFill/>
                  </pic:spPr>
                </pic:pic>
              </a:graphicData>
            </a:graphic>
          </wp:anchor>
        </w:drawing>
        <w:t>December 17,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On the basis of the foregoing, we are of the opinion that the Shares to be issued and sold by the Company have been duly authorized and, when such Shares are issued and paid for in accordance with the terms of the Sales Agreement, will be validly issued, fully paid and nonassessable.</w:t>
      </w:r>
    </w:p>
    <w:p>
      <w:pPr>
        <w:spacing w:after="0" w:line="12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We hereby consent to the filing of this opinion as an exhibit to the Company’s Current Report on Form 8-K filed on or about December 17, 2021, for incorporation by reference into the Registration Statement, and to the use of our name wherever it appears in the Registration Statement, the Prospectus, Prospectus Supplement, and in any amendment or supplement thereto. In giving such consent, we do not believe that we are “experts” within the meaning of such term as used in the Securities Act or the rules and regulations of the Commission issued thereunder with respect to any part of the Registration Statement, including this opinion as an exhibit or otherwise.</w:t>
      </w:r>
    </w:p>
    <w:p>
      <w:pPr>
        <w:spacing w:after="0" w:line="20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WILSON SONSINI GOODRICH &amp; ROSATI</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Professional Corporation</w:t>
      </w:r>
    </w:p>
    <w:sectPr>
      <w:pgSz w:w="11900" w:h="16838" w:orient="portrait"/>
      <w:cols w:equalWidth="0" w:num="1">
        <w:col w:w="10900"/>
      </w:cols>
      <w:pgMar w:left="440" w:top="97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1."/>
      <w:numFmt w:val="decimal"/>
      <w:start w:val="2"/>
    </w:lvl>
  </w:abstractNum>
  <w:abstractNum w:abstractNumId="3">
    <w:nsid w:val="54E49EB4"/>
    <w:multiLevelType w:val="hybridMultilevel"/>
    <w:lvl w:ilvl="0">
      <w:lvlJc w:val="left"/>
      <w:lvlText w:val="%1."/>
      <w:numFmt w:val="decimal"/>
      <w:start w:val="5"/>
    </w:lvl>
    <w:lvl w:ilvl="1">
      <w:lvlJc w:val="left"/>
      <w:lvlText w:val="(%2)"/>
      <w:numFmt w:val="lowerLetter"/>
      <w:start w:val="1"/>
    </w:lvl>
  </w:abstractNum>
  <w:abstractNum w:abstractNumId="4">
    <w:nsid w:val="71F32454"/>
    <w:multiLevelType w:val="hybridMultilevel"/>
    <w:lvl w:ilvl="0">
      <w:lvlJc w:val="left"/>
      <w:lvlText w:val="(%1)"/>
      <w:numFmt w:val="lowerLetter"/>
      <w:start w:val="4"/>
    </w:lvl>
  </w:abstractNum>
  <w:abstractNum w:abstractNumId="5">
    <w:nsid w:val="2CA88611"/>
    <w:multiLevelType w:val="hybridMultilevel"/>
    <w:lvl w:ilvl="0">
      <w:lvlJc w:val="left"/>
      <w:lvlText w:val="%1."/>
      <w:numFmt w:val="decimal"/>
      <w:start w:val="6"/>
    </w:lvl>
    <w:lvl w:ilvl="1">
      <w:lvlJc w:val="left"/>
      <w:lvlText w:val="(%2)"/>
      <w:numFmt w:val="lowerLetter"/>
      <w:start w:val="1"/>
    </w:lvl>
  </w:abstractNum>
  <w:abstractNum w:abstractNumId="6">
    <w:nsid w:val="836C40E"/>
    <w:multiLevelType w:val="hybridMultilevel"/>
    <w:lvl w:ilvl="0">
      <w:lvlJc w:val="left"/>
      <w:lvlText w:val="(%1)"/>
      <w:numFmt w:val="lowerLetter"/>
      <w:start w:val="3"/>
    </w:lvl>
  </w:abstractNum>
  <w:abstractNum w:abstractNumId="7">
    <w:nsid w:val="2901D82"/>
    <w:multiLevelType w:val="hybridMultilevel"/>
    <w:lvl w:ilvl="0">
      <w:lvlJc w:val="left"/>
      <w:lvlText w:val="(%1)"/>
      <w:numFmt w:val="lowerLetter"/>
      <w:start w:val="9"/>
    </w:lvl>
  </w:abstractNum>
  <w:abstractNum w:abstractNumId="8">
    <w:nsid w:val="3A95F874"/>
    <w:multiLevelType w:val="hybridMultilevel"/>
    <w:lvl w:ilvl="0">
      <w:lvlJc w:val="left"/>
      <w:lvlText w:val="(%1)"/>
      <w:numFmt w:val="lowerLetter"/>
      <w:start w:val="12"/>
    </w:lvl>
  </w:abstractNum>
  <w:abstractNum w:abstractNumId="9">
    <w:nsid w:val="8138641"/>
    <w:multiLevelType w:val="hybridMultilevel"/>
    <w:lvl w:ilvl="0">
      <w:lvlJc w:val="left"/>
      <w:lvlText w:val="(%1)"/>
      <w:numFmt w:val="lowerLetter"/>
      <w:start w:val="14"/>
    </w:lvl>
  </w:abstractNum>
  <w:abstractNum w:abstractNumId="10">
    <w:nsid w:val="1E7FF521"/>
    <w:multiLevelType w:val="hybridMultilevel"/>
    <w:lvl w:ilvl="0">
      <w:lvlJc w:val="left"/>
      <w:lvlText w:val="(%1)"/>
      <w:numFmt w:val="lowerLetter"/>
      <w:start w:val="17"/>
    </w:lvl>
  </w:abstractNum>
  <w:abstractNum w:abstractNumId="11">
    <w:nsid w:val="7C3DBD3D"/>
    <w:multiLevelType w:val="hybridMultilevel"/>
    <w:lvl w:ilvl="0">
      <w:lvlJc w:val="left"/>
      <w:lvlText w:val="%1"/>
      <w:numFmt w:val="lowerLetter"/>
      <w:start w:val="1"/>
    </w:lvl>
    <w:lvl w:ilvl="1">
      <w:lvlJc w:val="left"/>
      <w:lvlText w:val="(%2)"/>
      <w:numFmt w:val="lowerLetter"/>
      <w:start w:val="19"/>
    </w:lvl>
  </w:abstractNum>
  <w:abstractNum w:abstractNumId="12">
    <w:nsid w:val="737B8DDC"/>
    <w:multiLevelType w:val="hybridMultilevel"/>
    <w:lvl w:ilvl="0">
      <w:lvlJc w:val="left"/>
      <w:lvlText w:val="(%1)"/>
      <w:numFmt w:val="lowerLetter"/>
      <w:start w:val="35"/>
    </w:lvl>
    <w:lvl w:ilvl="1">
      <w:lvlJc w:val="left"/>
      <w:lvlText w:val="%2"/>
      <w:numFmt w:val="lowerLetter"/>
      <w:start w:val="1"/>
    </w:lvl>
  </w:abstractNum>
  <w:abstractNum w:abstractNumId="13">
    <w:nsid w:val="6CEAF087"/>
    <w:multiLevelType w:val="hybridMultilevel"/>
    <w:lvl w:ilvl="0">
      <w:lvlJc w:val="left"/>
      <w:lvlText w:val="(%1)"/>
      <w:numFmt w:val="lowerRoman"/>
      <w:start w:val="5"/>
    </w:lvl>
  </w:abstractNum>
  <w:abstractNum w:abstractNumId="14">
    <w:nsid w:val="22221A70"/>
    <w:multiLevelType w:val="hybridMultilevel"/>
    <w:lvl w:ilvl="0">
      <w:lvlJc w:val="left"/>
      <w:lvlText w:val="%1"/>
      <w:numFmt w:val="lowerLetter"/>
      <w:start w:val="1"/>
    </w:lvl>
    <w:lvl w:ilvl="1">
      <w:lvlJc w:val="left"/>
      <w:lvlText w:val="(%2)"/>
      <w:numFmt w:val="lowerLetter"/>
      <w:start w:val="23"/>
    </w:lvl>
  </w:abstractNum>
  <w:abstractNum w:abstractNumId="15">
    <w:nsid w:val="4516DDE9"/>
    <w:multiLevelType w:val="hybridMultilevel"/>
    <w:lvl w:ilvl="0">
      <w:lvlJc w:val="left"/>
      <w:lvlText w:val="(%1)"/>
      <w:numFmt w:val="lowerLetter"/>
      <w:start w:val="35"/>
    </w:lvl>
    <w:lvl w:ilvl="1">
      <w:lvlJc w:val="left"/>
      <w:lvlText w:val="(%2)"/>
      <w:numFmt w:val="lowerLetter"/>
      <w:start w:val="24"/>
    </w:lvl>
  </w:abstractNum>
  <w:abstractNum w:abstractNumId="16">
    <w:nsid w:val="3006C83E"/>
    <w:multiLevelType w:val="hybridMultilevel"/>
    <w:lvl w:ilvl="0">
      <w:lvlJc w:val="left"/>
      <w:lvlText w:val="(%1)"/>
      <w:numFmt w:val="lowerLetter"/>
      <w:start w:val="26"/>
    </w:lvl>
  </w:abstractNum>
  <w:abstractNum w:abstractNumId="17">
    <w:nsid w:val="614FD4A1"/>
    <w:multiLevelType w:val="hybridMultilevel"/>
    <w:lvl w:ilvl="0">
      <w:lvlJc w:val="left"/>
      <w:lvlText w:val="(%1)"/>
      <w:numFmt w:val="lowerLetter"/>
      <w:start w:val="27"/>
    </w:lvl>
  </w:abstractNum>
  <w:abstractNum w:abstractNumId="18">
    <w:nsid w:val="419AC241"/>
    <w:multiLevelType w:val="hybridMultilevel"/>
    <w:lvl w:ilvl="0">
      <w:lvlJc w:val="left"/>
      <w:lvlText w:val="(%1)"/>
      <w:numFmt w:val="lowerLetter"/>
      <w:start w:val="29"/>
    </w:lvl>
  </w:abstractNum>
  <w:abstractNum w:abstractNumId="19">
    <w:nsid w:val="5577F8E1"/>
    <w:multiLevelType w:val="hybridMultilevel"/>
    <w:lvl w:ilvl="0">
      <w:lvlJc w:val="left"/>
      <w:lvlText w:val="(%1)"/>
      <w:numFmt w:val="lowerLetter"/>
      <w:start w:val="36"/>
    </w:lvl>
  </w:abstractNum>
  <w:abstractNum w:abstractNumId="20">
    <w:nsid w:val="440BADFC"/>
    <w:multiLevelType w:val="hybridMultilevel"/>
    <w:lvl w:ilvl="0">
      <w:lvlJc w:val="left"/>
      <w:lvlText w:val="%1"/>
      <w:numFmt w:val="lowerRoman"/>
      <w:start w:val="1"/>
    </w:lvl>
    <w:lvl w:ilvl="1">
      <w:lvlJc w:val="left"/>
      <w:lvlText w:val="(%2)"/>
      <w:numFmt w:val="lowerLetter"/>
      <w:start w:val="40"/>
    </w:lvl>
  </w:abstractNum>
  <w:abstractNum w:abstractNumId="21">
    <w:nsid w:val="5072367"/>
    <w:multiLevelType w:val="hybridMultilevel"/>
    <w:lvl w:ilvl="0">
      <w:lvlJc w:val="left"/>
      <w:lvlText w:val="(%1)"/>
      <w:numFmt w:val="lowerRoman"/>
      <w:start w:val="4"/>
    </w:lvl>
    <w:lvl w:ilvl="1">
      <w:lvlJc w:val="left"/>
      <w:lvlText w:val="%2"/>
      <w:numFmt w:val="lowerLetter"/>
      <w:start w:val="1"/>
    </w:lvl>
  </w:abstractNum>
  <w:abstractNum w:abstractNumId="22">
    <w:nsid w:val="3804823E"/>
    <w:multiLevelType w:val="hybridMultilevel"/>
    <w:lvl w:ilvl="0">
      <w:lvlJc w:val="left"/>
      <w:lvlText w:val="(%1)"/>
      <w:numFmt w:val="lowerLetter"/>
      <w:start w:val="42"/>
    </w:lvl>
  </w:abstractNum>
  <w:abstractNum w:abstractNumId="23">
    <w:nsid w:val="77465F01"/>
    <w:multiLevelType w:val="hybridMultilevel"/>
    <w:lvl w:ilvl="0">
      <w:lvlJc w:val="left"/>
      <w:lvlText w:val="(%1)"/>
      <w:numFmt w:val="lowerLetter"/>
      <w:start w:val="45"/>
    </w:lvl>
  </w:abstractNum>
  <w:abstractNum w:abstractNumId="24">
    <w:nsid w:val="7724C67E"/>
    <w:multiLevelType w:val="hybridMultilevel"/>
    <w:lvl w:ilvl="0">
      <w:lvlJc w:val="left"/>
      <w:lvlText w:val="(%1)"/>
      <w:numFmt w:val="lowerLetter"/>
      <w:start w:val="47"/>
    </w:lvl>
  </w:abstractNum>
  <w:abstractNum w:abstractNumId="25">
    <w:nsid w:val="5C482A97"/>
    <w:multiLevelType w:val="hybridMultilevel"/>
    <w:lvl w:ilvl="0">
      <w:lvlJc w:val="left"/>
      <w:lvlText w:val="%1."/>
      <w:numFmt w:val="decimal"/>
      <w:start w:val="7"/>
    </w:lvl>
    <w:lvl w:ilvl="1">
      <w:lvlJc w:val="left"/>
      <w:lvlText w:val="(%2)"/>
      <w:numFmt w:val="lowerLetter"/>
      <w:start w:val="1"/>
    </w:lvl>
  </w:abstractNum>
  <w:abstractNum w:abstractNumId="26">
    <w:nsid w:val="2463B9EA"/>
    <w:multiLevelType w:val="hybridMultilevel"/>
    <w:lvl w:ilvl="0">
      <w:lvlJc w:val="left"/>
      <w:lvlText w:val="(%1)"/>
      <w:numFmt w:val="lowerLetter"/>
      <w:start w:val="2"/>
    </w:lvl>
  </w:abstractNum>
  <w:abstractNum w:abstractNumId="27">
    <w:nsid w:val="5E884ADC"/>
    <w:multiLevelType w:val="hybridMultilevel"/>
    <w:lvl w:ilvl="0">
      <w:lvlJc w:val="left"/>
      <w:lvlText w:val="(%1)"/>
      <w:numFmt w:val="lowerLetter"/>
      <w:start w:val="4"/>
    </w:lvl>
  </w:abstractNum>
  <w:abstractNum w:abstractNumId="28">
    <w:nsid w:val="51EAD36B"/>
    <w:multiLevelType w:val="hybridMultilevel"/>
    <w:lvl w:ilvl="0">
      <w:lvlJc w:val="left"/>
      <w:lvlText w:val="(%1)"/>
      <w:numFmt w:val="lowerLetter"/>
      <w:start w:val="9"/>
    </w:lvl>
  </w:abstractNum>
  <w:abstractNum w:abstractNumId="29">
    <w:nsid w:val="2D517796"/>
    <w:multiLevelType w:val="hybridMultilevel"/>
    <w:lvl w:ilvl="0">
      <w:lvlJc w:val="left"/>
      <w:lvlText w:val="(%1)"/>
      <w:numFmt w:val="lowerRoman"/>
      <w:start w:val="1"/>
    </w:lvl>
  </w:abstractNum>
  <w:abstractNum w:abstractNumId="30">
    <w:nsid w:val="580BD78F"/>
    <w:multiLevelType w:val="hybridMultilevel"/>
    <w:lvl w:ilvl="0">
      <w:lvlJc w:val="left"/>
      <w:lvlText w:val="(%1)"/>
      <w:numFmt w:val="lowerLetter"/>
      <w:start w:val="13"/>
    </w:lvl>
  </w:abstractNum>
  <w:abstractNum w:abstractNumId="31">
    <w:nsid w:val="153EA438"/>
    <w:multiLevelType w:val="hybridMultilevel"/>
    <w:lvl w:ilvl="0">
      <w:lvlJc w:val="left"/>
      <w:lvlText w:val="%1"/>
      <w:numFmt w:val="lowerLetter"/>
      <w:start w:val="1"/>
    </w:lvl>
    <w:lvl w:ilvl="1">
      <w:lvlJc w:val="left"/>
      <w:lvlText w:val="(%2)"/>
      <w:numFmt w:val="lowerLetter"/>
      <w:start w:val="14"/>
    </w:lvl>
  </w:abstractNum>
  <w:abstractNum w:abstractNumId="32">
    <w:nsid w:val="3855585C"/>
    <w:multiLevelType w:val="hybridMultilevel"/>
    <w:lvl w:ilvl="0">
      <w:lvlJc w:val="left"/>
      <w:lvlText w:val="(%1)"/>
      <w:numFmt w:val="lowerLetter"/>
      <w:start w:val="35"/>
    </w:lvl>
    <w:lvl w:ilvl="1">
      <w:lvlJc w:val="left"/>
      <w:lvlText w:val="(%2)"/>
      <w:numFmt w:val="lowerLetter"/>
      <w:start w:val="16"/>
    </w:lvl>
  </w:abstractNum>
  <w:abstractNum w:abstractNumId="33">
    <w:nsid w:val="70A64E2A"/>
    <w:multiLevelType w:val="hybridMultilevel"/>
    <w:lvl w:ilvl="0">
      <w:lvlJc w:val="left"/>
      <w:lvlText w:val="(%1)"/>
      <w:numFmt w:val="lowerLetter"/>
      <w:start w:val="18"/>
    </w:lvl>
  </w:abstractNum>
  <w:abstractNum w:abstractNumId="34">
    <w:nsid w:val="6A2342EC"/>
    <w:multiLevelType w:val="hybridMultilevel"/>
    <w:lvl w:ilvl="0">
      <w:lvlJc w:val="left"/>
      <w:lvlText w:val="%1"/>
      <w:numFmt w:val="decimal"/>
      <w:start w:val="1"/>
    </w:lvl>
    <w:lvl w:ilvl="1">
      <w:lvlJc w:val="left"/>
      <w:lvlText w:val="(%2)"/>
      <w:numFmt w:val="lowerLetter"/>
      <w:start w:val="20"/>
    </w:lvl>
  </w:abstractNum>
  <w:abstractNum w:abstractNumId="35">
    <w:nsid w:val="2A487CB0"/>
    <w:multiLevelType w:val="hybridMultilevel"/>
    <w:lvl w:ilvl="0">
      <w:lvlJc w:val="left"/>
      <w:lvlText w:val="%1."/>
      <w:numFmt w:val="decimal"/>
      <w:start w:val="8"/>
    </w:lvl>
    <w:lvl w:ilvl="1">
      <w:lvlJc w:val="left"/>
      <w:lvlText w:val="(%2)"/>
      <w:numFmt w:val="lowerLetter"/>
      <w:start w:val="1"/>
    </w:lvl>
  </w:abstractNum>
  <w:abstractNum w:abstractNumId="36">
    <w:nsid w:val="1D4ED43B"/>
    <w:multiLevelType w:val="hybridMultilevel"/>
    <w:lvl w:ilvl="0">
      <w:lvlJc w:val="left"/>
      <w:lvlText w:val="(%1)"/>
      <w:numFmt w:val="lowerLetter"/>
      <w:start w:val="2"/>
    </w:lvl>
  </w:abstractNum>
  <w:abstractNum w:abstractNumId="37">
    <w:nsid w:val="725A06FB"/>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38">
    <w:nsid w:val="2CD89A32"/>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9"/>
    </w:lvl>
  </w:abstractNum>
  <w:abstractNum w:abstractNumId="39">
    <w:nsid w:val="57E4CCAF"/>
    <w:multiLevelType w:val="hybridMultilevel"/>
    <w:lvl w:ilvl="0">
      <w:lvlJc w:val="left"/>
      <w:lvlText w:val="(%1)"/>
      <w:numFmt w:val="lowerRoman"/>
      <w:start w:val="2"/>
    </w:lvl>
  </w:abstractNum>
  <w:abstractNum w:abstractNumId="40">
    <w:nsid w:val="7A6D8D3C"/>
    <w:multiLevelType w:val="hybridMultilevel"/>
    <w:lvl w:ilvl="0">
      <w:lvlJc w:val="left"/>
      <w:lvlText w:val="(%1)"/>
      <w:numFmt w:val="lowerLetter"/>
      <w:start w:val="2"/>
    </w:lvl>
  </w:abstractNum>
  <w:abstractNum w:abstractNumId="41">
    <w:nsid w:val="4B588F54"/>
    <w:multiLevelType w:val="hybridMultilevel"/>
    <w:lvl w:ilvl="0">
      <w:lvlJc w:val="left"/>
      <w:lvlText w:val="(%1)"/>
      <w:numFmt w:val="lowerLetter"/>
      <w:start w:val="4"/>
    </w:lvl>
  </w:abstractNum>
  <w:abstractNum w:abstractNumId="42">
    <w:nsid w:val="542289EC"/>
    <w:multiLevelType w:val="hybridMultilevel"/>
    <w:lvl w:ilvl="0">
      <w:lvlJc w:val="left"/>
      <w:lvlText w:val="(%1)"/>
      <w:numFmt w:val="lowerLetter"/>
      <w:start w:val="5"/>
    </w:lvl>
  </w:abstractNum>
  <w:abstractNum w:abstractNumId="43">
    <w:nsid w:val="6DE91B18"/>
    <w:multiLevelType w:val="hybridMultilevel"/>
    <w:lvl w:ilvl="0">
      <w:lvlJc w:val="left"/>
      <w:lvlText w:val="%1."/>
      <w:numFmt w:val="decimal"/>
      <w:start w:val="11"/>
    </w:lvl>
    <w:lvl w:ilvl="1">
      <w:lvlJc w:val="left"/>
      <w:lvlText w:val="(%2)"/>
      <w:numFmt w:val="lowerLetter"/>
      <w:start w:val="1"/>
    </w:lvl>
  </w:abstractNum>
  <w:abstractNum w:abstractNumId="44">
    <w:nsid w:val="38437FDB"/>
    <w:multiLevelType w:val="hybridMultilevel"/>
    <w:lvl w:ilvl="0">
      <w:lvlJc w:val="left"/>
      <w:lvlText w:val="%1"/>
      <w:numFmt w:val="decimal"/>
      <w:start w:val="1"/>
    </w:lvl>
    <w:lvl w:ilvl="1">
      <w:lvlJc w:val="left"/>
      <w:lvlText w:val="(%2)"/>
      <w:numFmt w:val="lowerLetter"/>
      <w:start w:val="2"/>
    </w:lvl>
  </w:abstractNum>
  <w:abstractNum w:abstractNumId="45">
    <w:nsid w:val="7644A45C"/>
    <w:multiLevelType w:val="hybridMultilevel"/>
    <w:lvl w:ilvl="0">
      <w:lvlJc w:val="left"/>
      <w:lvlText w:val="%1."/>
      <w:numFmt w:val="decimal"/>
      <w:start w:val="13"/>
    </w:lvl>
    <w:lvl w:ilvl="1">
      <w:lvlJc w:val="left"/>
      <w:lvlText w:val="%2"/>
      <w:numFmt w:val="lowerLetter"/>
      <w:start w:val="1"/>
    </w:lvl>
  </w:abstractNum>
  <w:abstractNum w:abstractNumId="46">
    <w:nsid w:val="32FFF902"/>
    <w:multiLevelType w:val="hybridMultilevel"/>
    <w:lvl w:ilvl="0">
      <w:lvlJc w:val="left"/>
      <w:lvlText w:val="%1."/>
      <w:numFmt w:val="decimal"/>
      <w:start w:val="14"/>
    </w:lvl>
  </w:abstractNum>
  <w:abstractNum w:abstractNumId="47">
    <w:nsid w:val="684A481A"/>
    <w:multiLevelType w:val="hybridMultilevel"/>
    <w:lvl w:ilvl="0">
      <w:lvlJc w:val="left"/>
      <w:lvlText w:val="%1."/>
      <w:numFmt w:val="decimal"/>
      <w:start w:val="18"/>
    </w:lvl>
  </w:abstractNum>
  <w:abstractNum w:abstractNumId="48">
    <w:nsid w:val="579478FE"/>
    <w:multiLevelType w:val="hybridMultilevel"/>
    <w:lvl w:ilvl="0">
      <w:lvlJc w:val="left"/>
      <w:lvlText w:val="%1."/>
      <w:numFmt w:val="decimal"/>
      <w:start w:val="22"/>
    </w:lvl>
    <w:lvl w:ilvl="1">
      <w:lvlJc w:val="left"/>
      <w:lvlText w:val="(%2)"/>
      <w:numFmt w:val="lowerLetter"/>
      <w:start w:val="1"/>
    </w:lvl>
  </w:abstractNum>
  <w:abstractNum w:abstractNumId="49">
    <w:nsid w:val="749ABB4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2021-12-17T16:04:27Z</dcterms:created>
  <dcterms:modified xsi:type="dcterms:W3CDTF">2021-12-17T16:04:27Z</dcterms:modified>
</cp:coreProperties>
</file>