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40630.htm"/>
      <w:bookmarkStart w:id="1" w:name="ksalxo20240630"/>
      <w:bookmarkEnd w:id="0"/>
      <w:bookmarkEnd w:id="1"/>
      <w:r>
        <w:rPr/>
        <w:t> </w:t>
      </w:r>
    </w:p>
    <w:p>
      <w:pPr>
        <w:pStyle w:val="TextBody"/>
        <w:bidi w:val="0"/>
        <w:jc w:val="center"/>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9062" w:type="dxa"/>
        <w:jc w:val="left"/>
        <w:tblInd w:w="0" w:type="dxa"/>
        <w:tblLayout w:type="fixed"/>
        <w:tblCellMar>
          <w:top w:w="28" w:type="dxa"/>
          <w:left w:w="28" w:type="dxa"/>
          <w:bottom w:w="28" w:type="dxa"/>
          <w:right w:w="28" w:type="dxa"/>
        </w:tblCellMar>
      </w:tblPr>
      <w:tblGrid>
        <w:gridCol w:w="331"/>
        <w:gridCol w:w="8731"/>
      </w:tblGrid>
      <w:tr>
        <w:trPr/>
        <w:tc>
          <w:tcPr>
            <w:tcW w:w="331" w:type="dxa"/>
            <w:tcBorders/>
            <w:vAlign w:val="center"/>
          </w:tcPr>
          <w:p>
            <w:pPr>
              <w:pStyle w:val="TableContents"/>
              <w:bidi w:val="0"/>
              <w:spacing w:before="0" w:after="283"/>
              <w:jc w:val="left"/>
              <w:rPr>
                <w:sz w:val="4"/>
                <w:szCs w:val="4"/>
              </w:rPr>
            </w:pPr>
            <w:r>
              <w:rPr>
                <w:sz w:val="4"/>
                <w:szCs w:val="4"/>
              </w:rPr>
            </w:r>
          </w:p>
        </w:tc>
        <w:tc>
          <w:tcPr>
            <w:tcW w:w="873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8731" w:type="dxa"/>
            <w:tcBorders/>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QUARTERLY REPORT PURSUANT TO SECTION 13 OR 15(d) OF THE SECURITIES EXCHANGE ACT OF 1934</w:t>
            </w:r>
            <w:r>
              <w:rPr>
                <w:rFonts w:ascii="Times New Roman" w:hAnsi="Times New Roman"/>
                <w:color w:val="000000"/>
                <w:sz w:val="16"/>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9047" w:type="dxa"/>
        <w:jc w:val="left"/>
        <w:tblInd w:w="0" w:type="dxa"/>
        <w:tblLayout w:type="fixed"/>
        <w:tblCellMar>
          <w:top w:w="28" w:type="dxa"/>
          <w:left w:w="28" w:type="dxa"/>
          <w:bottom w:w="28" w:type="dxa"/>
          <w:right w:w="28" w:type="dxa"/>
        </w:tblCellMar>
      </w:tblPr>
      <w:tblGrid>
        <w:gridCol w:w="331"/>
        <w:gridCol w:w="8716"/>
      </w:tblGrid>
      <w:tr>
        <w:trPr/>
        <w:tc>
          <w:tcPr>
            <w:tcW w:w="331"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60" w:after="283"/>
              <w:jc w:val="left"/>
              <w:rPr>
                <w:color w:val="000000"/>
              </w:rPr>
            </w:pPr>
            <w:r>
              <w:rPr>
                <w:color w:val="000000"/>
              </w:rPr>
              <w:t>☐</w:t>
            </w:r>
          </w:p>
        </w:tc>
        <w:tc>
          <w:tcPr>
            <w:tcW w:w="8716" w:type="dxa"/>
            <w:tcBorders/>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w:t>
            </w:r>
            <w:r>
              <w:rPr>
                <w:rFonts w:ascii="Times New Roman" w:hAnsi="Times New Roman"/>
                <w:color w:val="000000"/>
                <w:sz w:val="16"/>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 001-39386</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ALX ONCOLOGY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323 Allerton Avenue</w:t>
            </w:r>
          </w:p>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48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94080</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650-466-7125</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bidi w:val="0"/>
        <w:spacing w:before="4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ALXO</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40" w:after="283"/>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As of August 5, 2024, the registrant had 52,671,790</w:t>
      </w:r>
      <w:r>
        <w:rPr>
          <w:rFonts w:ascii="Times New Roman" w:hAnsi="Times New Roman"/>
          <w:color w:val="000000"/>
          <w:sz w:val="20"/>
        </w:rPr>
        <w:t xml:space="preserve"> </w:t>
      </w:r>
      <w:r>
        <w:rPr>
          <w:rFonts w:ascii="Times New Roman" w:hAnsi="Times New Roman"/>
          <w:color w:val="000000"/>
          <w:sz w:val="16"/>
        </w:rPr>
        <w:t>shares of common stock outstanding, $0.001 par value per share.</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sufficiency of our existing cash to fund our future operating expenses and capital expenditure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expenses, future revenue, capital requirements, and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commercializing our product candidates, if approved, including the geographic areas of focus and our ability to grow a sales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strategic plans for our business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preclinical research activities, and for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beneficial characteristics, mechanisms of action, safety profile, efficacy and therapeutic effects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and focus of our current and future clinical trials, and the reporting of data from those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product candidates into and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clinical trials, including collaborations and investigator sponsored trials, to demonstrate the safety and efficacy of our product candidates, and other positive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including competing product candidates and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the further development and manufacturing of our product candidates, including additional indications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regulations and regulatory developments in the United States and other jurisdictions;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and ability to successfully manufacture and supply our product candidates for clinical trials and for commercial use,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continued reliance on third parties to conduct clinical trials of our product candidates, and for the manufacture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and ability to obtain or protect intellectual property rights, including extensions of existing patent terms where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including our technology platform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the continued service of our key personnel, the impacts of any executive officer changes, and to identify, hire, and then retain additional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the COVID-19 pandemic, rising interest rates, bank failures or instability in the financial services sector, or geopolitical risks on our business;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for and prospects of our acquisitions and other business development activities, and our ability to successfully capitalize on these opportunities;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financial and internal controls;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cash and cash equivalents, short-term and long-term investments, and the funds available from our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780" w:type="dxa"/>
        <w:jc w:val="left"/>
        <w:tblInd w:w="0" w:type="dxa"/>
        <w:tblLayout w:type="fixed"/>
        <w:tblCellMar>
          <w:top w:w="28" w:type="dxa"/>
          <w:left w:w="28" w:type="dxa"/>
          <w:bottom w:w="28" w:type="dxa"/>
          <w:right w:w="28" w:type="dxa"/>
        </w:tblCellMar>
      </w:tblPr>
      <w:tblGrid>
        <w:gridCol w:w="903"/>
        <w:gridCol w:w="7366"/>
        <w:gridCol w:w="511"/>
      </w:tblGrid>
      <w:tr>
        <w:trPr/>
        <w:tc>
          <w:tcPr>
            <w:tcW w:w="903"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1">
              <w:r>
                <w:rPr>
                  <w:rStyle w:val="InternetLink"/>
                  <w:rFonts w:ascii="Times New Roman" w:hAnsi="Times New Roman"/>
                  <w:color w:val="0000FF"/>
                  <w:sz w:val="20"/>
                  <w:u w:val="single"/>
                </w:rPr>
                <w:t>FINANCIAL INFORMATION</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f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bs">
              <w:r>
                <w:rPr>
                  <w:rStyle w:val="InternetLink"/>
                  <w:rFonts w:ascii="Times New Roman" w:hAnsi="Times New Roman"/>
                  <w:color w:val="0000FF"/>
                  <w:sz w:val="20"/>
                  <w:u w:val="single"/>
                </w:rPr>
                <w:t>Condensed Consolidated Balance Sheets</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i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cl">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se">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cf">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notes">
              <w:r>
                <w:rPr>
                  <w:rStyle w:val="InternetLink"/>
                  <w:rFonts w:ascii="Times New Roman" w:hAnsi="Times New Roman"/>
                  <w:color w:val="0000FF"/>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3_risk">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4_controls">
              <w:r>
                <w:rPr>
                  <w:rStyle w:val="InternetLink"/>
                  <w:rFonts w:ascii="Times New Roman" w:hAnsi="Times New Roman"/>
                  <w:color w:val="0000FF"/>
                  <w:sz w:val="20"/>
                  <w:u w:val="single"/>
                </w:rPr>
                <w:t>Controls and Procedures</w:t>
              </w:r>
            </w:hyperlink>
            <w:hyperlink w:anchor="part1_item4_control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2">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_legal">
              <w:r>
                <w:rPr>
                  <w:rStyle w:val="InternetLink"/>
                  <w:rFonts w:ascii="Times New Roman" w:hAnsi="Times New Roman"/>
                  <w:color w:val="0000FF"/>
                  <w:sz w:val="20"/>
                  <w:u w:val="single"/>
                </w:rPr>
                <w:t>Legal Proceedings</w:t>
              </w:r>
            </w:hyperlink>
            <w:r>
              <w:rPr>
                <w:rFonts w:ascii="Times New Roman" w:hAnsi="Times New Roman"/>
                <w:color w:val="0000EE"/>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33</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a_rf">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33</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2_unreg">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3_defaults">
              <w:r>
                <w:rPr>
                  <w:rStyle w:val="InternetLink"/>
                  <w:rFonts w:ascii="Times New Roman" w:hAnsi="Times New Roman"/>
                  <w:color w:val="0000FF"/>
                  <w:sz w:val="20"/>
                  <w:u w:val="single"/>
                </w:rPr>
                <w:t>Defaults Upon Senior Securities</w:t>
              </w:r>
            </w:hyperlink>
            <w:hyperlink w:anchor="part2_item3_default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4_mine">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5_other">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1"/>
      <w:bookmarkEnd w:id="3"/>
      <w:r>
        <w:rPr>
          <w:rFonts w:ascii="Times New Roman" w:hAnsi="Times New Roman"/>
          <w:b/>
          <w:color w:val="000000"/>
          <w:sz w:val="20"/>
        </w:rPr>
        <w:t>PART I — FINANCIAL INFORMATION</w:t>
      </w:r>
    </w:p>
    <w:p>
      <w:pPr>
        <w:pStyle w:val="TextBody"/>
        <w:bidi w:val="0"/>
        <w:jc w:val="left"/>
        <w:rPr>
          <w:rFonts w:ascii="Times New Roman" w:hAnsi="Times New Roman"/>
          <w:sz w:val="20"/>
        </w:rPr>
      </w:pPr>
      <w:bookmarkStart w:id="4" w:name="part1_item1_fs"/>
      <w:bookmarkEnd w:id="4"/>
      <w:r>
        <w:rPr>
          <w:rFonts w:ascii="Times New Roman" w:hAnsi="Times New Roman"/>
          <w:b/>
          <w:color w:val="000000"/>
          <w:sz w:val="20"/>
        </w:rPr>
        <w:t>Item 1. Financial Statements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5" w:name="part1_item1_bs"/>
      <w:bookmarkEnd w:id="5"/>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9177" w:type="dxa"/>
        <w:jc w:val="left"/>
        <w:tblInd w:w="0" w:type="dxa"/>
        <w:tblLayout w:type="fixed"/>
        <w:tblCellMar>
          <w:top w:w="28" w:type="dxa"/>
          <w:left w:w="28" w:type="dxa"/>
          <w:bottom w:w="28" w:type="dxa"/>
          <w:right w:w="28" w:type="dxa"/>
        </w:tblCellMar>
      </w:tblPr>
      <w:tblGrid>
        <w:gridCol w:w="5796"/>
        <w:gridCol w:w="146"/>
        <w:gridCol w:w="211"/>
        <w:gridCol w:w="841"/>
        <w:gridCol w:w="166"/>
        <w:gridCol w:w="146"/>
        <w:gridCol w:w="252"/>
        <w:gridCol w:w="1008"/>
        <w:gridCol w:w="611"/>
      </w:tblGrid>
      <w:tr>
        <w:trPr/>
        <w:tc>
          <w:tcPr>
            <w:tcW w:w="5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shd w:fill="FFFFFF" w:val="clear"/>
            <w:vAlign w:val="center"/>
          </w:tcPr>
          <w:p>
            <w:pPr>
              <w:pStyle w:val="TableContents"/>
              <w:bidi w:val="0"/>
              <w:spacing w:before="0" w:after="283"/>
              <w:jc w:val="center"/>
              <w:rPr/>
            </w:pPr>
            <w:r>
              <w:rPr/>
              <w:t> </w:t>
            </w:r>
          </w:p>
        </w:tc>
      </w:tr>
      <w:tr>
        <w:trPr/>
        <w:tc>
          <w:tcPr>
            <w:tcW w:w="5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188,659</w:t>
            </w:r>
          </w:p>
        </w:tc>
        <w:tc>
          <w:tcPr>
            <w:tcW w:w="611" w:type="dxa"/>
            <w:tcBorders/>
            <w:shd w:fill="FFFFFF" w:val="clear"/>
            <w:vAlign w:val="center"/>
          </w:tcPr>
          <w:p>
            <w:pPr>
              <w:pStyle w:val="TableContents"/>
              <w:bidi w:val="0"/>
              <w:spacing w:before="0" w:after="283"/>
              <w:jc w:val="left"/>
              <w:rPr/>
            </w:pPr>
            <w:r>
              <w:rPr/>
              <w:t> </w:t>
            </w:r>
          </w:p>
        </w:tc>
      </w:tr>
      <w:tr>
        <w:trPr/>
        <w:tc>
          <w:tcPr>
            <w:tcW w:w="5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611" w:type="dxa"/>
            <w:tcBorders/>
            <w:shd w:fill="CFF0FC" w:val="clear"/>
            <w:vAlign w:val="center"/>
          </w:tcPr>
          <w:p>
            <w:pPr>
              <w:pStyle w:val="TableContents"/>
              <w:bidi w:val="0"/>
              <w:spacing w:before="0" w:after="283"/>
              <w:jc w:val="left"/>
              <w:rPr/>
            </w:pPr>
            <w:r>
              <w:rPr/>
              <w:t> </w:t>
            </w:r>
          </w:p>
        </w:tc>
      </w:tr>
      <w:tr>
        <w:trPr/>
        <w:tc>
          <w:tcPr>
            <w:tcW w:w="5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35,411</w:t>
            </w:r>
          </w:p>
        </w:tc>
        <w:tc>
          <w:tcPr>
            <w:tcW w:w="611" w:type="dxa"/>
            <w:tcBorders/>
            <w:shd w:fill="FFFFFF" w:val="clear"/>
            <w:vAlign w:val="center"/>
          </w:tcPr>
          <w:p>
            <w:pPr>
              <w:pStyle w:val="TableContents"/>
              <w:bidi w:val="0"/>
              <w:spacing w:before="0" w:after="283"/>
              <w:jc w:val="left"/>
              <w:rPr/>
            </w:pPr>
            <w:r>
              <w:rPr/>
              <w:t> </w:t>
            </w:r>
          </w:p>
        </w:tc>
      </w:tr>
      <w:tr>
        <w:trPr/>
        <w:tc>
          <w:tcPr>
            <w:tcW w:w="5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7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Payable and accrued liabilities due to related party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36,001</w:t>
            </w:r>
          </w:p>
        </w:tc>
        <w:tc>
          <w:tcPr>
            <w:tcW w:w="611" w:type="dxa"/>
            <w:tcBorders/>
            <w:shd w:fill="CFF0FC" w:val="clear"/>
            <w:vAlign w:val="center"/>
          </w:tcPr>
          <w:p>
            <w:pPr>
              <w:pStyle w:val="TableContents"/>
              <w:bidi w:val="0"/>
              <w:spacing w:before="0" w:after="283"/>
              <w:jc w:val="left"/>
              <w:rPr/>
            </w:pPr>
            <w:r>
              <w:rPr/>
              <w:t> </w:t>
            </w:r>
          </w:p>
        </w:tc>
      </w:tr>
      <w:tr>
        <w:trPr/>
        <w:tc>
          <w:tcPr>
            <w:tcW w:w="5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w:t>
            </w:r>
          </w:p>
        </w:tc>
        <w:tc>
          <w:tcPr>
            <w:tcW w:w="611" w:type="dxa"/>
            <w:tcBorders/>
            <w:shd w:fill="FFFFFF" w:val="clear"/>
            <w:vAlign w:val="center"/>
          </w:tcPr>
          <w:p>
            <w:pPr>
              <w:pStyle w:val="TableContents"/>
              <w:bidi w:val="0"/>
              <w:spacing w:before="0" w:after="283"/>
              <w:jc w:val="left"/>
              <w:rPr/>
            </w:pPr>
            <w:r>
              <w:rPr/>
              <w:t> </w:t>
            </w:r>
          </w:p>
        </w:tc>
      </w:tr>
      <w:tr>
        <w:trPr/>
        <w:tc>
          <w:tcPr>
            <w:tcW w:w="5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$0.001 par value; 1,000,000,000 shares authorized </w:t>
              <w:br/>
              <w:t xml:space="preserve">     as of June 30, 2024 and December 31, 2023; 52,452,749 and </w:t>
              <w:br/>
              <w:t>     49,951,989 shares issued and outstanding as of June 30, 2024</w:t>
              <w:br/>
              <w:t>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720,590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675,678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6" w:name="part1_item1_is"/>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(68,980</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591" w:type="dxa"/>
            <w:tcBorders/>
            <w:shd w:fill="FFFFFF" w:val="cle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(64,343</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used to </w:t>
              <w:br/>
              <w:t>    compute 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51,831,157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40,875,457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50,969,089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40,869,021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7" w:name="part1_item1_cl"/>
      <w:bookmarkEnd w:id="7"/>
      <w:r>
        <w:rPr>
          <w:rFonts w:ascii="Times New Roman" w:hAnsi="Times New Roman"/>
          <w:b/>
          <w:color w:val="000000"/>
          <w:sz w:val="20"/>
        </w:rPr>
        <w:t>Condensed Consolidated Statements of Comprehensive Loss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10082" w:type="dxa"/>
        <w:jc w:val="left"/>
        <w:tblInd w:w="0" w:type="dxa"/>
        <w:tblLayout w:type="fixed"/>
        <w:tblCellMar>
          <w:top w:w="28" w:type="dxa"/>
          <w:left w:w="28" w:type="dxa"/>
          <w:bottom w:w="28" w:type="dxa"/>
          <w:right w:w="28" w:type="dxa"/>
        </w:tblCellMar>
      </w:tblPr>
      <w:tblGrid>
        <w:gridCol w:w="4821"/>
        <w:gridCol w:w="146"/>
        <w:gridCol w:w="211"/>
        <w:gridCol w:w="736"/>
        <w:gridCol w:w="166"/>
        <w:gridCol w:w="146"/>
        <w:gridCol w:w="211"/>
        <w:gridCol w:w="736"/>
        <w:gridCol w:w="166"/>
        <w:gridCol w:w="146"/>
        <w:gridCol w:w="211"/>
        <w:gridCol w:w="736"/>
        <w:gridCol w:w="166"/>
        <w:gridCol w:w="146"/>
        <w:gridCol w:w="211"/>
        <w:gridCol w:w="736"/>
        <w:gridCol w:w="391"/>
      </w:tblGrid>
      <w:tr>
        <w:trPr/>
        <w:tc>
          <w:tcPr>
            <w:tcW w:w="4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vAlign w:val="center"/>
          </w:tcPr>
          <w:p>
            <w:pPr>
              <w:pStyle w:val="TableContents"/>
              <w:bidi w:val="0"/>
              <w:spacing w:before="0" w:after="283"/>
              <w:jc w:val="center"/>
              <w:rPr/>
            </w:pPr>
            <w:r>
              <w:rPr/>
              <w:t> </w:t>
            </w:r>
          </w:p>
        </w:tc>
      </w:tr>
      <w:tr>
        <w:trPr/>
        <w:tc>
          <w:tcPr>
            <w:tcW w:w="4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(64,343</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 net of tax:</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gain on available-for-sale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sz w:val="20"/>
        </w:rPr>
      </w:pPr>
      <w:bookmarkStart w:id="8" w:name="part1_item1_se"/>
      <w:bookmarkEnd w:id="8"/>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77"/>
        <w:gridCol w:w="146"/>
        <w:gridCol w:w="146"/>
        <w:gridCol w:w="916"/>
        <w:gridCol w:w="146"/>
        <w:gridCol w:w="146"/>
        <w:gridCol w:w="249"/>
        <w:gridCol w:w="442"/>
        <w:gridCol w:w="146"/>
        <w:gridCol w:w="146"/>
        <w:gridCol w:w="196"/>
        <w:gridCol w:w="691"/>
        <w:gridCol w:w="146"/>
        <w:gridCol w:w="146"/>
        <w:gridCol w:w="377"/>
        <w:gridCol w:w="839"/>
        <w:gridCol w:w="166"/>
        <w:gridCol w:w="146"/>
        <w:gridCol w:w="217"/>
        <w:gridCol w:w="834"/>
        <w:gridCol w:w="166"/>
        <w:gridCol w:w="146"/>
        <w:gridCol w:w="234"/>
        <w:gridCol w:w="829"/>
        <w:gridCol w:w="412"/>
      </w:tblGrid>
      <w:tr>
        <w:trPr/>
        <w:tc>
          <w:tcPr>
            <w:tcW w:w="2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1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vAlign w:val="center"/>
          </w:tcPr>
          <w:p>
            <w:pPr>
              <w:pStyle w:val="TableContents"/>
              <w:bidi w:val="0"/>
              <w:spacing w:before="0" w:after="283"/>
              <w:jc w:val="center"/>
              <w:rPr/>
            </w:pPr>
            <w:r>
              <w:rPr/>
              <w:t> </w:t>
            </w:r>
          </w:p>
        </w:tc>
      </w:tr>
      <w:tr>
        <w:trPr/>
        <w:tc>
          <w:tcPr>
            <w:tcW w:w="21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49,951,989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675,678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(486,272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189,712</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equity incentive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 xml:space="preserve">Issuance of common stock through </w:t>
              <w:br/>
              <w:t xml:space="preserve">   ATM offering, net of commissions </w:t>
              <w:br/>
              <w:t>   and offering costs of $0.1</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7,031</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available-for-sale</w:t>
              <w:br/>
              <w:t>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41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(35,581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50,277,193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685,970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164,195</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equity incentive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321,753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 xml:space="preserve">Issuance of common stock through </w:t>
              <w:br/>
              <w:t xml:space="preserve">   ATM offering, net of commissions </w:t>
              <w:br/>
              <w:t>   and offering costs of $0.8</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1,794,091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26,203</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7,252</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available-for-sale</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(39,399</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52,452,749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159,317</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76"/>
        <w:gridCol w:w="146"/>
        <w:gridCol w:w="146"/>
        <w:gridCol w:w="916"/>
        <w:gridCol w:w="146"/>
        <w:gridCol w:w="146"/>
        <w:gridCol w:w="249"/>
        <w:gridCol w:w="442"/>
        <w:gridCol w:w="146"/>
        <w:gridCol w:w="146"/>
        <w:gridCol w:w="196"/>
        <w:gridCol w:w="691"/>
        <w:gridCol w:w="146"/>
        <w:gridCol w:w="146"/>
        <w:gridCol w:w="377"/>
        <w:gridCol w:w="839"/>
        <w:gridCol w:w="166"/>
        <w:gridCol w:w="146"/>
        <w:gridCol w:w="217"/>
        <w:gridCol w:w="834"/>
        <w:gridCol w:w="166"/>
        <w:gridCol w:w="146"/>
        <w:gridCol w:w="234"/>
        <w:gridCol w:w="830"/>
        <w:gridCol w:w="412"/>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40,861,386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(325,467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263,464</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equity incentive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color w:val="000000"/>
              </w:rPr>
            </w:pPr>
            <w:r>
              <w:rPr>
                <w:color w:val="000000"/>
              </w:rPr>
              <w:t>—</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6,351</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gain on available-for-sale</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(30,184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40,863,049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240,388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equity incentive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6,237</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available-for-sale</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(34,159</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40,992,179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602,773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212,692</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9" w:name="part1_item1_c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9274" w:type="dxa"/>
        <w:jc w:val="left"/>
        <w:tblInd w:w="0" w:type="dxa"/>
        <w:tblLayout w:type="fixed"/>
        <w:tblCellMar>
          <w:top w:w="28" w:type="dxa"/>
          <w:left w:w="28" w:type="dxa"/>
          <w:bottom w:w="28" w:type="dxa"/>
          <w:right w:w="28" w:type="dxa"/>
        </w:tblCellMar>
      </w:tblPr>
      <w:tblGrid>
        <w:gridCol w:w="6171"/>
        <w:gridCol w:w="146"/>
        <w:gridCol w:w="196"/>
        <w:gridCol w:w="691"/>
        <w:gridCol w:w="166"/>
        <w:gridCol w:w="146"/>
        <w:gridCol w:w="196"/>
        <w:gridCol w:w="751"/>
        <w:gridCol w:w="811"/>
      </w:tblGrid>
      <w:tr>
        <w:trPr/>
        <w:tc>
          <w:tcPr>
            <w:tcW w:w="6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811" w:type="dxa"/>
            <w:tcBorders/>
            <w:shd w:fill="FFFFFF" w:val="clear"/>
            <w:vAlign w:val="center"/>
          </w:tcPr>
          <w:p>
            <w:pPr>
              <w:pStyle w:val="TableContents"/>
              <w:bidi w:val="0"/>
              <w:spacing w:before="0" w:after="283"/>
              <w:jc w:val="center"/>
              <w:rPr/>
            </w:pPr>
            <w:r>
              <w:rPr/>
              <w:t> </w:t>
            </w:r>
          </w:p>
        </w:tc>
      </w:tr>
      <w:tr>
        <w:trPr/>
        <w:tc>
          <w:tcPr>
            <w:tcW w:w="6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(74,980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(64,343</w:t>
            </w:r>
          </w:p>
        </w:tc>
        <w:tc>
          <w:tcPr>
            <w:tcW w:w="8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Non-cash lease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12,588</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accretion of discounts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(2,764</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Accretion of term loan discount and issuance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disposal of fixed asset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61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(1,963</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3,425</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1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(3,944</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Payable and accrued liabilities due to related party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(1,802</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(59,527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(94,249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(118,730</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Maturities of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169,667</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(2,429</w:t>
            </w:r>
          </w:p>
        </w:tc>
        <w:tc>
          <w:tcPr>
            <w:tcW w:w="8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27,380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48,508</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Proceeds from ATM offering, net of commissions and offering costs of $0.9</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exercise of stock options under equity incentive plan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payments on finance leases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8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30,238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(10,783</w:t>
            </w:r>
          </w:p>
        </w:tc>
        <w:tc>
          <w:tcPr>
            <w:tcW w:w="8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beginning of year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48,888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38,105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 in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Right-of-use asset acquired under finance leases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jc w:val="left"/>
              <w:rPr/>
            </w:pPr>
            <w:r>
              <w:rPr/>
              <w:t> </w:t>
            </w:r>
          </w:p>
        </w:tc>
      </w:tr>
      <w:tr>
        <w:trPr/>
        <w:tc>
          <w:tcPr>
            <w:tcW w:w="6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and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38,039</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Restricted cash (included in other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38,105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10" w:name="part1_item1_notes"/>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immuno-oncology company focused on helping patients fight cancer by developing therapies that block the CD47 checkpoint pathway and bridge the innate and adaptive immune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ALX Oncology Holdings Inc. is incorporated in Delaware. ALX Oncology Limited, incorporated in Ireland, is a wholly-owned subsidiary of ALX Oncology Holdings Inc. ALX Oncology Inc., incorporated in Delaware, is a wholly-owned subsidiary of ALX Oncology Limited. Alexo International Holdings Limited, incorporated in Malta, is a wholly-owned subsidiary of ALX Oncology Inc. All the companies, except for ALX Oncology Holdings Inc., are collectively known as the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expects to incur additional losses in the future to conduct product candidate research and development and to conduct pre-commercialization activities and recognizes that the Company will likely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Preparation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or U.S. GAAP, and applicable rules and regulations of the Securities and Exchange Commission, or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Annual Report on Form 10-K for the year ended December 31, 2023 filed with the SEC on March 7,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balance sheet as of June 30, 2024 included herein was derived from the audited financial statements as of that date, but does not include all disclosures including notes required by U.S.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intercompany balances and transactions have been eliminated in consolidation.</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but not limited to, those related to the estimated useful lives of long-lived assets, clinical trial accruals, fair value of assets and liabilities, fair value of investments and stock-based compensation. Management bases its estimates on historical experience and on various other market-specific and relevant assumptions that management believes to be reasonable under the circumstances. Actual results could differ from those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new or material changes to the significant accounting policies discussed in the Company’s Annual Report on Form 10-K for the year ended December 31,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the FASB issued ASU 2020-06, Debt - Debt with Conversion and Other Options (Subtopic 470-20) and Derivatives and Hedging - Contracts in Entity’s Own Equity (Subtopic 815-40) (ASU 2020-06). ASU 2020-06 eliminates the beneficial conversion and cash conversion accounting models for convertible instruments. It also amends the accounting for certain contracts in an entity’s own equity that are currently accounted for as derivatives because of specific settlement provisions. The new guidance also modifies how particular convertible instruments and certain contracts that may be settled in cash or shares impact the diluted EPS computation. ASU 2020-06 is effective for annual periods beginning after December 15, 2023, including interim periods within those annual periods. Early adoption is permitted. ASU 2020-06 allows companies to adopt the guidance through either a modified retrospective method of transition or a fully retrospective method of transition. The Company’s adoption of ASU 2020-06 on January 1, 2024 did not have an impact on its condensed consolidated financial statements and related disclosures.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the FASB issued ASU 2023-07, Segment Reporting (Topic 280): Improvements to Reportable Segment Disclosures (ASU 2023-07). The amendments in ASU 2023-07 are intended to improve reportable segment disclosure, primarily through enhanced disclosures about significant segment expenses. ASU 2023-07 is effective for annual periods beginning after December 15, 2023, and interim periods beginning after December 15, 2024. The amendments in this ASU should be applied retrospectively to all prior periods presented in the financial statements. Early adoption is permitted. The Company is evaluating the impact of this guidance on its consolidated financial statements and related disclosures.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consolidated financial statements and related disclosures.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financial assets and liabilities are determined in accordance with the fair value hierarchy established in ASC 820, Fair Value Measurements and Disclosures.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Company’s investments, which consist of cash equivalents and investments classified as available-for-sale investments, that are measured at fair value on a recurring basis by level within the fair value hierarchy as of June 30, 2024 and December 31, 2023 (in thousands):</w:t>
      </w:r>
    </w:p>
    <w:tbl>
      <w:tblPr>
        <w:tblW w:w="10205" w:type="dxa"/>
        <w:jc w:val="left"/>
        <w:tblInd w:w="0" w:type="dxa"/>
        <w:tblLayout w:type="fixed"/>
        <w:tblCellMar>
          <w:top w:w="28" w:type="dxa"/>
          <w:left w:w="28" w:type="dxa"/>
          <w:bottom w:w="28" w:type="dxa"/>
          <w:right w:w="28" w:type="dxa"/>
        </w:tblCellMar>
      </w:tblPr>
      <w:tblGrid>
        <w:gridCol w:w="2513"/>
        <w:gridCol w:w="146"/>
        <w:gridCol w:w="1010"/>
        <w:gridCol w:w="146"/>
        <w:gridCol w:w="270"/>
        <w:gridCol w:w="1008"/>
        <w:gridCol w:w="146"/>
        <w:gridCol w:w="146"/>
        <w:gridCol w:w="524"/>
        <w:gridCol w:w="862"/>
        <w:gridCol w:w="146"/>
        <w:gridCol w:w="146"/>
        <w:gridCol w:w="433"/>
        <w:gridCol w:w="992"/>
        <w:gridCol w:w="166"/>
        <w:gridCol w:w="146"/>
        <w:gridCol w:w="214"/>
        <w:gridCol w:w="795"/>
        <w:gridCol w:w="396"/>
      </w:tblGrid>
      <w:tr>
        <w:trPr/>
        <w:tc>
          <w:tcPr>
            <w:tcW w:w="2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5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50"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13,986</w:t>
            </w:r>
          </w:p>
        </w:tc>
        <w:tc>
          <w:tcPr>
            <w:tcW w:w="396" w:type="dxa"/>
            <w:tcBorders/>
            <w:shd w:fill="FFFFFF" w:val="clear"/>
            <w:vAlign w:val="center"/>
          </w:tcPr>
          <w:p>
            <w:pPr>
              <w:pStyle w:val="TableContents"/>
              <w:bidi w:val="0"/>
              <w:spacing w:before="0" w:after="283"/>
              <w:jc w:val="left"/>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68,019</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53,269</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13,865</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jc w:val="left"/>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14,286</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184,650</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13"/>
        <w:gridCol w:w="146"/>
        <w:gridCol w:w="1010"/>
        <w:gridCol w:w="146"/>
        <w:gridCol w:w="270"/>
        <w:gridCol w:w="1008"/>
        <w:gridCol w:w="146"/>
        <w:gridCol w:w="146"/>
        <w:gridCol w:w="461"/>
        <w:gridCol w:w="925"/>
        <w:gridCol w:w="146"/>
        <w:gridCol w:w="146"/>
        <w:gridCol w:w="511"/>
        <w:gridCol w:w="913"/>
        <w:gridCol w:w="166"/>
        <w:gridCol w:w="146"/>
        <w:gridCol w:w="214"/>
        <w:gridCol w:w="795"/>
        <w:gridCol w:w="397"/>
      </w:tblGrid>
      <w:tr>
        <w:trPr/>
        <w:tc>
          <w:tcPr>
            <w:tcW w:w="2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5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9"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13"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15,591</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w:t>
            </w:r>
          </w:p>
        </w:tc>
        <w:tc>
          <w:tcPr>
            <w:tcW w:w="397" w:type="dxa"/>
            <w:tcBorders/>
            <w:shd w:fill="CFF0FC"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74,850</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28,177</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21,902</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34,980</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97" w:type="dxa"/>
            <w:tcBorders/>
            <w:shd w:fill="CFF0FC"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color w:val="000000"/>
              </w:rPr>
            </w:pPr>
            <w:r>
              <w:rPr>
                <w:color w:val="000000"/>
              </w:rPr>
              <w:t>—</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14,812</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215,822</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cash equivalents and available-for-sale investments by classification included in the condensed consolidated balance sheets was as follows as of June 30, 2024 and December 31, 2023 (in thousands):</w:t>
      </w:r>
    </w:p>
    <w:tbl>
      <w:tblPr>
        <w:tblW w:w="4877" w:type="dxa"/>
        <w:jc w:val="left"/>
        <w:tblInd w:w="0" w:type="dxa"/>
        <w:tblLayout w:type="fixed"/>
        <w:tblCellMar>
          <w:top w:w="28" w:type="dxa"/>
          <w:left w:w="28" w:type="dxa"/>
          <w:bottom w:w="28" w:type="dxa"/>
          <w:right w:w="28" w:type="dxa"/>
        </w:tblCellMar>
      </w:tblPr>
      <w:tblGrid>
        <w:gridCol w:w="1996"/>
        <w:gridCol w:w="146"/>
        <w:gridCol w:w="211"/>
        <w:gridCol w:w="781"/>
        <w:gridCol w:w="146"/>
        <w:gridCol w:w="146"/>
        <w:gridCol w:w="268"/>
        <w:gridCol w:w="992"/>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1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20,081</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160,330</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in the above table excludes bank account cash of $1.5 million and $2.3 million as of June 30, 2024 and December 31, 2023, respectively.</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cash equivalents and available-for-sale investments by contractual maturity was as follows as of June 30, 2024 and December 31, 2023 (in thousands):</w:t>
      </w:r>
    </w:p>
    <w:tbl>
      <w:tblPr>
        <w:tblW w:w="6422" w:type="dxa"/>
        <w:jc w:val="left"/>
        <w:tblInd w:w="0" w:type="dxa"/>
        <w:tblLayout w:type="fixed"/>
        <w:tblCellMar>
          <w:top w:w="28" w:type="dxa"/>
          <w:left w:w="28" w:type="dxa"/>
          <w:bottom w:w="28" w:type="dxa"/>
          <w:right w:w="28" w:type="dxa"/>
        </w:tblCellMar>
      </w:tblPr>
      <w:tblGrid>
        <w:gridCol w:w="3541"/>
        <w:gridCol w:w="146"/>
        <w:gridCol w:w="211"/>
        <w:gridCol w:w="781"/>
        <w:gridCol w:w="146"/>
        <w:gridCol w:w="146"/>
        <w:gridCol w:w="268"/>
        <w:gridCol w:w="992"/>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in one year or less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180,411</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after one year through five years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of financial instruments between the fair value measurement levels during the three months and six months ended June 30, 2024 and 2023 and there were no financial instruments classified as Level 3 as of June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accrued interest receivable related to the Company’s investments of $1.2 million and $1.0 million, respectively, was included in prepaid expenses and other current assets on the condensed consolidated balance sheet. In addition, as of June 30, 2024, receivable related to the Company’s matured investments of $5.0 million was included in prepaid expenses and other current assets on the condensed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maturity. As of June 30, 2024 and 2023, no allowance for credit losses for the Company’s investments was recorded. As of June 30, 2024 and December 31, 2023, securities with a fair value of $3.0 million and $5.9 million, respectively, were in a continuous net unrealized loss position for more than 12 months. As of June 30, 2024 and 2023, the Company has not recognized any impairment losses on available-for-sale investments.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components of prepaid expenses and other current assets as of June 30, 2024 and December 31, 2023 (in thousands):</w:t>
      </w:r>
    </w:p>
    <w:tbl>
      <w:tblPr>
        <w:tblW w:w="7107" w:type="dxa"/>
        <w:jc w:val="left"/>
        <w:tblInd w:w="0" w:type="dxa"/>
        <w:tblLayout w:type="fixed"/>
        <w:tblCellMar>
          <w:top w:w="28" w:type="dxa"/>
          <w:left w:w="28" w:type="dxa"/>
          <w:bottom w:w="28" w:type="dxa"/>
          <w:right w:w="28" w:type="dxa"/>
        </w:tblCellMar>
      </w:tblPr>
      <w:tblGrid>
        <w:gridCol w:w="4131"/>
        <w:gridCol w:w="146"/>
        <w:gridCol w:w="211"/>
        <w:gridCol w:w="676"/>
        <w:gridCol w:w="146"/>
        <w:gridCol w:w="146"/>
        <w:gridCol w:w="339"/>
        <w:gridCol w:w="921"/>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391" w:type="dxa"/>
            <w:tcBorders/>
            <w:shd w:fill="CFF0FC" w:val="clear"/>
            <w:vAlign w:val="center"/>
          </w:tcPr>
          <w:p>
            <w:pPr>
              <w:pStyle w:val="TableContents"/>
              <w:bidi w:val="0"/>
              <w:spacing w:before="0" w:after="283"/>
              <w:jc w:val="left"/>
              <w:rPr/>
            </w:pPr>
            <w:r>
              <w:rPr/>
              <w:t> </w:t>
            </w:r>
          </w:p>
        </w:tc>
      </w:tr>
      <w:tr>
        <w:trPr/>
        <w:tc>
          <w:tcPr>
            <w:tcW w:w="4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391" w:type="dxa"/>
            <w:tcBorders/>
            <w:shd w:fill="FFFFFF" w:val="clear"/>
            <w:vAlign w:val="center"/>
          </w:tcPr>
          <w:p>
            <w:pPr>
              <w:pStyle w:val="TableContents"/>
              <w:bidi w:val="0"/>
              <w:spacing w:before="0" w:after="283"/>
              <w:jc w:val="left"/>
              <w:rPr/>
            </w:pPr>
            <w:r>
              <w:rPr/>
              <w:t> </w:t>
            </w:r>
          </w:p>
        </w:tc>
      </w:tr>
      <w:tr>
        <w:trPr/>
        <w:tc>
          <w:tcPr>
            <w:tcW w:w="4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391" w:type="dxa"/>
            <w:tcBorders/>
            <w:shd w:fill="CFF0FC" w:val="clear"/>
            <w:vAlign w:val="center"/>
          </w:tcPr>
          <w:p>
            <w:pPr>
              <w:pStyle w:val="TableContents"/>
              <w:bidi w:val="0"/>
              <w:spacing w:before="0" w:after="283"/>
              <w:jc w:val="left"/>
              <w:rPr/>
            </w:pPr>
            <w:r>
              <w:rPr/>
              <w:t> </w:t>
            </w:r>
          </w:p>
        </w:tc>
      </w:tr>
      <w:tr>
        <w:trPr/>
        <w:tc>
          <w:tcPr>
            <w:tcW w:w="4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91" w:type="dxa"/>
            <w:tcBorders/>
            <w:shd w:fill="FFFFFF" w:val="clear"/>
            <w:vAlign w:val="center"/>
          </w:tcPr>
          <w:p>
            <w:pPr>
              <w:pStyle w:val="TableContents"/>
              <w:bidi w:val="0"/>
              <w:spacing w:before="0" w:after="283"/>
              <w:jc w:val="left"/>
              <w:rPr/>
            </w:pPr>
            <w:r>
              <w:rPr/>
              <w:t> </w:t>
            </w:r>
          </w:p>
        </w:tc>
      </w:tr>
      <w:tr>
        <w:trPr/>
        <w:tc>
          <w:tcPr>
            <w:tcW w:w="4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components of property and equipment, net as of June 30, 2024 and December 31, 2023 (in thousands):</w:t>
      </w:r>
    </w:p>
    <w:tbl>
      <w:tblPr>
        <w:tblW w:w="5752" w:type="dxa"/>
        <w:jc w:val="left"/>
        <w:tblInd w:w="0" w:type="dxa"/>
        <w:tblLayout w:type="fixed"/>
        <w:tblCellMar>
          <w:top w:w="28" w:type="dxa"/>
          <w:left w:w="28" w:type="dxa"/>
          <w:bottom w:w="28" w:type="dxa"/>
          <w:right w:w="28" w:type="dxa"/>
        </w:tblCellMar>
      </w:tblPr>
      <w:tblGrid>
        <w:gridCol w:w="2781"/>
        <w:gridCol w:w="146"/>
        <w:gridCol w:w="211"/>
        <w:gridCol w:w="631"/>
        <w:gridCol w:w="166"/>
        <w:gridCol w:w="146"/>
        <w:gridCol w:w="314"/>
        <w:gridCol w:w="946"/>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vAlign w:val="center"/>
          </w:tcPr>
          <w:p>
            <w:pPr>
              <w:pStyle w:val="TableContents"/>
              <w:bidi w:val="0"/>
              <w:spacing w:before="0" w:after="283"/>
              <w:jc w:val="center"/>
              <w:rPr/>
            </w:pPr>
            <w:r>
              <w:rPr/>
              <w:t> </w:t>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was $0.2 million for the three months ended June 30, 2024 and 2023. Depreciation was $0.4 million for the six months ended June 30, 2024 and 2023.</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the components of other assets as of June 30, 2024 and December 31, 2023 (in thousands): </w:t>
      </w:r>
    </w:p>
    <w:tbl>
      <w:tblPr>
        <w:tblW w:w="6997" w:type="dxa"/>
        <w:jc w:val="left"/>
        <w:tblInd w:w="0" w:type="dxa"/>
        <w:tblLayout w:type="fixed"/>
        <w:tblCellMar>
          <w:top w:w="28" w:type="dxa"/>
          <w:left w:w="28" w:type="dxa"/>
          <w:bottom w:w="28" w:type="dxa"/>
          <w:right w:w="28" w:type="dxa"/>
        </w:tblCellMar>
      </w:tblPr>
      <w:tblGrid>
        <w:gridCol w:w="4021"/>
        <w:gridCol w:w="146"/>
        <w:gridCol w:w="211"/>
        <w:gridCol w:w="676"/>
        <w:gridCol w:w="146"/>
        <w:gridCol w:w="146"/>
        <w:gridCol w:w="299"/>
        <w:gridCol w:w="961"/>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clinical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w:t>
            </w:r>
          </w:p>
        </w:tc>
        <w:tc>
          <w:tcPr>
            <w:tcW w:w="3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w:t>
            </w:r>
          </w:p>
        </w:tc>
        <w:tc>
          <w:tcPr>
            <w:tcW w:w="3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3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contract manufacturing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components of accrued expenses and other current liabilities as of June 30, 2024 and December 31, 2023 (in thousands):</w:t>
      </w:r>
    </w:p>
    <w:tbl>
      <w:tblPr>
        <w:tblW w:w="7437" w:type="dxa"/>
        <w:jc w:val="left"/>
        <w:tblInd w:w="0" w:type="dxa"/>
        <w:tblLayout w:type="fixed"/>
        <w:tblCellMar>
          <w:top w:w="28" w:type="dxa"/>
          <w:left w:w="28" w:type="dxa"/>
          <w:bottom w:w="28" w:type="dxa"/>
          <w:right w:w="28" w:type="dxa"/>
        </w:tblCellMar>
      </w:tblPr>
      <w:tblGrid>
        <w:gridCol w:w="4461"/>
        <w:gridCol w:w="146"/>
        <w:gridCol w:w="211"/>
        <w:gridCol w:w="676"/>
        <w:gridCol w:w="146"/>
        <w:gridCol w:w="146"/>
        <w:gridCol w:w="299"/>
        <w:gridCol w:w="96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manufacturing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and nonclinical study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8,873</w:t>
            </w:r>
          </w:p>
        </w:tc>
        <w:tc>
          <w:tcPr>
            <w:tcW w:w="391" w:type="dxa"/>
            <w:tcBorders/>
            <w:shd w:fill="FFFFFF" w:val="clear"/>
            <w:vAlign w:val="center"/>
          </w:tcPr>
          <w:p>
            <w:pPr>
              <w:pStyle w:val="TableContents"/>
              <w:bidi w:val="0"/>
              <w:spacing w:before="0" w:after="283"/>
              <w:jc w:val="left"/>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91" w:type="dxa"/>
            <w:tcBorders/>
            <w:shd w:fill="FFFFFF" w:val="clear"/>
            <w:vAlign w:val="center"/>
          </w:tcPr>
          <w:p>
            <w:pPr>
              <w:pStyle w:val="TableContents"/>
              <w:bidi w:val="0"/>
              <w:spacing w:before="0" w:after="283"/>
              <w:jc w:val="left"/>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non-cancelable operating leases for its offices located in the U.S. As of June 30, 2024, these leases expire on various dates between 2026 and 2030. Certain lease agreements include one or more options to renew, with renewal terms that can extend the lease up to two years after expiration. The Company has the right to exercise or forego the lease renewal options. The lease agreements do not contain any material residual value guarantees or material restrictive covenants.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maturities and balance sheet information of the Company’s operating lease liabilities as of June 30, 2024 (in thousands, except lease term and discount rate):</w:t>
      </w:r>
    </w:p>
    <w:tbl>
      <w:tblPr>
        <w:tblW w:w="7540" w:type="dxa"/>
        <w:jc w:val="left"/>
        <w:tblInd w:w="0" w:type="dxa"/>
        <w:tblLayout w:type="fixed"/>
        <w:tblCellMar>
          <w:top w:w="28" w:type="dxa"/>
          <w:left w:w="28" w:type="dxa"/>
          <w:bottom w:w="28" w:type="dxa"/>
          <w:right w:w="28" w:type="dxa"/>
        </w:tblCellMar>
      </w:tblPr>
      <w:tblGrid>
        <w:gridCol w:w="4111"/>
        <w:gridCol w:w="146"/>
        <w:gridCol w:w="341"/>
        <w:gridCol w:w="1024"/>
        <w:gridCol w:w="271"/>
        <w:gridCol w:w="146"/>
        <w:gridCol w:w="320"/>
        <w:gridCol w:w="865"/>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current </w:t>
            </w:r>
            <w:r>
              <w:rPr>
                <w:rFonts w:ascii="Times New Roman" w:hAnsi="Times New Roman"/>
                <w:color w:val="000000"/>
                <w:sz w:val="13"/>
              </w:rPr>
              <w:t>(i)</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non-current </w:t>
            </w:r>
            <w:r>
              <w:rPr>
                <w:rFonts w:ascii="Times New Roman" w:hAnsi="Times New Roman"/>
                <w:color w:val="000000"/>
                <w:sz w:val="13"/>
              </w:rPr>
              <w:t>(ii)</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Current lease liabilities are presented within accrued expenses and other current liabilities on the condensed consolidated balance sheets.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(ii)</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Non-current lease liabilities are presented within other non-current liabilities on the 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the components of lease costs for the three months and six months ended June 30, 2024 and 2023 (in thousands): </w:t>
      </w:r>
    </w:p>
    <w:tbl>
      <w:tblPr>
        <w:tblW w:w="7670" w:type="dxa"/>
        <w:jc w:val="left"/>
        <w:tblInd w:w="0" w:type="dxa"/>
        <w:tblLayout w:type="fixed"/>
        <w:tblCellMar>
          <w:top w:w="28" w:type="dxa"/>
          <w:left w:w="28" w:type="dxa"/>
          <w:bottom w:w="28" w:type="dxa"/>
          <w:right w:w="28" w:type="dxa"/>
        </w:tblCellMar>
      </w:tblPr>
      <w:tblGrid>
        <w:gridCol w:w="3111"/>
        <w:gridCol w:w="146"/>
        <w:gridCol w:w="254"/>
        <w:gridCol w:w="507"/>
        <w:gridCol w:w="176"/>
        <w:gridCol w:w="176"/>
        <w:gridCol w:w="254"/>
        <w:gridCol w:w="507"/>
        <w:gridCol w:w="146"/>
        <w:gridCol w:w="146"/>
        <w:gridCol w:w="211"/>
        <w:gridCol w:w="571"/>
        <w:gridCol w:w="146"/>
        <w:gridCol w:w="146"/>
        <w:gridCol w:w="211"/>
        <w:gridCol w:w="571"/>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vAlign w:val="center"/>
          </w:tcPr>
          <w:p>
            <w:pPr>
              <w:pStyle w:val="TableContents"/>
              <w:bidi w:val="0"/>
              <w:spacing w:before="0" w:after="283"/>
              <w:jc w:val="center"/>
              <w:rPr/>
            </w:pPr>
            <w:r>
              <w:rPr/>
              <w:t> </w:t>
            </w:r>
          </w:p>
        </w:tc>
      </w:tr>
      <w:tr>
        <w:trPr/>
        <w:tc>
          <w:tcPr>
            <w:tcW w:w="3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391" w:type="dxa"/>
            <w:tcBorders/>
            <w:shd w:fill="CFF0FC"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Variable lease cost and other, net </w:t>
            </w:r>
            <w:r>
              <w:rPr>
                <w:rFonts w:ascii="Times New Roman" w:hAnsi="Times New Roman"/>
                <w:color w:val="000000"/>
                <w:sz w:val="13"/>
              </w:rPr>
              <w:t>(i)</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7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91" w:type="dxa"/>
            <w:tcBorders/>
            <w:shd w:fill="FFFFFF" w:val="clear"/>
            <w:vAlign w:val="center"/>
          </w:tcPr>
          <w:p>
            <w:pPr>
              <w:pStyle w:val="TableContents"/>
              <w:bidi w:val="0"/>
              <w:spacing w:before="0" w:after="283"/>
              <w:jc w:val="left"/>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CFF0FC"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vAlign w:val="center"/>
          </w:tcPr>
          <w:p>
            <w:pPr>
              <w:pStyle w:val="TableContents"/>
              <w:bidi w:val="0"/>
              <w:spacing w:before="0" w:after="283"/>
              <w:jc w:val="left"/>
              <w:rPr/>
            </w:pPr>
            <w:r>
              <w:rPr/>
              <w:t> </w:t>
            </w:r>
          </w:p>
        </w:tc>
        <w:tc>
          <w:tcPr>
            <w:tcW w:w="761" w:type="dxa"/>
            <w:gridSpan w:val="2"/>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7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18"/>
        </w:rPr>
      </w:pPr>
      <w:r>
        <w:rPr>
          <w:rFonts w:ascii="Times New Roman" w:hAnsi="Times New Roman"/>
          <w:color w:val="000000"/>
          <w:sz w:val="18"/>
        </w:rPr>
        <w:t>(i)</w:t>
      </w:r>
    </w:p>
    <w:p>
      <w:pPr>
        <w:pStyle w:val="TextBody"/>
        <w:bidi w:val="0"/>
        <w:jc w:val="left"/>
        <w:rPr>
          <w:rFonts w:ascii="Times New Roman" w:hAnsi="Times New Roman"/>
          <w:color w:val="000000"/>
          <w:sz w:val="18"/>
        </w:rPr>
      </w:pPr>
      <w:r>
        <w:rPr>
          <w:rFonts w:ascii="Times New Roman" w:hAnsi="Times New Roman"/>
          <w:color w:val="000000"/>
          <w:sz w:val="18"/>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supplemental cash flow disclosures for cash paid for leases for the six months ended June 30, 2024 and 2023 (in thousands):</w:t>
      </w:r>
    </w:p>
    <w:tbl>
      <w:tblPr>
        <w:tblW w:w="8109" w:type="dxa"/>
        <w:jc w:val="left"/>
        <w:tblInd w:w="0" w:type="dxa"/>
        <w:tblLayout w:type="fixed"/>
        <w:tblCellMar>
          <w:top w:w="28" w:type="dxa"/>
          <w:left w:w="28" w:type="dxa"/>
          <w:bottom w:w="28" w:type="dxa"/>
          <w:right w:w="28" w:type="dxa"/>
        </w:tblCellMar>
      </w:tblPr>
      <w:tblGrid>
        <w:gridCol w:w="5866"/>
        <w:gridCol w:w="146"/>
        <w:gridCol w:w="211"/>
        <w:gridCol w:w="571"/>
        <w:gridCol w:w="146"/>
        <w:gridCol w:w="146"/>
        <w:gridCol w:w="211"/>
        <w:gridCol w:w="42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91" w:type="dxa"/>
            <w:tcBorders/>
            <w:shd w:fill="FFFFFF" w:val="clear"/>
            <w:vAlign w:val="center"/>
          </w:tcPr>
          <w:p>
            <w:pPr>
              <w:pStyle w:val="TableContents"/>
              <w:bidi w:val="0"/>
              <w:spacing w:before="0" w:after="283"/>
              <w:jc w:val="left"/>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acquired under leases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TERM LOAN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Oxford Finance and Silicon Valley Bank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the Company entered into a loan and security agreement, as amended, the Loan Agreement, with Oxford Finance LLC, Oxford Finance Credit Fund II LP, and Silicon Valley Bank, or SVB, collectively the Lenders, for a secured term loan facility of up to $100.0 million. Pursuant to the Loan Agreement, the Company drew an initial loan of $10.0 million. Under the original terms of the Loan Agreement, the Company had the right to draw an additional $40.0 million through the end of June 2024. The original terms of the Loan Agreement provided for an additional $50.0 million over three tranches, with $12.5 million available in each of two tranches based upon the achievement of milestones related to the development of evorpacept and one preclinical product candidate, and $25.0 million at the Lenders’ sole discretion. The Company decided not to draw down on any portion of the $40.0 million available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An additional $25.0 million is also available at the Lenders’ sole discretion.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proceeds of the loans may be used by the Company for working capital and to fund its general business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information regarding our indebtedness is included in our notes to our consolidated financial statements in our Annual Report on Form 10-K for the fiscal year ended December 31, 2023, which was filed with the SEC on March 7,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2024 and 2023, interest expense incurred in connection with the Loan Agreement was $0.3 million. During the six months ended June 30, 2024 and 2023, interest expense incurred in connection with the Loan Agreement was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the Company was in compliance with all financial reporting covenants under the Loan Agreement.</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the future maturities under the Loan Agreement are as follows (in thousands):</w:t>
      </w:r>
    </w:p>
    <w:p>
      <w:pPr>
        <w:pStyle w:val="TextBody"/>
        <w:bidi w:val="0"/>
        <w:jc w:val="left"/>
        <w:rPr/>
      </w:pPr>
      <w:r>
        <w:rPr/>
        <w:t> </w:t>
      </w:r>
    </w:p>
    <w:tbl>
      <w:tblPr>
        <w:tblW w:w="4828" w:type="dxa"/>
        <w:jc w:val="left"/>
        <w:tblInd w:w="0" w:type="dxa"/>
        <w:tblLayout w:type="fixed"/>
        <w:tblCellMar>
          <w:top w:w="28" w:type="dxa"/>
          <w:left w:w="28" w:type="dxa"/>
          <w:bottom w:w="28" w:type="dxa"/>
          <w:right w:w="28" w:type="dxa"/>
        </w:tblCellMar>
      </w:tblPr>
      <w:tblGrid>
        <w:gridCol w:w="3196"/>
        <w:gridCol w:w="146"/>
        <w:gridCol w:w="303"/>
        <w:gridCol w:w="972"/>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2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w:t>
            </w:r>
          </w:p>
        </w:tc>
        <w:tc>
          <w:tcPr>
            <w:tcW w:w="2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maturities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2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term loan</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term loan, net of current portion</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2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unaccreted final payment costs</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 net</w:t>
            </w:r>
          </w:p>
        </w:tc>
        <w:tc>
          <w:tcPr>
            <w:tcW w:w="146" w:type="dxa"/>
            <w:tcBorders/>
            <w:shd w:fill="CFF0FC" w:val="cle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21, 2020, the Company’s amended and restated certificate of incorporation became effective, authorizing 1,000,000,000 shares of common stock, $0.001 par value per share, and 100,000,000 shares of undesignated preferred stock, $0.001 par value per share. As of June 30, 2024 and December 31, 2023, the Company had 52,452,749 and 49,951,989 shares of common stock outstanding, respectively, and no shares of undesignated preferred stock outstanding,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Common stock reserved for future issuance as of June 30, 2024 consists of the following:</w:t>
      </w:r>
    </w:p>
    <w:tbl>
      <w:tblPr>
        <w:tblW w:w="7277" w:type="dxa"/>
        <w:jc w:val="left"/>
        <w:tblInd w:w="0" w:type="dxa"/>
        <w:tblLayout w:type="fixed"/>
        <w:tblCellMar>
          <w:top w:w="28" w:type="dxa"/>
          <w:left w:w="28" w:type="dxa"/>
          <w:bottom w:w="28" w:type="dxa"/>
          <w:right w:w="28" w:type="dxa"/>
        </w:tblCellMar>
      </w:tblPr>
      <w:tblGrid>
        <w:gridCol w:w="5611"/>
        <w:gridCol w:w="157"/>
        <w:gridCol w:w="1118"/>
        <w:gridCol w:w="391"/>
      </w:tblGrid>
      <w:tr>
        <w:trPr/>
        <w:tc>
          <w:tcPr>
            <w:tcW w:w="56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5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10,054,943</w:t>
            </w:r>
          </w:p>
        </w:tc>
        <w:tc>
          <w:tcPr>
            <w:tcW w:w="391" w:type="dxa"/>
            <w:tcBorders/>
            <w:shd w:fill="CFF0FC" w:val="clear"/>
            <w:vAlign w:val="center"/>
          </w:tcPr>
          <w:p>
            <w:pPr>
              <w:pStyle w:val="TableContents"/>
              <w:bidi w:val="0"/>
              <w:spacing w:before="0" w:after="283"/>
              <w:jc w:val="left"/>
              <w:rPr/>
            </w:pPr>
            <w:r>
              <w:rPr/>
              <w:t> </w:t>
            </w:r>
          </w:p>
        </w:tc>
      </w:tr>
      <w:tr>
        <w:trPr/>
        <w:tc>
          <w:tcPr>
            <w:tcW w:w="5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authorized for future issuance</w:t>
            </w:r>
          </w:p>
        </w:tc>
        <w:tc>
          <w:tcPr>
            <w:tcW w:w="15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1,239,570</w:t>
            </w:r>
          </w:p>
        </w:tc>
        <w:tc>
          <w:tcPr>
            <w:tcW w:w="391" w:type="dxa"/>
            <w:tcBorders/>
            <w:shd w:fill="FFFFFF" w:val="clear"/>
            <w:vAlign w:val="center"/>
          </w:tcPr>
          <w:p>
            <w:pPr>
              <w:pStyle w:val="TableContents"/>
              <w:bidi w:val="0"/>
              <w:spacing w:before="0" w:after="283"/>
              <w:jc w:val="left"/>
              <w:rPr/>
            </w:pPr>
            <w:r>
              <w:rPr/>
              <w:t> </w:t>
            </w:r>
          </w:p>
        </w:tc>
      </w:tr>
      <w:tr>
        <w:trPr/>
        <w:tc>
          <w:tcPr>
            <w:tcW w:w="5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shares authorized for future issuance</w:t>
            </w:r>
          </w:p>
        </w:tc>
        <w:tc>
          <w:tcPr>
            <w:tcW w:w="15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1,005,677</w:t>
            </w:r>
          </w:p>
        </w:tc>
        <w:tc>
          <w:tcPr>
            <w:tcW w:w="391" w:type="dxa"/>
            <w:tcBorders/>
            <w:shd w:fill="CFF0FC" w:val="clear"/>
            <w:vAlign w:val="center"/>
          </w:tcPr>
          <w:p>
            <w:pPr>
              <w:pStyle w:val="TableContents"/>
              <w:bidi w:val="0"/>
              <w:spacing w:before="0" w:after="283"/>
              <w:jc w:val="left"/>
              <w:rPr/>
            </w:pPr>
            <w:r>
              <w:rPr/>
              <w:t> </w:t>
            </w:r>
          </w:p>
        </w:tc>
      </w:tr>
      <w:tr>
        <w:trPr/>
        <w:tc>
          <w:tcPr>
            <w:tcW w:w="5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issued and outstanding</w:t>
            </w:r>
          </w:p>
        </w:tc>
        <w:tc>
          <w:tcPr>
            <w:tcW w:w="15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1,150,655</w:t>
            </w:r>
          </w:p>
        </w:tc>
        <w:tc>
          <w:tcPr>
            <w:tcW w:w="391" w:type="dxa"/>
            <w:tcBorders/>
            <w:shd w:fill="FFFFFF" w:val="clear"/>
            <w:vAlign w:val="center"/>
          </w:tcPr>
          <w:p>
            <w:pPr>
              <w:pStyle w:val="TableContents"/>
              <w:bidi w:val="0"/>
              <w:spacing w:before="0" w:after="283"/>
              <w:jc w:val="left"/>
              <w:rPr/>
            </w:pPr>
            <w:r>
              <w:rPr/>
              <w:t> </w:t>
            </w:r>
          </w:p>
        </w:tc>
      </w:tr>
      <w:tr>
        <w:trPr/>
        <w:tc>
          <w:tcPr>
            <w:tcW w:w="5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issued and outstanding</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13,808,345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Equity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the Company entered into a sales agreement with Cantor Fitzgerald &amp; Co. and Credit Suisse Securities (USA) LLC (Sales Agreement), under which it may offer and sell shares of the Company’s common stock, having aggregate gross proceeds of up to $150.0 million, from time to time through them as the Company’s sales agents in its at-the-market (ATM) equity offering program. In August 2023, the Company entered into an amendment to the Sales Agreement to include UBS Securities LLC as an additional sales agent and to remove Credit Suisse as a sales agent. As of June 30, 2024, the Company had issued approximately 2,005,910 shares of common stock pursuant to the Sales Agreement for net proceeds of $29.2 million. The Company may terminate this ATM program at any time, pursuant to its terms.</w:t>
      </w:r>
    </w:p>
    <w:p>
      <w:pPr>
        <w:pStyle w:val="TextBody"/>
        <w:bidi w:val="0"/>
        <w:spacing w:before="120" w:after="283"/>
        <w:jc w:val="left"/>
        <w:rPr>
          <w:rFonts w:ascii="Times New Roman" w:hAnsi="Times New Roman"/>
          <w:sz w:val="20"/>
        </w:rPr>
      </w:pPr>
      <w:r>
        <w:rPr>
          <w:rFonts w:ascii="Times New Roman" w:hAnsi="Times New Roman"/>
          <w:b/>
          <w:i/>
          <w:color w:val="000000"/>
          <w:sz w:val="20"/>
        </w:rPr>
        <w:t>Pre-Funded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we completed an underwritten follow-on public offering (the October 2023 Offering) pursuant to our shelf registration statement, which provides for aggregate offerings of up to $450.0 million of the Company’s securities. As part of the October 2023 underwritten public offering, the Company issued pre-funded warrants to certain investors to purchase 1,250,000 shares of common stock in an underwritten public offering at a public offering price of $6.379 per pre-funded warrant. Each pre-funded warrant entitles the holder to purchase one share of common stock at an exercise price of $0.001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respectively, no shares underlying the pre-funded warrants had been exercised. All of the outstanding pre-funded warrants are included in the weighted-average number of shares of common stock used to calculate basic net loss per share attributable to common stockholders (see Note 10 “Net Loss Per Share”).</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Amended and Restated 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Amended and Restated 2020 Equity Incentive Plan, or the 2020 Plan, serves as the successor to the Company’s 2020 Equity Incentive Plan and provides for the granting of incentive stock options, non-statutory stock options, stock appreciation rights, restricted stock, restricted stock units, performance units and performance shares.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2024, the number of shares available under the 2020 Plan was increased by 1,998,080 shares.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Performance-Based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granted 365,000 performance-based restricted stock units, or PSUs, to certain employees under the 2020 Plan. The PSUs are subject to both performance-based and service-based vesting conditions with a fair value based on the closing price of the underlying common stock on the date of grant. Each PSU is split into two tranches with each tranche having performance goals based on the achievement of pre-determined clinical milestones that result in the shares attributable to such tranche being eligible for vesting, subject to the service-based vesting condition. The service-based vesting condition is satisfied on the one-year anniversary of the performance achievement date for each tranche and is subject to the employee’s continuous service through such vesting date. Upon vesting, each PSU will automatically convert into one share of the Company’s common stock. If the performance condition for a tranche is not met by March 31, 2025, the shares attributable to such tranche will be forfeited.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expense for awards with performance-based vesting requirements are recognized on a tranche-by-tranche basis based on the grant date fair value over the requisite service period using the accelerated attribution method if and when the performance condition is deemed to be probable of being achieved. At each reporting period, the Company will assess the probability of the performance condition being met for each tranche and, as applicable, recognize the cumulative effect of the change in estimate in the period of the change.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the Company determined that the achievement of the performance conditions for each tranche of PSUs was not probable. As a result, no compensation expense has been recognized for these awards as of and for the three months and six months ended June 30,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Company’s 2020 Employee Stock Purchase Plan, or the ESPP, eligible employees are entitled to purchase shares of common stock with accumulated payroll deductions.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Total stock-based compensation expense recognized in the condensed consolidated statements of operations was as follows (in thousands):</w:t>
      </w:r>
    </w:p>
    <w:tbl>
      <w:tblPr>
        <w:tblW w:w="7062"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676"/>
        <w:gridCol w:w="146"/>
        <w:gridCol w:w="146"/>
        <w:gridCol w:w="211"/>
        <w:gridCol w:w="676"/>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391" w:type="dxa"/>
            <w:tcBorders/>
            <w:shd w:fill="FFFFFF"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6,283</w:t>
            </w:r>
          </w:p>
        </w:tc>
        <w:tc>
          <w:tcPr>
            <w:tcW w:w="3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RELATED-PARTY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several related-party agreements with Tallac Therapeutics, Inc., or Tallac, and with ScalmiBio, Inc., or ScalmiBio. The details of these agreements are described in our notes to our consolidated financial statements in our Annual Report on Form 10-K for the fiscal year ended December 31, 2023, which was filed with the SEC on March 7, 2024. During the three months and six months ended June 30, 2024, there were no material changes to these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Tallac Service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2024 and 2023, the Company recorded a nominal amount and $0.1 million, respectively, as research and development, or R&amp;D, costs in relation to the research and development services agreement with Tallac, or the Tallac Services Agreement. During the six months ended June 30, 2024 and 2023, the Company recorded a nominal amount and $0.2 million, respectively, as R&amp;D costs in relation to the Tallac Services Agreement. Per contractual terms, the Tallac Services Agreement terminated on July 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Tallac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2024 and 2023, the Company recorded $0.2 million and $0.3 million, respectively, as R&amp;D costs in relation to the collaboration agreement with Tallac, or the Tallac Collaboration Agreement. During the six months ended June 30, 2024 and 2023, the Company recorded $0.6 million and $1.0 million, respectively, as R&amp;D costs in relation to the Tallac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the Company had accrued expenses of $0.2 million and $0.5 million, respectively, related to the Tallac Collaboration Agreement, which was presented within the payable and accrued liabilities due to related party on the 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ScalmiBio 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agreed to pay up to $35.0 million, in aggregate, in certain milestones based on the clinical development of the acquired ScalmiBio technology and has also agreed to pay a low single digit royalty on net sales of any products developed from the ScalmiBio acquired technology for a defined term. The Company has the option to buy-out the royalty payment, prior to the first marketing approval of the developed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and six months ended June 30, 2024, the Company made no milestone payment and $1.0 million milestone payment, respectively, as a result of selecting a development candidate, to the stockholders of ScalmiBio, including 31.7%, or $0.3 million, to the Company’s former Chief Executive Officer and current Chief Scientific Officer and President, and 63.5%, or $0.6 million, to another employee of the Company. This milestone payment was recorded as R&amp;D costs within the condensed consolidated statements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for the three months and six months ended June 30, 2024 and 2023 (in thousands, except share and per share data):</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51,831,157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40,875,457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50,969,089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40,869,021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Company was in a loss position for all periods presented, basic net loss per share is the same as diluted net loss per share for all periods presented as the inclusion of all potential common stock outstanding would have been anti-dilutive.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outstanding potentially dilutive securities were excluded from the computation of diluted net loss per share for the three months and six months ended June 30, 2024 and 2023 because including them would have been anti-dilutive:</w:t>
      </w:r>
    </w:p>
    <w:tbl>
      <w:tblPr>
        <w:tblW w:w="6254" w:type="dxa"/>
        <w:jc w:val="left"/>
        <w:tblInd w:w="0" w:type="dxa"/>
        <w:tblLayout w:type="fixed"/>
        <w:tblCellMar>
          <w:top w:w="28" w:type="dxa"/>
          <w:left w:w="28" w:type="dxa"/>
          <w:bottom w:w="28" w:type="dxa"/>
          <w:right w:w="28" w:type="dxa"/>
        </w:tblCellMar>
      </w:tblPr>
      <w:tblGrid>
        <w:gridCol w:w="3166"/>
        <w:gridCol w:w="146"/>
        <w:gridCol w:w="146"/>
        <w:gridCol w:w="1036"/>
        <w:gridCol w:w="146"/>
        <w:gridCol w:w="146"/>
        <w:gridCol w:w="146"/>
        <w:gridCol w:w="931"/>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and Six Months Ended</w:t>
            </w:r>
          </w:p>
        </w:tc>
        <w:tc>
          <w:tcPr>
            <w:tcW w:w="391"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10,054,943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6,648,245</w:t>
            </w:r>
          </w:p>
        </w:tc>
        <w:tc>
          <w:tcPr>
            <w:tcW w:w="3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issued and outstanding</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1,150,655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714,705</w:t>
            </w:r>
          </w:p>
        </w:tc>
        <w:tc>
          <w:tcPr>
            <w:tcW w:w="3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issued and outstanding</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11,563,098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7,362,950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June 30,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As of June 30, 2024, the Company had no pending or threatened litigation.</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Contractual Obligations and 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other contractual obligations and other commitments from manufacturing and service contracts, which are presented as follows as of June 30, 2024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847"/>
        <w:gridCol w:w="146"/>
        <w:gridCol w:w="211"/>
        <w:gridCol w:w="571"/>
        <w:gridCol w:w="146"/>
        <w:gridCol w:w="146"/>
        <w:gridCol w:w="517"/>
        <w:gridCol w:w="1405"/>
        <w:gridCol w:w="146"/>
        <w:gridCol w:w="146"/>
        <w:gridCol w:w="263"/>
        <w:gridCol w:w="712"/>
        <w:gridCol w:w="146"/>
        <w:gridCol w:w="146"/>
        <w:gridCol w:w="379"/>
        <w:gridCol w:w="570"/>
        <w:gridCol w:w="146"/>
        <w:gridCol w:w="146"/>
        <w:gridCol w:w="386"/>
        <w:gridCol w:w="635"/>
        <w:gridCol w:w="395"/>
      </w:tblGrid>
      <w:tr>
        <w:trPr/>
        <w:tc>
          <w:tcPr>
            <w:tcW w:w="2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81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br/>
              <w:t>(remaining six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2027-2028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Thereafter</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service contracts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which was extended an additional eight years until November 2026, is cancellable upon notice and is non-exclusive. Statements of work under the MSA commit the Company to certain future purchase obligations of approximately $2.4 million. In addition, the Company has commitments with one other pharmaceutical contract manufacturer, including certain future purchase obligations of approximately $2.7 million. These amounts are based on non-cancellable commitments and forecasts that include estimates of future market demand, quantity discounts and manufacturing efficiencies that may impact timing of 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the Company’s service providers, up to the date of cancellation.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5, 2024, the Board of Directors of the Company (the “Board”) appointed Alan Sandler, M.D. to serve as a Class III director of the Board for a term expiring at the 2026 annual meeting of stockholders and as a member of the Audit Committee and Compensation Committee of the Board.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 August 5, 2024, Jaume Pons, Ph.D., and Sophia Randolph, M.D., Ph.D., resigned as members of the Company’s Board. Dr. Pons’ and Dr. Randolph’s resignations were to focus on their current senior leadership roles at the Company as the President and Chief Scientific Officer and the Chief Medical Officer of the Company, respectively, and did not result from any disagreements with the Board or the Company. In connection with the changes to the Board, the Board decreased its size to six directors.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part1_item2_mda"/>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immuno-oncology company focused on helping patients fight cancer by developing therapies that block the CD47 immune checkpoint and bridge the innate and adaptive immune system. Our lead product candidate, the CD47 blocker evorpacept, is currently in multiple Phase 1 and 2 clinical trials. Cancer cells leverage CD47, a cell surface protein, as a “don’t eat me” signal to evade macrophage phagocytosis or as a “don’t activate T-cells” signal that prevents activation of T-cells by dendritic cells. We are developing evorpacept to be a next-generation checkpoint inhibitor designed to have a high affinity for CD47 and to avoid the limitations caused by hematologic toxicities inherent in other CD47 blocking approaches.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focused on evorpacept development with the standard-of-care agents, revolving around these two cell types: macrophages and dendritic cells. We initially pursued, and continue to pursue, development of evorpacept based on two well-validated mechanisms of action involving SIRP alpha expression on macrophages and dendritic cells as discussed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distinct mechanism of actions and examples of the combinations of priority 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b/>
          <w:color w:val="000000"/>
          <w:sz w:val="20"/>
        </w:rPr>
        <w:t>Anti-cancer antibodies (the “</w:t>
      </w:r>
      <w:r>
        <w:rPr>
          <w:rFonts w:ascii="Times New Roman" w:hAnsi="Times New Roman"/>
          <w:b/>
          <w:i/>
          <w:color w:val="000000"/>
          <w:sz w:val="20"/>
        </w:rPr>
        <w:t>don’t eat me</w:t>
      </w:r>
      <w:r>
        <w:rPr>
          <w:color w:val="000000"/>
        </w:rPr>
        <w:t xml:space="preserve">” </w:t>
      </w:r>
      <w:r>
        <w:rPr>
          <w:rFonts w:ascii="Times New Roman" w:hAnsi="Times New Roman"/>
          <w:b/>
          <w:color w:val="000000"/>
          <w:sz w:val="20"/>
        </w:rPr>
        <w:t>signal): Combining with anti-cancer targeted antibodies with an active Fc domain, where evorpacept enables the Fc-mediated antibody dependent phagocytosis that is impaired by the expression of CD47 on cancer cells</w:t>
      </w:r>
      <w:r>
        <w:rPr>
          <w:rFonts w:ascii="Times New Roman" w:hAnsi="Times New Roman"/>
          <w:color w:val="000000"/>
          <w:sz w:val="20"/>
        </w:rPr>
        <w:t xml:space="preserve">. </w:t>
        <w:br/>
        <w:t>The topline data in our randomized ASPEN-06 Phase 2 clinical trial supports the clinical validation of this mechanism of action. ASPEN-06 evaluates the contribution of evorpacept to HERCEPTIN® (trastuzumab) plus standard of care (CYRAMZA® (ramucirumab) + paclitaxel), or Evo-TRP, versus TRP in second line or later HER2-positive gastric/gastroesophageal junction (GEJ) cancer, where all patients had received an anti-HER2 agent in prior lines of therapy. As reported in July 2024, based upon data cutoff as of 24 May 2024:</w:t>
        <w:br/>
      </w: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Evo-TRP achieved a confirmed overall response rate (ORR) of 40.3% compared to 26.6% for the TRP control arm and demonstrated a median duration of response of 15.7 months compared to 7.6 months in the intent to treat population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pre-specified population of patients with fresh HER2-positive biopsies, Evo-TRP showed the greatest response with an ORR of 54.8% vs. 23.1% in the TRP control arm, suggesting HER2-expression strongly correlates with evorpacept efficacy and validates its mechanism of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Evorpacept in combination with TRP was generally well tolerated and consistent with TRP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Evorpacept is the first CD47 blocker to show promising and durable response with a well-tolerated safety profile in a prospective randomized trial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earlier ASPEN-01 Phase 1 positive data in combination with rituximab in non-Hodgkin lymphoma (NHL) and the recent clinical data of our IST collaborator from the ongoing Phase 1/2 investigator-sponsored trial (IST) of evorpacept in combination with rituximab and lenalidomide patients with relapsed refractory B-cell NHL (R/R B-NHL) provide additional support for the clinical validation of this mechanism of action and support exploring combinations of evorpacept with other anti-cancer antibodies.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This mechanism of action may also apply to antibody-drug conjugates (ADCs), which are being investigated in two separate Phase 1 trials: one in combination with PADCEV</w:t>
      </w:r>
      <w:r>
        <w:rPr>
          <w:rFonts w:ascii="Times New Roman" w:hAnsi="Times New Roman"/>
          <w:color w:val="000000"/>
          <w:sz w:val="13"/>
        </w:rPr>
        <w:t>®</w:t>
      </w:r>
      <w:r>
        <w:rPr>
          <w:rFonts w:ascii="Times New Roman" w:hAnsi="Times New Roman"/>
          <w:color w:val="000000"/>
          <w:sz w:val="20"/>
        </w:rPr>
        <w:t xml:space="preserve"> (enfortumab vedotin-ejfv) in patients with urothelial cancer (ASPEN-07), and the other in combination with ENHERTU® (fam-trastuzumab deruxtecan-nxki) in patients with unresectable or metastatic HER2-positive and HER2-low breast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b/>
          <w:color w:val="000000"/>
          <w:sz w:val="20"/>
        </w:rPr>
        <w:t>PD-1/PD-L1 immune checkpoint inhibitors (the “</w:t>
      </w:r>
      <w:r>
        <w:rPr>
          <w:rFonts w:ascii="Times New Roman" w:hAnsi="Times New Roman"/>
          <w:b/>
          <w:i/>
          <w:color w:val="000000"/>
          <w:sz w:val="20"/>
        </w:rPr>
        <w:t>don’t activate T-cells</w:t>
      </w:r>
      <w:r>
        <w:rPr>
          <w:color w:val="000000"/>
        </w:rPr>
        <w:t xml:space="preserve">” </w:t>
      </w:r>
      <w:r>
        <w:rPr>
          <w:rFonts w:ascii="Times New Roman" w:hAnsi="Times New Roman"/>
          <w:b/>
          <w:color w:val="000000"/>
          <w:sz w:val="20"/>
        </w:rPr>
        <w:t>signal): Combining with PD-1/PD-L1 checkpoint inhibitor, where evorpacept activates dendritic cells that are constitutively inhibited by the CD47/ SIRP alpha pathway.</w:t>
      </w:r>
      <w:r>
        <w:rPr>
          <w:color w:val="000000"/>
        </w:rPr>
        <w:t xml:space="preserve"> </w:t>
      </w:r>
      <w:r>
        <w:rPr>
          <w:rFonts w:ascii="Times New Roman" w:hAnsi="Times New Roman"/>
          <w:color w:val="000000"/>
          <w:sz w:val="20"/>
        </w:rPr>
        <w:br/>
        <w:t>Activated dendritic cells present neoantigens to T-cells that, once activated, will kill cancer cells when the PD-1/PD-L1 inhibitory interaction is blocked by T-cell checkpoint inhibitors. The combination with a PD-1/PD-L1 checkpoint inhibitor allows maximum activity of these newly activated T-cells. This mechanism of action includes our clinical trials, ASPEN-03 and ASPEN-04, two randomized Phase 2 studies in combination with KEYTRUDA</w:t>
      </w:r>
      <w:r>
        <w:rPr>
          <w:rFonts w:ascii="Times New Roman" w:hAnsi="Times New Roman"/>
          <w:color w:val="000000"/>
          <w:sz w:val="13"/>
        </w:rPr>
        <w:t>®</w:t>
      </w:r>
      <w:r>
        <w:rPr>
          <w:color w:val="000000"/>
        </w:rPr>
        <w:t xml:space="preserve"> </w:t>
      </w:r>
      <w:r>
        <w:rPr>
          <w:rFonts w:ascii="Times New Roman" w:hAnsi="Times New Roman"/>
          <w:color w:val="000000"/>
          <w:sz w:val="20"/>
        </w:rPr>
        <w:t xml:space="preserve">(pembrolizumab), without or with chemotherapy, respectively, comparing to the same treatments without evorpacept, in first line head and neck squamous cell carcinoma (HNSCC). Validation of this mechanism is supported by our Phase 1 data (N=23) in the same indications and combinations where we saw an improvement in overall survival (OS) at 12 months with respect to historical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pursuing the following clinical programs, collaborations, and investigator-sponsored trials: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Evorpacept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Combination with anti-cancer antibody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ASPEN-06 -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2020, the U.S. Food and Drug Administration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2022, the FDA’s Office of Orphan Products Development granted Orphan Drug Designation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2022, we announced the dosing of the first patient in the ASPEN-06 trial, a randomized Phase 2/3 trial of evorpacept in combination with trastuzumab, ramucirumab and paclitaxel for the treatment of second- and third-line advanced HER2-overexpressing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2023, the European Commission granted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overall response rate (ORR) of 52% was demonstrated for Evo-TRP treatment arm compared to 22% for the TRP control arm. Median duration of response (mDOR) was not reached for the Evo-TRP treatment arm compared to 7.4 months for the control group. The safety profile of evorpacept was consistent with previous clinical trials and was well-tolerated.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2024, we announced the topline data from the multi-center, international ASPEN-06 Phase 2 clinical trial evaluating Evo-TRP treatment arm against TRP control arm for the treatment of patients with HER2-positive gastric/GEJ cancer, where all patients had received an anti-HER2 agent in prior lines of therapy. This topline data reported results from 127 randomized patients with second and third line gastric/GEJ cancer and were generally well-balanced across arms based on prespecified stratification factors including line of therapy, prior ENHERTU use, Asia region, tumor location (GC or GEJ), HER2 expression level, and having HER2-positive disease based upon a tissue biopsy after anti-HER2 treatment. A confirmed overall response rate (ORR) of 40.3% was demonstrated for the Evo-TRP treatment arm compared to 26.6% for the TRP control arm. Median duration of response (DOR) was 15.7 months for the Evo-TRP treatment arm and 7.6 months for the TRP control arm in the full trial population. In patients with fresh HER2-positive biopsies (n=48), Evo-TRP demonstrated an ORR of 54.8% compared to 23.1% for the TRP control.</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antibody-drug conjugate (ADC)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ASPEN-07 - Urothelial Cancer (UC)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2023, we announced the dosing of the first patient in the ASPEN-07 trial, a Phase 1 study evaluating evorpacept in combination with an ADC, enfortumab vedotin-ejfv (“EV”), for the second-line treatment of locally advanced or metastatic UC.</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2024, interim Phase 1 data were presented in a poster presentation at the 2024 American Society of Cancer Oncology (“ASCO”) Annual Meeting. The ASCO poster presentation data-cut reported an unconfirmed ORR of 59% (n=22) with evorpacept plus EV (EV single agent ORR benchmark is 41%). Following the April data cut-off, four additional response evaluable patients yielded an unconfirmed ORR of 61% (n=26) including two confirmed complete responses and six confirmed partial responses. These findings represent the first evorpacept combination data with an ADC from ASPEN-07’s ongoing, open-label, single-arm, clinical trial of evorpacept in combination with EV in patients with locally advanced or metastatic urothelial cancer. Continued follow-up for patients who are EV-naïve on ASPEN-07 is ongoing and, enrollment of a new cohort of patients who have received prior EV has begun.</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ASPEN-03 - Head and Neck Squamous Cell Carcinoma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May 2021, we announced the dosing of the first patient in the ASPEN-03 trial, a randomized Phase 2 trial of evorpacept in combination with pembrolizumab for the treatment of first-line advanced PD-L1 positive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2022, the FDA granted Fast Track designation for evorpacept in combination with pembrolizumab for first-line treatment of adult patients with metastatic or unresectable, recurrent HNSCC whose tumors express PD-L1.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ASPEN-04 - Head and Neck Squamous Cell Carcinoma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2020, the FDA granted Fast Track designation for evorpacept in combination with pembrolizumab, platinum, and fluorouracil for the first-line treatment of adult patients with metastatic or unresectable, recurrent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2021, we announced the dosing of the first patient in the ASPEN-04 trial, a randomized Phase 2 trial of evorpacept in combination with pembrolizumab, platinum, and fluorouracil for the treatment of first-line advanced HNSCC.</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Collaborations and Investigator-Sponsored Trials (ISTs)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Combination with anti-cancer antibody or ADC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Jazz Pharmaceuticals plc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Jazz Pharmaceuticals plc (Jazz), is sponsoring and managing an ongoing Phase 1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Quantum Leap Healthcare Collaborative - I-SPY Trial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Quantum Leap Healthcare Collaborative (Quantum Leap), is sponsoring and managing an ongoing Phase 1 trial (I-SPY) to evaluate evorpacept in combination with fam-trastuzumab deruxtecan-nxki for the treatment of patients with unresectable or metastatic HER2-positive and HER2-low breast cancer. We announced the dosing of the first patient in March 2023.</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MD Anderson Cancer Center - Non-Hodgkin Lymphoma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2021, an IST of evorpacept was initiated in combination with rituximab and lenalidomide (R</w:t>
      </w:r>
      <w:r>
        <w:rPr>
          <w:rFonts w:ascii="Times New Roman" w:hAnsi="Times New Roman"/>
          <w:color w:val="000000"/>
          <w:sz w:val="13"/>
        </w:rPr>
        <w:t>2</w:t>
      </w:r>
      <w:r>
        <w:rPr>
          <w:rFonts w:ascii="Times New Roman" w:hAnsi="Times New Roman"/>
          <w:color w:val="000000"/>
          <w:sz w:val="20"/>
        </w:rPr>
        <w:t>) for the treatment of patients with indolent and aggressive NHL, sponsored by MD Anderson Cancer Center in Texas. We announced the dosing of the first patient in September 2021.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April 2024, MD Anderson Cancer Center reported clinical data from the ongoing Phase 1/2 IST of evorpacept in combination with R</w:t>
      </w:r>
      <w:r>
        <w:rPr>
          <w:rFonts w:ascii="Times New Roman" w:hAnsi="Times New Roman"/>
          <w:color w:val="000000"/>
          <w:sz w:val="13"/>
        </w:rPr>
        <w:t>2</w:t>
      </w:r>
      <w:r>
        <w:rPr>
          <w:color w:val="000000"/>
        </w:rPr>
        <w:t xml:space="preserve"> </w:t>
      </w:r>
      <w:r>
        <w:rPr>
          <w:rFonts w:ascii="Times New Roman" w:hAnsi="Times New Roman"/>
          <w:color w:val="000000"/>
          <w:sz w:val="20"/>
        </w:rPr>
        <w:t>in patients with R/R B-NHL. The new data were presented in an oral presentation at the 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Q2W (n=3) or 60 mg/kg Q4W (n=17) in combination with standard R</w:t>
      </w:r>
      <w:r>
        <w:rPr>
          <w:rFonts w:ascii="Times New Roman" w:hAnsi="Times New Roman"/>
          <w:color w:val="000000"/>
          <w:sz w:val="13"/>
        </w:rPr>
        <w:t>2</w:t>
      </w:r>
      <w:r>
        <w:rPr>
          <w:color w:val="000000"/>
        </w:rPr>
        <w:t xml:space="preserve"> </w:t>
      </w:r>
      <w:r>
        <w:rPr>
          <w:rFonts w:ascii="Times New Roman" w:hAnsi="Times New Roman"/>
          <w:color w:val="000000"/>
          <w:sz w:val="20"/>
        </w:rPr>
        <w:t>treatment. The regimen was well tolerated, and there were no dose-limiting toxicities. Patients with indolent R/R B-NHL (n=18) had a best ORR of 94% and a CRR of 83%. The median duration of response was not reached. The Phase 2 part of the clinical trial is actively accruing treatment naïve patients in the 1L setting.</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Sanofi - Multiple Myeloma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April 2023, we announced a collaboration with Sanofi who will sponsor and manage a Phase 1/2 trial of SARCLISA</w:t>
      </w:r>
      <w:r>
        <w:rPr>
          <w:rFonts w:ascii="Times New Roman" w:hAnsi="Times New Roman"/>
          <w:color w:val="000000"/>
          <w:sz w:val="13"/>
        </w:rPr>
        <w:t>®</w:t>
      </w:r>
      <w:r>
        <w:rPr>
          <w:color w:val="000000"/>
        </w:rPr>
        <w:t xml:space="preserve"> </w:t>
      </w:r>
      <w:r>
        <w:rPr>
          <w:rFonts w:ascii="Times New Roman" w:hAnsi="Times New Roman"/>
          <w:color w:val="000000"/>
          <w:sz w:val="20"/>
        </w:rPr>
        <w:t>(isatuximab), an anti-cancer antibody, and dexamethasone in combination with evorpacept for the treatment of patients with relapsed or refractory multiple myeloma.</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anti-cancer antibody and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Academic Gastrointestinal Cancer Consortium - Colorectal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2022, a Phase 2 IST of evorpacept was initiated in combination with pembrolizumab and cetuximab in patients with refractory microsatellite stable metastatic colorectal cancer, sponsored by the Academic Gastrointestinal Cancer Consortium (AGICC) in New York. We announced the dosing of the first patient in August 2022.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2024, Phase 2 data were presented in a poster presentation at the 2024 ASCO Annual Meeting.</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University of Pittsburgh - Ovarian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University of California San Diego - Oropharyngeal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April 2024, a Phase 2 IST of evorpacept was initiated in combination with neoadjuvant radiation and pembrolizumab in patients with previously untreated and early-stage locally advanced, resectable, human papillomavirus-mediated oropharyngeal cancer, sponsored by the University of California San Diego.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Early Pipeline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Tallac Therapeutics - ALTA-002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second program, ALTA-002, is a collaboration between us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2024, we filed an investigative new drug (“IND”) application for ALTA-002 and in March 2024, the FDA cleared the IND to evaluate ALTA-002 in a Phase 1 clinical trial for patients with advanced solid tumors.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ADC Program</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With our acquisition of ScalmiBio, Inc. (ScalmiBio) in October 2021, we are developing ADC drug candidates based on our expertise in protein engineering and oncology.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2024, we declared a development candidate based on ScalmiBio acquired technology, triggering the first milestone payment to ScalmiBio stockholders.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Since our founding, we have devoted substantially all of our resources to developing evorpacept, identifying and advancing preclinical programs, scaling up manufacturing, conducting clinical trials and providing general and administrative support for these operations. We have no products approved for marketing and we have never received any revenue from drug product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we completed our initial public offering, raising net proceeds of $169.5 million, after deducting underwriting discounts and commissions of $13.0 million and offering-related expenses of $3.2 million. In December 2020, we completed a follow-on offering, raising net proceeds of $194.9 million, after deducting underwriting discounts and commissions of $12.5 million and offering-related expenses of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we filed a universal shelf registration statement (Shelf Registration Statement), which provides for aggregate offerings of up to $450.0 million of the Company’s securities. In May 2022, we filed an amendment to the Shelf Registration Statement, which was declared effective by the Securities and Exchange Commission (SEC) on May 31, 2022. We believe that our Shelf Registration Statement provides us with flexibility to raise additional capital to finance our operations as needed. In December 2021, we entered into a sales agreement (as amended, Sales Agreement) with Cantor Fitzgerald &amp; Co. and Credit Suisse Securities (USA) LLC (Credit Suisse), under which we may, subject to the effectiveness of the Shelf Registration Statement, offer and sell our common stock, having aggregate gross proceeds of up to $150.0 million, from time to time through them as our sales agents in an at-the-market (ATM) offering. In August 2023, we entered into an amendment to the Sales Agreement to include UBS Securities LLC as an additional sales agent and to remove Credit Suisse as a sales agent. As of June 30, 2024, we had issued approximately 2,005,910 shares of common stock pursuant to the Sales Agreement for net proceeds of $29.2 million. We may terminate this ATM program at any time, pursuant to its terms.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we entered into a loan and security agreement (Loan Agreement) with Oxford Finance LLC, Oxford Finance Credit Fund II LP, and Silicon Valley Bank (SVB) (collectively, the Lenders). Upon closing of the Loan Agreement, we drew $10.0 million. Under the original terms of the Loan Agreement, we had the right to draw an additional $40.0 million through the end of 2023. A further $50.0 million was potentially available to us, $25.0 million upon the achievement of pre-determined development milestones and $25.0 million at the Lenders’ sole discretion. The Company received net proceeds of $9.3 million from the issuance of the term loan, after deducting debt issuance costs of approximately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SVB was closed by the California Department of Financial Protection and Innovation, which appointed the Federal Deposit Insurance Corporation (FDIC) to act as receiver. The FDIC created Silicon Valley Bridge Bank, N.A. (SVBB) as successor to SVB. First Citizens BancShares, Inc. (First Citizens Bank) acquired SVBB from the FDIC and operates SVBB as Silicon Valley Bank, a division of First Citizens Bank (SVB-First Citizens). Under the Loan Agreement, 50% of the funding comes from SVB, one of the three Lenders. Given the SVBB acquisition by First Citizens Bank, SVB-First Citizens will continue to fulfill SVB’s obligations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we completed an underwritten follow-on public offering pursuant to the Shelf Registration Statement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decided not to draw down on any portion of the $40.0 million available to us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An additional $25.0 million is also available at the Lenders’ sole discretion.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inception through June 30, 2024, we have raised an aggregate of $642.7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follow-on offering in December 2020, $9.3 million were net proceeds from borrowings under the Loan Agreement, $58.9 million were net proceeds from our follow-on offering in October 2023, and $29.2 million were net proceeds from our ATM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in each year since inception. Our net losses were $39.4 million and $34.2 million for the three months ended June 30, 2024 and 2023, respectively. As of June 30, 2024, we had an accumulated deficit of $561.3 million. Substantially all of our operating losses are a result of expenses incurred in connection with our research and development programs, primarily evorpacept, and from general and administrative expenses associated with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We expect our expenses will increase substantially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evorpacept through multiple clinical trials in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of evorpacept in solid tumors and hematological malignancies;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discovery and preclinical and clinical development efforts, including our collaborations with Sanofi, Tallac, Jazz, and Quantum Leap and our acquisition of ScalmiBio;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patent, trade secret and other intellectual property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supplies for our preclinical studies and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add operational, financial and management information systems to support ongoing operations as a public company.</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the development of our lead product candidate, evorpacept,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preclinical and clinical development, including expenses incurred under collaboration agreements and under agreements with contract research organizations,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related benefits, travel and stock-based compensation expenses for employees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production of clinical materials, including fees paid to contract manufacturing organizations, or CMOs;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vendor expenses and third-party drugs related to the execution of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other expenses, which include expenses for rent and maintenance of facilities, depreciation and amortization expense and other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milestone payments related to our ScalmiBio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Almost all of our research and development expenses to date have been related to the clinical development of our lead product candidate, evorpacept. We expect our research and development expenses to increase substantially for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Therapeutics, as further described in Note 9 to our unaudited condensed consolidated financial statements appearing elsewhere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current and future product candidates is highly uncertain. This is due to numerous risks and uncertainties,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regulators or institutional review boards authorizing us or our investigators to commence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agreements with clinical trial sites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sites included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funds necessary to complete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trade secret and other intellectual property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third-party manufacturers for clinical supplies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and enforcing our rights in our intellectual property portfolio, including, if necessary,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the products following approval.</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continue to increase as a result of increased headcount, inflationary pressures, expanded infrastructure and higher costs of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interest income consists primarily of interest income on cash, cash equivalents and short-term and long-term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interest expense consists primarily of interest expense on the term loan, amortization of deferred debt issuance costs, and interest related to finance leases.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other income (expense), net consists primarily of realized foreign currency transaction gains and losses and other income from an immaterial service contract.</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 and Net Loss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and six months ended June 30, 2024 and 2023 (in thousands):</w:t>
      </w:r>
    </w:p>
    <w:tbl>
      <w:tblPr>
        <w:tblW w:w="11473" w:type="dxa"/>
        <w:jc w:val="left"/>
        <w:tblInd w:w="0" w:type="dxa"/>
        <w:tblLayout w:type="fixed"/>
        <w:tblCellMar>
          <w:top w:w="28" w:type="dxa"/>
          <w:left w:w="28" w:type="dxa"/>
          <w:bottom w:w="28" w:type="dxa"/>
          <w:right w:w="28" w:type="dxa"/>
        </w:tblCellMar>
      </w:tblPr>
      <w:tblGrid>
        <w:gridCol w:w="1491"/>
        <w:gridCol w:w="146"/>
        <w:gridCol w:w="211"/>
        <w:gridCol w:w="736"/>
        <w:gridCol w:w="166"/>
        <w:gridCol w:w="146"/>
        <w:gridCol w:w="211"/>
        <w:gridCol w:w="736"/>
        <w:gridCol w:w="166"/>
        <w:gridCol w:w="146"/>
        <w:gridCol w:w="211"/>
        <w:gridCol w:w="631"/>
        <w:gridCol w:w="166"/>
        <w:gridCol w:w="146"/>
        <w:gridCol w:w="146"/>
        <w:gridCol w:w="481"/>
        <w:gridCol w:w="271"/>
        <w:gridCol w:w="146"/>
        <w:gridCol w:w="211"/>
        <w:gridCol w:w="736"/>
        <w:gridCol w:w="166"/>
        <w:gridCol w:w="146"/>
        <w:gridCol w:w="211"/>
        <w:gridCol w:w="736"/>
        <w:gridCol w:w="166"/>
        <w:gridCol w:w="146"/>
        <w:gridCol w:w="211"/>
        <w:gridCol w:w="736"/>
        <w:gridCol w:w="166"/>
        <w:gridCol w:w="146"/>
        <w:gridCol w:w="146"/>
        <w:gridCol w:w="481"/>
        <w:gridCol w:w="71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(R&amp;D) expenses incurred for the three months and six months ended June 30, 2024 and 2023 (in thousands):</w:t>
      </w:r>
    </w:p>
    <w:tbl>
      <w:tblPr>
        <w:tblW w:w="10588" w:type="dxa"/>
        <w:jc w:val="left"/>
        <w:tblInd w:w="0" w:type="dxa"/>
        <w:tblLayout w:type="fixed"/>
        <w:tblCellMar>
          <w:top w:w="28" w:type="dxa"/>
          <w:left w:w="28" w:type="dxa"/>
          <w:bottom w:w="28" w:type="dxa"/>
          <w:right w:w="28" w:type="dxa"/>
        </w:tblCellMar>
      </w:tblPr>
      <w:tblGrid>
        <w:gridCol w:w="1386"/>
        <w:gridCol w:w="146"/>
        <w:gridCol w:w="211"/>
        <w:gridCol w:w="676"/>
        <w:gridCol w:w="146"/>
        <w:gridCol w:w="146"/>
        <w:gridCol w:w="211"/>
        <w:gridCol w:w="676"/>
        <w:gridCol w:w="146"/>
        <w:gridCol w:w="146"/>
        <w:gridCol w:w="211"/>
        <w:gridCol w:w="571"/>
        <w:gridCol w:w="166"/>
        <w:gridCol w:w="146"/>
        <w:gridCol w:w="146"/>
        <w:gridCol w:w="421"/>
        <w:gridCol w:w="271"/>
        <w:gridCol w:w="146"/>
        <w:gridCol w:w="211"/>
        <w:gridCol w:w="676"/>
        <w:gridCol w:w="146"/>
        <w:gridCol w:w="146"/>
        <w:gridCol w:w="211"/>
        <w:gridCol w:w="676"/>
        <w:gridCol w:w="146"/>
        <w:gridCol w:w="146"/>
        <w:gridCol w:w="211"/>
        <w:gridCol w:w="676"/>
        <w:gridCol w:w="146"/>
        <w:gridCol w:w="146"/>
        <w:gridCol w:w="146"/>
        <w:gridCol w:w="421"/>
        <w:gridCol w:w="516"/>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6" w:type="dxa"/>
            <w:gridSpan w:val="6"/>
            <w:tcBorders/>
            <w:shd w:fill="FFFFFF" w:val="cle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1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and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R&amp;D expenses increased by $5.2 million during the three months ended June 30, 2024 compared to the three months ended June 30, 2023. The increase was primarily attributable to (i) an increase of $1.7 million in preclinical costs for development of new targets, (ii) an increase of $1.2 million in personnel and related costs primarily driven by headcount growth, (iii) an increase of $1.8 million in stock-based compensation expense of which $1.2 million was due to a change in classification from the comparative periods of stock-based compensation from G&amp;A to R&amp;D as a result of the change in roles for our former Chief Executive Officer who transitioned to Chief Scientific Officer in September 2023 and the remaining amount was due to additional awards granted since June 30, 2023, and (iv) an increase of $0.7 million in other research costs primarily due to absence of VAT refunds in the current quarter compared to prior year quarter. These increases were offset by a decrease of $0.3 million in clinical and development costs primarily due to reaching the Jazz Collaboration agreement maximum spending limit.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increased by $12.1 million during the six months ended June 30, 2024 compared to the six months ended June 30, 2023. The increase was primarily attributable to (i) an increase of $2.5 million in clinical and development costs primarily due to $3.5 million in clinical costs from an increase in the number of active trials and patient enrollment as well as manufacturing of clinical trial materials to support a higher number of active clinical trials and future expected patient enrollment related to the advancement of our lead product candidate, evorpacept, offset by a decrease of $0.6 million related to reaching the maximum spending limit under the Jazz Collaboration and a decrease of $0.3 million related to the Tallac Collaboration for costs related to the IND filing, for which the primary work was completed in the prior years, (ii) an increase of $1.6 million in preclinical costs for development of new targets, (iii) an increase of $2.2 million in personnel and related costs due primarily to an increase driven by headcount growth, (iv) an increase of $3.6 million in stock-based compensation expense of which $2.3 million was due to a change in classification from the comparative periods of stock-based compensation from G&amp;A to R&amp;D as a result of the change in roles for our former Chief Executive Officer who transitioned to Chief Scientific Officer in September 2023 and the remaining amount was due to additional awards granted since June 30, 2023, and (v) an increase of $2.1 million in other research costs of which $1.0 million was due to a development milestone payment to ScalmiBio stockholders and of which $0.7 million was due to VAT refunds received in prior year that were not present in the current year.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general and administrative (G&amp;A) expenses incurred for the three months and six months ended June 30, 2024 and 2023 (in thousands):</w:t>
      </w:r>
    </w:p>
    <w:tbl>
      <w:tblPr>
        <w:tblW w:w="10278" w:type="dxa"/>
        <w:jc w:val="left"/>
        <w:tblInd w:w="0" w:type="dxa"/>
        <w:tblLayout w:type="fixed"/>
        <w:tblCellMar>
          <w:top w:w="28" w:type="dxa"/>
          <w:left w:w="28" w:type="dxa"/>
          <w:bottom w:w="28" w:type="dxa"/>
          <w:right w:w="28" w:type="dxa"/>
        </w:tblCellMar>
      </w:tblPr>
      <w:tblGrid>
        <w:gridCol w:w="1491"/>
        <w:gridCol w:w="146"/>
        <w:gridCol w:w="211"/>
        <w:gridCol w:w="571"/>
        <w:gridCol w:w="146"/>
        <w:gridCol w:w="146"/>
        <w:gridCol w:w="211"/>
        <w:gridCol w:w="571"/>
        <w:gridCol w:w="146"/>
        <w:gridCol w:w="146"/>
        <w:gridCol w:w="211"/>
        <w:gridCol w:w="481"/>
        <w:gridCol w:w="166"/>
        <w:gridCol w:w="146"/>
        <w:gridCol w:w="146"/>
        <w:gridCol w:w="376"/>
        <w:gridCol w:w="271"/>
        <w:gridCol w:w="146"/>
        <w:gridCol w:w="211"/>
        <w:gridCol w:w="676"/>
        <w:gridCol w:w="146"/>
        <w:gridCol w:w="146"/>
        <w:gridCol w:w="211"/>
        <w:gridCol w:w="676"/>
        <w:gridCol w:w="146"/>
        <w:gridCol w:w="146"/>
        <w:gridCol w:w="211"/>
        <w:gridCol w:w="631"/>
        <w:gridCol w:w="166"/>
        <w:gridCol w:w="146"/>
        <w:gridCol w:w="146"/>
        <w:gridCol w:w="376"/>
        <w:gridCol w:w="51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shd w:fill="FFFFFF" w:val="cle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G&amp;A expenses decreased by $0.4 million during the three months ended June 30, 2024 compared to the three months ended June 30, 2023. The decrease was primarily attributable to a decrease of $0.8 million in stock-based compensation expense primarily due to a change in classification from the comparative periods of stock-based compensation from G&amp;A to R&amp;D as described above under R&amp;D expenses, offset by an increase of $0.3 million in other G&amp;A costs from accounting consulting costs and an increase of $0.1 million in personnel and related costs primarily driven by headcount growth.</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G&amp;A expenses decreased by $1.8 million during the six months ended June 30, 2024 compared to the six months ended June 30, 2023. The decrease was primarily attributable to a decrease of $1.9 million in stock-based compensation expense primarily due to a change in classification from the comparative periods of stock-based compensation from G&amp;A to R&amp;D as described above under R&amp;D expenses.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decreased by $0.1 million for the three months ended June 30, 2024 compared to the three months ended June 30, 2023. The decrease was primarily attributable to lower cash and investment balances during the three months ended June 30, 2024 as compared to the three months ended June 30,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increased by $0.2 million for the six months ended June 30, 2024 compared to the six months ended June 30, 2023. The increase was primarily attributable to higher interest rates.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$0.1 million for the three months ended June 30, 2024 compared to the three months ended June 30, 2023 and by $0.1 million for the six months ended June 30, 2024 compared to the six months ended June 30, 2023. The increases were primarily attributable to higher interest rates.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income, net decreased by $0.3 million for the three months ended June 30, 2024 compared to the three months ended June 30, 2023. The decrease was primarily attributable to absence in the current period of other income from an immaterial service contract, under which the Company provides R&amp;D services for another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 Plan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June 30, 2024, we had cash, cash equivalents and short-term and long-term investments of $186.2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losses and negative cash flows from operations since inception and anticipate that we will continue to incur net losses for the foreseeable future. As of June 30, 2024, we had an accumulated deficit of $561.3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agreements with third-party manufacturers for clinical supply for our clinical trials and, if any of our product candidates are approved,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and retention of key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financial and information management systems, and hire additional personnel, including personnel to support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legal patent costs involved in prosecuting patent applications and enforcing patent claims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collaboration, license or other arrangement, including the terms and timing of any milestone and royalty payments thereunder;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such as inflation, economic downturns, disasters, and medical or public health crises; and</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outbreaks or public health crises, such as the COVID-19 pandemic, bank failures or instability in the financial services sector, or geopolitical risks, which may exacerbate the magnitude of the factors discussed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a combination of equity offerings, debt financings, collaborations, strategic alliances and marketing, distribution or licensing arrangements. Other than the Loan Agreement,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we entered into the Sales Agreement with Cantor Fitzgerald &amp; Co. and Credit Suisse Securities (USA) LLC, under which we may offer and sell our common stock, having aggregate gross proceeds of up to $150.0 million, from time to time through them as our sales agents in our ATM offering program. In March 2022, we filed a Shelf Registration Statement with the SEC. In May 2022, we filed an amended Shelf Registration Statement, which was declared effective by the SEC on May 31, 2022. In August 2023, we entered into an amendment to the Sales Agreement to include UBS Securities LLC as an additional sales agent and to remove Credit Suisse as a sales agent. As of June 30, 2024, we sold an aggregate of 2,005,910 shares of common stock under our Sales Agreement for net proceeds of $29.2 million, after deducting commissions. We may terminate this ATM program and the Sales Agreement at any time, pursuant to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we entered into the Loan Agreement as described above. Upon closing of the Loan Agreement, we drew $10.0 million. Under the original terms of the Loan Agreement, we had the right to draw an additional $40.0 million through the end of 2023. A further $50.0 million was potentially available to us, $25.0 million upon the achievement of pre-determined development milestones and $25.0 million at the Lenders’ sole discretion. For a description of the terms of the Loan Agreement, see “Note 6. Term Loan” to our unaudited condensed consolidated financial statements included elsewhere in this Quarterly Report on Form 10-Q. 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SVB was closed by the California Department of Financial Protection and Innovation, which appointed the FDIC to act as receiver. The FDIC created SVBB as successor to SVB. First Citizens Bank acquired SVBB from the FDIC and operates SVBB as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50% of the funding comes from SVB, one of the three Lenders. Given the SVBB acquisition by First Citizens Bank, SVB-First Citizens will continue to fulfill SVB’s obligations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we completed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decided not to draw down on any portion of the $40.0 million available to us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An additional $25.0 million is also available at the Lenders’ sole discretion.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existing cash, cash equivalents, short-term and long-term investments, and recent use of the ATM program will enable us to fund our operating expenses and capital expenditure requirements into the first quarter of 2026. We have based these estimates on assumptions in which actuals may materially differ, and we could utilize our available capital resources sooner than we expect.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 summary of the net cash flow activity for the six months ended June 30, 2024 and 2023 (in thousands):</w:t>
      </w:r>
    </w:p>
    <w:tbl>
      <w:tblPr>
        <w:tblW w:w="7504"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736"/>
        <w:gridCol w:w="4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shd w:fill="FFFFFF" w:val="cle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2024, net cash used in operating activities of $64.5 million was attributable to a net loss of $75.0 million and a change in our net operating assets and liabilities of $2.3 million, offset by non-cash charges of $12.8 million. The change in operating assets and liabilities was primarily due to (i) an increase in accounts payable and accrued expenses and other current liabilities of $2.9 million primarily due to timing of invoices and payments, (ii) a decrease in other assets of $1.9 million, (iii) an increase in prepaid and other current assets of $6.1 million and (iv) a decrease in other non-current liabilities of $1.1 million. Non-cash charges consisted primarily of stock-based compensation expense of $14.3 million, non-cash lease costs of $0.9 million, and depreciation and amortization costs of $0.4 million offset by net amortization of premiums and accretion of discounts on investments of $2.9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six months ended June 30, 2023, net cash used in operating activities of $59.5 million was attributable to a net loss of $64.3 million and a change in net operating assets and liabilities of $6.2 million, offset by non-cash charges of $11.0 million. The change in operating assets and liabilities was primarily due to (i) a decrease in accounts payable and accrued expenses and other current liabilities of $7.1 million primarily due to timing of invoices and payments, (ii) a decrease in other assets of $3.4 million, (iii) an increase in prepaid and other current assets of $2.0 million and (iv) a decrease in other non-current liabilities of $0.5 million. Non-cash charges consisted primarily of stock-based compensation expense of $12.6 million and non-cash lease costs of $0.6 million offset by net amortization of premiums and accretion of discounts on investments of $2.8 million.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2024, net cash provided by investing activities of $27.4 million was attributable to cash received for maturities of investments of $121.9 million offset by purchases of short-term and long-term investments of $94.2 million and purchases of property and equipment of $0.2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2023, net cash provided by investing activities of $48.5 million was attributable to cash received for maturities of investments of $169.7 million offset by purchases of short-term and long-term investments of $118.7 million and purchases of property and equipment of $2.4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2024, net cash provided by financing activities of $30.2 million was attributable to proceeds from our ATM offering program of $29.2 million, proceeds from the exercise of stock options under equity incentive plans of $1.1 million, and proceeds from issuance of common stock pursuant to employee stock purchase plan of $0.3 million, offset by principal payments on finance leases of $0.4 million.</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2023, net cash provided by financing activities was $0.2 million, attributable to proceeds from the exercise of stock options under equity incentive plans of $0.1 million and proceeds from issuance of common stock pursuant to employee stock purchase plan of $0.3 million and by principal payments on finance leases of $0.2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 presented, we did not have, nor do we currently have, any off-balance sheet arrangements, as defined in the rules and regulations of the SEC.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condensed consolidated financial statements, which have been prepared in accordance with generally accepted accounting principles in the United States, or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significant accounting policies and critical accounting estimates are more fully described in the notes to our audited consolidated financial statements and in the section titled “Management’s Discussion and Analysis of Financial Condition and Results of Operations—Critical Accounting Estimates,” respectively, in the Company’s Annual Report on Form 10-K for the year ended December 31, 2023. During the six months ended June 30, 2024, there were no material changes to our critical accounting policies and estimates from those discussed in the Company’s Annual Report on Form 10-K for the year ended December 31, 2023 filed with the SEC on March 7,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Significant Accounting Policies - Recent Accounting Pronouncements” to our condensed consolidated financial statements included elsewhere in this Quarterly Report on Form 10-Q for more information. </w:t>
      </w:r>
    </w:p>
    <w:p>
      <w:pPr>
        <w:pStyle w:val="TextBody"/>
        <w:bidi w:val="0"/>
        <w:spacing w:before="360" w:after="283"/>
        <w:jc w:val="left"/>
        <w:rPr>
          <w:rFonts w:ascii="Times New Roman" w:hAnsi="Times New Roman"/>
          <w:b/>
          <w:color w:val="000000"/>
          <w:sz w:val="20"/>
        </w:rPr>
      </w:pPr>
      <w:bookmarkStart w:id="12" w:name="part1_item3_risk"/>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risks primarily include interest rate sensitivities.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we had cash, cash equivalents and investments of $186.2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we had borrowings of $10.0 million outstanding under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Federal Deposit Insurance Corporation (FDIC).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(SVB). In March 2023, SVB, where the Company maintained operating accounts with a cash balance of less than 1% of the Company’s total cash, cash equivalents and investments, was closed by the California Department of Financial Protection and Innovation, which appointed the FDIC to act as receiver. The FDIC created Silicon Valley Bridge Bank, N.A. (SVBB) as successor to SVB. First Citizens BancShares, Inc. (First Citizens Bank) acquired SVBB from the FDIC and assumed all of SVB’s deposits and loans. In light of the foregoing, the Company does not believe that it had exposure to loss as a result of SVB’s receivership.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periods presented, the Company has not experienced any realized losses on its deposits of cash, cash equivalents or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impact on our financial results.</w:t>
      </w:r>
    </w:p>
    <w:p>
      <w:pPr>
        <w:pStyle w:val="TextBody"/>
        <w:bidi w:val="0"/>
        <w:spacing w:before="360" w:after="283"/>
        <w:jc w:val="left"/>
        <w:rPr>
          <w:rFonts w:ascii="Times New Roman" w:hAnsi="Times New Roman"/>
          <w:b/>
          <w:color w:val="000000"/>
          <w:sz w:val="20"/>
        </w:rPr>
      </w:pPr>
      <w:bookmarkStart w:id="13" w:name="part1_item4_control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June 30, 2024.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June 30, 2024 that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4" w:name="part2"/>
      <w:bookmarkEnd w:id="14"/>
      <w:r>
        <w:rPr>
          <w:rFonts w:ascii="Times New Roman" w:hAnsi="Times New Roman"/>
          <w:b/>
          <w:color w:val="000000"/>
          <w:sz w:val="20"/>
        </w:rPr>
        <w:t>PART II — OTHER INFORMATION</w:t>
      </w:r>
    </w:p>
    <w:p>
      <w:pPr>
        <w:pStyle w:val="TextBody"/>
        <w:bidi w:val="0"/>
        <w:spacing w:before="360" w:after="283"/>
        <w:jc w:val="left"/>
        <w:rPr>
          <w:rFonts w:ascii="Times New Roman" w:hAnsi="Times New Roman"/>
          <w:sz w:val="20"/>
        </w:rPr>
      </w:pPr>
      <w:bookmarkStart w:id="15" w:name="part2_item1_legal"/>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pStyle w:val="TextBody"/>
        <w:bidi w:val="0"/>
        <w:spacing w:before="360" w:after="283"/>
        <w:jc w:val="left"/>
        <w:rPr>
          <w:rFonts w:ascii="Times New Roman" w:hAnsi="Times New Roman"/>
          <w:b/>
          <w:color w:val="000000"/>
          <w:sz w:val="20"/>
        </w:rPr>
      </w:pPr>
      <w:bookmarkStart w:id="16" w:name="part2_item1a_rf"/>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together with the other information contained elsewhere in this Quarterly Report on Form 10-Q, including our unaudited condensed consolidated financial statements and the related notes, the section titled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in our common stock involves a high degree of risk because our business is subject to numerous risks and uncertainties, as fully described below.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since our inception, and we expect to continue to incur significant net losses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to finance our operations, such capital may not be available to us when needed or may only be available on terms that are unfavorable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no products approved for commercial sale, and have not generated any revenue from product sales, licenses or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substantially dependent on the success of our lead product candidate, evorpacept, also known as ALX 148, which is in clinical development and which has not completed a pivotal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of preclinical testing and early clinical trials may not be predictive of the success of later clinical trials, and the results of our clinical trials may not satisfy the requirements of the Food and Drug Administration, or FDA, or other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are expensive, time consuming and difficult to design and implement and may fail to demonstrate adequate safety, efficacy and potency of our product candidates or provide the basis for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cause significant adverse events or other undesirable side effects when used alone or in combination with other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and comparable foreign regulatory authorities are lengthy, time-consuming and inherently unpredictable, which could lead to our inability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maintain and enforce patent protection and other intellectual property for our product candidates and related technology, our business could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key personnel, and if we are not successful in attracting, motivating, and retaining highly qualified personnel, we may not be able to successfully implement our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manufacturers for clinical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levels of our debt and compliance with the terms of our loan agreement could restrict our ability to operate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outbreaks or public health crises, such as the COVID-19 pandemic, geopolitical unrest related to Russia’s war with Ukraine, and war and instability in Israel and the surrounding region could adversely impact our business including our ongoing and planned clinical trials and preclinical research;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of our stock may be volatile, and you could lose all or part of your investment; and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we have identified material weaknesses in our internal control over financial reporting, and if we are unable to implement and maintain effective internal control over financial reporting in the future, investors may lose confidence in our financial reports.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net losses since our inception, and we expect to continue to incur significant net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$39.4 million and $34.2 million for the three months ended June 30, 2024 and 2023, respectively. As of June 30, 2024, we had an accumulated deficit of $561.3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we had cash, cash equivalents and investments of $186.2 million. Based on our current operating plan, we believe that our existing cash, cash equivalents, and investments will be sufficient to fund our operations into early 2026.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use our cash, cash equivalents and investments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obtain further funding through public or private equity offerings, debt financings, collaborations and licensing arrangements or other sources, which may dilute our stockholders or restrict our operating activities. Other than the loan and security agreement, or Loan Agreement, we entered into with Oxford Finance LLC, Oxford Finance Credit Fund II LP and Silicon Valley Bank, or SVB, collectively, the Lenders, in the fourth quarter of 2022 and most recently amended in December 2023, we do not have any committed external source of funds. SVB was closed in March 2023, and the FDIC was appointed as receiver to SVB. The FDIC created Silicon Valley Bridge Bank, or SVBB, as successor to SVB, which was acquired by First Citizens Bank, and is now operated as a division of First Citizens Bank, or SVB-First Citizens.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have no products approved for commercial sale, which may make it difficult for you to evaluate our current business and likelihood of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generate revenue and achieve profitability depends significantly on our ability to achieve several objectives relating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preclinical and clinical development of our lead product candidate, evorpacept, and our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relationships with contract research organizations, or CROs, and clinical sites for the clinical development of evorpacept and our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from applicable regulatory authorities for any product candidates for which we successfully complete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 launch following any marketing approval, including the development of a commercial infrastructure, whether in-house or with one or more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 acceptance of evorpacept and any future product candidates as viable treatment options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favorable coverage and adequate reimbursement by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therapies and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and expanding patent protection, trade secret protection and regulatory exclusivity,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protecting our rights in our intellectual property portfolio, including our licensed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or infringement claims,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that may be necessary to develop, manufacture or commercialize our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terms of our Loan Agreement require us to meet certain operating and financial covenants, place restrictions on our operating and financial flexibility, and may subject us to default.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we entered into the Loan Agreement, most recently amended in December 2023, under which we have borrowed $10.0 million. A further $90.0 million may become available to us, with a total of $65.0 million available upon the achievement of pre-determined development milestones, split equally between each of the two tranches, and $25.0 million at the Lenders’ sole discretion. The proceeds of the loans may be used by us for working capital and to fund our general business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under the Loan Agreement mature on October 1, 2027. We will begin to make principal payments in equal monthly installments beginning on December 1, 2025, and if either of the milestone related tranche term loans are funded, then we will begin to make principal payments in equal monthly installments beginning on December 1, 2026.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and a contingency fee may apply in connection with a prepayment of such term loan under certain circumstances. We are also obligated to pay other customary fees for a loan facility of this type and size.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under the Loan Agreement are secured by substantially all of our assets, except our intellectual property, which is the subject of a negative pledge, and will be guaranteed by our future subsidiaries, subject to certain limitations. Upon the outstanding balance of the term loans reaching $75.0 million or greater, our intellectual property will become collateral.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head and neck squamous cell carcinoma, or HNSCC, gastric/gastroesophageal junction, or GEJ, carcinoma, urothelial cancer, breast cancer, NHL, multiple myeloma, or colorectal cancer.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comparable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our clinical timelines may be delayed.</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Clinical trials of our product candidates are expensive, time consuming and difficult to design and implement and may fail to demonstrate adequate safety, purity and efficacy and potency of our product candidates or provide the basis for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know whether our future clinical trials will begin or enroll subjects on time or whether our ongoing and/or future clinical trials will be completed on schedule or at all. Clinical trials can be delayed for a variety of reasons, including delays related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reaching agreement on acceptable terms with prospective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institutional review board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adding necessary new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subjects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investigational site or trial subjects withdrawing or dropping out of clinical trials at a higher rate than anticipated;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sufficient quantities of product candidate for use in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numerous unforeseen events during, or as a result of, clinical trials that could delay or prevent receipt of marketing approval or our ability to commercialize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feedback from regulatory authorities that requires us to modify the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clinical trial results or interval changes to standards of care for the treatment of specific tumor types that may require us to conduct additional clinical trials or abandon certain drug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required for clinical trials is larger than anticipated, enrollment in these clinical trials is slower than anticipated or subjects dropping out of these clinical trials at a higher rate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clinical trials due to outbreaks or public health crises, such as the COVID-19 pandemic, that impact both trial site operations, subject selection and participation;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suspension or termination of our clinical trials for various reasons, including non-compliance with regulatory requirements, a finding that our product candidates have undesirable side effects or other unexpected characteristics or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are greater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being insufficient or inadequate;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revising the requirements for approving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know whether any clinical trials we may conduct will demonstrate consistent or adequate safety and efficacy sufficient to obtain marketing approval of our product candidates or to market our drugs after any such approval.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experienced and, if we continue to experience delays or difficulties in the enrollment of subjects in clinical trials and/or retention of subjects in clinical trials in the future,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clinical trial enrollment and data collection has been adversely impacted by staff shortages, site closures, travel limitations and physical distancing requirements and personal safety concerns resulting from and associated with the COVID-19 pandemic. Going forward we expect to continue to experience some of these clinical trial enrollment difficulties associated with the pandemic. For example, subjects who enroll in our clinical trials and then become infected with the COVID-19 virus may complicate the clinical trial data, procedures and analysis, which could delay the anticipated readouts from our clinical trials and our regulatory submissions and increase the costs associated with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and efficacy or potency of current or newly approved drugs for the disease under investigation and other changes in standard of care that could make our clinical trials less attractive, including the drugs or other product candidates we use in our combination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eligibility criteria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by us and the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subjects adequately during and after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of clinical trial sites to prospective subjects;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of subjects enrolled in clinical trials dropping out before completion;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or delay in enrollment of subjects due to a variety of reasons, including outbreaks and public health crises,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appropriately enroll an ethnically and racially diverse patient population representative of the target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adverse effects related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interim or topline data from our clinical trials such as our July 2024 announcement of topline Phase 2 ASPEN-06 clinical trial results of evorpacept for the treatment of advanced HER2-Positive gastric cancer.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in ALX-Oncology-sponsored clinical trials, the most common adverse events of any grade associated with evorpacept (frequency ≥20%) are fatigue, anemia, nausea, and diarrhea. These events have been reported across the program in patients administered evorpacept as a single agent, in combination with pembrolizumab, trastuzumab, rituximab, or azacitidine and as a multiproduct regimen in combination with pembrolizumab, platinum, and 5 FU, or in combination with trastuzumab, ramucirumab, and paclitaxel, or in combination with azacitidine + venetoclax. Such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Coherus BioSciences, Gilead Sciences, GSK plc, Incyte Corporation, Merck, Merck KGaA, Novartis, Pfizer, Regeneron Pharmaceuticals and Roche/Genentech. Newly approved therapeutics could change the treatment paradigm or standard of care, which could negatively impact the design of our clinical trials and the prospects of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these competitive products and therapies are based on scientific approaches that are the same as or similar to our approach, including with respect to the targeting of the CD47 pathway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our product candidates receive regulatory approval, they will be subject to significant post-marketing regulatory requirements and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Times New Roman" w:hAnsi="Times New Roman"/>
          <w:i/>
          <w:color w:val="000000"/>
          <w:sz w:val="20"/>
        </w:rPr>
        <w:t>e.g.</w:t>
      </w:r>
      <w:r>
        <w:rPr>
          <w:rFonts w:ascii="Times New Roman" w:hAnsi="Times New Roman"/>
          <w:color w:val="000000"/>
          <w:sz w:val="20"/>
        </w:rPr>
        <w:t xml:space="preserve">,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the rejection of product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trials;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products, manufacturers or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civil and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seizures, detentions or import bans;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or mandatory product recalls and publicity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or partial suspension of production;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restrictions on operations, including costly new manufacturing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of these sanctions, enforcement actions or penalties described above may inhibit our ability to commercialize our product candidates, even if approved, and generate revenue.</w:t>
      </w:r>
    </w:p>
    <w:p>
      <w:pPr>
        <w:pStyle w:val="TextBody"/>
        <w:bidi w:val="0"/>
        <w:spacing w:before="120" w:after="283"/>
        <w:jc w:val="left"/>
        <w:rPr>
          <w:rFonts w:ascii="Times New Roman" w:hAnsi="Times New Roman"/>
          <w:sz w:val="20"/>
        </w:rPr>
      </w:pPr>
      <w:r>
        <w:rPr>
          <w:rFonts w:ascii="Times New Roman" w:hAnsi="Times New Roman"/>
          <w:b/>
          <w:i/>
          <w:color w:val="000000"/>
          <w:sz w:val="20"/>
        </w:rPr>
        <w:t>We previously relied on Tallac Therapeutics Inc., a third-party service provider, to conduct substantially all of our preclinical research activities for evorpacept. If we are unable to successfully transition preclinical research activities in-house, there may be disruptions or delays to our evorpacept development pipeline and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the ability to independently conduct our preclinical research activities but we previously relied on a third-party service provider to conduct all of our preclinical research activities for evorpacept. Effective as of July 1, 2020, we transferred our preclinical research capabilities at such time and nine of our employees, including a former Chief Scientific Officer, to Tallac Therapeutics Inc., a third-party service provider, formerly known as Tollnine, Inc., or Tallac Therapeutics, and entered into a research and development services agreement, or the Tallac Services Agreement, with Tallac Therapeutics. Under the terms of the Tallac Services Agreement, Tallac Therapeutics provided preclinical research services to us for the cost of these services plus a mark-up equal to 10.0% of such costs. The Tallac Services Agreement terminated on July 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transition preclinical research activities in-house, our preclinical research efforts and studies may be extended or delayed, and there may be disruptions or delays to our evorpacept development pipeline. As a result, our evorpacept product candidate research and development efforts may be delayed or harmed, and our costs could increase and our future ability to generate revenues could be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Hiring additional internal research and development employees will involve additional efforts and costs and could divert management’s time and focus. In addition, there is a natural transition period to train new employees. As a result, delays may occur, which can materially impact our ability to meet our desired preclinical timelines.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pStyle w:val="TextBody"/>
        <w:bidi w:val="0"/>
        <w:spacing w:before="120" w:after="283"/>
        <w:jc w:val="left"/>
        <w:rPr>
          <w:rFonts w:ascii="Times New Roman" w:hAnsi="Times New Roman"/>
          <w:sz w:val="20"/>
        </w:rPr>
      </w:pPr>
      <w:r>
        <w:rPr>
          <w:rFonts w:ascii="Times New Roman" w:hAnsi="Times New Roman"/>
          <w:b/>
          <w:i/>
          <w:color w:val="000000"/>
          <w:sz w:val="20"/>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 </w:t>
      </w:r>
    </w:p>
    <w:p>
      <w:pPr>
        <w:pStyle w:val="TextBody"/>
        <w:bidi w:val="0"/>
        <w:spacing w:before="120" w:after="283"/>
        <w:jc w:val="left"/>
        <w:rPr>
          <w:rFonts w:ascii="Times New Roman" w:hAnsi="Times New Roman"/>
          <w:sz w:val="20"/>
        </w:rPr>
      </w:pPr>
      <w:r>
        <w:rPr>
          <w:rFonts w:ascii="Times New Roman" w:hAnsi="Times New Roman"/>
          <w:b/>
          <w:i/>
          <w:color w:val="000000"/>
          <w:sz w:val="20"/>
        </w:rPr>
        <w:t>Material modifications in the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We have previously encountered challenges in the production of a drug substance batch, and as a result incurred additional costs to address and rectify the manufacturing process.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120" w:after="283"/>
        <w:jc w:val="left"/>
        <w:rPr>
          <w:rFonts w:ascii="Times New Roman" w:hAnsi="Times New Roman"/>
          <w:sz w:val="20"/>
        </w:rPr>
      </w:pPr>
      <w:r>
        <w:rPr>
          <w:rFonts w:ascii="Times New Roman" w:hAnsi="Times New Roman"/>
          <w:b/>
          <w:i/>
          <w:color w:val="000000"/>
          <w:sz w:val="20"/>
        </w:rPr>
        <w:t>Development of product candidates in combination with other therapies could expose us to additional risks. Lack of third-party combination drugs may materially and adversely affect demand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and Phase 2/3 clinical trials of evorpacept in combination with pembrolizumab for HNSCC and trastuzumab for gastric/GEJ carcinoma, respectively. As a result, both the results of our clinical trials and the sales of our drugs may be affected by the availability of these third-party drugs. For instance, we entered into clinical trial collaboration and supply agreements with Merck, Eli Lilly and Jazz, pursuant to which our collaboration counterparties will supply doses of pembrolizumab, ramucirumab, and zanidatamab, respectively, for use in certain clinical trials. If the agreements with Merck and Eli Lilly are terminated before the trials are completed, we may need to find another source of pembrolizumab and ramucirumab, respectively, in order to continue our trials. Zanidatamab is not approved for commercial use by the FDA or any comparable regulatory authority, and as a result, no alternative source of zanidatamab exists. As such, if the agreement with Jazz is terminated before the trials are completed, our ability to continue the trials with zanidatamab would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outbreaks and public health crises, such as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also may be implicated if any of our CROs violates fraud and abuse or false claims laws and regulations or healthcare privacy and security laws.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marketing approval for any of our product candidates, we may not achieve market acceptance, which would limit the revenue that we can generate from sales of any of our approved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evorpacept and our other product candidates to treat cancer or other applicable targeted diseases, as compared with other available drugs, treatments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the product candidate as well as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of other new therapies for the same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adverse side effects associated with evorpacept and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for evorpacept or our other product candidates by the FDA or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alternative treatments and 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target patient population and 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and effectiveness of marketing and distribution support and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for our product candidates and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and cost-effectiveness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sufficient third-party coverage or reimbursement, and the willingness of patients to pay out-of-pocket in the absence of third-party coverage;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the FDA or any foreign regulatory authority may impose additional requirements that limit the promotion, advertising, distribution or sales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is approved but does not achieve an adequate level of acceptance by patients, physicians and/or third-party payors, we may not generate sufficient revenue to become or remain profitable and our business may be harmed.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never commercialized a product candidate and we may lack the necessary expertise, personnel and resources to successfully commercialize any of our products that receive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opportunities for the product candidates we develop, if approved, may be limited to certain smaller patient subsets.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 If this were to occur, it could have a material adverse effect on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any of our product candidates receive marketing approval, if we or others later identify undesirable or unacceptable side effects caused by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us to take our approved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contraindication, precaution or field alerts to physicians and pharmacies;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including changing the dose and/or schedule of administration, limit the patient population who can use the product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Failure to obtain or maintain adequate coverage and reimbursement for our product candidates, if approved,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and maintain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any products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coverage and adequate reimbursement for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with respect to our drugs, which will result in significant additional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drug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any other applicable regulatory authority to approve pending applications or supplements to approved applications filed by us, or suspension or revocation of product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product seizure or detention, or refusal to permit the import or export of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the design, implementation or results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potency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Biologics License Application, New Drug Application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or comparable international regulatory authorities that a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international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While we have received certain FDA Fast Track designations, such Fast Track designations may not lead to a faster development or regulatory review or approval process, and do not increase the likelihood that the drug will receive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granted Fast Track designation for evorpacept in combination with pembrolizumab, platinum, and fluorouracil for the first-line treatment of adult patients with metastatic or unresectable, recurrent HNSCC in February 2020,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and for evorpacept in combination with pembrolizumab for first-line treatment of adult patients with metastatic or unresectable, recurrent HNSCC whose tumors express PD-L1 in July 2022.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 In response to recent litigation, the FDA clarified in a January 2023 notice that the FDA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the European Commission granted ODD to evorpacept for the treatment of patients with gastric/GEJ cancer. In the European Union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Current and future legislation may increase the difficulty and cost for us to commercialize our products, if approved, and affect the prices we may obtain. We may face difficulties from changes to current regulations and future legislation.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Recently,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drugs,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Biden administration will impact the ACA. Complying with any new legislation or reversing changes implemented under the ACA could be time-intensive and expensive, resulting in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2032, with the exception of temporary suspension under COVID-19 relief legislation.</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was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as well as future judicial challenges in view of the U.S. Supreme Court’s overturn of the Chevron doctrine, and other legislative, executive, and administrative actions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 w:hAnsi="Times New Roman"/>
          <w:i/>
          <w:color w:val="000000"/>
          <w:sz w:val="20"/>
        </w:rPr>
        <w:t>i.e.</w:t>
      </w:r>
      <w:r>
        <w:rPr>
          <w:rFonts w:ascii="Times New Roman" w:hAnsi="Times New Roman"/>
          <w:color w:val="000000"/>
          <w:sz w:val="20"/>
        </w:rPr>
        <w:t xml:space="preserve">,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Food, Drug and Cosmetic Act prohibits, among other things, the adulteration or misbranding of drugs, biologics and medical devices.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Centers for Medicare &amp; Medicaid Services, or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European and other foreign law equivalents of each of the laws also impose legal requirements, including reporting requirements detailing interactions with and payments to healthcare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comply with laws regulating the protection of the environment and health and human safety,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Disruptions at the FDA, SEC or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COVID-19 pandemic, the FDA has postponed certain inspections. If global health concerns or other causes continue to prevent the FDA or other regulatory authorities from conducting their normal operations, such as regular inspections, reviews, or other regulatory activities in a timely manner,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collect, process, use or transfer personal information from individuals located in the European Economic Area, or EEA, Switzerland and the United Kingdom in connection with our business, including in connection with conducting clinical trials in these regions.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GDPR, or the new Swiss Federal Act on Data Protection,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actual or alleged failure to comply with the GDPR, UK GDPR, FADP, or related national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GDPR, UK GDPR and FADP also restrict the transfer of personal information outside of the EEA, United Kingdom and Switzerland respectively, unless appropriate safeguards are in place.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primary safeguards, the Standard Contractual Clauses adopted by the European Commission, has been recently updated. With regard to data transfers outside of the EEA to the United States, in March 2022, the European Union and United States announced a political agreement on a new framework for personal information transfers, the EU-U.S. Data Privacy Framework, or the EU-U.S. DPF. On July 10, 2023, the European Commission adopted an adequacy decision relating to the EU-U.S. DPF. Additionally, a UK Extension to the EU-U.S. DPF became effective on October 12, 2023. We are evaluating whether to make use of the EU-U.S. DPF and the UK Extension to the EU-U.S. DPF to transfer personal information from the EEA to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Commission’s adequacy determination for the United Kingdom requires renewal after four years and it may be modified or revoked in the interim. In addition, in February 2022, the United Kingdom’s Information Commissioner’s Office issued new Standard Contractual Clauses for the transfer of personal information outside of the United Kingdom. Any existing data transfer arrangement that relies on the previous version of the Standard Contractual Clauses needs to be updated by March 21, 2024. While we believe we are currently compliant with the new Standard Contractual Clauses, the data transfers enforcement landscape and the EU-U.S. DPF’s longer term stability remain uncertain, which could increase our compliance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therefore, incur liabilities, expenses, costs, and other operational losses under the GDPR, UK GDPR, the FADP and applicable laws and regulations of European Union member states in connection with any measures we take to comply with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a new privacy law, the California Privacy Rights Act, or the CPRA, was approved by California voters in November 2020. The CPRA modifies the CCPA significantly, potentially resulting in further uncertainty and requiring us to incur additional costs and expenses in an effort to comply. Other states are beginning to consider and pass similar laws, including laws enacted in Colorado, Connecticut, Delaware, Florida, Indiana, Iowa, Montana, Oregon, Tennessee, Texas, Utah, and Virginia. As we expand our operations, preclinical studies and clinical trials, these new state laws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maintain and enforce patent protection for our product candidates and related technology, our business could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hAnsi="Times New Roman"/>
          <w:i/>
          <w:color w:val="000000"/>
          <w:sz w:val="20"/>
        </w:rPr>
        <w:t>inter partes</w:t>
      </w:r>
      <w:r>
        <w:rPr>
          <w:rFonts w:ascii="Times New Roman" w:hAnsi="Times New Roman"/>
          <w:color w:val="000000"/>
          <w:sz w:val="20"/>
        </w:rPr>
        <w:t xml:space="preserve"> review, post-grant review, opposition or derivation proceedings challenging our patent rights or the patent rights of others.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changes in law may introduce uncertainty in the enforceability or scope of patents we own.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Beginning June 1, 2023, European patent applications and patents may be subjected to the jurisdiction of the Unified Patent Court, or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court proceedings to enforce our intellectual property rights, and the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w:t>
      </w:r>
    </w:p>
    <w:p>
      <w:pPr>
        <w:pStyle w:val="TextBody"/>
        <w:bidi w:val="0"/>
        <w:spacing w:before="12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patent laws or patent jurisprudence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pStyle w:val="TextBody"/>
        <w:bidi w:val="0"/>
        <w:spacing w:before="120" w:after="283"/>
        <w:jc w:val="left"/>
        <w:rPr>
          <w:rFonts w:ascii="Times New Roman" w:hAnsi="Times New Roman"/>
          <w:sz w:val="20"/>
        </w:rPr>
      </w:pPr>
      <w:r>
        <w:rPr>
          <w:rFonts w:ascii="Times New Roman" w:hAnsi="Times New Roman"/>
          <w:color w:val="000000"/>
          <w:sz w:val="20"/>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hAnsi="Times New Roman"/>
          <w:i/>
          <w:color w:val="000000"/>
          <w:sz w:val="20"/>
        </w:rPr>
        <w:t>e.g.</w:t>
      </w:r>
      <w:r>
        <w:rPr>
          <w:rFonts w:ascii="Times New Roman" w:hAnsi="Times New Roman"/>
          <w:color w:val="000000"/>
          <w:sz w:val="20"/>
        </w:rPr>
        <w:t xml:space="preserve">, via post-grant reviews or </w:t>
      </w:r>
      <w:r>
        <w:rPr>
          <w:rFonts w:ascii="Times New Roman" w:hAnsi="Times New Roman"/>
          <w:i/>
          <w:color w:val="000000"/>
          <w:sz w:val="20"/>
        </w:rPr>
        <w:t>inter partes</w:t>
      </w:r>
      <w:r>
        <w:rPr>
          <w:rFonts w:ascii="Times New Roman" w:hAnsi="Times New Roman"/>
          <w:color w:val="000000"/>
          <w:sz w:val="20"/>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patents covering one or more of our product candidates could be found invalid or unenforceable if challenged.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protection, prosecution, assertion and defense for some of our product candidates may be dependent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protect the confidentiality of our trade secrets and proprietary information or obtain proper assignment of such intellectual property, the value of our technology and products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former service provider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including former service provider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involved in lawsuits to protect or enforce our patents and trade secrets,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are examples of litigation and other adversarial proceedings or disputes that we could become a party to involving our patents or patents licensed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initiate litigation or other proceedings against third parties to enforce our patent and trade secret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litigation or other proceedings seeking to invalidate patents owned by or licensed to us or to obtain a declaratory judgment that their product or technology does not infringe our patents or patents licensed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opposition or other proceedings challenging the validity or scope of our patent rights, requiring us and/or licensors to participate in such proceedings to defend the validity and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a challenge or dispute regarding inventorship or ownership of patents or trade secrets currently identified as being owned by or licensed to us, including disputes that may arise from our previous reliance on Tallac Therapeutics as the sole provider of our preclinical research services and the intellectual property generated under the Tallac Services Agreement;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that we or our employees or consultants have wrongfully used or disclosed alleged trade secrets or other proprietary information of our employees’ or consultants’ former employers or their clients.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 </w:t>
      </w:r>
    </w:p>
    <w:p>
      <w:pPr>
        <w:pStyle w:val="TextBody"/>
        <w:bidi w:val="0"/>
        <w:spacing w:before="120" w:after="283"/>
        <w:jc w:val="left"/>
        <w:rPr>
          <w:rFonts w:ascii="Times New Roman" w:hAnsi="Times New Roman"/>
          <w:sz w:val="20"/>
        </w:rPr>
      </w:pPr>
      <w:r>
        <w:rPr>
          <w:rFonts w:ascii="Times New Roman" w:hAnsi="Times New Roman"/>
          <w:b/>
          <w:i/>
          <w:color w:val="000000"/>
          <w:sz w:val="20"/>
        </w:rPr>
        <w:t>Our commercial success depends in part on our ability to operate without infringing the patents and other proprietary rights of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Opposition Division of the European Patent Office (Opposition Division) on November 6, 2017. The revocation was appealed by UHN and The Hospital for Sick Children, and on October 18, 2022, the Board of Appeal of the European Patent Office (Board of Appeal) ruled in favor of UHN with respect to the matter on appeal, but remanded the case back to the Opposition Division for consideration of a further ground of invalidity (sufficiency of disclosure). On December 8, 2023, the Opposition Board held that the disclosure in EP 2 429 574 was sufficient and upheld the patent in amended form. On February 15, 2024, the Board of Appeal announced that it had received a notice of appeal with respect to the Opposition Board’s ruling regarding sufficiency of disclosure. A date for the appeal hearing has not yet been announced. Additionally, on December 27, 2023, a second European Patent (EP 2 995 315), a divisional of European patent (EP 2 429 574), was granted to UHN and The Hospital for Sick Children. This patent relates to the eradication of hematological CD47+ cancer cells and tumors with polypeptides comprising soluble human SIRPα, or a CD47-binding fragment thereof. On February 27, 2024, the Opposition Division announced that it had received a notice of opposition with respect to EP 2 995 315. A date for the opposition hearing has not yet been announced. The patent claims of both EP 2 429 574 and EP 2 995 315, if not revoked or otherwise limited by the European Patent Office, could potentially limit our ability to pursue evorpacept in certain indications in certain geographies in the future. With respect to U.S. patent 10,907,209, we believe that we do not infringe claims listed in this U.S. patent.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but that are not covered by the claims of the patents that we own or have exclusively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have exclusively licensed may not provide us with competitive advantages, or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certain foreign countries may not protect our intellectual property rights to the same extent as the laws of the United States, or we may fail to apply for or obtain adequate intellectual property protection in all the jurisdictions in which we operate;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for example by preventing us from marketing one or more of our product candidates for one or more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need to obtain FDA approval for any proposed product candidate names, and any failure or delay associated with product candidate name approval may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Our rights to develop and commercialize our product candidates may be subject, in part, to the terms and conditions of agreements with others.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disputes may arise regarding intellectual property subject to a collaboration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the option or license rights granted under the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technology and processes infringe on intellectual property of the collaborator that is not subject to the option or license rights granted under the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sublicensing of patent and other rights under our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under the agreement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and ownership of inventions and know-how resulting from the joint creation or use of intellectual property by our collaborators and us and our other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we had 81 employees, including 65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evorpacept and any other future product candidates, while complying with applicable contractual obligations to contractors and other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and updating our operational, financial and management controls, reporting systems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successfully develop and, if approved, commercialize evorpacept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qualified outside contractors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effectively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are based on a novel technology, which makes it difficult to predict the time and cost of product candidate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our inability to find suitable replacements, and the impacts of any executive officer changes, could result in delays in the development of our product candidates and harm our business. Additionally, layoffs or furloughs, pausing recruiting efforts, or employee attrition could also create delays in the development of our product candidates and harm our business.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international operations may expose us to business, regulatory, political, operational, financial, pricing and reimbursement risks associated with doing business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obtain and maintain regulatory approvals for the use of our products in various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rejection or qualification of foreign clinical trial data by the competent authorities of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and difficulties in obtaining, maintaining, protecting and enforcing our intellectual property, including as a result of potentially relevant third-party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staffing and managing foreign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associated with managing multiple payor reimbursement regimes, government payors or patient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limits in our ability to penetrate international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risks, such as longer payment cycles, difficulty collecting accounts receivable, the impact of local and regional financial crises on demand and payment for our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instability, such as the geopolitical unrest and regional economic disruptions caused by Russia’s war with Ukraine, and war and instability in Israel and the surrounding region, and including wars, terrorism and political unrest, boycotts, curtailment of trade and other business restrictions;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such as a fire, an earthquake or a flood, or outbreaks or public health crises,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cybersecurity breach or incident or a related breach of our information systems or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expenses including, among others, expenses for travel, translation and insurance;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and compliance risks that relate to anti-corruption compliance and record-keeping that may fall within the purview of the FCPA, its accounting provisions or its anti-bribery provisions, or provisions of anti-corruption or anti-bribery laws in other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factors could harm our future international expansion and operations and, consequently, our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exposed to costly and damaging product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we entered into clinical trial collaborations with our collaborators, including I-SPY, Sanofi, Jazz and the ISTs, to supply evorpacept for clinical trials to advance new combination therapies. We have limited control over the amount and timing of resources that our collaborators dedicate to the development of our products. Any termination or disruption of collaborations could result in delays in the development of products, increases in our costs to develop the products or the termination of development of a product.</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acquire businesses or assets and we may not realize the benefits of such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acquire businesses or assets or create joint ventures with third parties that we believe may complement our existing product candidates. For example, in October 2021, we acquired ScalmiBio, Inc., or ScalmiBio. We are developing new anti-cancer drug candidates based on ScalmiBio’s platform, and the acquisition of ScalmiBio enhanced our internal research and development capabilities. In order to realize the continuing benefits of the ScalmiBio acquisition, we will need to continue to make a substantial investment of time and resources to support research and development efforts. Additionally, we may not be able to realize the benefit of acquiring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U.S. Internal Revenue Code of 1986, as amended, if a corporation undergoes an “ownership change” (generally defined as a greater than 50 percentage points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2023, we had net operating loss carryforwards of approximately $93.5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will begin to expire beginning in 2038.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Irish net operating loss carryforwards of approximately $4.9 million. These Irish net operating loss carryforwards do not expire but may not be fully utilized unless we generate sufficient income in Ireland. We may also be limited in the amount of loss carryforwards that we can use in the future to offset taxable income for Irish corporation tax purposes if we experience ownership changes in the future as a result of subsequent movements in our share ownership, some of which are outside of our control, or if we experience a major change in the nature or conduct of our trade or our trade becomes small or negligible. Furthermore, in the event we incur net income in certain jurisdictions but incur losses (or have loss carryforwards) in other jurisdictions, we cannot offset the income from one jurisdiction with the loss from another, which could increase our effective tax rate.</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tax laws</w:t>
      </w:r>
      <w:r>
        <w:rPr>
          <w:rFonts w:ascii="Times New Roman" w:hAnsi="Times New Roman"/>
          <w:color w:val="000000"/>
          <w:sz w:val="20"/>
        </w:rPr>
        <w:t xml:space="preserve"> </w:t>
      </w:r>
      <w:r>
        <w:rPr>
          <w:rFonts w:ascii="Times New Roman" w:hAnsi="Times New Roman"/>
          <w:b/>
          <w:i/>
          <w:color w:val="000000"/>
          <w:sz w:val="20"/>
        </w:rPr>
        <w:t>or in their implementation or interpretation may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eliminated the option to deduct domestic research and development costs in the year incurred and instead requires taxpayers to amortize such costs over five or fifteen years. The United States has also enacted the Inflation Reduction Act of 2022, which introduced, among other provisions and a 1% excise tax on certain stock buybacks by U.S. publicly-traded corporations on or after January 1, 2023. The Organization for Economic Cooperation and Development has proposed implementing a global minimum tax of 15%, which has been implemented into the domestic laws of European Union member countries. Changes in tax laws, regulations, or rulings, changes in interpretations of existing laws and regulations, or changes in accounting principles could negatively and materially affect our financial position, cash flows,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know whether an active, liquid and orderly trading market will be sustained for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sell shares of our common stock in future financings, stockholders may experience immediate dilution and, as a result, our stock price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amended Shelf Registration Statement, declared effective by the SEC on May 31, 2022, provides for aggregate offerings of up to $450.0 million of the Company’s securities inclusive of up to $150.0 million of shares of our common stock through the at-the-market (ATM) offering. During the quarter ended June 30, 2024, we sold an aggregate of 2,005,910 shares of common stock under our ATM offering. On October 10, 2023, we completed the October 2023 Offering for the issuance and sale of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If we issue common stock or securities convertible into common stock, our stockholders will experience additional dilution and our stock price may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stock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and may be highly volatile and subject to wide fluctuations in response to various factors, some of which are beyond our control. In addition to those discussed in this “Risk Factors” section and elsewhere in this Quarterly Report on Form 10-Q, the following factors may cause the market price of our common stock to fluctuate: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and timing of our preclinical studies and clinical trials and studies and trials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issues in manufacturing our product candidates or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or enforcement in the United States and foreign countries with respect to our product candidates or our competitors’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products or new products that may emerge;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our growth and development relative to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 of new product candidates or technological innovations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our future strategic partners or our competitors of significant acquisitions, strategic partnerships,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or recommendations by securities analysts, if any cover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concern over our product candidates or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sales of our common stock by us, our insiders or our other stockholders including pursuant to the existing primary and secondary shelf registration statements that we have filed with the SEC;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expiration of market stand-off or lock-up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 price and volume fluctuations attributable to inconsistent trading volume levels of our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 care payment systems in the United States or overseas;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any of our product candidates, if approved, to achieve commercial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macroeconomic conditions, such as inflation, economic downturns, disasters, and medical or public health crises, such as the COVID-19 pandemic, including the impact of recent bank failures, the ongoing geopolitical unrest related to Russia’s war with Ukraine, and war and instability in Israel and the surrounding region;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condition and results of operations, including the timing of payment or receipt of any future milestone or other payments under commercialization or licensing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or expectations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fluctuations in U.S. equity markets, general market conditions and market conditions for biotechnology stocks; and</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that may be unanticipated or out of our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our guidance.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our operating results may fluctuate due to a variety of other factors, many of which are outside of our control and may be difficult to predict,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enroll subjects in clinical trials and the timing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will or may incur to acquire or develop additional product candidates and technologies or other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outcomes of clinical trials for evorpacept, and any of our other product candidates, or competing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conduct unanticipated clinical trials or trials that are larger or more complex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and potential future products that compete with evorpacept and any of our other product candidates, and changes in the competitive landscape of our industry, including consolidation among our competitors or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regulatory review or approval of evorpacept or any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evorpacept and any of our other product candidates, if approved, which may fluctuate significantly and be difficult to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product candidates, if approved, and existing and potential future products that compete with evorpacept and any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evorpacept and any of our other product candidates, if approved, inside and outside of the United States, either independently or working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licensing or other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adequately support future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increase in interest expense due to an increase in the floating rate under the Loan Agreement as described elsewhere in this Quarterly Report on Form 10-Q;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unforeseen business disruptions that increase our costs or expenses;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weak or declining economy resulting from adverse macroeconomic conditions such as inflation, rising interest rates, uncertainty in the financial services industry, and any U.S. federal government debt default due to a failure to increase the debt ceiling;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outbreaks or public health crises, such as the COVID-19 pandemic, geopolitical unrest related to Russia’s conflict with Ukraine, war and instability in Israel and the surrounding region, and bank failures or instability in the financial services sector on the global economy.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planned international operations may materially adversely affect our ability to attain profitable operations. Further, there is currently significant uncertainty about the future relationship between the United States and various other countries, most significantly China, with respect to trade policies, treaties, tariffs, taxes, and other limitations on cross-border operations. For example, legislation has been introduced in Congress to limit certain U.S. biotechnology companies from using equipment or services produced or provided by select Chinese biotechnology companies. While we cannot predict what actions may ultimately be taken with respect to trade relations between the United States and China or other countries, if we are unable to obtain or use services or products from existing service providers, including those of contract development and manufacturing organizations, or if alternative service providers cannot be secured at an acceptable cost or at all, or if such actions cause broader disruption in drug manufacturing and related industries that impact drug product availability or pricing, our business, liquidity, financial condition, and/or results of operations would be materially and adversely affected.</w:t>
      </w:r>
    </w:p>
    <w:p>
      <w:pPr>
        <w:pStyle w:val="TextBody"/>
        <w:bidi w:val="0"/>
        <w:spacing w:before="12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October 10, 2023, we completed the October 2023 Offering for </w:t>
      </w:r>
      <w:r>
        <w:rPr>
          <w:rFonts w:ascii="Times New Roman" w:hAnsi="Times New Roman"/>
          <w:color w:val="231F20"/>
          <w:sz w:val="20"/>
        </w:rPr>
        <w:t>the sale of</w:t>
      </w:r>
      <w:r>
        <w:rPr>
          <w:rFonts w:ascii="Times New Roman" w:hAnsi="Times New Roman"/>
          <w:color w:val="000000"/>
          <w:sz w:val="20"/>
        </w:rPr>
        <w:t xml:space="preserve">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Furthermore, we currently have an effective resale shelf registration statement which enables the selling stockholders thereunder, three of our largest stockholders, to sell shares in the public market which could cause our stock price to decline. In addition, any future sales of shares of common stock or other securities under our Shelf Registration Statement, including pursuant to our ATM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share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and will continue to incur significant increased costs and management resources as a result of operating as a public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were a large-accelerated filer for fiscal year 2022, we are a “non-accelerated filer” for fiscal year 2023 and we anticipate we will continue to be one throughout 2024. This status could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year, we re-evaluate our SEC filing status. Accordingly, due to our public float as of June 30, 2022, we became a non-accelerated filer for fiscal year 2023, and due to our public float as of June 30, 2023, we anticipate we will be a non-accelerated filer throughout fiscal year 2024. This will be re-evaluated each June 30.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If, after our June 30 re-evaluation, we are no longer a non-accelerated filer, we would be required to include an attestation report on internal control over financial reporting issued by our independent registered public accounting firm and adhere to earlier filing dates based on our determined status beginning with our Form 10-K for the fiscal year.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Our affiliated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our executive officers, directors, and affiliated holders of 5% or more of our capital stock and their respective affiliates beneficially owned approximately 24.7% of our outstanding voting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conditions and changing circumstances could impair our ability to access our existing cash, cash equivalents and investments and to timely pay key vendors and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anticipate paying cash dividends and, accordingly, stockholders must rely on share appreciation for any return on their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substantial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Sales of equity securities may be made under our Shelf Registration Statement and pursuant to our related ATM facility described therein. Additionally, our stockholders may be further diluted by the exercise of the pre-funded warrants issued in the follow-on public offering.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that our board of directors is divided into three classes, with each class serving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only be removed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convertible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behalf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a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Delaware General Corporation Law, or DGCL, our amended and restated certificate of incorporation or our amended and restated bylaws, as either may be amended from time to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 affairs doctrine.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provision would not apply to suits brought to enforce a duty or liability created by the Securities Exchange Act of 1934, as amended, or Exchange Act, or any other claim for which the U.S. federal courts have exclusive jurisdiction.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further provide that the federal district courts of the United States will be the exclusive forum for resolving any complaint asserting a cause of action arising under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In the past, we have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we and our independent registered public accounting firm identified two material weaknesses in our internal control over financial reporting, both of which have since been remediated. We did not identify any material weakness for the fiscal years ended December 31, 2023 and 2022.</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which would harm our business and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failure to maintain effective internal control over financial reporting could have a material adverse effect on our business, financial condition and results of operations and the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While we remain a non-accelerated filer, we will not be required to include an attestation report issued by our independent registered public accounting firm on the effectiveness of our internal control over financial reporting. Upon a change in status to an accelerated or large-accelerated filer, our independent registered public accounting firm would be required to attest to the effectiveness of our internal control over financial reporting as of the filing of the Form 10-K of that year.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organized in a holding company structure and we are, and will be, dependent upon the results of operations and cash flows of our subsidiaries and distributions we receive from our subsidiaries.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war and instability in Israel and the surrounding region,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experience disruptions and delays or incur financial damages as a result of system failures or security breaches or incidents.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our implementation of security measures, any of the internal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and other third-party service providers’ operations could result in a material disruption of our drug discovery and development programs or other aspects of our operations. We may be more susceptible to security breaches and other security incidents while a large percentage of our employees continue to work from home for some portion of time because we and our service providers have less capability to monitor and enforce our information security and data protection policies for those employees. Also, ongoing geopolitical unrest and related events such as Russia’s war with Ukraine may subject us and our CROs and other third-party service providers to heightened risks of cybersecurity incidents and security and privacy breaches, including attacks that could materially disrupt our drug discovery and development programs or other aspects of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system failure or security breach or incident that leads to the loss, corruption or unavailability of clinical trial data from completed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liabilities, including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the business, which could seriously harm our business.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part2_item2_unreg"/>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 from Initial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material change in the planned use of proceeds from our initial public offering as described in our final prospectus filed with the SEC on July 17, 2020 pursuant to Rule 424(b)(4). We invested the funds received in accordance with our investment policy. None of such payments were direct or indirect payments to any of our directors or officers (or their associates), to persons owning ten percent or more of our common stock or to any other affiliates.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part2_item3_default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part2_item4_mine"/>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bookmarkStart w:id="20" w:name="part2_item5_other"/>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last fiscal quarter, none of our officers or directors, as defined in Rule 16a-1(f), adopted and/or terminated a “Rule 10b5-1 trading arrangement” or a “non-Rule 10b5-1 trading arrangement,” as defined in Regulation S-K Item 408.</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part2_item6_exhibits"/>
      <w:bookmarkEnd w:id="21"/>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44"/>
        <w:gridCol w:w="146"/>
        <w:gridCol w:w="4742"/>
        <w:gridCol w:w="146"/>
        <w:gridCol w:w="616"/>
        <w:gridCol w:w="146"/>
        <w:gridCol w:w="557"/>
        <w:gridCol w:w="146"/>
        <w:gridCol w:w="796"/>
        <w:gridCol w:w="146"/>
        <w:gridCol w:w="691"/>
        <w:gridCol w:w="146"/>
        <w:gridCol w:w="1083"/>
      </w:tblGrid>
      <w:tr>
        <w:trPr/>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84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7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098"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7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vAlign w:val="center"/>
          </w:tcPr>
          <w:p>
            <w:pPr>
              <w:pStyle w:val="TableContents"/>
              <w:bidi w:val="0"/>
              <w:spacing w:before="0" w:after="283"/>
              <w:jc w:val="center"/>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hyperlink w:anchor="alxo-ex31_1.htm">
              <w:r>
                <w:rPr>
                  <w:rStyle w:val="InternetLink"/>
                  <w:rFonts w:ascii="Times New Roman" w:hAnsi="Times New Roman"/>
                  <w:color w:val="0000E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hyperlink w:anchor="alxo-ex31_2.htm">
              <w:r>
                <w:rPr>
                  <w:rStyle w:val="InternetLink"/>
                  <w:rFonts w:ascii="Times New Roman" w:hAnsi="Times New Roman"/>
                  <w:color w:val="0000E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hyperlink w:anchor="alxo-ex32_1.htm">
              <w:r>
                <w:rPr>
                  <w:rStyle w:val="InternetLink"/>
                  <w:rFonts w:ascii="Times New Roman" w:hAnsi="Times New Roman"/>
                  <w:color w:val="0000EE"/>
                  <w:sz w:val="20"/>
                  <w:u w:val="single"/>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hyperlink w:anchor="alxo-ex32_2.htm">
              <w:r>
                <w:rPr>
                  <w:rStyle w:val="InternetLink"/>
                  <w:rFonts w:ascii="Times New Roman" w:hAnsi="Times New Roman"/>
                  <w:color w:val="0000EE"/>
                  <w:sz w:val="20"/>
                  <w:u w:val="single"/>
                </w:rPr>
                <w:t>Certification of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included in exhibit 101)</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r>
        <w:rPr>
          <w:rFonts w:ascii="Times New Roman" w:hAnsi="Times New Roman"/>
          <w:b/>
          <w:color w:val="000000"/>
          <w:sz w:val="20"/>
        </w:rPr>
        <w:t>.</w:t>
      </w:r>
    </w:p>
    <w:p>
      <w:pPr>
        <w:pStyle w:val="TextBody"/>
        <w:bidi w:val="0"/>
        <w:jc w:val="left"/>
        <w:rPr/>
      </w:pPr>
      <w:r>
        <w:rPr/>
        <w:t> </w:t>
      </w:r>
    </w:p>
    <w:tbl>
      <w:tblPr>
        <w:tblW w:w="5579" w:type="dxa"/>
        <w:jc w:val="left"/>
        <w:tblInd w:w="0" w:type="dxa"/>
        <w:tblLayout w:type="fixed"/>
        <w:tblCellMar>
          <w:top w:w="28" w:type="dxa"/>
          <w:left w:w="28" w:type="dxa"/>
          <w:bottom w:w="28" w:type="dxa"/>
          <w:right w:w="28" w:type="dxa"/>
        </w:tblCellMar>
      </w:tblPr>
      <w:tblGrid>
        <w:gridCol w:w="1951"/>
        <w:gridCol w:w="146"/>
        <w:gridCol w:w="406"/>
        <w:gridCol w:w="30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ALX ONCOLOGY HOLDINGS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tbl>
      <w:tblPr>
        <w:tblW w:w="5069" w:type="dxa"/>
        <w:jc w:val="left"/>
        <w:tblInd w:w="0" w:type="dxa"/>
        <w:tblLayout w:type="fixed"/>
        <w:tblCellMar>
          <w:top w:w="28" w:type="dxa"/>
          <w:left w:w="28" w:type="dxa"/>
          <w:bottom w:w="28" w:type="dxa"/>
          <w:right w:w="28" w:type="dxa"/>
        </w:tblCellMar>
      </w:tblPr>
      <w:tblGrid>
        <w:gridCol w:w="1951"/>
        <w:gridCol w:w="146"/>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Garcia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Garcia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tbl>
      <w:tblPr>
        <w:tblW w:w="7739" w:type="dxa"/>
        <w:jc w:val="left"/>
        <w:tblInd w:w="0" w:type="dxa"/>
        <w:tblLayout w:type="fixed"/>
        <w:tblCellMar>
          <w:top w:w="28" w:type="dxa"/>
          <w:left w:w="28" w:type="dxa"/>
          <w:bottom w:w="28" w:type="dxa"/>
          <w:right w:w="28" w:type="dxa"/>
        </w:tblCellMar>
      </w:tblPr>
      <w:tblGrid>
        <w:gridCol w:w="1951"/>
        <w:gridCol w:w="146"/>
        <w:gridCol w:w="406"/>
        <w:gridCol w:w="523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3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Shelly Pinto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Shelly Pinto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Senior Vice President, Finance and Chief Accounting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alxo-ex31_1.htm"/>
      <w:bookmarkStart w:id="24" w:name="ksalxoex31_1"/>
      <w:bookmarkEnd w:id="23"/>
      <w:bookmarkEnd w:id="24"/>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Lettmann,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59" w:type="dxa"/>
        <w:jc w:val="left"/>
        <w:tblInd w:w="0" w:type="dxa"/>
        <w:tblLayout w:type="fixed"/>
        <w:tblCellMar>
          <w:top w:w="28" w:type="dxa"/>
          <w:left w:w="28" w:type="dxa"/>
          <w:bottom w:w="28" w:type="dxa"/>
          <w:right w:w="28" w:type="dxa"/>
        </w:tblCellMar>
      </w:tblPr>
      <w:tblGrid>
        <w:gridCol w:w="1951"/>
        <w:gridCol w:w="146"/>
        <w:gridCol w:w="406"/>
        <w:gridCol w:w="325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lxo-ex31_2.htm"/>
      <w:bookmarkStart w:id="26" w:name="ksalxoex31_2"/>
      <w:bookmarkEnd w:id="25"/>
      <w:bookmarkEnd w:id="26"/>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Peter Garcia,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69" w:type="dxa"/>
        <w:jc w:val="left"/>
        <w:tblInd w:w="0" w:type="dxa"/>
        <w:tblLayout w:type="fixed"/>
        <w:tblCellMar>
          <w:top w:w="28" w:type="dxa"/>
          <w:left w:w="28" w:type="dxa"/>
          <w:bottom w:w="28" w:type="dxa"/>
          <w:right w:w="28" w:type="dxa"/>
        </w:tblCellMar>
      </w:tblPr>
      <w:tblGrid>
        <w:gridCol w:w="1951"/>
        <w:gridCol w:w="146"/>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Garcia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Garcia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alxo-ex32_1.htm"/>
      <w:bookmarkStart w:id="28" w:name="ksalxoex32_1"/>
      <w:bookmarkEnd w:id="27"/>
      <w:bookmarkEnd w:id="28"/>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ALX Oncology Holdings Inc. (the “Company”), on Form 10-Q for the period ended June 30, 2024, as filed with the Securities and Exchange Commission on the date hereof (the “Report”), I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759" w:type="dxa"/>
        <w:jc w:val="left"/>
        <w:tblInd w:w="0" w:type="dxa"/>
        <w:tblLayout w:type="fixed"/>
        <w:tblCellMar>
          <w:top w:w="28" w:type="dxa"/>
          <w:left w:w="28" w:type="dxa"/>
          <w:bottom w:w="28" w:type="dxa"/>
          <w:right w:w="28" w:type="dxa"/>
        </w:tblCellMar>
      </w:tblPr>
      <w:tblGrid>
        <w:gridCol w:w="1951"/>
        <w:gridCol w:w="146"/>
        <w:gridCol w:w="406"/>
        <w:gridCol w:w="325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alxo-ex32_2.htm"/>
      <w:bookmarkStart w:id="30" w:name="ksalxoex32_2"/>
      <w:bookmarkEnd w:id="29"/>
      <w:bookmarkEnd w:id="30"/>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ALX Oncology Holdings Inc. (the “Company”), on Form 10-Q for the period ended June 30, 2024, as filed with the Securities and Exchange Commission on the date hereof (the “Report”), I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69" w:type="dxa"/>
        <w:jc w:val="left"/>
        <w:tblInd w:w="0" w:type="dxa"/>
        <w:tblLayout w:type="fixed"/>
        <w:tblCellMar>
          <w:top w:w="28" w:type="dxa"/>
          <w:left w:w="28" w:type="dxa"/>
          <w:bottom w:w="28" w:type="dxa"/>
          <w:right w:w="28" w:type="dxa"/>
        </w:tblCellMar>
      </w:tblPr>
      <w:tblGrid>
        <w:gridCol w:w="1951"/>
        <w:gridCol w:w="146"/>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Garcia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Garcia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59575</Words>
  <Characters>331137</Characters>
  <CharactersWithSpaces>391233</CharactersWithSpaces>
  <Paragraphs>6038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