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Lettmann Jason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ALX ONCOLOGY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16"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p>
      <w:pPr>
        <w:spacing w:after="0" w:line="8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48"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478,000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01/21/2025</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478,000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478,000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48 equal monthly installments beginning on February 21, 2025.</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Shelly Pinto,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201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480" w:space="3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Chris Byrd, Shelly Pinto and Harish Shantharam, and each of them, as the undersigned’s true and lawful attorney-in-fact to:</w:t>
      </w:r>
    </w:p>
    <w:p>
      <w:pPr>
        <w:spacing w:after="0" w:line="207" w:lineRule="exact"/>
        <w:rPr>
          <w:sz w:val="20"/>
          <w:szCs w:val="20"/>
          <w:color w:val="auto"/>
        </w:rPr>
      </w:pPr>
    </w:p>
    <w:p>
      <w:pPr>
        <w:jc w:val="both"/>
        <w:ind w:left="1220" w:hanging="608"/>
        <w:spacing w:after="0" w:line="246"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08"/>
        <w:spacing w:after="0" w:line="263"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0"/>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right="20"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Signature: /s/ Jason Lettmann</w:t>
      </w: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Print Name: Jason Lettmann</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2025-01-23T17:08:59Z</dcterms:created>
  <dcterms:modified xsi:type="dcterms:W3CDTF">2025-01-23T17:08:59Z</dcterms:modified>
</cp:coreProperties>
</file>