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85-0642577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South San Francisco,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January 16, 2025, the Board of Directors (the “Board”) of ALX Oncology Holdings Inc. (the “Company”) adopted the ALX Oncology Holdings Inc. 2025 Inducement Equity Incentive Plan (the “Inducement Plan”) and, subject to the adjustment provisions of the Inducement Plan, reserved 1,500,000 shares of the Company’s common stock for issuance pursuant to equity awards granted under the Inducement Plan.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Inducement Plan was adopted without stockholder approval pursuant to the applicable The Nasdaq Stock Market LLC’s (“Nasdaq”) Listing Rules. The Inducement Plan provides for the grant of equity-based awards, including nonstatutory stock options, stock appreciation rights, restricted stock, restricted stock units, performance units and performance shares, and its terms are substantially similar to the Company’s Amended and Restated 2020 Equity Incentive Plan, including with respect to treatment of equity awards in the event of a “merger” or “change in control” as defined under the Inducement Plan, but with such other terms and conditions intended to comply with the Nasdaq inducement award exception.</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9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2025 Inducement Equity Incentive Plan and related forms of stock option and restricted stock unit agreements.</w:t>
            </w:r>
          </w:p>
        </w:tc>
        <w:tc>
          <w:tcPr>
            <w:tcW w:w="0" w:type="dxa"/>
            <w:vAlign w:val="bottom"/>
          </w:tcPr>
          <w:p>
            <w:pPr>
              <w:spacing w:after="0"/>
              <w:rPr>
                <w:sz w:val="1"/>
                <w:szCs w:val="1"/>
                <w:color w:val="auto"/>
              </w:rPr>
            </w:pPr>
          </w:p>
        </w:tc>
      </w:tr>
      <w:tr>
        <w:trPr>
          <w:trHeight w:val="34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729"/>
        </w:trPr>
        <w:tc>
          <w:tcPr>
            <w:tcW w:w="1040" w:type="dxa"/>
            <w:vAlign w:val="bottom"/>
          </w:tcPr>
          <w:p>
            <w:pPr>
              <w:spacing w:after="0"/>
              <w:rPr>
                <w:sz w:val="24"/>
                <w:szCs w:val="24"/>
                <w:color w:val="auto"/>
              </w:rPr>
            </w:pPr>
          </w:p>
        </w:tc>
        <w:tc>
          <w:tcPr>
            <w:tcW w:w="7960" w:type="dxa"/>
            <w:vAlign w:val="bottom"/>
          </w:tcPr>
          <w:p>
            <w:pPr>
              <w:jc w:val="right"/>
              <w:ind w:right="331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ectPr>
          <w:pgSz w:w="11900" w:h="16838" w:orient="portrait"/>
          <w:cols w:equalWidth="0" w:num="1">
            <w:col w:w="10900"/>
          </w:cols>
          <w:pgMar w:left="440"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17, 2025</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Jason Lettmann</w:t>
            </w:r>
          </w:p>
        </w:tc>
      </w:tr>
      <w:tr>
        <w:trPr>
          <w:trHeight w:val="205"/>
        </w:trPr>
        <w:tc>
          <w:tcPr>
            <w:tcW w:w="3540" w:type="dxa"/>
            <w:vAlign w:val="bottom"/>
          </w:tcPr>
          <w:p>
            <w:pPr>
              <w:spacing w:after="0"/>
              <w:rPr>
                <w:sz w:val="17"/>
                <w:szCs w:val="17"/>
                <w:color w:val="auto"/>
              </w:rPr>
            </w:pPr>
          </w:p>
        </w:tc>
        <w:tc>
          <w:tcPr>
            <w:tcW w:w="25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Jason</w:t>
            </w:r>
          </w:p>
        </w:tc>
        <w:tc>
          <w:tcPr>
            <w:tcW w:w="496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Lettmann</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64"/>
        </w:trPr>
        <w:tc>
          <w:tcPr>
            <w:tcW w:w="3540" w:type="dxa"/>
            <w:vAlign w:val="bottom"/>
          </w:tcPr>
          <w:p>
            <w:pPr>
              <w:spacing w:after="0"/>
              <w:rPr>
                <w:sz w:val="24"/>
                <w:szCs w:val="24"/>
                <w:color w:val="auto"/>
              </w:rPr>
            </w:pPr>
          </w:p>
        </w:tc>
        <w:tc>
          <w:tcPr>
            <w:tcW w:w="25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9" w:lineRule="exact"/>
        <w:rPr>
          <w:sz w:val="20"/>
          <w:szCs w:val="20"/>
          <w:color w:val="auto"/>
        </w:rPr>
      </w:pPr>
    </w:p>
    <w:p>
      <w:pPr>
        <w:ind w:left="4" w:right="620" w:firstLine="436"/>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 The purpose of this Plan is to attract and retain the best available personnel by providing an inducement material to individuals’ entering into employment with the Company or any Parent or Subsidiary of the Company.</w:t>
      </w:r>
    </w:p>
    <w:p>
      <w:pPr>
        <w:spacing w:after="0" w:line="162"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The Plan permits the grant of Nonstatutory Stock Options, Stock Appreciation Rights, Restricted Stock, Restricted Stock Units, Performance Units and Performance Shares. Each Award under the Plan is intended to qualify as an employment inducement award under Nasdaq Listing Rule 5635(c)(4), the official regulations and other official interpretive material and guidance issued under such rule (together, the “</w:t>
      </w:r>
      <w:r>
        <w:rPr>
          <w:rFonts w:ascii="Times New Roman" w:cs="Times New Roman" w:eastAsia="Times New Roman" w:hAnsi="Times New Roman"/>
          <w:sz w:val="18"/>
          <w:szCs w:val="18"/>
          <w:u w:val="single" w:color="auto"/>
          <w:color w:val="auto"/>
        </w:rPr>
        <w:t>Inducement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Listing Rules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24" w:hanging="184"/>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the definition of such term contained in Participant’s employment agreement with the Company (and any of its Parent or Subsidiaries) or, if none, a termination of Participant’s employment with the Company (and any of its Parent or Subsidiaries) because of</w:t>
      </w:r>
    </w:p>
    <w:p>
      <w:pPr>
        <w:ind w:left="4" w:right="200" w:hanging="4"/>
        <w:spacing w:after="0" w:line="253"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unauthorized misuse of any the trade secrets or proprietary information of the Company (or any of its Parent or Subsidiaries), (b) Participant’s conviction of or plea of nolo contendere to a felony or a crime involving moral turpitude (or equivalent under Applicable Laws), (c) Participant’s committing an act of fraud against the Company (or any of its Parent or Subsidiaries) or (d) Participant’s gross negligence or willful misconduct in the performance of his or her duties that has had or will have a material adverse effect on the reputation or business of the Company (or any of its Parent or Subsidiaries).</w:t>
      </w:r>
    </w:p>
    <w:p>
      <w:pPr>
        <w:sectPr>
          <w:pgSz w:w="11900" w:h="16838" w:orient="portrait"/>
          <w:cols w:equalWidth="0" w:num="1">
            <w:col w:w="11024"/>
          </w:cols>
          <w:pgMar w:left="436" w:top="117" w:right="439" w:bottom="1440" w:gutter="0" w:footer="0" w:header="0"/>
        </w:sectPr>
      </w:pPr>
    </w:p>
    <w:bookmarkStart w:id="4" w:name="page5"/>
    <w:bookmarkEnd w:id="4"/>
    <w:p>
      <w:pPr>
        <w:ind w:left="1244" w:hanging="253"/>
        <w:spacing w:after="0"/>
        <w:tabs>
          <w:tab w:leader="none" w:pos="1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65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0" w:lineRule="exact"/>
        <w:rPr>
          <w:sz w:val="20"/>
          <w:szCs w:val="20"/>
          <w:color w:val="auto"/>
        </w:rPr>
      </w:pPr>
    </w:p>
    <w:p>
      <w:pPr>
        <w:ind w:left="4" w:right="40" w:firstLine="987"/>
        <w:spacing w:after="0" w:line="258" w:lineRule="auto"/>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18"/>
          <w:szCs w:val="18"/>
          <w:color w:val="auto"/>
        </w:rPr>
      </w:pPr>
    </w:p>
    <w:p>
      <w:pPr>
        <w:ind w:left="4" w:firstLine="987"/>
        <w:spacing w:after="0" w:line="257"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1" w:lineRule="exact"/>
        <w:rPr>
          <w:rFonts w:ascii="Times New Roman" w:cs="Times New Roman" w:eastAsia="Times New Roman" w:hAnsi="Times New Roman"/>
          <w:sz w:val="18"/>
          <w:szCs w:val="18"/>
          <w:color w:val="auto"/>
        </w:rPr>
      </w:pPr>
    </w:p>
    <w:p>
      <w:pPr>
        <w:ind w:left="4" w:right="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ind w:left="304" w:hanging="304"/>
        <w:spacing w:after="0"/>
        <w:tabs>
          <w:tab w:leader="none" w:pos="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an entity that is controlled by the Company’s stockholders immediately after the transfer, or (B) a transfer of assets by the Company to:</w:t>
      </w:r>
    </w:p>
    <w:p>
      <w:pPr>
        <w:spacing w:after="0" w:line="9" w:lineRule="exact"/>
        <w:rPr>
          <w:rFonts w:ascii="Times New Roman" w:cs="Times New Roman" w:eastAsia="Times New Roman" w:hAnsi="Times New Roman"/>
          <w:sz w:val="18"/>
          <w:szCs w:val="18"/>
          <w:color w:val="auto"/>
        </w:rPr>
      </w:pPr>
    </w:p>
    <w:p>
      <w:pPr>
        <w:ind w:left="4"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left="4" w:right="22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4" w:right="12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left="4" w:right="20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4" w:right="100" w:firstLine="987"/>
        <w:spacing w:after="0" w:line="266"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1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ALX Oncology Holdings Inc., a Delaware corporation, or any successor thereto.</w:t>
      </w:r>
    </w:p>
    <w:p>
      <w:pPr>
        <w:spacing w:after="0" w:line="225" w:lineRule="exact"/>
        <w:rPr>
          <w:rFonts w:ascii="Times New Roman" w:cs="Times New Roman" w:eastAsia="Times New Roman" w:hAnsi="Times New Roman"/>
          <w:sz w:val="18"/>
          <w:szCs w:val="18"/>
          <w:color w:val="auto"/>
        </w:rPr>
      </w:pPr>
    </w:p>
    <w:p>
      <w:pPr>
        <w:jc w:val="both"/>
        <w:ind w:left="4" w:right="280" w:firstLine="987"/>
        <w:spacing w:after="0" w:line="276" w:lineRule="auto"/>
        <w:tabs>
          <w:tab w:leader="none" w:pos="121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natural person, including an advisor, engaged by the Company or any of its Parent or Subsidiaries to render bona fide services to such entity, provided the services (i) are not in connection with the offer or sale of securities in a capital-raising transaction, and</w:t>
      </w:r>
    </w:p>
    <w:p>
      <w:pPr>
        <w:ind w:left="4" w:hanging="4"/>
        <w:spacing w:after="0" w:line="255"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right="100" w:firstLine="987"/>
        <w:spacing w:after="0" w:line="25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purposes of clarity, a person who already is serving as a Director prior to becoming an Employee will not be eligible to be granted an Award under the Plan unless permitted under the Inducement Listing Rules. The Company will determine in good faith and in the exercise of its discretion whether an individual has become or has ceased to be an Employee and the effective date of such individual’s employment or termination of employment, as the case may be.</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awards of a different type, and/or cash, (ii) Participants would have the opportunity to transfer any outstanding Awards to a financial institution or other person or entity selected by the Administrator, and/or (iii) the exercise price of an outstanding Award is reduced. Pursuant to the provisions of Section 4(c) of the Plan, the Company may not institute an Exchange Program.</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100" w:firstLine="1428"/>
        <w:spacing w:after="0" w:line="258" w:lineRule="auto"/>
        <w:tabs>
          <w:tab w:leader="none" w:pos="16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w:t>
      </w:r>
    </w:p>
    <w:p>
      <w:pPr>
        <w:spacing w:after="0" w:line="183" w:lineRule="exact"/>
        <w:rPr>
          <w:rFonts w:ascii="Times New Roman" w:cs="Times New Roman" w:eastAsia="Times New Roman" w:hAnsi="Times New Roman"/>
          <w:sz w:val="18"/>
          <w:szCs w:val="18"/>
          <w:color w:val="auto"/>
        </w:rPr>
      </w:pPr>
    </w:p>
    <w:p>
      <w:pPr>
        <w:ind w:right="40" w:firstLine="1428"/>
        <w:spacing w:after="0" w:line="261" w:lineRule="auto"/>
        <w:tabs>
          <w:tab w:leader="none" w:pos="16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an incentive stock option within the meaning of Code Section 422 and the regulations promulgated thereunder.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is not an Incentive Stock Option.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right="240" w:firstLine="987"/>
        <w:spacing w:after="0" w:line="282"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 All Options granted under the Plan will constitute Nonstatutory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jc w:val="both"/>
        <w:ind w:right="100" w:firstLine="987"/>
        <w:spacing w:after="0" w:line="266" w:lineRule="auto"/>
        <w:tabs>
          <w:tab w:leader="none" w:pos="1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3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2025 Inducement Equity Incentive Plan, as may be amended from time to time.</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right="400" w:firstLine="987"/>
        <w:spacing w:after="0" w:line="282" w:lineRule="auto"/>
        <w:tabs>
          <w:tab w:leader="none" w:pos="13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3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Code Section 409A and the Treasury Regulations and guidance thereunder, and any applicable state law equivalent, as each may be promulgated, amended or modified from time to time.</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left="1340" w:hanging="353"/>
        <w:spacing w:after="0"/>
        <w:tabs>
          <w:tab w:leader="none" w:pos="1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5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61"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the maximum aggregate number of Shares that may be subject to Awards and sold under the Plan is 1,500,000 Shares. In addition, Shares may become available for issuance under Section 3(b) of the Plan. The Shares may be authorized but unissued, or reacquired Common Stock.</w:t>
      </w:r>
    </w:p>
    <w:p>
      <w:pPr>
        <w:spacing w:after="0" w:line="1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9"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212"/>
        <w:spacing w:after="0"/>
        <w:tabs>
          <w:tab w:leader="none" w:pos="1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Employees or Participants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 w:name="page10"/>
    <w:bookmarkEnd w:id="9"/>
    <w:p>
      <w:pPr>
        <w:ind w:left="-60" w:right="20" w:firstLine="1428"/>
        <w:spacing w:after="0" w:line="282" w:lineRule="auto"/>
        <w:tabs>
          <w:tab w:leader="none" w:pos="16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60" w:firstLine="1428"/>
        <w:spacing w:after="0" w:line="266" w:lineRule="auto"/>
        <w:tabs>
          <w:tab w:leader="none" w:pos="168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 Unless and until determined otherwise by the Board, the Compensation Committee of the Board will have full authority to act as Administrator.</w:t>
      </w:r>
    </w:p>
    <w:p>
      <w:pPr>
        <w:spacing w:after="0" w:line="175" w:lineRule="exact"/>
        <w:rPr>
          <w:rFonts w:ascii="Times New Roman" w:cs="Times New Roman" w:eastAsia="Times New Roman" w:hAnsi="Times New Roman"/>
          <w:sz w:val="18"/>
          <w:szCs w:val="18"/>
          <w:color w:val="auto"/>
        </w:rPr>
      </w:pPr>
    </w:p>
    <w:p>
      <w:pPr>
        <w:ind w:left="-60" w:firstLine="1428"/>
        <w:spacing w:after="0" w:line="282" w:lineRule="auto"/>
        <w:tabs>
          <w:tab w:leader="none" w:pos="167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Awards granted under the Plan must be approved by a majority of the Company’s “Independent Directors” within the meaning of the Inducement Listing Rules, or the independent Compensation Committee of the Board, in each case acting as the Administrator.</w:t>
      </w:r>
    </w:p>
    <w:p>
      <w:pPr>
        <w:spacing w:after="0" w:line="161" w:lineRule="exact"/>
        <w:rPr>
          <w:rFonts w:ascii="Times New Roman" w:cs="Times New Roman" w:eastAsia="Times New Roman" w:hAnsi="Times New Roman"/>
          <w:sz w:val="18"/>
          <w:szCs w:val="18"/>
          <w:color w:val="auto"/>
        </w:rPr>
      </w:pPr>
    </w:p>
    <w:p>
      <w:pPr>
        <w:ind w:left="-60" w:right="500" w:firstLine="987"/>
        <w:spacing w:after="0" w:line="282" w:lineRule="auto"/>
        <w:tabs>
          <w:tab w:leader="none" w:pos="11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60" w:right="360" w:firstLine="1428"/>
        <w:spacing w:after="0" w:line="282" w:lineRule="auto"/>
        <w:tabs>
          <w:tab w:leader="none" w:pos="16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be granted hereunder, subject to Section 5 of the Plan (which Awards will be intended as a material inducement to the individual becoming an Employee);</w:t>
      </w:r>
    </w:p>
    <w:p>
      <w:pPr>
        <w:spacing w:after="0" w:line="161"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60" w:firstLine="1428"/>
        <w:spacing w:after="0" w:line="274" w:lineRule="auto"/>
        <w:tabs>
          <w:tab w:leader="none" w:pos="162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72" w:lineRule="exact"/>
        <w:rPr>
          <w:rFonts w:ascii="Times New Roman" w:cs="Times New Roman" w:eastAsia="Times New Roman" w:hAnsi="Times New Roman"/>
          <w:sz w:val="17"/>
          <w:szCs w:val="17"/>
          <w:color w:val="auto"/>
        </w:rPr>
      </w:pPr>
    </w:p>
    <w:p>
      <w:pPr>
        <w:ind w:left="1680" w:hanging="312"/>
        <w:spacing w:after="0"/>
        <w:tabs>
          <w:tab w:leader="none" w:pos="1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60" w:right="100" w:firstLine="1428"/>
        <w:spacing w:after="0" w:line="282" w:lineRule="auto"/>
        <w:tabs>
          <w:tab w:leader="none" w:pos="17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70" w:right="519" w:bottom="1440" w:gutter="0" w:footer="0" w:header="0"/>
        </w:sectPr>
      </w:pPr>
    </w:p>
    <w:bookmarkStart w:id="10" w:name="page11"/>
    <w:bookmarkEnd w:id="10"/>
    <w:p>
      <w:pPr>
        <w:ind w:right="180" w:firstLine="1428"/>
        <w:spacing w:after="0" w:line="266" w:lineRule="auto"/>
        <w:tabs>
          <w:tab w:leader="none" w:pos="183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modify or amend each Award (subject to Section 19(c) of the Plan), including but not limited to the discretionary authority to extend the post-termination exercisability period of Awards and to extend the maximum term of an Option or Stock Appreciation Right (subject to Sections 6(c) and 7(e));</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15;</w:t>
      </w:r>
    </w:p>
    <w:p>
      <w:pPr>
        <w:spacing w:after="0" w:line="225" w:lineRule="exact"/>
        <w:rPr>
          <w:rFonts w:ascii="Times New Roman" w:cs="Times New Roman" w:eastAsia="Times New Roman" w:hAnsi="Times New Roman"/>
          <w:sz w:val="18"/>
          <w:szCs w:val="18"/>
          <w:color w:val="auto"/>
        </w:rPr>
      </w:pPr>
    </w:p>
    <w:p>
      <w:pPr>
        <w:ind w:right="140" w:firstLine="1428"/>
        <w:spacing w:after="0" w:line="282" w:lineRule="auto"/>
        <w:tabs>
          <w:tab w:leader="none" w:pos="168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right="220" w:firstLine="1428"/>
        <w:spacing w:after="0" w:line="282" w:lineRule="auto"/>
        <w:tabs>
          <w:tab w:leader="none" w:pos="173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Exchange Program</w:t>
      </w:r>
      <w:r>
        <w:rPr>
          <w:rFonts w:ascii="Times New Roman" w:cs="Times New Roman" w:eastAsia="Times New Roman" w:hAnsi="Times New Roman"/>
          <w:sz w:val="18"/>
          <w:szCs w:val="18"/>
          <w:color w:val="auto"/>
        </w:rPr>
        <w:t>. Notwithstanding any terms herein to the contrary, the Administrator may not institute an Exchange Program.</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61" w:lineRule="exact"/>
        <w:rPr>
          <w:rFonts w:ascii="Times New Roman" w:cs="Times New Roman" w:eastAsia="Times New Roman" w:hAnsi="Times New Roman"/>
          <w:sz w:val="18"/>
          <w:szCs w:val="18"/>
          <w:color w:val="auto"/>
        </w:rPr>
      </w:pPr>
    </w:p>
    <w:p>
      <w:pPr>
        <w:ind w:right="760" w:firstLine="436"/>
        <w:spacing w:after="0" w:line="282"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Employees, so long as the following requirements are met:</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not previously an Employee or Director, or the Employee is to become employed by the Company or any of its Parent or Subsidiaries following a bona-fide period of non-employment (within the meaning of the Inducement Listing Rules); and</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Award or Awards to the Employee is an inducement material to such Employee’s entering into employment with the Company (or any of its Parents or Subsidiaries, as applicable) in accordance with the Inducement Listing Rules.</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1" w:name="page12"/>
    <w:bookmarkEnd w:id="11"/>
    <w:p>
      <w:pPr>
        <w:ind w:firstLine="987"/>
        <w:spacing w:after="0" w:line="282" w:lineRule="auto"/>
        <w:tabs>
          <w:tab w:leader="none" w:pos="12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428"/>
        <w:spacing w:after="0" w:line="282" w:lineRule="auto"/>
        <w:tabs>
          <w:tab w:leader="none" w:pos="16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right="440" w:firstLine="1428"/>
        <w:spacing w:after="0" w:line="282" w:lineRule="auto"/>
        <w:tabs>
          <w:tab w:leader="none" w:pos="169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right="60" w:firstLine="1428"/>
        <w:spacing w:after="0" w:line="254" w:lineRule="auto"/>
        <w:tabs>
          <w:tab w:leader="none" w:pos="17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428"/>
        <w:spacing w:after="0" w:line="266" w:lineRule="auto"/>
        <w:tabs>
          <w:tab w:leader="none" w:pos="16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40" w:firstLine="1428"/>
        <w:spacing w:after="0" w:line="255" w:lineRule="auto"/>
        <w:tabs>
          <w:tab w:leader="none" w:pos="16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but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right="20" w:firstLine="1428"/>
        <w:spacing w:after="0" w:line="255" w:lineRule="auto"/>
        <w:tabs>
          <w:tab w:leader="none" w:pos="17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firstLine="1428"/>
        <w:spacing w:after="0" w:line="269" w:lineRule="auto"/>
        <w:tabs>
          <w:tab w:leader="none" w:pos="173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7"/>
          <w:szCs w:val="17"/>
          <w:u w:val="single" w:color="auto"/>
          <w:color w:val="auto"/>
        </w:rPr>
        <w:t>Legal Representative</w:t>
      </w:r>
      <w:r>
        <w:rPr>
          <w:rFonts w:ascii="Times New Roman" w:cs="Times New Roman" w:eastAsia="Times New Roman" w:hAnsi="Times New Roman"/>
          <w:sz w:val="17"/>
          <w:szCs w:val="17"/>
          <w:color w:val="auto"/>
        </w:rPr>
        <w:t>”). If the Option is exercised pursuant to this Section 6(e)(iv),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3" w:name="page14"/>
    <w:bookmarkEnd w:id="13"/>
    <w:p>
      <w:pPr>
        <w:ind w:left="1684" w:hanging="252"/>
        <w:spacing w:after="0"/>
        <w:tabs>
          <w:tab w:leader="none" w:pos="1684" w:val="left"/>
        </w:tabs>
        <w:numPr>
          <w:ilvl w:val="3"/>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Tolling Expiration</w:t>
      </w:r>
      <w:r>
        <w:rPr>
          <w:rFonts w:ascii="Times New Roman" w:cs="Times New Roman" w:eastAsia="Times New Roman" w:hAnsi="Times New Roman"/>
          <w:sz w:val="18"/>
          <w:szCs w:val="18"/>
          <w:color w:val="auto"/>
        </w:rPr>
        <w:t>. A Participant’s Award Agreement may also provide that:</w:t>
      </w:r>
    </w:p>
    <w:p>
      <w:pPr>
        <w:spacing w:after="0" w:line="225" w:lineRule="exact"/>
        <w:rPr>
          <w:rFonts w:ascii="Times New Roman" w:cs="Times New Roman" w:eastAsia="Times New Roman" w:hAnsi="Times New Roman"/>
          <w:sz w:val="18"/>
          <w:szCs w:val="18"/>
          <w:color w:val="auto"/>
        </w:rPr>
      </w:pPr>
    </w:p>
    <w:p>
      <w:pPr>
        <w:jc w:val="both"/>
        <w:ind w:left="4" w:right="80" w:firstLine="1979"/>
        <w:spacing w:after="0" w:line="230" w:lineRule="auto"/>
        <w:tabs>
          <w:tab w:leader="none" w:pos="2242" w:val="left"/>
        </w:tabs>
        <w:numPr>
          <w:ilvl w:val="4"/>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98" w:lineRule="exact"/>
        <w:rPr>
          <w:rFonts w:ascii="Times New Roman" w:cs="Times New Roman" w:eastAsia="Times New Roman" w:hAnsi="Times New Roman"/>
          <w:sz w:val="18"/>
          <w:szCs w:val="18"/>
          <w:color w:val="auto"/>
        </w:rPr>
      </w:pPr>
    </w:p>
    <w:p>
      <w:pPr>
        <w:ind w:left="4" w:firstLine="1979"/>
        <w:spacing w:after="0" w:line="272" w:lineRule="auto"/>
        <w:tabs>
          <w:tab w:leader="none" w:pos="2242" w:val="left"/>
        </w:tabs>
        <w:numPr>
          <w:ilvl w:val="4"/>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8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spacing w:after="0" w:line="179"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6(c) relating to the maximum term and Section 6(e) relating to exercise also will apply to Stock Appreciation Rights.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right="260" w:firstLine="987"/>
        <w:spacing w:after="0" w:line="282" w:lineRule="auto"/>
        <w:tabs>
          <w:tab w:leader="none" w:pos="12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conditions of the Plan, the Administrator (including without limitation the eligibility requirements of Section 5 of the Plan),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89" w:lineRule="auto"/>
        <w:tabs>
          <w:tab w:leader="none" w:pos="1236"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7" w:lineRule="exact"/>
        <w:rPr>
          <w:rFonts w:ascii="Times New Roman" w:cs="Times New Roman" w:eastAsia="Times New Roman" w:hAnsi="Times New Roman"/>
          <w:sz w:val="17"/>
          <w:szCs w:val="17"/>
          <w:color w:val="auto"/>
        </w:rPr>
      </w:pPr>
    </w:p>
    <w:p>
      <w:pPr>
        <w:ind w:right="300" w:firstLine="987"/>
        <w:spacing w:after="0" w:line="282" w:lineRule="auto"/>
        <w:tabs>
          <w:tab w:leader="none" w:pos="121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5" w:name="page16"/>
    <w:bookmarkEnd w:id="15"/>
    <w:p>
      <w:pPr>
        <w:ind w:left="-40" w:right="40" w:firstLine="987"/>
        <w:spacing w:after="0" w:line="261" w:lineRule="auto"/>
        <w:tabs>
          <w:tab w:leader="none" w:pos="12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 and Other Distributions</w:t>
      </w:r>
      <w:r>
        <w:rPr>
          <w:rFonts w:ascii="Times New Roman" w:cs="Times New Roman" w:eastAsia="Times New Roman" w:hAnsi="Times New Roman"/>
          <w:sz w:val="18"/>
          <w:szCs w:val="18"/>
          <w:color w:val="auto"/>
        </w:rPr>
        <w:t>. During the Period of Restriction, Participants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80" w:firstLine="987"/>
        <w:spacing w:after="0" w:line="258" w:lineRule="auto"/>
        <w:tabs>
          <w:tab w:leader="none" w:pos="11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Restricted Stock Units may be granted to any individual as a material inducement to the individual becoming an Employee, which grant shall become effective only if the individual actually becomes an Employee,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3"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2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40" w:right="340" w:firstLine="987"/>
        <w:spacing w:after="0" w:line="266" w:lineRule="auto"/>
        <w:tabs>
          <w:tab w:leader="none" w:pos="11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87"/>
        <w:spacing w:after="0" w:line="258" w:lineRule="auto"/>
        <w:tabs>
          <w:tab w:leader="none" w:pos="119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Performance Units and Performance Shares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6" w:name="page17"/>
    <w:bookmarkEnd w:id="16"/>
    <w:p>
      <w:pPr>
        <w:ind w:right="320" w:firstLine="987"/>
        <w:spacing w:after="0" w:line="282"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Participants. The time period during which the performance objectives 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right="560" w:firstLine="987"/>
        <w:spacing w:after="0" w:line="282" w:lineRule="auto"/>
        <w:tabs>
          <w:tab w:leader="none" w:pos="12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7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jc w:val="both"/>
        <w:ind w:left="-20" w:right="140" w:firstLine="436"/>
        <w:spacing w:after="0" w:line="261" w:lineRule="auto"/>
        <w:tabs>
          <w:tab w:leader="none" w:pos="6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 Unless determined otherwise by the Administrator (and subject to Section 4(c) of the Plan),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6(e)), and may be exercised, during the lifetime of the Participant, only by the Participant. If the Administrator makes an Award transferable, such Award will contain such additional terms and conditions as the Administrator deems appropriate.</w:t>
      </w:r>
    </w:p>
    <w:p>
      <w:pPr>
        <w:spacing w:after="0" w:line="18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80" w:firstLine="987"/>
        <w:spacing w:after="0" w:line="274" w:lineRule="auto"/>
        <w:tabs>
          <w:tab w:leader="none" w:pos="121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 in Section 3.</w:t>
      </w:r>
    </w:p>
    <w:p>
      <w:pPr>
        <w:spacing w:after="0" w:line="172" w:lineRule="exact"/>
        <w:rPr>
          <w:rFonts w:ascii="Times New Roman" w:cs="Times New Roman" w:eastAsia="Times New Roman" w:hAnsi="Times New Roman"/>
          <w:sz w:val="17"/>
          <w:szCs w:val="17"/>
          <w:color w:val="auto"/>
        </w:rPr>
      </w:pPr>
    </w:p>
    <w:p>
      <w:pPr>
        <w:ind w:left="-20" w:right="160" w:firstLine="987"/>
        <w:spacing w:after="0" w:line="266" w:lineRule="auto"/>
        <w:tabs>
          <w:tab w:leader="none" w:pos="12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20" w:right="80" w:firstLine="987"/>
        <w:spacing w:after="0" w:line="254" w:lineRule="auto"/>
        <w:tabs>
          <w:tab w:leader="none" w:pos="12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18" w:name="page19"/>
    <w:bookmarkEnd w:id="18"/>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9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9" w:name="page20"/>
    <w:bookmarkEnd w:id="19"/>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68"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14(c)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3" w:lineRule="exact"/>
        <w:rPr>
          <w:sz w:val="20"/>
          <w:szCs w:val="20"/>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(i) paying cash,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paid, (v) such other consideration and method of payment for the meeting of tax liabilities or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0" w:name="page21"/>
    <w:bookmarkEnd w:id="20"/>
    <w:p>
      <w:pPr>
        <w:ind w:left="-20" w:firstLine="436"/>
        <w:spacing w:after="0" w:line="261" w:lineRule="auto"/>
        <w:tabs>
          <w:tab w:leader="none" w:pos="6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6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2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Plan will become effective upon its adoption by the Board or its designated Committee (as applicable) (such date of adoption,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Unless sooner terminated under Section 19, the Plan will continue in effect for ten (10) years from the Effective Date.</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that the Administrator (in its discretion) determines such approval is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340" w:firstLine="987"/>
        <w:spacing w:after="0" w:line="266" w:lineRule="auto"/>
        <w:tabs>
          <w:tab w:leader="none" w:pos="121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or vesting of an Award unless the exercise or vesting of such Award and the issuance and delivery of such Shares will comply with Applicable Laws and will be further subject to the approval of counsel for the Company with respect to such compliance.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70" w:right="479" w:bottom="1440" w:gutter="0" w:footer="0" w:header="0"/>
        </w:sectPr>
      </w:pPr>
    </w:p>
    <w:bookmarkStart w:id="21" w:name="page22"/>
    <w:bookmarkEnd w:id="21"/>
    <w:p>
      <w:pPr>
        <w:ind w:left="-40" w:right="120" w:firstLine="987"/>
        <w:spacing w:after="0" w:line="266" w:lineRule="auto"/>
        <w:tabs>
          <w:tab w:leader="none" w:pos="12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40" w:firstLine="436"/>
        <w:spacing w:after="0" w:line="256" w:lineRule="auto"/>
        <w:tabs>
          <w:tab w:leader="none" w:pos="6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ind w:left="-40" w:right="40" w:firstLine="436"/>
        <w:spacing w:after="0" w:line="269" w:lineRule="auto"/>
        <w:tabs>
          <w:tab w:leader="none" w:pos="67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that may be in effect at grant, and any clawback policy that the Company may establish (and/or amend)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(collectively, the “</w:t>
      </w: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80" w:top="270" w:right="47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ALX Oncology Holdings Inc.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same defined meanings in this Stock Option Agreement, which includes the Notice of Stock Option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Stock Option Grant,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Exercise Notice,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all other exhibits, appendices, and addenda attached hereto (together,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the Company, subject to the terms and conditions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this Option Agreement, as follows: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Shares Subject to Option: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17" w:lineRule="exact"/>
        <w:rPr>
          <w:sz w:val="20"/>
          <w:szCs w:val="20"/>
          <w:color w:val="auto"/>
        </w:rPr>
      </w:pPr>
    </w:p>
    <w:p>
      <w:pPr>
        <w:ind w:left="660"/>
        <w:spacing w:after="0"/>
        <w:tabs>
          <w:tab w:leader="none" w:pos="6020" w:val="left"/>
        </w:tabs>
        <w:rPr>
          <w:sz w:val="20"/>
          <w:szCs w:val="20"/>
          <w:color w:val="auto"/>
        </w:rPr>
      </w:pPr>
      <w:r>
        <w:rPr>
          <w:rFonts w:ascii="Times New Roman" w:cs="Times New Roman" w:eastAsia="Times New Roman" w:hAnsi="Times New Roman"/>
          <w:sz w:val="18"/>
          <w:szCs w:val="18"/>
          <w:color w:val="auto"/>
        </w:rPr>
        <w:t>Type of Option:</w:t>
      </w:r>
      <w:r>
        <w:rPr>
          <w:sz w:val="20"/>
          <w:szCs w:val="20"/>
          <w:color w:val="auto"/>
        </w:rPr>
        <w:tab/>
      </w:r>
      <w:r>
        <w:rPr>
          <w:rFonts w:ascii="Times New Roman" w:cs="Times New Roman" w:eastAsia="Times New Roman" w:hAnsi="Times New Roman"/>
          <w:sz w:val="17"/>
          <w:szCs w:val="17"/>
          <w:color w:val="auto"/>
        </w:rPr>
        <w:t>Nonstatutory Stock Option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this Option Agreement or any other written agreement authorized by the Administrator between Participant and the Company (or any Parent or Subsidiary of the Company, as applicable) governing the terms of this Option, this Option shall vest and be exercisable, in whole or in part, according to the following vesting schedule:</w:t>
      </w:r>
    </w:p>
    <w:p>
      <w:pPr>
        <w:sectPr>
          <w:pgSz w:w="11900" w:h="16838" w:orient="portrait"/>
          <w:cols w:equalWidth="0" w:num="1">
            <w:col w:w="10920"/>
          </w:cols>
          <w:pgMar w:left="440" w:top="266" w:right="5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[INSERT VESTING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Option shall be exercisable, to the extent vested, for three (3) months after Participant ceases to be a Service Provider, unless such cessation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Exercise Notice,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ALX ONCOLOGY HOLDINGS INC.</w:t>
            </w: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p>
        </w:tc>
        <w:tc>
          <w:tcPr>
            <w:tcW w:w="17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Print Name:</w:t>
            </w:r>
          </w:p>
        </w:tc>
        <w:tc>
          <w:tcPr>
            <w:tcW w:w="44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Print Name</w:t>
            </w:r>
          </w:p>
        </w:tc>
        <w:tc>
          <w:tcPr>
            <w:tcW w:w="1760" w:type="dxa"/>
            <w:vAlign w:val="bottom"/>
            <w:vMerge w:val="continue"/>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4860" w:type="dxa"/>
            <w:vAlign w:val="bottom"/>
          </w:tcPr>
          <w:p>
            <w:pPr>
              <w:spacing w:after="0"/>
              <w:rPr>
                <w:sz w:val="24"/>
                <w:szCs w:val="24"/>
                <w:color w:val="auto"/>
              </w:rPr>
            </w:pPr>
          </w:p>
        </w:tc>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372"/>
        </w:trPr>
        <w:tc>
          <w:tcPr>
            <w:tcW w:w="4860" w:type="dxa"/>
            <w:vAlign w:val="bottom"/>
          </w:tcPr>
          <w:p>
            <w:pPr>
              <w:spacing w:after="0"/>
              <w:rPr>
                <w:sz w:val="24"/>
                <w:szCs w:val="24"/>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STOCK OPTION GRANT</w:t>
      </w:r>
    </w:p>
    <w:p>
      <w:pPr>
        <w:spacing w:after="0" w:line="229" w:lineRule="exact"/>
        <w:rPr>
          <w:sz w:val="20"/>
          <w:szCs w:val="20"/>
          <w:color w:val="auto"/>
        </w:rPr>
      </w:pPr>
    </w:p>
    <w:p>
      <w:pPr>
        <w:ind w:firstLine="436"/>
        <w:spacing w:after="0" w:line="258"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Stock Option Grant of this Option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constituting a Nonstatutory Stock Option, to purchase the number of Shares set forth in the Notice of Grant, at the exercise price per Share set forth in the Notice of Grant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3"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Option Agreement will vest in 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Grant and with the applicable provisions of the Plan and this Option Agreement.</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shall be exercisable by delivery of an exercise notice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xml:space="preserv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cs="Times New Roman" w:eastAsia="Times New Roman" w:hAnsi="Times New Roman"/>
          <w:sz w:val="18"/>
          <w:szCs w:val="18"/>
          <w:u w:val="single" w:color="auto"/>
          <w:color w:val="auto"/>
        </w:rPr>
        <w:t>Exercised Shares</w:t>
      </w:r>
      <w:r>
        <w:rPr>
          <w:rFonts w:ascii="Times New Roman" w:cs="Times New Roman" w:eastAsia="Times New Roman" w:hAnsi="Times New Roman"/>
          <w:sz w:val="18"/>
          <w:szCs w:val="18"/>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5" w:name="page26"/>
    <w:bookmarkEnd w:id="25"/>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6" w:lineRule="exact"/>
        <w:rPr>
          <w:sz w:val="20"/>
          <w:szCs w:val="20"/>
          <w:color w:val="auto"/>
        </w:rPr>
      </w:pPr>
    </w:p>
    <w:p>
      <w:pPr>
        <w:ind w:left="4" w:right="440" w:firstLine="436"/>
        <w:spacing w:after="0" w:line="282" w:lineRule="auto"/>
        <w:tabs>
          <w:tab w:leader="none" w:pos="6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Participant: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76"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A non-U.S. resident’s methods of exercise may be restricted by the terms and conditions of any appendix to this Agreement for Participant’s country (including the Country Addendum, as defined below).</w:t>
      </w:r>
    </w:p>
    <w:p>
      <w:pPr>
        <w:spacing w:after="0" w:line="162" w:lineRule="exact"/>
        <w:rPr>
          <w:sz w:val="20"/>
          <w:szCs w:val="20"/>
          <w:color w:val="auto"/>
        </w:rPr>
      </w:pPr>
    </w:p>
    <w:p>
      <w:pPr>
        <w:ind w:left="4" w:right="820" w:firstLine="436"/>
        <w:spacing w:after="0" w:line="282" w:lineRule="auto"/>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Option Agreement.</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0" w:firstLine="987"/>
        <w:spacing w:after="0" w:line="269" w:lineRule="auto"/>
        <w:tabs>
          <w:tab w:leader="none" w:pos="124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26" w:name="page27"/>
    <w:bookmarkEnd w:id="26"/>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9" w:lineRule="exact"/>
        <w:rPr>
          <w:sz w:val="20"/>
          <w:szCs w:val="20"/>
          <w:color w:val="auto"/>
        </w:rPr>
      </w:pPr>
    </w:p>
    <w:p>
      <w:pPr>
        <w:ind w:firstLine="987"/>
        <w:spacing w:after="0" w:line="252"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(iv) delivering to the Company Shares that Participant owns and that have vested with a fair market value equal to the Withholding Obligations (or such greater amount as Participant may elect if permitted by the Administrator, if such greater amount would not result in adverse financial accounting consequences),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Sell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To the extent determined appropriate by the Administrator in its discretion, the Administrator will have the right (but not the obligation) to satisfy any Withholding Obligations by reducing the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87"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to be less than the fair market value of an underlying share on the date of grant (a “</w:t>
      </w:r>
      <w:r>
        <w:rPr>
          <w:rFonts w:ascii="Times New Roman" w:cs="Times New Roman" w:eastAsia="Times New Roman" w:hAnsi="Times New Roman"/>
          <w:sz w:val="18"/>
          <w:szCs w:val="18"/>
          <w:u w:val="single" w:color="auto"/>
          <w:color w:val="auto"/>
        </w:rPr>
        <w:t>discount option</w:t>
      </w:r>
      <w:r>
        <w:rPr>
          <w:rFonts w:ascii="Times New Roman" w:cs="Times New Roman" w:eastAsia="Times New Roman" w:hAnsi="Times New Roman"/>
          <w:sz w:val="18"/>
          <w:szCs w:val="18"/>
          <w:color w:val="auto"/>
        </w:rPr>
        <w:t>”) may be considered “deferred compensation.” A stock right that is a “discount option” may result in (i) income recognition by the recipient of the stock right prior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92" w:lineRule="exact"/>
        <w:rPr>
          <w:sz w:val="20"/>
          <w:szCs w:val="20"/>
          <w:color w:val="auto"/>
        </w:rPr>
      </w:pPr>
    </w:p>
    <w:p>
      <w:pPr>
        <w:ind w:right="20" w:firstLine="436"/>
        <w:spacing w:after="0" w:line="258"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83" w:lineRule="exact"/>
        <w:rPr>
          <w:rFonts w:ascii="Times New Roman" w:cs="Times New Roman" w:eastAsia="Times New Roman" w:hAnsi="Times New Roman"/>
          <w:sz w:val="18"/>
          <w:szCs w:val="18"/>
          <w:color w:val="auto"/>
        </w:rPr>
      </w:pPr>
    </w:p>
    <w:p>
      <w:pPr>
        <w:ind w:right="20" w:firstLine="436"/>
        <w:spacing w:after="0" w:line="253" w:lineRule="auto"/>
        <w:tabs>
          <w:tab w:leader="none" w:pos="70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8" w:name="page29"/>
    <w:bookmarkEnd w:id="28"/>
    <w:p>
      <w:pPr>
        <w:ind w:left="700" w:hanging="264"/>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206"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Further, for the avoidance of doubt, Participant shall not be entitled to any pro rata vesting of any Shares subject to the Option should Participant’s status as a Service Provider cease before the Option has fully vested (e.g., if the Option vests monthly on the 10th of each month and Participant ceases providing services on March 1 before the Option has become fully vested, Participant shall not be entitled to any vesting of the Shares subject to the Option that were scheduled to vest on the immediately following vesting date of March 10);</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9" w:name="page30"/>
    <w:bookmarkEnd w:id="29"/>
    <w:p>
      <w:pPr>
        <w:jc w:val="both"/>
        <w:ind w:right="240" w:firstLine="987"/>
        <w:spacing w:after="0" w:line="266" w:lineRule="auto"/>
        <w:tabs>
          <w:tab w:leader="none" w:pos="120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right="40" w:firstLine="1428"/>
        <w:spacing w:after="0" w:line="266" w:lineRule="auto"/>
        <w:tabs>
          <w:tab w:leader="none" w:pos="169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right="100" w:firstLine="1428"/>
        <w:spacing w:after="0" w:line="255" w:lineRule="auto"/>
        <w:tabs>
          <w:tab w:leader="none" w:pos="174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p>
    <w:p>
      <w:pPr>
        <w:spacing w:after="0" w:line="31" w:lineRule="exact"/>
        <w:rPr>
          <w:rFonts w:ascii="Times New Roman" w:cs="Times New Roman" w:eastAsia="Times New Roman" w:hAnsi="Times New Roman"/>
          <w:sz w:val="18"/>
          <w:szCs w:val="18"/>
          <w:color w:val="auto"/>
        </w:rPr>
      </w:pPr>
    </w:p>
    <w:p>
      <w:pPr>
        <w:ind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7"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30" w:name="page31"/>
    <w:bookmarkEnd w:id="30"/>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ind w:right="220" w:firstLine="436"/>
        <w:spacing w:after="0" w:line="266"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Option Agreement will be addressed to the Company at ALX Oncology Holdings Inc., 323 Allerton Avenue, South San Francisco, California 94080,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Participant and Participant’s executors, administrators, heirs, successors and assigns. The rights and obligations of Participant under this Option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7" w:lineRule="exact"/>
        <w:rPr>
          <w:sz w:val="20"/>
          <w:szCs w:val="20"/>
          <w:color w:val="auto"/>
        </w:rPr>
      </w:pPr>
    </w:p>
    <w:p>
      <w:pPr>
        <w:ind w:right="200" w:firstLine="436"/>
        <w:spacing w:after="0" w:line="282"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7"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Option Agreement.</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 Severable</w:t>
      </w:r>
      <w:r>
        <w:rPr>
          <w:rFonts w:ascii="Times New Roman" w:cs="Times New Roman" w:eastAsia="Times New Roman" w:hAnsi="Times New Roman"/>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32" w:name="page33"/>
    <w:bookmarkEnd w:id="32"/>
    <w:p>
      <w:pPr>
        <w:ind w:left="-20" w:right="140" w:firstLine="436"/>
        <w:spacing w:after="0" w:line="256" w:lineRule="auto"/>
        <w:tabs>
          <w:tab w:leader="none" w:pos="6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Modifications to the Option Agreement</w:t>
      </w:r>
      <w:r>
        <w:rPr>
          <w:rFonts w:ascii="Times New Roman" w:cs="Times New Roman" w:eastAsia="Times New Roman" w:hAnsi="Times New Roman"/>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Section 409A or to otherwise avoid imposition of any additional tax or income recognition under Section 409A in connection with the Option.</w:t>
      </w:r>
    </w:p>
    <w:p>
      <w:pPr>
        <w:spacing w:after="0" w:line="187"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83"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33" w:name="page34"/>
    <w:bookmarkEnd w:id="33"/>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STOCK OPTION AGREEMENT</w:t>
            </w:r>
          </w:p>
        </w:tc>
      </w:tr>
      <w:tr>
        <w:trPr>
          <w:trHeight w:val="391"/>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40" w:type="dxa"/>
            <w:vAlign w:val="bottom"/>
            <w:gridSpan w:val="10"/>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EXERCISE NOTICE</w:t>
            </w:r>
          </w:p>
        </w:tc>
      </w:tr>
      <w:tr>
        <w:trPr>
          <w:trHeight w:val="434"/>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ALX Oncology Holdings Inc.</w:t>
            </w:r>
          </w:p>
        </w:tc>
        <w:tc>
          <w:tcPr>
            <w:tcW w:w="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323 Allerton Avenue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 San Francisco, California 94080</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Stock Administration</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372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6"/>
              </w:rPr>
              <w:t>1. Exercise of Option. Effective as of today,  </w:t>
            </w:r>
          </w:p>
        </w:tc>
        <w:tc>
          <w:tcPr>
            <w:tcW w:w="70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                  ,             , the undersigned (“Participant”) hereby elects to exercise Participant’s</w:t>
            </w:r>
          </w:p>
        </w:tc>
      </w:tr>
      <w:tr>
        <w:trPr>
          <w:trHeight w:val="20"/>
        </w:trPr>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option (the “Option”) to purchase                    </w:t>
            </w:r>
          </w:p>
        </w:tc>
        <w:tc>
          <w:tcPr>
            <w:tcW w:w="7080" w:type="dxa"/>
            <w:vAlign w:val="bottom"/>
            <w:gridSpan w:val="11"/>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of the Common Stock (the “Shares”) of ALX Oncology Holdings Inc. (the “Company”)</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under and pursuant to the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and the Stock Option Agreement dated     , including the Notice of Stock Option Grant, and the Terms and Conditions of Stock Option Grant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thereto and other exhibits, appendices and addenda attached thereto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-448310</wp:posOffset>
            </wp:positionV>
            <wp:extent cx="228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0" w:lineRule="exact"/>
        <w:rPr>
          <w:sz w:val="20"/>
          <w:szCs w:val="20"/>
          <w:color w:val="auto"/>
        </w:rPr>
      </w:pPr>
    </w:p>
    <w:p>
      <w:pPr>
        <w:ind w:right="80" w:firstLine="436"/>
        <w:spacing w:after="0" w:line="282"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Participant herewith delivers to the Company the full purchase price of the Shares, as set forth in the Option Agreement, and any Withholding Obligations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ectPr>
          <w:pgSz w:w="11900" w:h="16838" w:orient="portrait"/>
          <w:cols w:equalWidth="0" w:num="1">
            <w:col w:w="10940"/>
          </w:cols>
          <w:pgMar w:left="440" w:top="266" w:right="519" w:bottom="1440" w:gutter="0" w:footer="0" w:header="0"/>
        </w:sectPr>
      </w:pPr>
    </w:p>
    <w:bookmarkStart w:id="34" w:name="page35"/>
    <w:bookmarkEnd w:id="34"/>
    <w:p>
      <w:pPr>
        <w:ind w:right="20" w:firstLine="436"/>
        <w:spacing w:after="0" w:line="266"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shall continue in full force and effect.</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Accepted by:</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ALX ONCOLOGY HOLDINGS INC.</w:t>
            </w:r>
          </w:p>
        </w:tc>
      </w:tr>
      <w:tr>
        <w:trPr>
          <w:trHeight w:val="270"/>
        </w:trPr>
        <w:tc>
          <w:tcPr>
            <w:tcW w:w="52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83"/>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283"/>
        </w:trPr>
        <w:tc>
          <w:tcPr>
            <w:tcW w:w="5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8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432"/>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439"/>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77"/>
        </w:trPr>
        <w:tc>
          <w:tcPr>
            <w:tcW w:w="5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2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Received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ALX Oncology Holdings Inc.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Award of Restricted Stock Units, subject to the terms and conditions of the Plan and this Award Agreement, as follows: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Number 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Participant</w:t>
      </w:r>
    </w:p>
    <w:p>
      <w:pPr>
        <w:sectPr>
          <w:pgSz w:w="11900" w:h="16838" w:orient="portrait"/>
          <w:cols w:equalWidth="0" w:num="1">
            <w:col w:w="11000"/>
          </w:cols>
          <w:pgMar w:left="440" w:top="266" w:right="459" w:bottom="1440" w:gutter="0" w:footer="0" w:header="0"/>
        </w:sectPr>
      </w:pPr>
    </w:p>
    <w:bookmarkStart w:id="36" w:name="page37"/>
    <w:bookmarkEnd w:id="36"/>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3440" w:type="dxa"/>
            <w:vAlign w:val="bottom"/>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rPr>
              <w:t>    ALX ONCOLOGY HOLDINGS INC.</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5400" w:type="dxa"/>
            <w:vAlign w:val="bottom"/>
          </w:tcPr>
          <w:p>
            <w:pPr>
              <w:spacing w:after="0"/>
              <w:rPr>
                <w:sz w:val="24"/>
                <w:szCs w:val="24"/>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40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4"/>
              </w:rPr>
              <w:t>Print Name: 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400" w:type="dxa"/>
            <w:vAlign w:val="bottom"/>
          </w:tcPr>
          <w:p>
            <w:pPr>
              <w:spacing w:after="0"/>
              <w:rPr>
                <w:sz w:val="24"/>
                <w:szCs w:val="24"/>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ind w:right="4"/>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r>
      <w:tr>
        <w:trPr>
          <w:trHeight w:val="385"/>
        </w:trPr>
        <w:tc>
          <w:tcPr>
            <w:tcW w:w="5400" w:type="dxa"/>
            <w:vAlign w:val="bottom"/>
          </w:tcPr>
          <w:p>
            <w:pPr>
              <w:spacing w:after="0"/>
              <w:rPr>
                <w:sz w:val="24"/>
                <w:szCs w:val="24"/>
                <w:color w:val="auto"/>
              </w:rPr>
            </w:pP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5"/>
              </w:rPr>
              <w:t>-2-</w:t>
            </w: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ind w:left="-20" w:right="160" w:firstLine="436"/>
        <w:spacing w:after="0" w:line="261" w:lineRule="auto"/>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w:t>
      </w:r>
    </w:p>
    <w:p>
      <w:pPr>
        <w:spacing w:after="0" w:line="71"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7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79"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1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75"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66" w:right="459" w:bottom="1440" w:gutter="0" w:footer="0" w:header="0"/>
        </w:sectPr>
      </w:pPr>
    </w:p>
    <w:bookmarkStart w:id="38" w:name="page39"/>
    <w:bookmarkEnd w:id="38"/>
    <w:p>
      <w:pPr>
        <w:ind w:left="1244" w:hanging="253"/>
        <w:spacing w:after="0"/>
        <w:tabs>
          <w:tab w:leader="none" w:pos="124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40" w:firstLine="1428"/>
        <w:spacing w:after="0" w:line="289" w:lineRule="auto"/>
        <w:tabs>
          <w:tab w:leader="none" w:pos="1651" w:val="left"/>
        </w:tabs>
        <w:numPr>
          <w:ilvl w:val="3"/>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49" w:lineRule="exact"/>
        <w:rPr>
          <w:rFonts w:ascii="Times New Roman" w:cs="Times New Roman" w:eastAsia="Times New Roman" w:hAnsi="Times New Roman"/>
          <w:sz w:val="17"/>
          <w:szCs w:val="17"/>
          <w:color w:val="auto"/>
        </w:rPr>
      </w:pPr>
    </w:p>
    <w:p>
      <w:pPr>
        <w:ind w:left="4" w:right="20" w:firstLine="1428"/>
        <w:spacing w:after="0" w:line="257" w:lineRule="auto"/>
        <w:tabs>
          <w:tab w:leader="none" w:pos="1701"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w:t>
      </w:r>
    </w:p>
    <w:p>
      <w:pPr>
        <w:spacing w:after="0" w:line="1" w:lineRule="exact"/>
        <w:rPr>
          <w:rFonts w:ascii="Times New Roman" w:cs="Times New Roman" w:eastAsia="Times New Roman" w:hAnsi="Times New Roman"/>
          <w:sz w:val="18"/>
          <w:szCs w:val="18"/>
          <w:color w:val="auto"/>
        </w:rPr>
      </w:pPr>
    </w:p>
    <w:p>
      <w:pPr>
        <w:ind w:left="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ind w:left="4" w:hanging="4"/>
        <w:spacing w:after="0" w:line="255"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77"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751" w:val="left"/>
        </w:tabs>
        <w:numPr>
          <w:ilvl w:val="3"/>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w:t>
      </w:r>
    </w:p>
    <w:p>
      <w:pPr>
        <w:spacing w:after="0" w:line="5" w:lineRule="exact"/>
        <w:rPr>
          <w:rFonts w:ascii="Times New Roman" w:cs="Times New Roman" w:eastAsia="Times New Roman" w:hAnsi="Times New Roman"/>
          <w:sz w:val="18"/>
          <w:szCs w:val="18"/>
          <w:color w:val="auto"/>
        </w:rPr>
      </w:pPr>
    </w:p>
    <w:p>
      <w:pPr>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77"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7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2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39" w:name="page40"/>
    <w:bookmarkEnd w:id="39"/>
    <w:p>
      <w:pPr>
        <w:ind w:left="624" w:hanging="184"/>
        <w:spacing w:after="0"/>
        <w:tabs>
          <w:tab w:leader="none" w:pos="6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Obligations</w:t>
      </w:r>
    </w:p>
    <w:p>
      <w:pPr>
        <w:spacing w:after="0" w:line="117" w:lineRule="exact"/>
        <w:rPr>
          <w:rFonts w:ascii="Times New Roman" w:cs="Times New Roman" w:eastAsia="Times New Roman" w:hAnsi="Times New Roman"/>
          <w:sz w:val="18"/>
          <w:szCs w:val="18"/>
          <w:color w:val="auto"/>
        </w:rPr>
      </w:pPr>
    </w:p>
    <w:p>
      <w:pPr>
        <w:ind w:left="4" w:right="80" w:firstLine="987"/>
        <w:spacing w:after="0" w:line="267" w:lineRule="auto"/>
        <w:tabs>
          <w:tab w:leader="none" w:pos="1240"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w:t>
      </w:r>
    </w:p>
    <w:p>
      <w:pPr>
        <w:ind w:left="4" w:right="100" w:hanging="4"/>
        <w:spacing w:after="0" w:line="253" w:lineRule="auto"/>
        <w:tabs>
          <w:tab w:leader="none" w:pos="2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w:t>
      </w:r>
    </w:p>
    <w:p>
      <w:pPr>
        <w:spacing w:after="0" w:line="7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0" w:name="page41"/>
    <w:bookmarkEnd w:id="4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82" w:lineRule="exact"/>
        <w:rPr>
          <w:sz w:val="20"/>
          <w:szCs w:val="20"/>
          <w:color w:val="auto"/>
        </w:rPr>
      </w:pPr>
    </w:p>
    <w:p>
      <w:pPr>
        <w:ind w:right="140" w:firstLine="987"/>
        <w:spacing w:after="0" w:line="258" w:lineRule="auto"/>
        <w:tabs>
          <w:tab w:leader="none" w:pos="123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75"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80"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1" w:name="page42"/>
    <w:bookmarkEnd w:id="41"/>
    <w:p>
      <w:pPr>
        <w:ind w:right="80" w:firstLine="436"/>
        <w:spacing w:after="0" w:line="253" w:lineRule="auto"/>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83" w:lineRule="exact"/>
        <w:rPr>
          <w:rFonts w:ascii="Times New Roman" w:cs="Times New Roman" w:eastAsia="Times New Roman" w:hAnsi="Times New Roman"/>
          <w:sz w:val="18"/>
          <w:szCs w:val="18"/>
          <w:color w:val="auto"/>
        </w:rPr>
      </w:pPr>
    </w:p>
    <w:p>
      <w:pPr>
        <w:ind w:right="200" w:firstLine="436"/>
        <w:spacing w:after="0" w:line="258"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117"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98"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5400" w:hanging="4413"/>
        <w:spacing w:after="0" w:line="454" w:lineRule="auto"/>
        <w:tabs>
          <w:tab w:leader="none" w:pos="121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 certainty; -7-</w:t>
      </w:r>
    </w:p>
    <w:p>
      <w:pPr>
        <w:sectPr>
          <w:pgSz w:w="11900" w:h="16838" w:orient="portrait"/>
          <w:cols w:equalWidth="0" w:num="1">
            <w:col w:w="10980"/>
          </w:cols>
          <w:pgMar w:left="440" w:top="270" w:right="479" w:bottom="1440" w:gutter="0" w:footer="0" w:header="0"/>
        </w:sectPr>
      </w:pPr>
    </w:p>
    <w:bookmarkStart w:id="42" w:name="page43"/>
    <w:bookmarkEnd w:id="42"/>
    <w:p>
      <w:pPr>
        <w:ind w:firstLine="987"/>
        <w:spacing w:after="0" w:line="252"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Further, for the avoidance of doubt, Participant shall not be entitled to any pro rata vesting of any Restricted Stock Units should Participant’s status as a Service Provider cease before the Restricted Stock Units have fully vested (e.g., if Participant’s status as a Service Provider ceases on March 1 before all of the Restricted Stock Units have vested, Participant shall not be entitled to any vesting of the Restricted Stock Units that were scheduled to vest on the immediately following vesting date of March 10);</w:t>
      </w:r>
    </w:p>
    <w:p>
      <w:pPr>
        <w:spacing w:after="0" w:line="8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117" w:lineRule="exact"/>
        <w:rPr>
          <w:sz w:val="20"/>
          <w:szCs w:val="20"/>
          <w:color w:val="auto"/>
        </w:rPr>
      </w:pPr>
    </w:p>
    <w:p>
      <w:pPr>
        <w:ind w:right="180" w:firstLine="1428"/>
        <w:spacing w:after="0" w:line="282" w:lineRule="auto"/>
        <w:tabs>
          <w:tab w:leader="none" w:pos="16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53" w:lineRule="exact"/>
        <w:rPr>
          <w:rFonts w:ascii="Times New Roman" w:cs="Times New Roman" w:eastAsia="Times New Roman" w:hAnsi="Times New Roman"/>
          <w:sz w:val="18"/>
          <w:szCs w:val="18"/>
          <w:color w:val="auto"/>
        </w:rPr>
      </w:pPr>
    </w:p>
    <w:p>
      <w:pPr>
        <w:ind w:right="120" w:firstLine="1428"/>
        <w:spacing w:after="0" w:line="266" w:lineRule="auto"/>
        <w:tabs>
          <w:tab w:leader="none" w:pos="16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67" w:lineRule="exact"/>
        <w:rPr>
          <w:rFonts w:ascii="Times New Roman" w:cs="Times New Roman" w:eastAsia="Times New Roman" w:hAnsi="Times New Roman"/>
          <w:sz w:val="18"/>
          <w:szCs w:val="18"/>
          <w:color w:val="auto"/>
        </w:rPr>
      </w:pPr>
    </w:p>
    <w:p>
      <w:pPr>
        <w:ind w:right="100" w:firstLine="1428"/>
        <w:spacing w:after="0" w:line="254" w:lineRule="auto"/>
        <w:tabs>
          <w:tab w:leader="none" w:pos="17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3" w:name="page44"/>
    <w:bookmarkEnd w:id="43"/>
    <w:p>
      <w:pPr>
        <w:ind w:left="700" w:hanging="264"/>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p>
    <w:p>
      <w:pPr>
        <w:spacing w:after="0" w:line="27"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73" w:lineRule="exact"/>
        <w:rPr>
          <w:rFonts w:ascii="Times New Roman" w:cs="Times New Roman" w:eastAsia="Times New Roman" w:hAnsi="Times New Roman"/>
          <w:sz w:val="18"/>
          <w:szCs w:val="18"/>
          <w:color w:val="auto"/>
        </w:rPr>
      </w:pPr>
    </w:p>
    <w:p>
      <w:pPr>
        <w:jc w:val="both"/>
        <w:ind w:right="100" w:firstLine="436"/>
        <w:spacing w:after="0" w:line="268"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4" w:name="page45"/>
    <w:bookmarkEnd w:id="44"/>
    <w:p>
      <w:pPr>
        <w:ind w:right="240" w:firstLine="436"/>
        <w:spacing w:after="0" w:line="266"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ALX Oncology Holdings Inc., 323 Allerton Avenue, South San Francisco, California 94080,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86"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5" w:name="page46"/>
    <w:bookmarkEnd w:id="45"/>
    <w:p>
      <w:pPr>
        <w:ind w:left="-436" w:right="320" w:firstLine="436"/>
        <w:spacing w:after="0" w:line="282"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67"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79" w:lineRule="exact"/>
        <w:rPr>
          <w:rFonts w:ascii="Times New Roman" w:cs="Times New Roman" w:eastAsia="Times New Roman" w:hAnsi="Times New Roman"/>
          <w:sz w:val="18"/>
          <w:szCs w:val="18"/>
          <w:color w:val="auto"/>
        </w:rPr>
      </w:pPr>
    </w:p>
    <w:p>
      <w:pPr>
        <w:ind w:left="-436" w:right="180" w:firstLine="436"/>
        <w:spacing w:after="0" w:line="274" w:lineRule="auto"/>
        <w:tabs>
          <w:tab w:leader="none" w:pos="27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to the Award Agreement</w:t>
      </w:r>
      <w:r>
        <w:rPr>
          <w:rFonts w:ascii="Times New Roman" w:cs="Times New Roman" w:eastAsia="Times New Roman" w:hAnsi="Times New Roman"/>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64" w:lineRule="exact"/>
        <w:rPr>
          <w:rFonts w:ascii="Times New Roman" w:cs="Times New Roman" w:eastAsia="Times New Roman" w:hAnsi="Times New Roman"/>
          <w:sz w:val="17"/>
          <w:szCs w:val="17"/>
          <w:color w:val="auto"/>
        </w:rPr>
      </w:pPr>
    </w:p>
    <w:p>
      <w:pPr>
        <w:ind w:left="-436" w:firstLine="436"/>
        <w:spacing w:after="0" w:line="261"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71"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67" w:lineRule="exact"/>
        <w:rPr>
          <w:rFonts w:ascii="Times New Roman" w:cs="Times New Roman" w:eastAsia="Times New Roman" w:hAnsi="Times New Roman"/>
          <w:sz w:val="18"/>
          <w:szCs w:val="18"/>
          <w:color w:val="auto"/>
        </w:rPr>
      </w:pPr>
    </w:p>
    <w:p>
      <w:pPr>
        <w:ind w:left="-436" w:right="120" w:firstLine="436"/>
        <w:spacing w:after="0" w:line="261" w:lineRule="auto"/>
        <w:tabs>
          <w:tab w:leader="none" w:pos="2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564"/>
      </w:cols>
      <w:pgMar w:left="87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
    <w:nsid w:val="3006C83E"/>
    <w:multiLevelType w:val="hybridMultilevel"/>
    <w:lvl w:ilvl="0">
      <w:lvlJc w:val="left"/>
      <w:lvlText w:val="(%1)"/>
      <w:numFmt w:val="lowerLetter"/>
      <w:start w:val="7"/>
    </w:lvl>
    <w:lvl w:ilvl="1">
      <w:lvlJc w:val="left"/>
      <w:lvlText w:val="(%2)"/>
      <w:numFmt w:val="lowerLetter"/>
      <w:start w:val="9"/>
    </w:lvl>
  </w:abstractNum>
  <w:abstractNum w:abstractNumId="5">
    <w:nsid w:val="614FD4A1"/>
    <w:multiLevelType w:val="hybridMultilevel"/>
    <w:lvl w:ilvl="0">
      <w:lvlJc w:val="left"/>
      <w:lvlText w:val="%1"/>
      <w:numFmt w:val="upperLetter"/>
      <w:start w:val="1"/>
    </w:lvl>
    <w:lvl w:ilvl="1">
      <w:lvlJc w:val="left"/>
      <w:lvlText w:val="(%2)"/>
      <w:numFmt w:val="lowerRoman"/>
      <w:start w:val="2"/>
    </w:lvl>
  </w:abstractNum>
  <w:abstractNum w:abstractNumId="6">
    <w:nsid w:val="419AC241"/>
    <w:multiLevelType w:val="hybridMultilevel"/>
    <w:lvl w:ilvl="0">
      <w:lvlJc w:val="left"/>
      <w:lvlText w:val="(%1)"/>
      <w:numFmt w:val="upperLetter"/>
      <w:start w:val="1"/>
    </w:lvl>
    <w:lvl w:ilvl="1">
      <w:lvlJc w:val="left"/>
      <w:lvlText w:val="%2"/>
      <w:numFmt w:val="lowerRoman"/>
      <w:start w:val="1"/>
    </w:lvl>
  </w:abstractNum>
  <w:abstractNum w:abstractNumId="7">
    <w:nsid w:val="5577F8E1"/>
    <w:multiLevelType w:val="hybridMultilevel"/>
    <w:lvl w:ilvl="0">
      <w:lvlJc w:val="left"/>
      <w:lvlText w:val="%1"/>
      <w:numFmt w:val="lowerLetter"/>
      <w:start w:val="1"/>
    </w:lvl>
    <w:lvl w:ilvl="1">
      <w:lvlJc w:val="left"/>
      <w:lvlText w:val="(%2)"/>
      <w:numFmt w:val="lowerLetter"/>
      <w:start w:val="8"/>
    </w:lvl>
  </w:abstractNum>
  <w:abstractNum w:abstractNumId="8">
    <w:nsid w:val="440BADFC"/>
    <w:multiLevelType w:val="hybridMultilevel"/>
    <w:lvl w:ilvl="0">
      <w:lvlJc w:val="left"/>
      <w:lvlText w:val="(%1)"/>
      <w:numFmt w:val="lowerLetter"/>
      <w:start w:val="35"/>
    </w:lvl>
    <w:lvl w:ilvl="1">
      <w:lvlJc w:val="left"/>
      <w:lvlText w:val="(%2)"/>
      <w:numFmt w:val="lowerLetter"/>
      <w:start w:val="13"/>
    </w:lvl>
  </w:abstractNum>
  <w:abstractNum w:abstractNumId="9">
    <w:nsid w:val="5072367"/>
    <w:multiLevelType w:val="hybridMultilevel"/>
    <w:lvl w:ilvl="0">
      <w:lvlJc w:val="left"/>
      <w:lvlText w:val="(%1)"/>
      <w:numFmt w:val="lowerLetter"/>
      <w:start w:val="15"/>
    </w:lvl>
    <w:lvl w:ilvl="1">
      <w:lvlJc w:val="left"/>
      <w:lvlText w:val="(%2)"/>
      <w:numFmt w:val="lowerRoman"/>
      <w:start w:val="1"/>
    </w:lvl>
  </w:abstractNum>
  <w:abstractNum w:abstractNumId="10">
    <w:nsid w:val="3804823E"/>
    <w:multiLevelType w:val="hybridMultilevel"/>
    <w:lvl w:ilvl="0">
      <w:lvlJc w:val="left"/>
      <w:lvlText w:val="(%1)"/>
      <w:numFmt w:val="lowerLetter"/>
      <w:start w:val="22"/>
    </w:lvl>
  </w:abstractNum>
  <w:abstractNum w:abstractNumId="11">
    <w:nsid w:val="77465F01"/>
    <w:multiLevelType w:val="hybridMultilevel"/>
    <w:lvl w:ilvl="0">
      <w:lvlJc w:val="left"/>
      <w:lvlText w:val="(%1)"/>
      <w:numFmt w:val="lowerLetter"/>
      <w:start w:val="27"/>
    </w:lvl>
  </w:abstractNum>
  <w:abstractNum w:abstractNumId="12">
    <w:nsid w:val="7724C67E"/>
    <w:multiLevelType w:val="hybridMultilevel"/>
    <w:lvl w:ilvl="0">
      <w:lvlJc w:val="left"/>
      <w:lvlText w:val="%1"/>
      <w:numFmt w:val="decimal"/>
      <w:start w:val="1"/>
    </w:lvl>
    <w:lvl w:ilvl="1">
      <w:lvlJc w:val="left"/>
      <w:lvlText w:val="(%2)"/>
      <w:numFmt w:val="lowerLetter"/>
      <w:start w:val="37"/>
    </w:lvl>
  </w:abstractNum>
  <w:abstractNum w:abstractNumId="13">
    <w:nsid w:val="5C482A97"/>
    <w:multiLevelType w:val="hybridMultilevel"/>
    <w:lvl w:ilvl="0">
      <w:lvlJc w:val="left"/>
      <w:lvlText w:val="%1."/>
      <w:numFmt w:val="decimal"/>
      <w:start w:val="3"/>
    </w:lvl>
    <w:lvl w:ilvl="1">
      <w:lvlJc w:val="left"/>
      <w:lvlText w:val="(%2)"/>
      <w:numFmt w:val="lowerLetter"/>
      <w:start w:val="1"/>
    </w:lvl>
  </w:abstractNum>
  <w:abstractNum w:abstractNumId="14">
    <w:nsid w:val="2463B9EA"/>
    <w:multiLevelType w:val="hybridMultilevel"/>
    <w:lvl w:ilvl="0">
      <w:lvlJc w:val="left"/>
      <w:lvlText w:val="(%1)"/>
      <w:numFmt w:val="lowerRoman"/>
      <w:start w:val="1"/>
    </w:lvl>
  </w:abstractNum>
  <w:abstractNum w:abstractNumId="15">
    <w:nsid w:val="5E884ADC"/>
    <w:multiLevelType w:val="hybridMultilevel"/>
    <w:lvl w:ilvl="0">
      <w:lvlJc w:val="left"/>
      <w:lvlText w:val="%1"/>
      <w:numFmt w:val="lowerLetter"/>
      <w:start w:val="1"/>
    </w:lvl>
    <w:lvl w:ilvl="1">
      <w:lvlJc w:val="left"/>
      <w:lvlText w:val="(%2)"/>
      <w:numFmt w:val="lowerRoman"/>
      <w:start w:val="2"/>
    </w:lvl>
  </w:abstractNum>
  <w:abstractNum w:abstractNumId="16">
    <w:nsid w:val="51EAD36B"/>
    <w:multiLevelType w:val="hybridMultilevel"/>
    <w:lvl w:ilvl="0">
      <w:lvlJc w:val="left"/>
      <w:lvlText w:val="(%1)"/>
      <w:numFmt w:val="lowerLetter"/>
      <w:start w:val="2"/>
    </w:lvl>
    <w:lvl w:ilvl="1">
      <w:lvlJc w:val="left"/>
      <w:lvlText w:val="(%2)"/>
      <w:numFmt w:val="lowerRoman"/>
      <w:start w:val="1"/>
    </w:lvl>
  </w:abstractNum>
  <w:abstractNum w:abstractNumId="17">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18">
    <w:nsid w:val="580BD78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153EA43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
    <w:nsid w:val="3855585C"/>
    <w:multiLevelType w:val="hybridMultilevel"/>
    <w:lvl w:ilvl="0">
      <w:lvlJc w:val="left"/>
      <w:lvlText w:val="(%1)"/>
      <w:numFmt w:val="lowerLetter"/>
      <w:start w:val="3"/>
    </w:lvl>
    <w:lvl w:ilvl="1">
      <w:lvlJc w:val="left"/>
      <w:lvlText w:val="(%2)"/>
      <w:numFmt w:val="lowerRoman"/>
      <w:start w:val="1"/>
    </w:lvl>
  </w:abstractNum>
  <w:abstractNum w:abstractNumId="21">
    <w:nsid w:val="70A64E2A"/>
    <w:multiLevelType w:val="hybridMultilevel"/>
    <w:lvl w:ilvl="0">
      <w:lvlJc w:val="left"/>
      <w:lvlText w:val="(%1)"/>
      <w:numFmt w:val="lowerRoman"/>
      <w:start w:val="2"/>
    </w:lvl>
  </w:abstractNum>
  <w:abstractNum w:abstractNumId="22">
    <w:nsid w:val="6A2342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2"/>
    </w:lvl>
    <w:lvl w:ilvl="4">
      <w:lvlJc w:val="left"/>
      <w:lvlText w:val="(%5)"/>
      <w:numFmt w:val="decimal"/>
      <w:start w:val="1"/>
    </w:lvl>
  </w:abstractNum>
  <w:abstractNum w:abstractNumId="23">
    <w:nsid w:val="2A487CB0"/>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24">
    <w:nsid w:val="1D4ED43B"/>
    <w:multiLevelType w:val="hybridMultilevel"/>
    <w:lvl w:ilvl="0">
      <w:lvlJc w:val="left"/>
      <w:lvlText w:val="(%1)"/>
      <w:numFmt w:val="lowerLetter"/>
      <w:start w:val="6"/>
    </w:lvl>
    <w:lvl w:ilvl="1">
      <w:lvlJc w:val="left"/>
      <w:lvlText w:val="(%2)"/>
      <w:numFmt w:val="lowerRoman"/>
      <w:start w:val="1"/>
    </w:lvl>
  </w:abstractNum>
  <w:abstractNum w:abstractNumId="25">
    <w:nsid w:val="725A06FB"/>
    <w:multiLevelType w:val="hybridMultilevel"/>
    <w:lvl w:ilvl="0">
      <w:lvlJc w:val="left"/>
      <w:lvlText w:val="%1."/>
      <w:numFmt w:val="decimal"/>
      <w:start w:val="8"/>
    </w:lvl>
    <w:lvl w:ilvl="1">
      <w:lvlJc w:val="left"/>
      <w:lvlText w:val="(%2)"/>
      <w:numFmt w:val="lowerLetter"/>
      <w:start w:val="1"/>
    </w:lvl>
  </w:abstractNum>
  <w:abstractNum w:abstractNumId="26">
    <w:nsid w:val="2CD89A32"/>
    <w:multiLevelType w:val="hybridMultilevel"/>
    <w:lvl w:ilvl="0">
      <w:lvlJc w:val="left"/>
      <w:lvlText w:val="%1"/>
      <w:numFmt w:val="decimal"/>
      <w:start w:val="1"/>
    </w:lvl>
    <w:lvl w:ilvl="1">
      <w:lvlJc w:val="left"/>
      <w:lvlText w:val="(%2)"/>
      <w:numFmt w:val="lowerLetter"/>
      <w:start w:val="7"/>
    </w:lvl>
  </w:abstractNum>
  <w:abstractNum w:abstractNumId="27">
    <w:nsid w:val="57E4CCAF"/>
    <w:multiLevelType w:val="hybridMultilevel"/>
    <w:lvl w:ilvl="0">
      <w:lvlJc w:val="left"/>
      <w:lvlText w:val="%1."/>
      <w:numFmt w:val="decimal"/>
      <w:start w:val="9"/>
    </w:lvl>
    <w:lvl w:ilvl="1">
      <w:lvlJc w:val="left"/>
      <w:lvlText w:val="(%2)"/>
      <w:numFmt w:val="lowerLetter"/>
      <w:start w:val="1"/>
    </w:lvl>
  </w:abstractNum>
  <w:abstractNum w:abstractNumId="28">
    <w:nsid w:val="7A6D8D3C"/>
    <w:multiLevelType w:val="hybridMultilevel"/>
    <w:lvl w:ilvl="0">
      <w:lvlJc w:val="left"/>
      <w:lvlText w:val="%1"/>
      <w:numFmt w:val="decimal"/>
      <w:start w:val="1"/>
    </w:lvl>
    <w:lvl w:ilvl="1">
      <w:lvlJc w:val="left"/>
      <w:lvlText w:val="(%2)"/>
      <w:numFmt w:val="lowerLetter"/>
      <w:start w:val="2"/>
    </w:lvl>
  </w:abstractNum>
  <w:abstractNum w:abstractNumId="29">
    <w:nsid w:val="4B588F54"/>
    <w:multiLevelType w:val="hybridMultilevel"/>
    <w:lvl w:ilvl="0">
      <w:lvlJc w:val="left"/>
      <w:lvlText w:val="%1."/>
      <w:numFmt w:val="decimal"/>
      <w:start w:val="11"/>
    </w:lvl>
    <w:lvl w:ilvl="1">
      <w:lvlJc w:val="left"/>
      <w:lvlText w:val="%2"/>
      <w:numFmt w:val="lowerLetter"/>
      <w:start w:val="1"/>
    </w:lvl>
  </w:abstractNum>
  <w:abstractNum w:abstractNumId="30">
    <w:nsid w:val="542289EC"/>
    <w:multiLevelType w:val="hybridMultilevel"/>
    <w:lvl w:ilvl="0">
      <w:lvlJc w:val="left"/>
      <w:lvlText w:val="%1."/>
      <w:numFmt w:val="decimal"/>
      <w:start w:val="12"/>
    </w:lvl>
    <w:lvl w:ilvl="1">
      <w:lvlJc w:val="left"/>
      <w:lvlText w:val="(%2)"/>
      <w:numFmt w:val="lowerLetter"/>
      <w:start w:val="1"/>
    </w:lvl>
  </w:abstractNum>
  <w:abstractNum w:abstractNumId="31">
    <w:nsid w:val="6DE91B18"/>
    <w:multiLevelType w:val="hybridMultilevel"/>
    <w:lvl w:ilvl="0">
      <w:lvlJc w:val="left"/>
      <w:lvlText w:val="%1."/>
      <w:numFmt w:val="decimal"/>
      <w:start w:val="15"/>
    </w:lvl>
    <w:lvl w:ilvl="1">
      <w:lvlJc w:val="left"/>
      <w:lvlText w:val="(%2)"/>
      <w:numFmt w:val="lowerLetter"/>
      <w:start w:val="1"/>
    </w:lvl>
  </w:abstractNum>
  <w:abstractNum w:abstractNumId="32">
    <w:nsid w:val="38437FDB"/>
    <w:multiLevelType w:val="hybridMultilevel"/>
    <w:lvl w:ilvl="0">
      <w:lvlJc w:val="left"/>
      <w:lvlText w:val="%1."/>
      <w:numFmt w:val="decimal"/>
      <w:start w:val="16"/>
    </w:lvl>
    <w:lvl w:ilvl="1">
      <w:lvlJc w:val="left"/>
      <w:lvlText w:val="(%2)"/>
      <w:numFmt w:val="lowerLetter"/>
      <w:start w:val="1"/>
    </w:lvl>
  </w:abstractNum>
  <w:abstractNum w:abstractNumId="33">
    <w:nsid w:val="7644A45C"/>
    <w:multiLevelType w:val="hybridMultilevel"/>
    <w:lvl w:ilvl="0">
      <w:lvlJc w:val="left"/>
      <w:lvlText w:val="%1"/>
      <w:numFmt w:val="decimal"/>
      <w:start w:val="1"/>
    </w:lvl>
    <w:lvl w:ilvl="1">
      <w:lvlJc w:val="left"/>
      <w:lvlText w:val="(%2)"/>
      <w:numFmt w:val="lowerLetter"/>
      <w:start w:val="2"/>
    </w:lvl>
  </w:abstractNum>
  <w:abstractNum w:abstractNumId="34">
    <w:nsid w:val="32FFF902"/>
    <w:multiLevelType w:val="hybridMultilevel"/>
    <w:lvl w:ilvl="0">
      <w:lvlJc w:val="left"/>
      <w:lvlText w:val="%1."/>
      <w:numFmt w:val="decimal"/>
      <w:start w:val="21"/>
    </w:lvl>
    <w:lvl w:ilvl="1">
      <w:lvlJc w:val="left"/>
      <w:lvlText w:val="%2"/>
      <w:numFmt w:val="lowerLetter"/>
      <w:start w:val="1"/>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decimal"/>
      <w:start w:val="5"/>
    </w:lvl>
    <w:lvl w:ilvl="1">
      <w:lvlJc w:val="left"/>
      <w:lvlText w:val="(%2)"/>
      <w:numFmt w:val="lowerLetter"/>
      <w:start w:val="1"/>
    </w:lvl>
  </w:abstractNum>
  <w:abstractNum w:abstractNumId="37">
    <w:nsid w:val="749ABB4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8">
    <w:nsid w:val="3DC240F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9">
    <w:nsid w:val="1BA026FA"/>
    <w:multiLevelType w:val="hybridMultilevel"/>
    <w:lvl w:ilvl="0">
      <w:lvlJc w:val="left"/>
      <w:lvlText w:val="(%1)"/>
      <w:numFmt w:val="lowerLetter"/>
      <w:start w:val="2"/>
    </w:lvl>
  </w:abstractNum>
  <w:abstractNum w:abstractNumId="40">
    <w:nsid w:val="79A1DEAA"/>
    <w:multiLevelType w:val="hybridMultilevel"/>
    <w:lvl w:ilvl="0">
      <w:lvlJc w:val="left"/>
      <w:lvlText w:val="%1."/>
      <w:numFmt w:val="decimal"/>
      <w:start w:val="9"/>
    </w:lvl>
  </w:abstractNum>
  <w:abstractNum w:abstractNumId="41">
    <w:nsid w:val="75C6C33A"/>
    <w:multiLevelType w:val="hybridMultilevel"/>
    <w:lvl w:ilvl="0">
      <w:lvlJc w:val="left"/>
      <w:lvlText w:val="%1."/>
      <w:numFmt w:val="decimal"/>
      <w:start w:val="12"/>
    </w:lvl>
    <w:lvl w:ilvl="1">
      <w:lvlJc w:val="left"/>
      <w:lvlText w:val="(%2)"/>
      <w:numFmt w:val="lowerLetter"/>
      <w:start w:val="1"/>
    </w:lvl>
  </w:abstractNum>
  <w:abstractNum w:abstractNumId="42">
    <w:nsid w:val="12E685F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3">
    <w:nsid w:val="70C6A52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4">
    <w:nsid w:val="520EEDD1"/>
    <w:multiLevelType w:val="hybridMultilevel"/>
    <w:lvl w:ilvl="0">
      <w:lvlJc w:val="left"/>
      <w:lvlText w:val="%1."/>
      <w:numFmt w:val="decimal"/>
      <w:start w:val="15"/>
    </w:lvl>
  </w:abstractNum>
  <w:abstractNum w:abstractNumId="45">
    <w:nsid w:val="374A3FE6"/>
    <w:multiLevelType w:val="hybridMultilevel"/>
    <w:lvl w:ilvl="0">
      <w:lvlJc w:val="left"/>
      <w:lvlText w:val="%1."/>
      <w:numFmt w:val="decimal"/>
      <w:start w:val="18"/>
    </w:lvl>
  </w:abstractNum>
  <w:abstractNum w:abstractNumId="46">
    <w:nsid w:val="4F4EF005"/>
    <w:multiLevelType w:val="hybridMultilevel"/>
    <w:lvl w:ilvl="0">
      <w:lvlJc w:val="left"/>
      <w:lvlText w:val="%1."/>
      <w:numFmt w:val="decimal"/>
      <w:start w:val="25"/>
    </w:lvl>
  </w:abstractNum>
  <w:abstractNum w:abstractNumId="47">
    <w:nsid w:val="23F9C13C"/>
    <w:multiLevelType w:val="hybridMultilevel"/>
    <w:lvl w:ilvl="0">
      <w:lvlJc w:val="left"/>
      <w:lvlText w:val="%1."/>
      <w:numFmt w:val="decimal"/>
      <w:start w:val="2"/>
    </w:lvl>
  </w:abstractNum>
  <w:abstractNum w:abstractNumId="48">
    <w:nsid w:val="649BB77C"/>
    <w:multiLevelType w:val="hybridMultilevel"/>
    <w:lvl w:ilvl="0">
      <w:lvlJc w:val="left"/>
      <w:lvlText w:val="%1."/>
      <w:numFmt w:val="decimal"/>
      <w:start w:val="6"/>
    </w:lvl>
  </w:abstractNum>
  <w:abstractNum w:abstractNumId="49">
    <w:nsid w:val="275AC794"/>
    <w:multiLevelType w:val="hybridMultilevel"/>
    <w:lvl w:ilvl="0">
      <w:lvlJc w:val="left"/>
      <w:lvlText w:val="%1."/>
      <w:numFmt w:val="decimal"/>
      <w:start w:val="1"/>
    </w:lvl>
    <w:lvl w:ilvl="1">
      <w:lvlJc w:val="left"/>
      <w:lvlText w:val="(%2)"/>
      <w:numFmt w:val="lowerLetter"/>
      <w:start w:val="1"/>
    </w:lvl>
  </w:abstractNum>
  <w:abstractNum w:abstractNumId="50">
    <w:nsid w:val="3938657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51">
    <w:nsid w:val="1CF10FD8"/>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52">
    <w:nsid w:val="180115BE"/>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53">
    <w:nsid w:val="235BA86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54">
    <w:nsid w:val="47398C89"/>
    <w:multiLevelType w:val="hybridMultilevel"/>
    <w:lvl w:ilvl="0">
      <w:lvlJc w:val="left"/>
      <w:lvlText w:val="%1"/>
      <w:numFmt w:val="decimal"/>
      <w:start w:val="1"/>
    </w:lvl>
    <w:lvl w:ilvl="1">
      <w:lvlJc w:val="left"/>
      <w:lvlText w:val="(%2)"/>
      <w:numFmt w:val="lowerLetter"/>
      <w:start w:val="3"/>
    </w:lvl>
  </w:abstractNum>
  <w:abstractNum w:abstractNumId="55">
    <w:nsid w:val="354FE9F9"/>
    <w:multiLevelType w:val="hybridMultilevel"/>
    <w:lvl w:ilvl="0">
      <w:lvlJc w:val="left"/>
      <w:lvlText w:val="%1."/>
      <w:numFmt w:val="decimal"/>
      <w:start w:val="8"/>
    </w:lvl>
    <w:lvl w:ilvl="1">
      <w:lvlJc w:val="left"/>
      <w:lvlText w:val="%2"/>
      <w:numFmt w:val="lowerLetter"/>
      <w:start w:val="1"/>
    </w:lvl>
  </w:abstractNum>
  <w:abstractNum w:abstractNumId="56">
    <w:nsid w:val="15B5AF5C"/>
    <w:multiLevelType w:val="hybridMultilevel"/>
    <w:lvl w:ilvl="0">
      <w:lvlJc w:val="left"/>
      <w:lvlText w:val="%1."/>
      <w:numFmt w:val="decimal"/>
      <w:start w:val="9"/>
    </w:lvl>
    <w:lvl w:ilvl="1">
      <w:lvlJc w:val="left"/>
      <w:lvlText w:val="(%2)"/>
      <w:numFmt w:val="lowerLetter"/>
      <w:start w:val="1"/>
    </w:lvl>
  </w:abstractNum>
  <w:abstractNum w:abstractNumId="57">
    <w:nsid w:val="741226BB"/>
    <w:multiLevelType w:val="hybridMultilevel"/>
    <w:lvl w:ilvl="0">
      <w:lvlJc w:val="left"/>
      <w:lvlText w:val="(%1)"/>
      <w:numFmt w:val="lowerLetter"/>
      <w:start w:val="7"/>
    </w:lvl>
    <w:lvl w:ilvl="1">
      <w:lvlJc w:val="left"/>
      <w:lvlText w:val="(%2)"/>
      <w:numFmt w:val="lowerLetter"/>
      <w:start w:val="9"/>
    </w:lvl>
  </w:abstractNum>
  <w:abstractNum w:abstractNumId="58">
    <w:nsid w:val="D34B6A8"/>
    <w:multiLevelType w:val="hybridMultilevel"/>
    <w:lvl w:ilvl="0">
      <w:lvlJc w:val="left"/>
      <w:lvlText w:val="(%1)"/>
      <w:numFmt w:val="lowerRoman"/>
      <w:start w:val="1"/>
    </w:lvl>
  </w:abstractNum>
  <w:abstractNum w:abstractNumId="59">
    <w:nsid w:val="10233C99"/>
    <w:multiLevelType w:val="hybridMultilevel"/>
    <w:lvl w:ilvl="0">
      <w:lvlJc w:val="left"/>
      <w:lvlText w:val="%1."/>
      <w:numFmt w:val="decimal"/>
      <w:start w:val="12"/>
    </w:lvl>
  </w:abstractNum>
  <w:abstractNum w:abstractNumId="60">
    <w:nsid w:val="3F6AB60F"/>
    <w:multiLevelType w:val="hybridMultilevel"/>
    <w:lvl w:ilvl="0">
      <w:lvlJc w:val="left"/>
      <w:lvlText w:val="%1."/>
      <w:numFmt w:val="decimal"/>
      <w:start w:val="14"/>
    </w:lvl>
  </w:abstractNum>
  <w:abstractNum w:abstractNumId="61">
    <w:nsid w:val="61574095"/>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2025-01-17T15:52:31Z</dcterms:created>
  <dcterms:modified xsi:type="dcterms:W3CDTF">2025-01-17T15:52:31Z</dcterms:modified>
</cp:coreProperties>
</file>