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Lettmann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55"/>
        <w:gridCol w:w="461"/>
        <w:gridCol w:w="676"/>
        <w:gridCol w:w="1206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2,230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1.93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294,379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sold to satisfy the reporting person's tax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3,000 shares acquired under the Issuer's employee stock purchase plan on June 30,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Wong,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8269" TargetMode="External"/><Relationship Id="rId5" Type="http://schemas.openxmlformats.org/officeDocument/2006/relationships/hyperlink" Target="http://www.sec.gov/cgi-bin/browse-edgar?action=getcompany&amp;CIK=00018101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3315</Characters>
  <CharactersWithSpaces>3856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