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gridSpan w:val="4"/>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61"/>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20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Hemrajani Rekha</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12"/>
          </w:tcPr>
          <w:p>
            <w:pPr>
              <w:spacing w:after="0" w:line="105" w:lineRule="exact"/>
              <w:rPr>
                <w:rFonts w:ascii="Arial" w:cs="Arial" w:eastAsia="Arial" w:hAnsi="Arial"/>
                <w:sz w:val="11"/>
                <w:szCs w:val="11"/>
                <w:color w:val="0000EE"/>
              </w:rPr>
            </w:pPr>
            <w:hyperlink r:id="rId9">
              <w:r>
                <w:rPr>
                  <w:rFonts w:ascii="Arial" w:cs="Arial" w:eastAsia="Arial" w:hAnsi="Arial"/>
                  <w:sz w:val="11"/>
                  <w:szCs w:val="11"/>
                  <w:color w:val="0000EE"/>
                </w:rPr>
                <w:t xml:space="preserve">ALX ONCOLOGY HOLDINGS INC </w:t>
              </w:r>
            </w:hyperlink>
            <w:r>
              <w:rPr>
                <w:rFonts w:ascii="Arial" w:cs="Arial" w:eastAsia="Arial" w:hAnsi="Arial"/>
                <w:sz w:val="11"/>
                <w:szCs w:val="11"/>
                <w:color w:val="000000"/>
              </w:rPr>
              <w:t>[</w:t>
            </w: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36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320" w:type="dxa"/>
            <w:vAlign w:val="bottom"/>
            <w:tcBorders>
              <w:bottom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4"/>
            <w:vMerge w:val="restart"/>
          </w:tcPr>
          <w:p>
            <w:pPr>
              <w:spacing w:after="0" w:line="220" w:lineRule="exact"/>
              <w:rPr>
                <w:sz w:val="20"/>
                <w:szCs w:val="20"/>
                <w:color w:val="auto"/>
              </w:rPr>
            </w:pPr>
            <w:r>
              <w:rPr>
                <w:rFonts w:ascii="Arial" w:cs="Arial" w:eastAsia="Arial" w:hAnsi="Arial"/>
                <w:sz w:val="17"/>
                <w:szCs w:val="17"/>
                <w:color w:val="0000FF"/>
              </w:rPr>
              <w:t xml:space="preserve">ALXO </w:t>
            </w:r>
            <w:r>
              <w:rPr>
                <w:rFonts w:ascii="Arial" w:cs="Arial" w:eastAsia="Arial" w:hAnsi="Arial"/>
                <w:sz w:val="20"/>
                <w:szCs w:val="20"/>
                <w:color w:val="000000"/>
              </w:rPr>
              <w:t>]</w:t>
            </w: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EE"/>
            </w:tcBorders>
          </w:tcPr>
          <w:p>
            <w:pPr>
              <w:spacing w:after="0"/>
              <w:rPr>
                <w:sz w:val="12"/>
                <w:szCs w:val="12"/>
                <w:color w:val="auto"/>
              </w:rPr>
            </w:pPr>
          </w:p>
        </w:tc>
        <w:tc>
          <w:tcPr>
            <w:tcW w:w="6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4"/>
            <w:vMerge w:val="continue"/>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4"/>
            <w:vMerge w:val="restart"/>
          </w:tcPr>
          <w:p>
            <w:pPr>
              <w:ind w:left="140"/>
              <w:spacing w:after="0" w:line="144"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3"/>
                <w:szCs w:val="3"/>
                <w:color w:val="auto"/>
              </w:rPr>
            </w:pPr>
          </w:p>
        </w:tc>
        <w:tc>
          <w:tcPr>
            <w:tcW w:w="1480" w:type="dxa"/>
            <w:vAlign w:val="bottom"/>
            <w:gridSpan w:val="7"/>
            <w:vMerge w:val="restart"/>
          </w:tcPr>
          <w:p>
            <w:pPr>
              <w:ind w:left="220"/>
              <w:spacing w:after="0" w:line="144"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7"/>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8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ALX ONCOLOGY HOLDINGS INC.</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06/20/2023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8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6"/>
          </w:tcPr>
          <w:p>
            <w:pPr>
              <w:ind w:left="20"/>
              <w:spacing w:after="0"/>
              <w:rPr>
                <w:sz w:val="20"/>
                <w:szCs w:val="20"/>
                <w:color w:val="auto"/>
              </w:rPr>
            </w:pPr>
            <w:r>
              <w:rPr>
                <w:rFonts w:ascii="Arial" w:cs="Arial" w:eastAsia="Arial" w:hAnsi="Arial"/>
                <w:sz w:val="17"/>
                <w:szCs w:val="17"/>
                <w:color w:val="0000FF"/>
              </w:rPr>
              <w:t>323 ALLERTON AVENUE</w:t>
            </w: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20" w:type="dxa"/>
            <w:vAlign w:val="bottom"/>
            <w:gridSpan w:val="12"/>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20"/>
                <w:szCs w:val="20"/>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Line)</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3400" w:type="dxa"/>
            <w:vAlign w:val="bottom"/>
            <w:gridSpan w:val="1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12"/>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SOUTH SAN</w:t>
            </w: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96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180" w:type="dxa"/>
            <w:vAlign w:val="bottom"/>
            <w:gridSpan w:val="3"/>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94080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FRANCISCO</w:t>
            </w:r>
          </w:p>
        </w:tc>
        <w:tc>
          <w:tcPr>
            <w:tcW w:w="1180" w:type="dxa"/>
            <w:vAlign w:val="bottom"/>
            <w:gridSpan w:val="3"/>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7"/>
                <w:szCs w:val="1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7000" w:type="dxa"/>
            <w:vAlign w:val="bottom"/>
            <w:gridSpan w:val="2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000" w:type="dxa"/>
            <w:vAlign w:val="bottom"/>
            <w:gridSpan w:val="2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21"/>
          </w:tcPr>
          <w:p>
            <w:pPr>
              <w:ind w:left="6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32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1700" w:type="dxa"/>
            <w:vAlign w:val="bottom"/>
            <w:tcBorders>
              <w:bottom w:val="single" w:sz="8" w:color="2C2C2C"/>
            </w:tcBorders>
            <w:gridSpan w:val="4"/>
          </w:tcPr>
          <w:p>
            <w:pPr>
              <w:spacing w:after="0"/>
              <w:rPr>
                <w:sz w:val="6"/>
                <w:szCs w:val="6"/>
                <w:color w:val="auto"/>
              </w:rPr>
            </w:pPr>
          </w:p>
        </w:tc>
        <w:tc>
          <w:tcPr>
            <w:tcW w:w="880" w:type="dxa"/>
            <w:vAlign w:val="bottom"/>
            <w:tcBorders>
              <w:bottom w:val="single" w:sz="8" w:color="2C2C2C"/>
            </w:tcBorders>
            <w:gridSpan w:val="3"/>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21"/>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360" w:type="dxa"/>
            <w:vAlign w:val="bottom"/>
            <w:vMerge w:val="restart"/>
          </w:tcPr>
          <w:p>
            <w:pPr>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8.14</w:t>
            </w:r>
          </w:p>
        </w:tc>
        <w:tc>
          <w:tcPr>
            <w:tcW w:w="140" w:type="dxa"/>
            <w:vAlign w:val="bottom"/>
          </w:tcPr>
          <w:p>
            <w:pPr>
              <w:spacing w:after="0"/>
              <w:rPr>
                <w:sz w:val="17"/>
                <w:szCs w:val="17"/>
                <w:color w:val="auto"/>
              </w:rPr>
            </w:pPr>
          </w:p>
        </w:tc>
        <w:tc>
          <w:tcPr>
            <w:tcW w:w="1040" w:type="dxa"/>
            <w:vAlign w:val="bottom"/>
            <w:gridSpan w:val="2"/>
          </w:tcPr>
          <w:p>
            <w:pPr>
              <w:jc w:val="right"/>
              <w:ind w:right="95"/>
              <w:spacing w:after="0"/>
              <w:rPr>
                <w:sz w:val="20"/>
                <w:szCs w:val="20"/>
                <w:color w:val="auto"/>
              </w:rPr>
            </w:pPr>
            <w:r>
              <w:rPr>
                <w:rFonts w:ascii="Arial" w:cs="Arial" w:eastAsia="Arial" w:hAnsi="Arial"/>
                <w:sz w:val="13"/>
                <w:szCs w:val="13"/>
                <w:color w:val="0000FF"/>
              </w:rPr>
              <w:t>06/20/2023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3"/>
                <w:szCs w:val="13"/>
                <w:color w:val="0000FF"/>
              </w:rPr>
              <w:t>20,200</w:t>
            </w: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140"/>
              <w:spacing w:after="0"/>
              <w:rPr>
                <w:sz w:val="20"/>
                <w:szCs w:val="20"/>
                <w:color w:val="auto"/>
              </w:rPr>
            </w:pPr>
            <w:r>
              <w:rPr>
                <w:rFonts w:ascii="Arial" w:cs="Arial" w:eastAsia="Arial" w:hAnsi="Arial"/>
                <w:sz w:val="13"/>
                <w:szCs w:val="13"/>
                <w:color w:val="0000FF"/>
              </w:rPr>
              <w:t>06/19/2033</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20,200</w:t>
            </w:r>
          </w:p>
        </w:tc>
        <w:tc>
          <w:tcPr>
            <w:tcW w:w="1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20,200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gridSpan w:val="2"/>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-5751830</wp:posOffset>
            </wp:positionV>
            <wp:extent cx="7045960" cy="5905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90550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Shares subject to the option vest in 12 equal monthly installments on the 20th day of the month, or if earlier, the day immediately before the day of the next annual meeting of stockholders.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5"/>
              </w:rPr>
              <w:t>/s/ Peter Garcia, by power of</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06/22/2023</w:t>
            </w:r>
          </w:p>
        </w:tc>
        <w:tc>
          <w:tcPr>
            <w:tcW w:w="0" w:type="dxa"/>
            <w:vAlign w:val="bottom"/>
          </w:tcPr>
          <w:p>
            <w:pPr>
              <w:spacing w:after="0"/>
              <w:rPr>
                <w:sz w:val="1"/>
                <w:szCs w:val="1"/>
                <w:color w:val="auto"/>
              </w:rPr>
            </w:pPr>
          </w:p>
        </w:tc>
      </w:tr>
      <w:tr>
        <w:trPr>
          <w:trHeight w:val="84"/>
        </w:trPr>
        <w:tc>
          <w:tcPr>
            <w:tcW w:w="1960" w:type="dxa"/>
            <w:vAlign w:val="bottom"/>
            <w:tcBorders>
              <w:top w:val="single" w:sz="8" w:color="auto"/>
            </w:tcBorders>
            <w:gridSpan w:val="2"/>
            <w:vMerge w:val="restart"/>
          </w:tcPr>
          <w:p>
            <w:pPr>
              <w:spacing w:after="0" w:line="189" w:lineRule="exact"/>
              <w:rPr>
                <w:sz w:val="20"/>
                <w:szCs w:val="20"/>
                <w:color w:val="auto"/>
              </w:rPr>
            </w:pPr>
            <w:r>
              <w:rPr>
                <w:rFonts w:ascii="Arial" w:cs="Arial" w:eastAsia="Arial" w:hAnsi="Arial"/>
                <w:sz w:val="17"/>
                <w:szCs w:val="17"/>
                <w:color w:val="0000FF"/>
              </w:rPr>
              <w:t>attorney</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771213" TargetMode="External"/><Relationship Id="rId9"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2023-06-22T15:49:49Z</dcterms:created>
  <dcterms:modified xsi:type="dcterms:W3CDTF">2023-06-22T15:49:49Z</dcterms:modified>
</cp:coreProperties>
</file>