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09" w:right="419" w:bottom="1440" w:gutter="0" w:footer="0" w:header="0"/>
        </w:sectPr>
      </w:pPr>
    </w:p>
    <w:bookmarkStart w:id="1" w:name="page2"/>
    <w:bookmarkEnd w:id="1"/>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00166B105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540" w:type="dxa"/>
            <w:vAlign w:val="bottom"/>
            <w:tcBorders>
              <w:top w:val="single" w:sz="8" w:color="auto"/>
            </w:tcBorders>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1</w:t>
            </w:r>
          </w:p>
        </w:tc>
        <w:tc>
          <w:tcPr>
            <w:tcW w:w="30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04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Vivo Capital Fund IX, L.P.</w:t>
            </w:r>
          </w:p>
        </w:tc>
        <w:tc>
          <w:tcPr>
            <w:tcW w:w="0" w:type="dxa"/>
            <w:vAlign w:val="bottom"/>
          </w:tcPr>
          <w:p>
            <w:pPr>
              <w:spacing w:after="0"/>
              <w:rPr>
                <w:sz w:val="1"/>
                <w:szCs w:val="1"/>
                <w:color w:val="auto"/>
              </w:rPr>
            </w:pPr>
          </w:p>
        </w:tc>
      </w:tr>
      <w:tr>
        <w:trPr>
          <w:trHeight w:val="319"/>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3</w:t>
            </w:r>
          </w:p>
        </w:tc>
        <w:tc>
          <w:tcPr>
            <w:tcW w:w="300" w:type="dxa"/>
            <w:vAlign w:val="bottom"/>
            <w:tcBorders>
              <w:right w:val="single" w:sz="8" w:color="auto"/>
            </w:tcBorders>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4</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5</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06"/>
        </w:trPr>
        <w:tc>
          <w:tcPr>
            <w:tcW w:w="16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tcBorders>
          </w:tcPr>
          <w:p>
            <w:pPr>
              <w:ind w:left="80"/>
              <w:spacing w:after="0" w:line="298" w:lineRule="exact"/>
              <w:rPr>
                <w:sz w:val="20"/>
                <w:szCs w:val="20"/>
                <w:color w:val="auto"/>
              </w:rPr>
            </w:pPr>
            <w:r>
              <w:rPr>
                <w:rFonts w:ascii="Times New Roman" w:cs="Times New Roman" w:eastAsia="Times New Roman" w:hAnsi="Times New Roman"/>
                <w:sz w:val="18"/>
                <w:szCs w:val="18"/>
                <w:b w:val="1"/>
                <w:bCs w:val="1"/>
                <w:color w:val="auto"/>
              </w:rPr>
              <w:t>1,813,864</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198"/>
        </w:trPr>
        <w:tc>
          <w:tcPr>
            <w:tcW w:w="1220" w:type="dxa"/>
            <w:vAlign w:val="bottom"/>
            <w:gridSpan w:val="3"/>
          </w:tcPr>
          <w:p>
            <w:pPr>
              <w:jc w:val="center"/>
              <w:ind w:left="30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4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right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6</w:t>
            </w:r>
          </w:p>
        </w:tc>
        <w:tc>
          <w:tcPr>
            <w:tcW w:w="8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8"/>
        </w:trPr>
        <w:tc>
          <w:tcPr>
            <w:tcW w:w="16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1620" w:type="dxa"/>
            <w:vAlign w:val="bottom"/>
            <w:tcBorders>
              <w:right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8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7"/>
        </w:trPr>
        <w:tc>
          <w:tcPr>
            <w:tcW w:w="1620" w:type="dxa"/>
            <w:vAlign w:val="bottom"/>
            <w:tcBorders>
              <w:right w:val="single" w:sz="8" w:color="auto"/>
            </w:tcBorders>
            <w:gridSpan w:val="4"/>
          </w:tcPr>
          <w:p>
            <w:pPr>
              <w:jc w:val="center"/>
              <w:spacing w:after="0" w:line="160" w:lineRule="exact"/>
              <w:rPr>
                <w:sz w:val="20"/>
                <w:szCs w:val="20"/>
                <w:color w:val="auto"/>
              </w:rPr>
            </w:pPr>
            <w:r>
              <w:rPr>
                <w:rFonts w:ascii="Times New Roman" w:cs="Times New Roman" w:eastAsia="Times New Roman" w:hAnsi="Times New Roman"/>
                <w:sz w:val="18"/>
                <w:szCs w:val="18"/>
                <w:color w:val="auto"/>
              </w:rPr>
              <w:t>OWNED BY</w:t>
            </w: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6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EACH</w:t>
            </w:r>
          </w:p>
        </w:tc>
        <w:tc>
          <w:tcPr>
            <w:tcW w:w="4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Borders>
              <w:right w:val="single" w:sz="8" w:color="auto"/>
            </w:tcBorders>
          </w:tcPr>
          <w:p>
            <w:pPr>
              <w:jc w:val="right"/>
              <w:ind w:right="472"/>
              <w:spacing w:after="0" w:line="245" w:lineRule="exact"/>
              <w:rPr>
                <w:sz w:val="20"/>
                <w:szCs w:val="20"/>
                <w:color w:val="auto"/>
              </w:rPr>
            </w:pPr>
            <w:r>
              <w:rPr>
                <w:rFonts w:ascii="Times New Roman" w:cs="Times New Roman" w:eastAsia="Times New Roman" w:hAnsi="Times New Roman"/>
                <w:sz w:val="22"/>
                <w:szCs w:val="22"/>
                <w:b w:val="1"/>
                <w:bCs w:val="1"/>
                <w:color w:val="auto"/>
              </w:rPr>
              <w:t>7</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6"/>
        </w:trPr>
        <w:tc>
          <w:tcPr>
            <w:tcW w:w="1620" w:type="dxa"/>
            <w:vAlign w:val="bottom"/>
            <w:tcBorders>
              <w:right w:val="single" w:sz="8" w:color="auto"/>
            </w:tcBorders>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8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1,813,864</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01"/>
        </w:trPr>
        <w:tc>
          <w:tcPr>
            <w:tcW w:w="1220" w:type="dxa"/>
            <w:vAlign w:val="bottom"/>
            <w:gridSpan w:val="3"/>
          </w:tcPr>
          <w:p>
            <w:pPr>
              <w:jc w:val="center"/>
              <w:ind w:left="300"/>
              <w:spacing w:after="0" w:line="194" w:lineRule="exact"/>
              <w:rPr>
                <w:sz w:val="20"/>
                <w:szCs w:val="20"/>
                <w:color w:val="auto"/>
              </w:rPr>
            </w:pPr>
            <w:r>
              <w:rPr>
                <w:rFonts w:ascii="Times New Roman" w:cs="Times New Roman" w:eastAsia="Times New Roman" w:hAnsi="Times New Roman"/>
                <w:sz w:val="18"/>
                <w:szCs w:val="18"/>
                <w:color w:val="auto"/>
              </w:rPr>
              <w:t>PERSON</w:t>
            </w:r>
          </w:p>
        </w:tc>
        <w:tc>
          <w:tcPr>
            <w:tcW w:w="40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6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8</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8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9</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472"/>
              <w:spacing w:after="0" w:line="298" w:lineRule="exact"/>
              <w:rPr>
                <w:sz w:val="20"/>
                <w:szCs w:val="20"/>
                <w:color w:val="auto"/>
              </w:rPr>
            </w:pPr>
            <w:r>
              <w:rPr>
                <w:rFonts w:ascii="Times New Roman" w:cs="Times New Roman" w:eastAsia="Times New Roman" w:hAnsi="Times New Roman"/>
                <w:sz w:val="18"/>
                <w:szCs w:val="18"/>
                <w:b w:val="1"/>
                <w:bCs w:val="1"/>
                <w:color w:val="auto"/>
              </w:rPr>
              <w:t>1,813,864</w:t>
            </w:r>
            <w:r>
              <w:rPr>
                <w:rFonts w:ascii="Times New Roman" w:cs="Times New Roman" w:eastAsia="Times New Roman" w:hAnsi="Times New Roman"/>
                <w:sz w:val="29"/>
                <w:szCs w:val="29"/>
                <w:b w:val="1"/>
                <w:bCs w:val="1"/>
                <w:color w:val="auto"/>
                <w:vertAlign w:val="superscript"/>
              </w:rPr>
              <w:t>(1)</w:t>
            </w: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10</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2"/>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11</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30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line="298" w:lineRule="exact"/>
              <w:rPr>
                <w:sz w:val="20"/>
                <w:szCs w:val="20"/>
                <w:color w:val="auto"/>
              </w:rPr>
            </w:pPr>
            <w:r>
              <w:rPr>
                <w:rFonts w:ascii="Times New Roman" w:cs="Times New Roman" w:eastAsia="Times New Roman" w:hAnsi="Times New Roman"/>
                <w:sz w:val="18"/>
                <w:szCs w:val="18"/>
                <w:b w:val="1"/>
                <w:bCs w:val="1"/>
                <w:color w:val="auto"/>
                <w:w w:val="97"/>
              </w:rPr>
              <w:t xml:space="preserve">3.4% </w:t>
            </w:r>
            <w:r>
              <w:rPr>
                <w:rFonts w:ascii="Times New Roman" w:cs="Times New Roman" w:eastAsia="Times New Roman" w:hAnsi="Times New Roman"/>
                <w:sz w:val="29"/>
                <w:szCs w:val="29"/>
                <w:b w:val="1"/>
                <w:bCs w:val="1"/>
                <w:color w:val="auto"/>
                <w:w w:val="97"/>
                <w:vertAlign w:val="superscript"/>
              </w:rPr>
              <w:t>(2)</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PN</w:t>
            </w:r>
          </w:p>
        </w:tc>
        <w:tc>
          <w:tcPr>
            <w:tcW w:w="4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right="20" w:hanging="492"/>
        <w:spacing w:after="0" w:line="195" w:lineRule="auto"/>
        <w:tabs>
          <w:tab w:leader="none" w:pos="50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shares of common stock, par value $0.001 per share (the “Common Stock”) of ALX Oncology Holdings Inc. (the “Issuer”) are held of record by Vivo Capital Fund IX, L.P, as of November 8, 2024.Vivo Capital IX, LLC is the general partner of Vivo Capital Fund IX, L.P.</w:t>
      </w:r>
    </w:p>
    <w:p>
      <w:pPr>
        <w:spacing w:after="0" w:line="199" w:lineRule="exact"/>
        <w:rPr>
          <w:rFonts w:ascii="Times New Roman" w:cs="Times New Roman" w:eastAsia="Times New Roman" w:hAnsi="Times New Roman"/>
          <w:sz w:val="30"/>
          <w:szCs w:val="30"/>
          <w:color w:val="auto"/>
          <w:vertAlign w:val="superscript"/>
        </w:rPr>
      </w:pPr>
    </w:p>
    <w:p>
      <w:pPr>
        <w:ind w:left="500" w:right="20" w:hanging="492"/>
        <w:spacing w:after="0" w:line="195" w:lineRule="auto"/>
        <w:tabs>
          <w:tab w:leader="none" w:pos="50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52,743,104 shares of Common Stock outstanding as of October 31, 2024, as disclosed in the Issuer’s Quarterly Report on Form 10-Q, filed with the Securities and Exchange Commission (the “SEC”) on November 7, 2024.</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CUSIP No</w:t>
      </w:r>
      <w:r>
        <w:rPr>
          <w:rFonts w:ascii="Times New Roman" w:cs="Times New Roman" w:eastAsia="Times New Roman" w:hAnsi="Times New Roman"/>
          <w:sz w:val="18"/>
          <w:szCs w:val="18"/>
          <w:b w:val="1"/>
          <w:bCs w:val="1"/>
          <w:color w:val="auto"/>
        </w:rPr>
        <w:t>. 00166B105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540" w:type="dxa"/>
            <w:vAlign w:val="bottom"/>
            <w:tcBorders>
              <w:top w:val="single" w:sz="8" w:color="auto"/>
            </w:tcBorders>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1</w:t>
            </w:r>
          </w:p>
        </w:tc>
        <w:tc>
          <w:tcPr>
            <w:tcW w:w="30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04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Vivo Capital IX, LLC</w:t>
            </w:r>
          </w:p>
        </w:tc>
        <w:tc>
          <w:tcPr>
            <w:tcW w:w="0" w:type="dxa"/>
            <w:vAlign w:val="bottom"/>
          </w:tcPr>
          <w:p>
            <w:pPr>
              <w:spacing w:after="0"/>
              <w:rPr>
                <w:sz w:val="1"/>
                <w:szCs w:val="1"/>
                <w:color w:val="auto"/>
              </w:rPr>
            </w:pPr>
          </w:p>
        </w:tc>
      </w:tr>
      <w:tr>
        <w:trPr>
          <w:trHeight w:val="319"/>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3</w:t>
            </w:r>
          </w:p>
        </w:tc>
        <w:tc>
          <w:tcPr>
            <w:tcW w:w="300" w:type="dxa"/>
            <w:vAlign w:val="bottom"/>
            <w:tcBorders>
              <w:right w:val="single" w:sz="8" w:color="auto"/>
            </w:tcBorders>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4</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5</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06"/>
        </w:trPr>
        <w:tc>
          <w:tcPr>
            <w:tcW w:w="16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tcBorders>
          </w:tcPr>
          <w:p>
            <w:pPr>
              <w:ind w:left="80"/>
              <w:spacing w:after="0" w:line="298" w:lineRule="exact"/>
              <w:rPr>
                <w:sz w:val="20"/>
                <w:szCs w:val="20"/>
                <w:color w:val="auto"/>
              </w:rPr>
            </w:pPr>
            <w:r>
              <w:rPr>
                <w:rFonts w:ascii="Times New Roman" w:cs="Times New Roman" w:eastAsia="Times New Roman" w:hAnsi="Times New Roman"/>
                <w:sz w:val="18"/>
                <w:szCs w:val="18"/>
                <w:b w:val="1"/>
                <w:bCs w:val="1"/>
                <w:color w:val="auto"/>
              </w:rPr>
              <w:t>1,813,864</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198"/>
        </w:trPr>
        <w:tc>
          <w:tcPr>
            <w:tcW w:w="1240" w:type="dxa"/>
            <w:vAlign w:val="bottom"/>
            <w:gridSpan w:val="3"/>
          </w:tcPr>
          <w:p>
            <w:pPr>
              <w:jc w:val="center"/>
              <w:ind w:left="28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right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6</w:t>
            </w:r>
          </w:p>
        </w:tc>
        <w:tc>
          <w:tcPr>
            <w:tcW w:w="8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8"/>
        </w:trPr>
        <w:tc>
          <w:tcPr>
            <w:tcW w:w="16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1620" w:type="dxa"/>
            <w:vAlign w:val="bottom"/>
            <w:tcBorders>
              <w:right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8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7"/>
        </w:trPr>
        <w:tc>
          <w:tcPr>
            <w:tcW w:w="1620" w:type="dxa"/>
            <w:vAlign w:val="bottom"/>
            <w:tcBorders>
              <w:right w:val="single" w:sz="8" w:color="auto"/>
            </w:tcBorders>
            <w:gridSpan w:val="4"/>
          </w:tcPr>
          <w:p>
            <w:pPr>
              <w:jc w:val="center"/>
              <w:spacing w:after="0" w:line="160" w:lineRule="exact"/>
              <w:rPr>
                <w:sz w:val="20"/>
                <w:szCs w:val="20"/>
                <w:color w:val="auto"/>
              </w:rPr>
            </w:pPr>
            <w:r>
              <w:rPr>
                <w:rFonts w:ascii="Times New Roman" w:cs="Times New Roman" w:eastAsia="Times New Roman" w:hAnsi="Times New Roman"/>
                <w:sz w:val="18"/>
                <w:szCs w:val="18"/>
                <w:color w:val="auto"/>
              </w:rPr>
              <w:t>OWNED BY</w:t>
            </w: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7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rPr>
              <w:t>EACH</w:t>
            </w:r>
          </w:p>
        </w:tc>
        <w:tc>
          <w:tcPr>
            <w:tcW w:w="3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Borders>
              <w:right w:val="single" w:sz="8" w:color="auto"/>
            </w:tcBorders>
          </w:tcPr>
          <w:p>
            <w:pPr>
              <w:jc w:val="right"/>
              <w:ind w:right="472"/>
              <w:spacing w:after="0" w:line="245" w:lineRule="exact"/>
              <w:rPr>
                <w:sz w:val="20"/>
                <w:szCs w:val="20"/>
                <w:color w:val="auto"/>
              </w:rPr>
            </w:pPr>
            <w:r>
              <w:rPr>
                <w:rFonts w:ascii="Times New Roman" w:cs="Times New Roman" w:eastAsia="Times New Roman" w:hAnsi="Times New Roman"/>
                <w:sz w:val="22"/>
                <w:szCs w:val="22"/>
                <w:b w:val="1"/>
                <w:bCs w:val="1"/>
                <w:color w:val="auto"/>
              </w:rPr>
              <w:t>7</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6"/>
        </w:trPr>
        <w:tc>
          <w:tcPr>
            <w:tcW w:w="1620" w:type="dxa"/>
            <w:vAlign w:val="bottom"/>
            <w:tcBorders>
              <w:right w:val="single" w:sz="8" w:color="auto"/>
            </w:tcBorders>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8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1,813,864</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01"/>
        </w:trPr>
        <w:tc>
          <w:tcPr>
            <w:tcW w:w="1240" w:type="dxa"/>
            <w:vAlign w:val="bottom"/>
            <w:gridSpan w:val="3"/>
          </w:tcPr>
          <w:p>
            <w:pPr>
              <w:jc w:val="center"/>
              <w:ind w:left="280"/>
              <w:spacing w:after="0" w:line="194" w:lineRule="exact"/>
              <w:rPr>
                <w:sz w:val="20"/>
                <w:szCs w:val="20"/>
                <w:color w:val="auto"/>
              </w:rPr>
            </w:pPr>
            <w:r>
              <w:rPr>
                <w:rFonts w:ascii="Times New Roman" w:cs="Times New Roman" w:eastAsia="Times New Roman" w:hAnsi="Times New Roman"/>
                <w:sz w:val="18"/>
                <w:szCs w:val="18"/>
                <w:color w:val="auto"/>
              </w:rPr>
              <w:t>PERSON</w:t>
            </w:r>
          </w:p>
        </w:tc>
        <w:tc>
          <w:tcPr>
            <w:tcW w:w="38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7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8</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8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9</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472"/>
              <w:spacing w:after="0" w:line="298" w:lineRule="exact"/>
              <w:rPr>
                <w:sz w:val="20"/>
                <w:szCs w:val="20"/>
                <w:color w:val="auto"/>
              </w:rPr>
            </w:pPr>
            <w:r>
              <w:rPr>
                <w:rFonts w:ascii="Times New Roman" w:cs="Times New Roman" w:eastAsia="Times New Roman" w:hAnsi="Times New Roman"/>
                <w:sz w:val="18"/>
                <w:szCs w:val="18"/>
                <w:b w:val="1"/>
                <w:bCs w:val="1"/>
                <w:color w:val="auto"/>
              </w:rPr>
              <w:t>1,813,864</w:t>
            </w:r>
            <w:r>
              <w:rPr>
                <w:rFonts w:ascii="Times New Roman" w:cs="Times New Roman" w:eastAsia="Times New Roman" w:hAnsi="Times New Roman"/>
                <w:sz w:val="29"/>
                <w:szCs w:val="29"/>
                <w:b w:val="1"/>
                <w:bCs w:val="1"/>
                <w:color w:val="auto"/>
                <w:vertAlign w:val="superscript"/>
              </w:rPr>
              <w:t>(1)</w:t>
            </w: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10</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2"/>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11</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30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line="298" w:lineRule="exact"/>
              <w:rPr>
                <w:sz w:val="20"/>
                <w:szCs w:val="20"/>
                <w:color w:val="auto"/>
              </w:rPr>
            </w:pPr>
            <w:r>
              <w:rPr>
                <w:rFonts w:ascii="Times New Roman" w:cs="Times New Roman" w:eastAsia="Times New Roman" w:hAnsi="Times New Roman"/>
                <w:sz w:val="18"/>
                <w:szCs w:val="18"/>
                <w:b w:val="1"/>
                <w:bCs w:val="1"/>
                <w:color w:val="auto"/>
                <w:w w:val="91"/>
              </w:rPr>
              <w:t xml:space="preserve">3.4 % </w:t>
            </w:r>
            <w:r>
              <w:rPr>
                <w:rFonts w:ascii="Times New Roman" w:cs="Times New Roman" w:eastAsia="Times New Roman" w:hAnsi="Times New Roman"/>
                <w:sz w:val="29"/>
                <w:szCs w:val="29"/>
                <w:b w:val="1"/>
                <w:bCs w:val="1"/>
                <w:color w:val="auto"/>
                <w:w w:val="91"/>
                <w:vertAlign w:val="superscript"/>
              </w:rPr>
              <w:t>(2)</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OO</w:t>
            </w:r>
          </w:p>
        </w:tc>
        <w:tc>
          <w:tcPr>
            <w:tcW w:w="3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right="280" w:hanging="492"/>
        <w:spacing w:after="0" w:line="195" w:lineRule="auto"/>
        <w:tabs>
          <w:tab w:leader="none" w:pos="50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shares of Common Stock of the Issuer are held of record by Vivo Capital Fund IX, L.P. as of November 8, 2024. Vivo Capital IX, LLC is the general partner of Vivo Capital Fund IX, L.P.</w:t>
      </w:r>
    </w:p>
    <w:p>
      <w:pPr>
        <w:spacing w:after="0" w:line="226" w:lineRule="exact"/>
        <w:rPr>
          <w:rFonts w:ascii="Times New Roman" w:cs="Times New Roman" w:eastAsia="Times New Roman" w:hAnsi="Times New Roman"/>
          <w:sz w:val="30"/>
          <w:szCs w:val="30"/>
          <w:color w:val="auto"/>
          <w:vertAlign w:val="superscript"/>
        </w:rPr>
      </w:pPr>
    </w:p>
    <w:p>
      <w:pPr>
        <w:ind w:left="500" w:right="20" w:hanging="492"/>
        <w:spacing w:after="0" w:line="195" w:lineRule="auto"/>
        <w:tabs>
          <w:tab w:leader="none" w:pos="50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52,743,104 shares of Common Stock outstanding as of October 31, 2024, as disclosed in the Issuer’s Quarterly Report on Form 10-Q, filed with the SEC on November 7, 2024.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00166B105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540" w:type="dxa"/>
            <w:vAlign w:val="bottom"/>
            <w:tcBorders>
              <w:top w:val="single" w:sz="8" w:color="auto"/>
            </w:tcBorders>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1</w:t>
            </w:r>
          </w:p>
        </w:tc>
        <w:tc>
          <w:tcPr>
            <w:tcW w:w="30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04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Vivo Opportunity Fund Holdings, L.P.</w:t>
            </w:r>
          </w:p>
        </w:tc>
        <w:tc>
          <w:tcPr>
            <w:tcW w:w="0" w:type="dxa"/>
            <w:vAlign w:val="bottom"/>
          </w:tcPr>
          <w:p>
            <w:pPr>
              <w:spacing w:after="0"/>
              <w:rPr>
                <w:sz w:val="1"/>
                <w:szCs w:val="1"/>
                <w:color w:val="auto"/>
              </w:rPr>
            </w:pPr>
          </w:p>
        </w:tc>
      </w:tr>
      <w:tr>
        <w:trPr>
          <w:trHeight w:val="319"/>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2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3</w:t>
            </w:r>
          </w:p>
        </w:tc>
        <w:tc>
          <w:tcPr>
            <w:tcW w:w="300" w:type="dxa"/>
            <w:vAlign w:val="bottom"/>
            <w:tcBorders>
              <w:right w:val="single" w:sz="8" w:color="auto"/>
            </w:tcBorders>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4</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5</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06"/>
        </w:trPr>
        <w:tc>
          <w:tcPr>
            <w:tcW w:w="16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tcBorders>
          </w:tcPr>
          <w:p>
            <w:pPr>
              <w:ind w:left="80"/>
              <w:spacing w:after="0" w:line="299" w:lineRule="exact"/>
              <w:rPr>
                <w:sz w:val="20"/>
                <w:szCs w:val="20"/>
                <w:color w:val="auto"/>
              </w:rPr>
            </w:pPr>
            <w:r>
              <w:rPr>
                <w:rFonts w:ascii="Times New Roman" w:cs="Times New Roman" w:eastAsia="Times New Roman" w:hAnsi="Times New Roman"/>
                <w:sz w:val="34"/>
                <w:szCs w:val="34"/>
                <w:b w:val="1"/>
                <w:bCs w:val="1"/>
                <w:color w:val="auto"/>
                <w:vertAlign w:val="subscript"/>
              </w:rPr>
              <w:t>0</w:t>
            </w:r>
            <w:r>
              <w:rPr>
                <w:rFonts w:ascii="Times New Roman" w:cs="Times New Roman" w:eastAsia="Times New Roman" w:hAnsi="Times New Roman"/>
                <w:sz w:val="15"/>
                <w:szCs w:val="15"/>
                <w:b w:val="1"/>
                <w:bCs w:val="1"/>
                <w:color w:val="auto"/>
              </w:rPr>
              <w:t xml:space="preserve"> (1)</w:t>
            </w:r>
          </w:p>
        </w:tc>
        <w:tc>
          <w:tcPr>
            <w:tcW w:w="0" w:type="dxa"/>
            <w:vAlign w:val="bottom"/>
          </w:tcPr>
          <w:p>
            <w:pPr>
              <w:spacing w:after="0"/>
              <w:rPr>
                <w:sz w:val="1"/>
                <w:szCs w:val="1"/>
                <w:color w:val="auto"/>
              </w:rPr>
            </w:pPr>
          </w:p>
        </w:tc>
      </w:tr>
      <w:tr>
        <w:trPr>
          <w:trHeight w:val="198"/>
        </w:trPr>
        <w:tc>
          <w:tcPr>
            <w:tcW w:w="1260" w:type="dxa"/>
            <w:vAlign w:val="bottom"/>
            <w:gridSpan w:val="3"/>
          </w:tcPr>
          <w:p>
            <w:pPr>
              <w:jc w:val="center"/>
              <w:ind w:left="26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right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6</w:t>
            </w:r>
          </w:p>
        </w:tc>
        <w:tc>
          <w:tcPr>
            <w:tcW w:w="8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8"/>
        </w:trPr>
        <w:tc>
          <w:tcPr>
            <w:tcW w:w="16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1620" w:type="dxa"/>
            <w:vAlign w:val="bottom"/>
            <w:tcBorders>
              <w:right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8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7"/>
        </w:trPr>
        <w:tc>
          <w:tcPr>
            <w:tcW w:w="1620" w:type="dxa"/>
            <w:vAlign w:val="bottom"/>
            <w:tcBorders>
              <w:right w:val="single" w:sz="8" w:color="auto"/>
            </w:tcBorders>
            <w:gridSpan w:val="4"/>
          </w:tcPr>
          <w:p>
            <w:pPr>
              <w:jc w:val="center"/>
              <w:spacing w:after="0" w:line="160" w:lineRule="exact"/>
              <w:rPr>
                <w:sz w:val="20"/>
                <w:szCs w:val="20"/>
                <w:color w:val="auto"/>
              </w:rPr>
            </w:pPr>
            <w:r>
              <w:rPr>
                <w:rFonts w:ascii="Times New Roman" w:cs="Times New Roman" w:eastAsia="Times New Roman" w:hAnsi="Times New Roman"/>
                <w:sz w:val="18"/>
                <w:szCs w:val="18"/>
                <w:color w:val="auto"/>
              </w:rPr>
              <w:t>OWNED BY</w:t>
            </w: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720" w:type="dxa"/>
            <w:vAlign w:val="bottom"/>
            <w:gridSpan w:val="2"/>
          </w:tcPr>
          <w:p>
            <w:pPr>
              <w:jc w:val="center"/>
              <w:ind w:right="92"/>
              <w:spacing w:after="0"/>
              <w:rPr>
                <w:sz w:val="20"/>
                <w:szCs w:val="20"/>
                <w:color w:val="auto"/>
              </w:rPr>
            </w:pPr>
            <w:r>
              <w:rPr>
                <w:rFonts w:ascii="Times New Roman" w:cs="Times New Roman" w:eastAsia="Times New Roman" w:hAnsi="Times New Roman"/>
                <w:sz w:val="18"/>
                <w:szCs w:val="18"/>
                <w:color w:val="auto"/>
              </w:rPr>
              <w:t>EACH</w:t>
            </w:r>
          </w:p>
        </w:tc>
        <w:tc>
          <w:tcPr>
            <w:tcW w:w="36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Borders>
              <w:right w:val="single" w:sz="8" w:color="auto"/>
            </w:tcBorders>
          </w:tcPr>
          <w:p>
            <w:pPr>
              <w:jc w:val="right"/>
              <w:ind w:right="472"/>
              <w:spacing w:after="0" w:line="245" w:lineRule="exact"/>
              <w:rPr>
                <w:sz w:val="20"/>
                <w:szCs w:val="20"/>
                <w:color w:val="auto"/>
              </w:rPr>
            </w:pPr>
            <w:r>
              <w:rPr>
                <w:rFonts w:ascii="Times New Roman" w:cs="Times New Roman" w:eastAsia="Times New Roman" w:hAnsi="Times New Roman"/>
                <w:sz w:val="22"/>
                <w:szCs w:val="22"/>
                <w:b w:val="1"/>
                <w:bCs w:val="1"/>
                <w:color w:val="auto"/>
              </w:rPr>
              <w:t>7</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6"/>
        </w:trPr>
        <w:tc>
          <w:tcPr>
            <w:tcW w:w="1620" w:type="dxa"/>
            <w:vAlign w:val="bottom"/>
            <w:tcBorders>
              <w:right w:val="single" w:sz="8" w:color="auto"/>
            </w:tcBorders>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8840" w:type="dxa"/>
            <w:vAlign w:val="bottom"/>
            <w:vMerge w:val="restart"/>
          </w:tcPr>
          <w:p>
            <w:pPr>
              <w:ind w:left="80"/>
              <w:spacing w:after="0" w:line="390" w:lineRule="exact"/>
              <w:rPr>
                <w:sz w:val="20"/>
                <w:szCs w:val="20"/>
                <w:color w:val="auto"/>
              </w:rPr>
            </w:pPr>
            <w:r>
              <w:rPr>
                <w:rFonts w:ascii="Times New Roman" w:cs="Times New Roman" w:eastAsia="Times New Roman" w:hAnsi="Times New Roman"/>
                <w:sz w:val="35"/>
                <w:szCs w:val="35"/>
                <w:b w:val="1"/>
                <w:bCs w:val="1"/>
                <w:color w:val="auto"/>
                <w:vertAlign w:val="subscript"/>
              </w:rPr>
              <w:t>0</w:t>
            </w:r>
            <w:r>
              <w:rPr>
                <w:rFonts w:ascii="Times New Roman" w:cs="Times New Roman" w:eastAsia="Times New Roman" w:hAnsi="Times New Roman"/>
                <w:sz w:val="15"/>
                <w:szCs w:val="15"/>
                <w:b w:val="1"/>
                <w:bCs w:val="1"/>
                <w:color w:val="auto"/>
              </w:rPr>
              <w:t xml:space="preserve"> (1</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1260" w:type="dxa"/>
            <w:vAlign w:val="bottom"/>
            <w:gridSpan w:val="3"/>
          </w:tcPr>
          <w:p>
            <w:pPr>
              <w:jc w:val="center"/>
              <w:ind w:left="260"/>
              <w:spacing w:after="0" w:line="194" w:lineRule="exact"/>
              <w:rPr>
                <w:sz w:val="20"/>
                <w:szCs w:val="20"/>
                <w:color w:val="auto"/>
              </w:rPr>
            </w:pPr>
            <w:r>
              <w:rPr>
                <w:rFonts w:ascii="Times New Roman" w:cs="Times New Roman" w:eastAsia="Times New Roman" w:hAnsi="Times New Roman"/>
                <w:sz w:val="18"/>
                <w:szCs w:val="18"/>
                <w:color w:val="auto"/>
              </w:rPr>
              <w:t>PERSON</w:t>
            </w:r>
          </w:p>
        </w:tc>
        <w:tc>
          <w:tcPr>
            <w:tcW w:w="36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720" w:type="dxa"/>
            <w:vAlign w:val="bottom"/>
            <w:gridSpan w:val="2"/>
          </w:tcPr>
          <w:p>
            <w:pPr>
              <w:jc w:val="center"/>
              <w:ind w:right="92"/>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8</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8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9</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80"/>
              <w:spacing w:after="0" w:line="299" w:lineRule="exact"/>
              <w:rPr>
                <w:sz w:val="20"/>
                <w:szCs w:val="20"/>
                <w:color w:val="auto"/>
              </w:rPr>
            </w:pPr>
            <w:r>
              <w:rPr>
                <w:rFonts w:ascii="Times New Roman" w:cs="Times New Roman" w:eastAsia="Times New Roman" w:hAnsi="Times New Roman"/>
                <w:sz w:val="34"/>
                <w:szCs w:val="34"/>
                <w:b w:val="1"/>
                <w:bCs w:val="1"/>
                <w:color w:val="auto"/>
                <w:w w:val="98"/>
                <w:vertAlign w:val="subscript"/>
              </w:rPr>
              <w:t>0</w:t>
            </w:r>
            <w:r>
              <w:rPr>
                <w:rFonts w:ascii="Times New Roman" w:cs="Times New Roman" w:eastAsia="Times New Roman" w:hAnsi="Times New Roman"/>
                <w:sz w:val="15"/>
                <w:szCs w:val="15"/>
                <w:b w:val="1"/>
                <w:bCs w:val="1"/>
                <w:color w:val="auto"/>
                <w:w w:val="98"/>
              </w:rPr>
              <w:t xml:space="preserve"> (1)</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10</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2"/>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11</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30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line="299" w:lineRule="exact"/>
              <w:rPr>
                <w:sz w:val="20"/>
                <w:szCs w:val="20"/>
                <w:color w:val="auto"/>
              </w:rPr>
            </w:pPr>
            <w:r>
              <w:rPr>
                <w:rFonts w:ascii="Times New Roman" w:cs="Times New Roman" w:eastAsia="Times New Roman" w:hAnsi="Times New Roman"/>
                <w:sz w:val="34"/>
                <w:szCs w:val="34"/>
                <w:b w:val="1"/>
                <w:bCs w:val="1"/>
                <w:color w:val="auto"/>
                <w:vertAlign w:val="subscript"/>
              </w:rPr>
              <w:t>0 %</w:t>
            </w:r>
            <w:r>
              <w:rPr>
                <w:rFonts w:ascii="Times New Roman" w:cs="Times New Roman" w:eastAsia="Times New Roman" w:hAnsi="Times New Roman"/>
                <w:sz w:val="15"/>
                <w:szCs w:val="15"/>
                <w:b w:val="1"/>
                <w:bCs w:val="1"/>
                <w:color w:val="auto"/>
              </w:rPr>
              <w:t xml:space="preserve"> (2)</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PN</w:t>
            </w: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5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08" w:right="339" w:bottom="1440" w:gutter="0" w:footer="0" w:header="0"/>
        </w:sectPr>
      </w:pPr>
    </w:p>
    <w:bookmarkStart w:id="4" w:name="page5"/>
    <w:bookmarkEnd w:id="4"/>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CUSIP No</w:t>
      </w:r>
      <w:r>
        <w:rPr>
          <w:rFonts w:ascii="Times New Roman" w:cs="Times New Roman" w:eastAsia="Times New Roman" w:hAnsi="Times New Roman"/>
          <w:sz w:val="18"/>
          <w:szCs w:val="18"/>
          <w:b w:val="1"/>
          <w:bCs w:val="1"/>
          <w:color w:val="auto"/>
        </w:rPr>
        <w:t>. 00166B105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540" w:type="dxa"/>
            <w:vAlign w:val="bottom"/>
            <w:tcBorders>
              <w:top w:val="single" w:sz="8" w:color="auto"/>
            </w:tcBorders>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1</w:t>
            </w:r>
          </w:p>
        </w:tc>
        <w:tc>
          <w:tcPr>
            <w:tcW w:w="30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04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Vivo Opportunity, LLC</w:t>
            </w:r>
          </w:p>
        </w:tc>
        <w:tc>
          <w:tcPr>
            <w:tcW w:w="0" w:type="dxa"/>
            <w:vAlign w:val="bottom"/>
          </w:tcPr>
          <w:p>
            <w:pPr>
              <w:spacing w:after="0"/>
              <w:rPr>
                <w:sz w:val="1"/>
                <w:szCs w:val="1"/>
                <w:color w:val="auto"/>
              </w:rPr>
            </w:pPr>
          </w:p>
        </w:tc>
      </w:tr>
      <w:tr>
        <w:trPr>
          <w:trHeight w:val="319"/>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2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3</w:t>
            </w:r>
          </w:p>
        </w:tc>
        <w:tc>
          <w:tcPr>
            <w:tcW w:w="300" w:type="dxa"/>
            <w:vAlign w:val="bottom"/>
            <w:tcBorders>
              <w:right w:val="single" w:sz="8" w:color="auto"/>
            </w:tcBorders>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4</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5</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06"/>
        </w:trPr>
        <w:tc>
          <w:tcPr>
            <w:tcW w:w="16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tcBorders>
          </w:tcPr>
          <w:p>
            <w:pPr>
              <w:ind w:left="80"/>
              <w:spacing w:after="0" w:line="299" w:lineRule="exact"/>
              <w:rPr>
                <w:sz w:val="20"/>
                <w:szCs w:val="20"/>
                <w:color w:val="auto"/>
              </w:rPr>
            </w:pPr>
            <w:r>
              <w:rPr>
                <w:rFonts w:ascii="Times New Roman" w:cs="Times New Roman" w:eastAsia="Times New Roman" w:hAnsi="Times New Roman"/>
                <w:sz w:val="34"/>
                <w:szCs w:val="34"/>
                <w:b w:val="1"/>
                <w:bCs w:val="1"/>
                <w:color w:val="auto"/>
                <w:vertAlign w:val="subscript"/>
              </w:rPr>
              <w:t>0</w:t>
            </w:r>
            <w:r>
              <w:rPr>
                <w:rFonts w:ascii="Times New Roman" w:cs="Times New Roman" w:eastAsia="Times New Roman" w:hAnsi="Times New Roman"/>
                <w:sz w:val="15"/>
                <w:szCs w:val="15"/>
                <w:b w:val="1"/>
                <w:bCs w:val="1"/>
                <w:color w:val="auto"/>
              </w:rPr>
              <w:t xml:space="preserve"> (1)</w:t>
            </w:r>
          </w:p>
        </w:tc>
        <w:tc>
          <w:tcPr>
            <w:tcW w:w="0" w:type="dxa"/>
            <w:vAlign w:val="bottom"/>
          </w:tcPr>
          <w:p>
            <w:pPr>
              <w:spacing w:after="0"/>
              <w:rPr>
                <w:sz w:val="1"/>
                <w:szCs w:val="1"/>
                <w:color w:val="auto"/>
              </w:rPr>
            </w:pPr>
          </w:p>
        </w:tc>
      </w:tr>
      <w:tr>
        <w:trPr>
          <w:trHeight w:val="198"/>
        </w:trPr>
        <w:tc>
          <w:tcPr>
            <w:tcW w:w="1260" w:type="dxa"/>
            <w:vAlign w:val="bottom"/>
            <w:gridSpan w:val="3"/>
          </w:tcPr>
          <w:p>
            <w:pPr>
              <w:jc w:val="center"/>
              <w:ind w:left="26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right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6</w:t>
            </w:r>
          </w:p>
        </w:tc>
        <w:tc>
          <w:tcPr>
            <w:tcW w:w="8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8"/>
        </w:trPr>
        <w:tc>
          <w:tcPr>
            <w:tcW w:w="16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1620" w:type="dxa"/>
            <w:vAlign w:val="bottom"/>
            <w:tcBorders>
              <w:right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8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7"/>
        </w:trPr>
        <w:tc>
          <w:tcPr>
            <w:tcW w:w="1620" w:type="dxa"/>
            <w:vAlign w:val="bottom"/>
            <w:tcBorders>
              <w:right w:val="single" w:sz="8" w:color="auto"/>
            </w:tcBorders>
            <w:gridSpan w:val="4"/>
          </w:tcPr>
          <w:p>
            <w:pPr>
              <w:jc w:val="center"/>
              <w:spacing w:after="0" w:line="160" w:lineRule="exact"/>
              <w:rPr>
                <w:sz w:val="20"/>
                <w:szCs w:val="20"/>
                <w:color w:val="auto"/>
              </w:rPr>
            </w:pPr>
            <w:r>
              <w:rPr>
                <w:rFonts w:ascii="Times New Roman" w:cs="Times New Roman" w:eastAsia="Times New Roman" w:hAnsi="Times New Roman"/>
                <w:sz w:val="18"/>
                <w:szCs w:val="18"/>
                <w:color w:val="auto"/>
              </w:rPr>
              <w:t>OWNED BY</w:t>
            </w: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720" w:type="dxa"/>
            <w:vAlign w:val="bottom"/>
            <w:gridSpan w:val="2"/>
          </w:tcPr>
          <w:p>
            <w:pPr>
              <w:jc w:val="center"/>
              <w:ind w:right="92"/>
              <w:spacing w:after="0"/>
              <w:rPr>
                <w:sz w:val="20"/>
                <w:szCs w:val="20"/>
                <w:color w:val="auto"/>
              </w:rPr>
            </w:pPr>
            <w:r>
              <w:rPr>
                <w:rFonts w:ascii="Times New Roman" w:cs="Times New Roman" w:eastAsia="Times New Roman" w:hAnsi="Times New Roman"/>
                <w:sz w:val="18"/>
                <w:szCs w:val="18"/>
                <w:color w:val="auto"/>
              </w:rPr>
              <w:t>EACH</w:t>
            </w:r>
          </w:p>
        </w:tc>
        <w:tc>
          <w:tcPr>
            <w:tcW w:w="36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Borders>
              <w:right w:val="single" w:sz="8" w:color="auto"/>
            </w:tcBorders>
          </w:tcPr>
          <w:p>
            <w:pPr>
              <w:jc w:val="right"/>
              <w:ind w:right="472"/>
              <w:spacing w:after="0" w:line="245" w:lineRule="exact"/>
              <w:rPr>
                <w:sz w:val="20"/>
                <w:szCs w:val="20"/>
                <w:color w:val="auto"/>
              </w:rPr>
            </w:pPr>
            <w:r>
              <w:rPr>
                <w:rFonts w:ascii="Times New Roman" w:cs="Times New Roman" w:eastAsia="Times New Roman" w:hAnsi="Times New Roman"/>
                <w:sz w:val="22"/>
                <w:szCs w:val="22"/>
                <w:b w:val="1"/>
                <w:bCs w:val="1"/>
                <w:color w:val="auto"/>
              </w:rPr>
              <w:t>7</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6"/>
        </w:trPr>
        <w:tc>
          <w:tcPr>
            <w:tcW w:w="1620" w:type="dxa"/>
            <w:vAlign w:val="bottom"/>
            <w:tcBorders>
              <w:right w:val="single" w:sz="8" w:color="auto"/>
            </w:tcBorders>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8840" w:type="dxa"/>
            <w:vAlign w:val="bottom"/>
            <w:vMerge w:val="restart"/>
          </w:tcPr>
          <w:p>
            <w:pPr>
              <w:ind w:left="80"/>
              <w:spacing w:after="0" w:line="390" w:lineRule="exact"/>
              <w:rPr>
                <w:sz w:val="20"/>
                <w:szCs w:val="20"/>
                <w:color w:val="auto"/>
              </w:rPr>
            </w:pPr>
            <w:r>
              <w:rPr>
                <w:rFonts w:ascii="Times New Roman" w:cs="Times New Roman" w:eastAsia="Times New Roman" w:hAnsi="Times New Roman"/>
                <w:sz w:val="35"/>
                <w:szCs w:val="35"/>
                <w:b w:val="1"/>
                <w:bCs w:val="1"/>
                <w:color w:val="auto"/>
                <w:vertAlign w:val="subscript"/>
              </w:rPr>
              <w:t>0</w:t>
            </w:r>
            <w:r>
              <w:rPr>
                <w:rFonts w:ascii="Times New Roman" w:cs="Times New Roman" w:eastAsia="Times New Roman" w:hAnsi="Times New Roman"/>
                <w:sz w:val="15"/>
                <w:szCs w:val="15"/>
                <w:b w:val="1"/>
                <w:bCs w:val="1"/>
                <w:color w:val="auto"/>
              </w:rPr>
              <w:t xml:space="preserve"> (1)</w:t>
            </w:r>
          </w:p>
        </w:tc>
        <w:tc>
          <w:tcPr>
            <w:tcW w:w="0" w:type="dxa"/>
            <w:vAlign w:val="bottom"/>
          </w:tcPr>
          <w:p>
            <w:pPr>
              <w:spacing w:after="0"/>
              <w:rPr>
                <w:sz w:val="1"/>
                <w:szCs w:val="1"/>
                <w:color w:val="auto"/>
              </w:rPr>
            </w:pPr>
          </w:p>
        </w:tc>
      </w:tr>
      <w:tr>
        <w:trPr>
          <w:trHeight w:val="201"/>
        </w:trPr>
        <w:tc>
          <w:tcPr>
            <w:tcW w:w="1260" w:type="dxa"/>
            <w:vAlign w:val="bottom"/>
            <w:gridSpan w:val="3"/>
          </w:tcPr>
          <w:p>
            <w:pPr>
              <w:jc w:val="center"/>
              <w:ind w:left="260"/>
              <w:spacing w:after="0" w:line="194" w:lineRule="exact"/>
              <w:rPr>
                <w:sz w:val="20"/>
                <w:szCs w:val="20"/>
                <w:color w:val="auto"/>
              </w:rPr>
            </w:pPr>
            <w:r>
              <w:rPr>
                <w:rFonts w:ascii="Times New Roman" w:cs="Times New Roman" w:eastAsia="Times New Roman" w:hAnsi="Times New Roman"/>
                <w:sz w:val="18"/>
                <w:szCs w:val="18"/>
                <w:color w:val="auto"/>
              </w:rPr>
              <w:t>PERSON</w:t>
            </w:r>
          </w:p>
        </w:tc>
        <w:tc>
          <w:tcPr>
            <w:tcW w:w="36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720" w:type="dxa"/>
            <w:vAlign w:val="bottom"/>
            <w:gridSpan w:val="2"/>
          </w:tcPr>
          <w:p>
            <w:pPr>
              <w:jc w:val="center"/>
              <w:ind w:right="92"/>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8</w:t>
            </w:r>
          </w:p>
        </w:tc>
        <w:tc>
          <w:tcPr>
            <w:tcW w:w="8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8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rPr>
              <w:t>9</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80"/>
              <w:spacing w:after="0" w:line="299" w:lineRule="exact"/>
              <w:rPr>
                <w:sz w:val="20"/>
                <w:szCs w:val="20"/>
                <w:color w:val="auto"/>
              </w:rPr>
            </w:pPr>
            <w:r>
              <w:rPr>
                <w:rFonts w:ascii="Times New Roman" w:cs="Times New Roman" w:eastAsia="Times New Roman" w:hAnsi="Times New Roman"/>
                <w:sz w:val="34"/>
                <w:szCs w:val="34"/>
                <w:b w:val="1"/>
                <w:bCs w:val="1"/>
                <w:color w:val="auto"/>
                <w:w w:val="98"/>
                <w:vertAlign w:val="subscript"/>
              </w:rPr>
              <w:t>0</w:t>
            </w:r>
            <w:r>
              <w:rPr>
                <w:rFonts w:ascii="Times New Roman" w:cs="Times New Roman" w:eastAsia="Times New Roman" w:hAnsi="Times New Roman"/>
                <w:sz w:val="15"/>
                <w:szCs w:val="15"/>
                <w:b w:val="1"/>
                <w:bCs w:val="1"/>
                <w:color w:val="auto"/>
                <w:w w:val="98"/>
              </w:rPr>
              <w:t xml:space="preserve"> (1)</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10</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2"/>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11</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30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line="299" w:lineRule="exact"/>
              <w:rPr>
                <w:sz w:val="20"/>
                <w:szCs w:val="20"/>
                <w:color w:val="auto"/>
              </w:rPr>
            </w:pPr>
            <w:r>
              <w:rPr>
                <w:rFonts w:ascii="Times New Roman" w:cs="Times New Roman" w:eastAsia="Times New Roman" w:hAnsi="Times New Roman"/>
                <w:sz w:val="34"/>
                <w:szCs w:val="34"/>
                <w:b w:val="1"/>
                <w:bCs w:val="1"/>
                <w:color w:val="auto"/>
                <w:vertAlign w:val="subscript"/>
              </w:rPr>
              <w:t>0 %</w:t>
            </w:r>
            <w:r>
              <w:rPr>
                <w:rFonts w:ascii="Times New Roman" w:cs="Times New Roman" w:eastAsia="Times New Roman" w:hAnsi="Times New Roman"/>
                <w:sz w:val="15"/>
                <w:szCs w:val="15"/>
                <w:b w:val="1"/>
                <w:bCs w:val="1"/>
                <w:color w:val="auto"/>
              </w:rPr>
              <w:t xml:space="preserve"> (2)</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jc w:val="center"/>
              <w:ind w:left="200"/>
              <w:spacing w:after="0"/>
              <w:rPr>
                <w:sz w:val="20"/>
                <w:szCs w:val="20"/>
                <w:color w:val="auto"/>
              </w:rPr>
            </w:pPr>
            <w:r>
              <w:rPr>
                <w:rFonts w:ascii="Times New Roman" w:cs="Times New Roman" w:eastAsia="Times New Roman" w:hAnsi="Times New Roman"/>
                <w:sz w:val="22"/>
                <w:szCs w:val="22"/>
                <w:b w:val="1"/>
                <w:bCs w:val="1"/>
                <w:color w:val="auto"/>
                <w:w w:val="90"/>
              </w:rPr>
              <w:t>12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65"/>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OO</w:t>
            </w: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42"/>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08" w:right="339" w:bottom="1440" w:gutter="0" w:footer="0" w:header="0"/>
        </w:sectPr>
      </w:pPr>
    </w:p>
    <w:bookmarkStart w:id="5" w:name="page6"/>
    <w:bookmarkEnd w:id="5"/>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 (a)</w:t>
      </w:r>
      <w:r>
        <w:rPr>
          <w:sz w:val="20"/>
          <w:szCs w:val="20"/>
          <w:color w:val="auto"/>
        </w:rPr>
        <w:tab/>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ame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21" w:lineRule="exact"/>
        <w:rPr>
          <w:sz w:val="20"/>
          <w:szCs w:val="20"/>
          <w:color w:val="auto"/>
        </w:rPr>
      </w:pPr>
    </w:p>
    <w:p>
      <w:pPr>
        <w:ind w:left="1140" w:hanging="484"/>
        <w:spacing w:after="0"/>
        <w:tabs>
          <w:tab w:leader="none" w:pos="11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ddress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2. (a)</w:t>
      </w:r>
      <w:r>
        <w:rPr>
          <w:sz w:val="20"/>
          <w:szCs w:val="20"/>
          <w:color w:val="auto"/>
        </w:rPr>
        <w:tab/>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ame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Vivo Capital Fund IX, L.P. and its General Partner Vivo Capital IX, LLC</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Vivo Opportunity Fund Holdings, L.P. and its General Partner Vivo Opportunity, LLC</w:t>
      </w:r>
    </w:p>
    <w:p>
      <w:pPr>
        <w:spacing w:after="0" w:line="221" w:lineRule="exact"/>
        <w:rPr>
          <w:sz w:val="20"/>
          <w:szCs w:val="20"/>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ddress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if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one</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2"/>
          <w:szCs w:val="12"/>
          <w:b w:val="1"/>
          <w:bCs w:val="1"/>
          <w:color w:val="auto"/>
        </w:rPr>
        <w:t>esidence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192 Lytton Avenue, Palo Alto, CA 94301</w:t>
      </w:r>
    </w:p>
    <w:p>
      <w:pPr>
        <w:spacing w:after="0" w:line="221" w:lineRule="exact"/>
        <w:rPr>
          <w:sz w:val="20"/>
          <w:szCs w:val="20"/>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itizenship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Vivo Capital Fund IX, L.P. is a Delaware limited partnership.</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Vivo Capital IX, LLC is a Delaware limited liability company.</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Vivo Opportunity Fund Holdings, L.P. is a Delaware limited partnership</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Vivo Opportunity, LLC is a Delaware limited liability company.</w:t>
      </w:r>
    </w:p>
    <w:p>
      <w:pPr>
        <w:spacing w:after="0" w:line="221" w:lineRule="exact"/>
        <w:rPr>
          <w:sz w:val="20"/>
          <w:szCs w:val="20"/>
          <w:color w:val="auto"/>
        </w:rPr>
      </w:pPr>
    </w:p>
    <w:p>
      <w:pPr>
        <w:ind w:left="1140" w:hanging="484"/>
        <w:spacing w:after="0"/>
        <w:tabs>
          <w:tab w:leader="none" w:pos="11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itle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lass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1" w:lineRule="exact"/>
        <w:rPr>
          <w:sz w:val="20"/>
          <w:szCs w:val="20"/>
          <w:color w:val="auto"/>
        </w:rPr>
      </w:pPr>
    </w:p>
    <w:p>
      <w:pPr>
        <w:ind w:left="1140" w:hanging="484"/>
        <w:spacing w:after="0"/>
        <w:tabs>
          <w:tab w:leader="none" w:pos="11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00166B105</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3.</w:t>
        <w:tab/>
        <w:t>I</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 is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 240.13d-1(b),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240.13d-2(b)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(c), C</w:t>
      </w:r>
      <w:r>
        <w:rPr>
          <w:rFonts w:ascii="Times New Roman" w:cs="Times New Roman" w:eastAsia="Times New Roman" w:hAnsi="Times New Roman"/>
          <w:sz w:val="12"/>
          <w:szCs w:val="12"/>
          <w:b w:val="1"/>
          <w:bCs w:val="1"/>
          <w:color w:val="auto"/>
        </w:rPr>
        <w:t>heck</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hether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iling is a</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ind w:left="1300" w:hanging="482"/>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69" w:lineRule="exact"/>
        <w:rPr>
          <w:rFonts w:ascii="Times New Roman" w:cs="Times New Roman" w:eastAsia="Times New Roman" w:hAnsi="Times New Roman"/>
          <w:sz w:val="18"/>
          <w:szCs w:val="18"/>
          <w:color w:val="auto"/>
        </w:rPr>
      </w:pPr>
    </w:p>
    <w:p>
      <w:pPr>
        <w:ind w:left="1300" w:hanging="482"/>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9" w:lineRule="exact"/>
        <w:rPr>
          <w:rFonts w:ascii="Times New Roman" w:cs="Times New Roman" w:eastAsia="Times New Roman" w:hAnsi="Times New Roman"/>
          <w:sz w:val="18"/>
          <w:szCs w:val="18"/>
          <w:color w:val="auto"/>
        </w:rPr>
      </w:pPr>
    </w:p>
    <w:p>
      <w:pPr>
        <w:ind w:left="1300" w:hanging="482"/>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9" w:lineRule="exact"/>
        <w:rPr>
          <w:rFonts w:ascii="Times New Roman" w:cs="Times New Roman" w:eastAsia="Times New Roman" w:hAnsi="Times New Roman"/>
          <w:sz w:val="18"/>
          <w:szCs w:val="18"/>
          <w:color w:val="auto"/>
        </w:rPr>
      </w:pPr>
    </w:p>
    <w:p>
      <w:pPr>
        <w:ind w:left="1300" w:hanging="482"/>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9" w:lineRule="exact"/>
        <w:rPr>
          <w:rFonts w:ascii="Times New Roman" w:cs="Times New Roman" w:eastAsia="Times New Roman" w:hAnsi="Times New Roman"/>
          <w:sz w:val="18"/>
          <w:szCs w:val="18"/>
          <w:color w:val="auto"/>
        </w:rPr>
      </w:pPr>
    </w:p>
    <w:p>
      <w:pPr>
        <w:ind w:left="1300" w:hanging="482"/>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9" w:lineRule="exact"/>
        <w:rPr>
          <w:rFonts w:ascii="Times New Roman" w:cs="Times New Roman" w:eastAsia="Times New Roman" w:hAnsi="Times New Roman"/>
          <w:sz w:val="18"/>
          <w:szCs w:val="18"/>
          <w:color w:val="auto"/>
        </w:rPr>
      </w:pPr>
    </w:p>
    <w:p>
      <w:pPr>
        <w:ind w:left="1300" w:hanging="482"/>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9" w:lineRule="exact"/>
        <w:rPr>
          <w:rFonts w:ascii="Times New Roman" w:cs="Times New Roman" w:eastAsia="Times New Roman" w:hAnsi="Times New Roman"/>
          <w:sz w:val="18"/>
          <w:szCs w:val="18"/>
          <w:color w:val="auto"/>
        </w:rPr>
      </w:pPr>
    </w:p>
    <w:p>
      <w:pPr>
        <w:ind w:left="1300" w:hanging="482"/>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240.13d-1(b)(l)(ii)(G);</w:t>
      </w:r>
    </w:p>
    <w:p>
      <w:pPr>
        <w:spacing w:after="0" w:line="9" w:lineRule="exact"/>
        <w:rPr>
          <w:rFonts w:ascii="Times New Roman" w:cs="Times New Roman" w:eastAsia="Times New Roman" w:hAnsi="Times New Roman"/>
          <w:sz w:val="18"/>
          <w:szCs w:val="18"/>
          <w:color w:val="auto"/>
        </w:rPr>
      </w:pPr>
    </w:p>
    <w:p>
      <w:pPr>
        <w:ind w:left="1300" w:hanging="482"/>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9" w:lineRule="exact"/>
        <w:rPr>
          <w:rFonts w:ascii="Times New Roman" w:cs="Times New Roman" w:eastAsia="Times New Roman" w:hAnsi="Times New Roman"/>
          <w:sz w:val="18"/>
          <w:szCs w:val="18"/>
          <w:color w:val="auto"/>
        </w:rPr>
      </w:pPr>
    </w:p>
    <w:p>
      <w:pPr>
        <w:ind w:left="1740" w:hanging="922"/>
        <w:spacing w:after="0" w:line="215" w:lineRule="exact"/>
        <w:tabs>
          <w:tab w:leader="none" w:pos="1295"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ind w:left="1300" w:hanging="482"/>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1300" w:hanging="482"/>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240.13d-1(b)(l)(ii)(K).</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6" w:name="page7"/>
    <w:bookmarkEnd w:id="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4.</w:t>
        <w:tab/>
        <w:t>O</w:t>
      </w:r>
      <w:r>
        <w:rPr>
          <w:rFonts w:ascii="Times New Roman" w:cs="Times New Roman" w:eastAsia="Times New Roman" w:hAnsi="Times New Roman"/>
          <w:sz w:val="12"/>
          <w:szCs w:val="12"/>
          <w:b w:val="1"/>
          <w:bCs w:val="1"/>
          <w:color w:val="auto"/>
        </w:rPr>
        <w:t>wnership</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220" w:hanging="402"/>
        <w:spacing w:after="0"/>
        <w:tabs>
          <w:tab w:leader="none" w:pos="12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mount beneficially owned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20"/>
        <w:spacing w:after="0" w:line="282" w:lineRule="auto"/>
        <w:rPr>
          <w:sz w:val="20"/>
          <w:szCs w:val="20"/>
          <w:color w:val="auto"/>
        </w:rPr>
      </w:pPr>
      <w:r>
        <w:rPr>
          <w:rFonts w:ascii="Times New Roman" w:cs="Times New Roman" w:eastAsia="Times New Roman" w:hAnsi="Times New Roman"/>
          <w:sz w:val="18"/>
          <w:szCs w:val="18"/>
          <w:color w:val="auto"/>
        </w:rPr>
        <w:t>The 1,813,864 shares of Common Stock are held of record by Vivo Capital Fund IX, L.P. Vivo Capital IX, LLC is the general partner of Vivo Capital Fund IX, L.P.</w:t>
      </w:r>
    </w:p>
    <w:p>
      <w:pPr>
        <w:spacing w:after="0" w:line="158" w:lineRule="exact"/>
        <w:rPr>
          <w:sz w:val="20"/>
          <w:szCs w:val="20"/>
          <w:color w:val="auto"/>
        </w:rPr>
      </w:pPr>
    </w:p>
    <w:p>
      <w:pPr>
        <w:ind w:left="1220" w:hanging="402"/>
        <w:spacing w:after="0"/>
        <w:tabs>
          <w:tab w:leader="none" w:pos="12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ercent of class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Vivo Capital Fund IX, L.P. 3.4 </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Vivo Capital IX, LLC: 3.4%</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Vivo Opportunity Fund Holdings, L.P.: 0%</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Vivo Opportunity, LLC: 0%</w:t>
      </w:r>
    </w:p>
    <w:p>
      <w:pPr>
        <w:spacing w:after="0" w:line="221" w:lineRule="exact"/>
        <w:rPr>
          <w:sz w:val="20"/>
          <w:szCs w:val="20"/>
          <w:color w:val="auto"/>
        </w:rPr>
      </w:pPr>
    </w:p>
    <w:p>
      <w:pPr>
        <w:ind w:left="1220" w:hanging="402"/>
        <w:spacing w:after="0"/>
        <w:tabs>
          <w:tab w:leader="none" w:pos="12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umber of shares as to which such person has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620" w:right="6020" w:hanging="397"/>
        <w:spacing w:after="0" w:line="500" w:lineRule="auto"/>
        <w:tabs>
          <w:tab w:leader="none" w:pos="160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Vivo Capital Fund IX, L.P.: 1,813,864 shares Vivo Capital IX, LLC: 1,813,864 shares Vivo Opportunity Fund Holdings, L.P.: 0 share Vivo Opportunity, LLC: 0 share</w:t>
      </w:r>
    </w:p>
    <w:p>
      <w:pPr>
        <w:spacing w:after="0" w:line="3"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1620" w:right="5620" w:hanging="397"/>
        <w:spacing w:after="0" w:line="500"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Vivo Capital Fund IX, L.P.: 1,813,864 shares Vivo Capital IX, LLC: 1,813,864 shares</w:t>
      </w:r>
    </w:p>
    <w:p>
      <w:pPr>
        <w:spacing w:after="0" w:line="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Vivo Opportunity Fund Holdings, L.P.: 0 share</w:t>
      </w:r>
    </w:p>
    <w:p>
      <w:pPr>
        <w:spacing w:after="0" w:line="22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Vivo Opportunity, LLC: 0 share</w:t>
      </w:r>
    </w:p>
    <w:p>
      <w:pPr>
        <w:spacing w:after="0" w:line="225"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of or to direct the disposition of: 0</w:t>
      </w: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7" w:name="page8"/>
    <w:bookmarkEnd w:id="7"/>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5.</w:t>
        <w:tab/>
        <w:t>O</w:t>
      </w:r>
      <w:r>
        <w:rPr>
          <w:rFonts w:ascii="Times New Roman" w:cs="Times New Roman" w:eastAsia="Times New Roman" w:hAnsi="Times New Roman"/>
          <w:sz w:val="12"/>
          <w:szCs w:val="12"/>
          <w:b w:val="1"/>
          <w:bCs w:val="1"/>
          <w:color w:val="auto"/>
        </w:rPr>
        <w:t>wnership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ercent or</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ess of a</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6.</w:t>
        <w:tab/>
        <w:t>O</w:t>
      </w:r>
      <w:r>
        <w:rPr>
          <w:rFonts w:ascii="Times New Roman" w:cs="Times New Roman" w:eastAsia="Times New Roman" w:hAnsi="Times New Roman"/>
          <w:sz w:val="12"/>
          <w:szCs w:val="12"/>
          <w:b w:val="1"/>
          <w:bCs w:val="1"/>
          <w:color w:val="auto"/>
        </w:rPr>
        <w:t>wnership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ore than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ercent on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ehalf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nother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820" w:right="80" w:hanging="809"/>
        <w:spacing w:after="0" w:line="263"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7.</w:t>
        <w:tab/>
        <w:t>I</w:t>
      </w:r>
      <w:r>
        <w:rPr>
          <w:rFonts w:ascii="Times New Roman" w:cs="Times New Roman" w:eastAsia="Times New Roman" w:hAnsi="Times New Roman"/>
          <w:sz w:val="12"/>
          <w:szCs w:val="12"/>
          <w:b w:val="1"/>
          <w:bCs w:val="1"/>
          <w:color w:val="auto"/>
        </w:rPr>
        <w:t>dentification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lassification 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ubsidiary</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hich</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cquired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eing</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eported on by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arent</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ontrol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8.</w:t>
        <w:tab/>
        <w:t>I</w:t>
      </w:r>
      <w:r>
        <w:rPr>
          <w:rFonts w:ascii="Times New Roman" w:cs="Times New Roman" w:eastAsia="Times New Roman" w:hAnsi="Times New Roman"/>
          <w:sz w:val="12"/>
          <w:szCs w:val="12"/>
          <w:b w:val="1"/>
          <w:bCs w:val="1"/>
          <w:color w:val="auto"/>
        </w:rPr>
        <w:t>dentification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lassification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embers of the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roup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9.</w:t>
        <w:tab/>
        <w:t>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issolution of</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roup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10.</w:t>
        <w:tab/>
        <w:t>C</w:t>
      </w:r>
      <w:r>
        <w:rPr>
          <w:rFonts w:ascii="Times New Roman" w:cs="Times New Roman" w:eastAsia="Times New Roman" w:hAnsi="Times New Roman"/>
          <w:sz w:val="12"/>
          <w:szCs w:val="12"/>
          <w:b w:val="1"/>
          <w:bCs w:val="1"/>
          <w:color w:val="auto"/>
        </w:rPr>
        <w:t>ertifications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140" w:firstLine="81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Vivo Capital Fund IX, L.P.</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By: Vivo Capital IX, LLC, its General Partner</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Vivo Capital IX, LLC</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Vivo Opportunity Fund Holdings, L.P.</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By: Vivo Opportunity, LLC, its General Partner</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Kevin 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Vivo Opportunity, LLC</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Kevin 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9" w:name="page10"/>
    <w:bookmarkEnd w:id="9"/>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4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Joint Filing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believev that such information is inaccurate.</w:t>
      </w:r>
    </w:p>
    <w:p>
      <w:pPr>
        <w:spacing w:after="0" w:line="17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Vivo Capital Fund IX, L.P.</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By: Vivo Capital IX, LLC, its General Partner</w:t>
      </w:r>
    </w:p>
    <w:p>
      <w:pPr>
        <w:spacing w:after="0" w:line="22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Vivo Capital IX, LLC</w:t>
      </w:r>
    </w:p>
    <w:p>
      <w:pPr>
        <w:spacing w:after="0" w:line="22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Vivo Opportunity Fund Holdings, L.P.</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By: Vivo Opportunity, LLC, its General Partner</w:t>
      </w:r>
    </w:p>
    <w:p>
      <w:pPr>
        <w:spacing w:after="0" w:line="22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Kevin 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Vivo Opportunity, LLC</w:t>
      </w:r>
    </w:p>
    <w:p>
      <w:pPr>
        <w:spacing w:after="0" w:line="22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Kevin 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3"/>
    </w:lvl>
  </w:abstractNum>
  <w:abstractNum w:abstractNumId="9">
    <w:nsid w:val="140E0F76"/>
    <w:multiLevelType w:val="hybridMultilevel"/>
    <w:lvl w:ilvl="0">
      <w:lvlJc w:val="left"/>
      <w:lvlText w:val="(%1)"/>
      <w:numFmt w:val="lowerLetter"/>
      <w:start w:val="4"/>
    </w:lvl>
  </w:abstractNum>
  <w:abstractNum w:abstractNumId="10">
    <w:nsid w:val="3352255A"/>
    <w:multiLevelType w:val="hybridMultilevel"/>
    <w:lvl w:ilvl="0">
      <w:lvlJc w:val="left"/>
      <w:lvlText w:val="(%1)"/>
      <w:numFmt w:val="lowerLetter"/>
      <w:start w:val="5"/>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2024-11-14T18:00:28Z</dcterms:created>
  <dcterms:modified xsi:type="dcterms:W3CDTF">2024-11-14T18:00:28Z</dcterms:modified>
</cp:coreProperties>
</file>