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Pinto Shelly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VP, Finance and CAO</w:t>
      </w:r>
    </w:p>
    <w:p>
      <w:pPr>
        <w:spacing w:after="0" w:line="565"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12/29/2022</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482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11.0699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62,097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$11.04 to $11.07,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reduction of 139 shares previously reported as acquired pursuant to the Issuer's employee stock purchase plan on June 30, 2022.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Garcia,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01/03/2023</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740"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2023-01-03T19:54:28Z</dcterms:created>
  <dcterms:modified xsi:type="dcterms:W3CDTF">2023-01-03T19:54:28Z</dcterms:modified>
</cp:coreProperties>
</file>