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688340</wp:posOffset>
            </wp:positionH>
            <wp:positionV relativeFrom="page">
              <wp:posOffset>732155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-228600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70485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400" w:hanging="396"/>
        <w:spacing w:after="0" w:line="196" w:lineRule="auto"/>
        <w:tabs>
          <w:tab w:leader="none" w:pos="400" w:val="left"/>
        </w:tabs>
        <w:numPr>
          <w:ilvl w:val="0"/>
          <w:numId w:val="2"/>
        </w:numPr>
        <w:rPr>
          <w:rFonts w:ascii="MS PGothic" w:cs="MS PGothic" w:eastAsia="MS PGothic" w:hAnsi="MS PGothic"/>
          <w:sz w:val="29"/>
          <w:szCs w:val="29"/>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0" w:lineRule="exact"/>
        <w:rPr>
          <w:sz w:val="24"/>
          <w:szCs w:val="24"/>
          <w:color w:val="auto"/>
        </w:rPr>
      </w:pPr>
    </w:p>
    <w:p>
      <w:pPr>
        <w:ind w:left="34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Commission File Number 001-39386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53975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38735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3"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40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4000" w:type="dxa"/>
            <w:vAlign w:val="bottom"/>
          </w:tcPr>
          <w:p>
            <w:pPr>
              <w:jc w:val="center"/>
              <w:ind w:right="14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jc w:val="center"/>
              <w:ind w:left="14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0"/>
        </w:trPr>
        <w:tc>
          <w:tcPr>
            <w:tcW w:w="40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w w:val="99"/>
              </w:rPr>
              <w:t>323 Allerton Avenue</w:t>
            </w:r>
          </w:p>
        </w:tc>
        <w:tc>
          <w:tcPr>
            <w:tcW w:w="2660" w:type="dxa"/>
            <w:vAlign w:val="bottom"/>
          </w:tcPr>
          <w:p>
            <w:pPr>
              <w:spacing w:after="0"/>
              <w:rPr>
                <w:sz w:val="20"/>
                <w:szCs w:val="20"/>
                <w:color w:val="auto"/>
              </w:rPr>
            </w:pPr>
          </w:p>
        </w:tc>
      </w:tr>
      <w:tr>
        <w:trPr>
          <w:trHeight w:val="218"/>
        </w:trPr>
        <w:tc>
          <w:tcPr>
            <w:tcW w:w="40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6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000" w:type="dxa"/>
            <w:vAlign w:val="bottom"/>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53975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ALXO</w:t>
            </w:r>
          </w:p>
        </w:tc>
        <w:tc>
          <w:tcPr>
            <w:tcW w:w="100" w:type="dxa"/>
            <w:vAlign w:val="bottom"/>
          </w:tcPr>
          <w:p>
            <w:pPr>
              <w:spacing w:after="0"/>
              <w:rPr>
                <w:sz w:val="15"/>
                <w:szCs w:val="15"/>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4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10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120" w:firstLine="25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4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44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260" w:right="200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2026, the registrant had 134,562,917 shares of common stock outstanding,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756920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135255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199" w:right="10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8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93" w:lineRule="exact"/>
        <w:rPr>
          <w:sz w:val="20"/>
          <w:szCs w:val="20"/>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1100" w:right="54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53" w:lineRule="exact"/>
        <w:rPr>
          <w:rFonts w:ascii="Times New Roman" w:cs="Times New Roman" w:eastAsia="Times New Roman" w:hAnsi="Times New Roman"/>
          <w:sz w:val="18"/>
          <w:szCs w:val="18"/>
          <w:color w:val="auto"/>
        </w:rPr>
      </w:pPr>
    </w:p>
    <w:p>
      <w:pPr>
        <w:ind w:left="1100" w:right="6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our ability to grow a sales team;</w:t>
      </w:r>
    </w:p>
    <w:p>
      <w:pPr>
        <w:spacing w:after="0" w:line="53"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100" w:right="600" w:hanging="331"/>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67" w:lineRule="exact"/>
        <w:rPr>
          <w:rFonts w:ascii="Times New Roman" w:cs="Times New Roman" w:eastAsia="Times New Roman" w:hAnsi="Times New Roman"/>
          <w:sz w:val="18"/>
          <w:szCs w:val="18"/>
          <w:color w:val="auto"/>
        </w:rPr>
      </w:pPr>
    </w:p>
    <w:p>
      <w:pPr>
        <w:ind w:left="1100" w:right="76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preclinical research activities, and for the manufacture of our product candidates;</w:t>
      </w:r>
    </w:p>
    <w:p>
      <w:pPr>
        <w:spacing w:after="0" w:line="53" w:lineRule="exact"/>
        <w:rPr>
          <w:rFonts w:ascii="Times New Roman" w:cs="Times New Roman" w:eastAsia="Times New Roman" w:hAnsi="Times New Roman"/>
          <w:sz w:val="18"/>
          <w:szCs w:val="18"/>
          <w:color w:val="auto"/>
        </w:rPr>
      </w:pPr>
    </w:p>
    <w:p>
      <w:pPr>
        <w:ind w:left="1100" w:right="42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mechanisms of action, safety profile, efficacy and therapeutic effects of our product candidates;</w:t>
      </w:r>
    </w:p>
    <w:p>
      <w:pPr>
        <w:spacing w:after="0" w:line="53"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10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including collaborations and investigator sponsored trials, to demonstrate the safety and efficacy of our product candidates, and other positive results;</w:t>
      </w:r>
    </w:p>
    <w:p>
      <w:pPr>
        <w:spacing w:after="0" w:line="53"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17" w:lineRule="exact"/>
        <w:rPr>
          <w:rFonts w:ascii="Times New Roman" w:cs="Times New Roman" w:eastAsia="Times New Roman" w:hAnsi="Times New Roman"/>
          <w:sz w:val="18"/>
          <w:szCs w:val="18"/>
          <w:color w:val="auto"/>
        </w:rPr>
      </w:pPr>
    </w:p>
    <w:p>
      <w:pPr>
        <w:ind w:left="1100" w:right="56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that we may pursue;</w:t>
      </w:r>
    </w:p>
    <w:p>
      <w:pPr>
        <w:spacing w:after="0" w:line="53"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100" w:right="50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1100" w:right="18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w:t>
      </w:r>
    </w:p>
    <w:p>
      <w:pPr>
        <w:spacing w:after="0" w:line="53" w:lineRule="exact"/>
        <w:rPr>
          <w:rFonts w:ascii="Times New Roman" w:cs="Times New Roman" w:eastAsia="Times New Roman" w:hAnsi="Times New Roman"/>
          <w:sz w:val="18"/>
          <w:szCs w:val="18"/>
          <w:color w:val="auto"/>
        </w:rPr>
      </w:pPr>
    </w:p>
    <w:p>
      <w:pPr>
        <w:ind w:left="1100" w:right="42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53" w:lineRule="exact"/>
        <w:rPr>
          <w:rFonts w:ascii="Times New Roman" w:cs="Times New Roman" w:eastAsia="Times New Roman" w:hAnsi="Times New Roman"/>
          <w:sz w:val="18"/>
          <w:szCs w:val="18"/>
          <w:color w:val="auto"/>
        </w:rPr>
      </w:pPr>
    </w:p>
    <w:p>
      <w:pPr>
        <w:ind w:left="1100" w:right="14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53" w:lineRule="exact"/>
        <w:rPr>
          <w:rFonts w:ascii="Times New Roman" w:cs="Times New Roman" w:eastAsia="Times New Roman" w:hAnsi="Times New Roman"/>
          <w:sz w:val="18"/>
          <w:szCs w:val="18"/>
          <w:color w:val="auto"/>
        </w:rPr>
      </w:pPr>
    </w:p>
    <w:p>
      <w:pPr>
        <w:ind w:left="1100" w:right="260" w:hanging="331"/>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the impacts of any executive officer changes, and to identify, hire, and then retain additional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581660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981" w:right="1139" w:bottom="1440" w:gutter="0" w:footer="0" w:header="0"/>
        </w:sectPr>
      </w:pPr>
    </w:p>
    <w:bookmarkStart w:id="2" w:name="page3"/>
    <w:bookmarkEnd w:id="2"/>
    <w:p>
      <w:pPr>
        <w:ind w:left="1100" w:hanging="331"/>
        <w:spacing w:after="0" w:line="26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global economic environment, such as inflation, interest rate changes, trade and other global disputes and interruptions, including related to tariffs and trade protection measures, duration of the U.S. federal government shutdown, economic downturns, bank failures or instability in the financial services sector, or geopolitical risks, disasters, and medical or public health crises, such as the COVID-19 pandemic;</w:t>
      </w:r>
    </w:p>
    <w:p>
      <w:pPr>
        <w:spacing w:after="0" w:line="71" w:lineRule="exact"/>
        <w:rPr>
          <w:rFonts w:ascii="Times New Roman" w:cs="Times New Roman" w:eastAsia="Times New Roman" w:hAnsi="Times New Roman"/>
          <w:sz w:val="18"/>
          <w:szCs w:val="18"/>
          <w:color w:val="auto"/>
        </w:rPr>
      </w:pPr>
    </w:p>
    <w:p>
      <w:pPr>
        <w:ind w:left="1100" w:hanging="331"/>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and prospects of our acquisitions and other business development activities, and our ability to successfully capitalize on these opportunities;</w:t>
      </w:r>
    </w:p>
    <w:p>
      <w:pPr>
        <w:spacing w:after="0" w:line="53" w:lineRule="exact"/>
        <w:rPr>
          <w:rFonts w:ascii="Times New Roman" w:cs="Times New Roman" w:eastAsia="Times New Roman" w:hAnsi="Times New Roman"/>
          <w:sz w:val="18"/>
          <w:szCs w:val="18"/>
          <w:color w:val="auto"/>
        </w:rPr>
      </w:pPr>
    </w:p>
    <w:p>
      <w:pPr>
        <w:ind w:left="1100" w:hanging="331"/>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and internal controls; and</w:t>
      </w:r>
    </w:p>
    <w:p>
      <w:pPr>
        <w:spacing w:after="0" w:line="117" w:lineRule="exact"/>
        <w:rPr>
          <w:rFonts w:ascii="Times New Roman" w:cs="Times New Roman" w:eastAsia="Times New Roman" w:hAnsi="Times New Roman"/>
          <w:sz w:val="18"/>
          <w:szCs w:val="18"/>
          <w:color w:val="auto"/>
        </w:rPr>
      </w:pPr>
    </w:p>
    <w:p>
      <w:pPr>
        <w:ind w:left="1100" w:right="420" w:hanging="331"/>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and cash equivalents, short-term and long-term investments, and the funds available from our term loan.</w:t>
      </w:r>
    </w:p>
    <w:p>
      <w:pPr>
        <w:spacing w:after="0" w:line="54"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595630</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80" w:type="dxa"/>
            <w:vAlign w:val="bottom"/>
            <w:gridSpan w:val="11"/>
            <w:vMerge w:val="restart"/>
          </w:tcPr>
          <w:p>
            <w:pPr>
              <w:jc w:val="center"/>
              <w:ind w:right="2820"/>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80" w:type="dxa"/>
            <w:vAlign w:val="bottom"/>
            <w:gridSpan w:val="11"/>
            <w:vMerge w:val="continue"/>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8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60" w:type="dxa"/>
            <w:vAlign w:val="bottom"/>
            <w:tcBorders>
              <w:top w:val="single" w:sz="8" w:color="0000FF"/>
            </w:tcBorders>
            <w:gridSpan w:val="9"/>
          </w:tcPr>
          <w:p>
            <w:pPr>
              <w:spacing w:after="0"/>
              <w:rPr>
                <w:sz w:val="17"/>
                <w:szCs w:val="17"/>
                <w:color w:val="auto"/>
              </w:rPr>
            </w:pPr>
          </w:p>
        </w:tc>
        <w:tc>
          <w:tcPr>
            <w:tcW w:w="282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900" w:type="dxa"/>
            <w:vAlign w:val="bottom"/>
            <w:tcBorders>
              <w:top w:val="single" w:sz="8" w:color="0000FF"/>
            </w:tcBorders>
            <w:gridSpan w:val="6"/>
          </w:tcPr>
          <w:p>
            <w:pPr>
              <w:spacing w:after="0"/>
              <w:rPr>
                <w:sz w:val="17"/>
                <w:szCs w:val="17"/>
                <w:color w:val="auto"/>
              </w:rPr>
            </w:pPr>
          </w:p>
        </w:tc>
        <w:tc>
          <w:tcPr>
            <w:tcW w:w="300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9"/>
            <w:shd w:val="clear" w:color="auto" w:fill="0000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58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2"/>
        </w:trPr>
        <w:tc>
          <w:tcPr>
            <w:tcW w:w="18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50,727</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178,328</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59,046</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current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2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as of March 31, 2026 and December 31, 2025; 134,540,741 and</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54,388,022 shares issued and outstanding as of March 31, 2026</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2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0"/>
                <w:szCs w:val="20"/>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748,716</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(722,817)</w:t>
            </w:r>
          </w:p>
        </w:tc>
      </w:tr>
      <w:tr>
        <w:trPr>
          <w:trHeight w:val="210"/>
        </w:trPr>
        <w:tc>
          <w:tcPr>
            <w:tcW w:w="62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178,328</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59,046</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4965700</wp:posOffset>
            </wp:positionH>
            <wp:positionV relativeFrom="paragraph">
              <wp:posOffset>-3676650</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-3676650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-3119755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-3119755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-1704975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-1704975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-170815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60" w:type="dxa"/>
            <w:vAlign w:val="bottom"/>
          </w:tcPr>
          <w:p>
            <w:pPr>
              <w:spacing w:after="0"/>
              <w:rPr>
                <w:sz w:val="18"/>
                <w:szCs w:val="18"/>
                <w:color w:val="auto"/>
              </w:rPr>
            </w:pP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(18,966)</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(31,820)</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9"/>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40" w:type="dxa"/>
            <w:vAlign w:val="bottom"/>
            <w:gridSpan w:val="2"/>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820" w:type="dxa"/>
            <w:vAlign w:val="bottom"/>
            <w:gridSpan w:val="2"/>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used to</w:t>
            </w: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104,573,657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53,359,338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CFF0FC"/>
            </w:tcBorders>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compute net loss per share, basic and diluted</w:t>
            </w:r>
          </w:p>
        </w:tc>
        <w:tc>
          <w:tcPr>
            <w:tcW w:w="10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-1323340</wp:posOffset>
            </wp:positionV>
            <wp:extent cx="8509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-1323340</wp:posOffset>
            </wp:positionV>
            <wp:extent cx="8572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-462280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-445135</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-607695</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-462280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-445135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-607695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-25400</wp:posOffset>
            </wp:positionV>
            <wp:extent cx="59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-7620</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FF0FC"/>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(17,927)</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(30,754)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1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7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55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8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(18,200)</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(30,911)</w:t>
            </w:r>
          </w:p>
        </w:tc>
      </w:tr>
      <w:tr>
        <w:trPr>
          <w:trHeight w:val="20"/>
        </w:trPr>
        <w:tc>
          <w:tcPr>
            <w:tcW w:w="55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-170815</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54,388,022</w:t>
            </w:r>
          </w:p>
        </w:tc>
        <w:tc>
          <w:tcPr>
            <w:tcW w:w="640" w:type="dxa"/>
            <w:vAlign w:val="bottom"/>
            <w:tcBorders>
              <w:left w:val="single" w:sz="8" w:color="CFF0FC"/>
            </w:tcBorders>
            <w:gridSpan w:val="2"/>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30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748,716</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left w:val="single" w:sz="8" w:color="CFF0FC"/>
            </w:tcBorders>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(722,817)</w:t>
            </w:r>
          </w:p>
        </w:tc>
        <w:tc>
          <w:tcPr>
            <w:tcW w:w="24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25,981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in</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connection with equity offerings, net of underwriter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76,979,112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140,296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discounts ($9,000) and issuance costs ($627)</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20" w:type="dxa"/>
            <w:vAlign w:val="bottom"/>
            <w:tcBorders>
              <w:right w:val="single" w:sz="8" w:color="CFF0FC"/>
            </w:tcBorders>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from exercise of pre-funded</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2,563,507</w:t>
            </w:r>
          </w:p>
        </w:tc>
        <w:tc>
          <w:tcPr>
            <w:tcW w:w="280" w:type="dxa"/>
            <w:vAlign w:val="bottom"/>
            <w:tcBorders>
              <w:left w:val="single" w:sz="8" w:color="CFF0FC"/>
              <w:right w:val="single" w:sz="8" w:color="CFF0FC"/>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780" w:type="dxa"/>
            <w:vAlign w:val="bottom"/>
            <w:vMerge w:val="continue"/>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equity incentive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602,672</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plans</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20" w:type="dxa"/>
            <w:vAlign w:val="bottom"/>
            <w:tcBorders>
              <w:right w:val="single" w:sz="8" w:color="CFF0FC"/>
            </w:tcBorders>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ATM offering,</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280" w:type="dxa"/>
            <w:vAlign w:val="bottom"/>
            <w:tcBorders>
              <w:left w:val="single" w:sz="8" w:color="CFF0FC"/>
              <w:right w:val="single" w:sz="8" w:color="CFF0FC"/>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of commissions</w:t>
            </w:r>
          </w:p>
        </w:tc>
        <w:tc>
          <w:tcPr>
            <w:tcW w:w="780" w:type="dxa"/>
            <w:vAlign w:val="bottom"/>
            <w:vMerge w:val="continue"/>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Borders>
              <w:right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49"/>
        </w:trPr>
        <w:tc>
          <w:tcPr>
            <w:tcW w:w="3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(17,927)</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134,540,741</w:t>
            </w: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2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892,201</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(740,744)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151,347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5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CFF0FC"/>
            </w:tcBorders>
            <w:vMerge w:val="restart"/>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7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53,052,912</w:t>
            </w:r>
          </w:p>
        </w:tc>
        <w:tc>
          <w:tcPr>
            <w:tcW w:w="640" w:type="dxa"/>
            <w:vAlign w:val="bottom"/>
            <w:tcBorders>
              <w:left w:val="single" w:sz="8" w:color="CFF0FC"/>
            </w:tcBorders>
            <w:gridSpan w:val="2"/>
            <w:shd w:val="clear" w:color="auto" w:fill="CFF0FC"/>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30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734,412</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w:t>
            </w:r>
          </w:p>
        </w:tc>
        <w:tc>
          <w:tcPr>
            <w:tcW w:w="140" w:type="dxa"/>
            <w:vAlign w:val="bottom"/>
            <w:tcBorders>
              <w:left w:val="single" w:sz="8" w:color="CFF0FC"/>
            </w:tcBorders>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(621,122)</w:t>
            </w: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equity incentive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125,920</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plans</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20" w:type="dxa"/>
            <w:vAlign w:val="bottom"/>
            <w:tcBorders>
              <w:right w:val="single" w:sz="8" w:color="CFF0FC"/>
            </w:tcBorders>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ATM offering,</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205,313</w:t>
            </w:r>
          </w:p>
        </w:tc>
        <w:tc>
          <w:tcPr>
            <w:tcW w:w="280" w:type="dxa"/>
            <w:vAlign w:val="bottom"/>
            <w:tcBorders>
              <w:left w:val="single" w:sz="8" w:color="CFF0FC"/>
              <w:right w:val="single" w:sz="8" w:color="CFF0FC"/>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0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of commissions</w:t>
            </w:r>
          </w:p>
        </w:tc>
        <w:tc>
          <w:tcPr>
            <w:tcW w:w="780" w:type="dxa"/>
            <w:vAlign w:val="bottom"/>
            <w:vMerge w:val="continue"/>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Borders>
              <w:right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8"/>
        </w:trPr>
        <w:tc>
          <w:tcPr>
            <w:tcW w:w="3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(30,754)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53,384,145</w:t>
            </w: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740,000</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(651,876)</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-1396365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-1396365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-1396365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-1396365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-1396365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-1396365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-8255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-8255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-8255</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-8255</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5"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(17,927)</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(30,754)</w:t>
            </w: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Non-cash lease costs</w:t>
            </w: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accretion of discounts on investments</w:t>
            </w:r>
          </w:p>
        </w:tc>
        <w:tc>
          <w:tcPr>
            <w:tcW w:w="8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(526)</w:t>
            </w:r>
          </w:p>
        </w:tc>
      </w:tr>
      <w:tr>
        <w:trPr>
          <w:trHeight w:val="149"/>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Accretion of term loan discount and issuance costs</w:t>
            </w: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(556)</w:t>
            </w:r>
          </w:p>
        </w:tc>
      </w:tr>
      <w:tr>
        <w:trPr>
          <w:trHeight w:val="149"/>
        </w:trPr>
        <w:tc>
          <w:tcPr>
            <w:tcW w:w="66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Payable and accrued liabilities due to related party</w:t>
            </w:r>
          </w:p>
        </w:tc>
        <w:tc>
          <w:tcPr>
            <w:tcW w:w="8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w:t>
            </w:r>
          </w:p>
        </w:tc>
      </w:tr>
      <w:tr>
        <w:trPr>
          <w:trHeight w:val="148"/>
        </w:trPr>
        <w:tc>
          <w:tcPr>
            <w:tcW w:w="66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(3,012)</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w:t>
            </w:r>
          </w:p>
        </w:tc>
      </w:tr>
      <w:tr>
        <w:trPr>
          <w:trHeight w:val="148"/>
        </w:trPr>
        <w:tc>
          <w:tcPr>
            <w:tcW w:w="66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(507)</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6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(18,648)</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(24,663)</w:t>
            </w:r>
          </w:p>
        </w:tc>
      </w:tr>
      <w:tr>
        <w:trPr>
          <w:trHeight w:val="14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8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Purchase of investments</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(124,486)</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(15,775)</w:t>
            </w: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Maturities of investments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43,480</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w:t>
            </w:r>
          </w:p>
        </w:tc>
      </w:tr>
      <w:tr>
        <w:trPr>
          <w:trHeight w:val="20"/>
        </w:trPr>
        <w:tc>
          <w:tcPr>
            <w:tcW w:w="6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(105,036)</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27,645</w:t>
            </w:r>
          </w:p>
        </w:tc>
        <w:tc>
          <w:tcPr>
            <w:tcW w:w="100" w:type="dxa"/>
            <w:vAlign w:val="bottom"/>
            <w:shd w:val="clear" w:color="auto" w:fill="CFF0FC"/>
          </w:tcPr>
          <w:p>
            <w:pPr>
              <w:spacing w:after="0"/>
              <w:rPr>
                <w:sz w:val="12"/>
                <w:szCs w:val="12"/>
                <w:color w:val="auto"/>
              </w:rPr>
            </w:pPr>
          </w:p>
        </w:tc>
      </w:tr>
      <w:tr>
        <w:trPr>
          <w:trHeight w:val="142"/>
        </w:trPr>
        <w:tc>
          <w:tcPr>
            <w:tcW w:w="6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8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Proceeds from equity offering</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Payments of issuance costs related to equity offering</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(9,477)</w:t>
            </w: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Proceeds from ATM offering, net of commissions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under equity incentive plan</w:t>
            </w: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leases</w:t>
            </w:r>
          </w:p>
        </w:tc>
        <w:tc>
          <w:tcPr>
            <w:tcW w:w="8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w:t>
            </w:r>
          </w:p>
        </w:tc>
      </w:tr>
      <w:tr>
        <w:trPr>
          <w:trHeight w:val="149"/>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Principal payments on term loan</w:t>
            </w:r>
          </w:p>
        </w:tc>
        <w:tc>
          <w:tcPr>
            <w:tcW w:w="8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(1,305)</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139,595</w:t>
            </w: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FF0FC"/>
            </w:tcBorders>
          </w:tcPr>
          <w:p>
            <w:pPr>
              <w:spacing w:after="0"/>
              <w:rPr>
                <w:sz w:val="12"/>
                <w:szCs w:val="12"/>
                <w:color w:val="auto"/>
              </w:rPr>
            </w:pPr>
          </w:p>
        </w:tc>
      </w:tr>
      <w:tr>
        <w:trPr>
          <w:trHeight w:val="14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3,047</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16,439</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17,633</w:t>
            </w:r>
          </w:p>
        </w:tc>
        <w:tc>
          <w:tcPr>
            <w:tcW w:w="100" w:type="dxa"/>
            <w:vAlign w:val="bottom"/>
          </w:tcPr>
          <w:p>
            <w:pPr>
              <w:spacing w:after="0"/>
              <w:rPr>
                <w:sz w:val="12"/>
                <w:szCs w:val="12"/>
                <w:color w:val="auto"/>
              </w:rPr>
            </w:pPr>
          </w:p>
        </w:tc>
      </w:tr>
      <w:tr>
        <w:trPr>
          <w:trHeight w:val="182"/>
        </w:trPr>
        <w:tc>
          <w:tcPr>
            <w:tcW w:w="6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40" w:type="dxa"/>
            <w:vAlign w:val="bottom"/>
            <w:tcBorders>
              <w:bottom w:val="single" w:sz="8" w:color="auto"/>
            </w:tcBorders>
            <w:shd w:val="clear" w:color="auto" w:fill="CFF0FC"/>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32,350</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6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840" w:type="dxa"/>
            <w:vAlign w:val="bottom"/>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4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 issuance costs in accounts payable and accrued expenses</w:t>
            </w:r>
          </w:p>
        </w:tc>
        <w:tc>
          <w:tcPr>
            <w:tcW w:w="840" w:type="dxa"/>
            <w:vAlign w:val="bottom"/>
            <w:shd w:val="clear" w:color="auto" w:fill="CFF0FC"/>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32,284</w:t>
            </w:r>
          </w:p>
        </w:tc>
        <w:tc>
          <w:tcPr>
            <w:tcW w:w="24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20,614</w:t>
            </w:r>
          </w:p>
        </w:tc>
        <w:tc>
          <w:tcPr>
            <w:tcW w:w="100" w:type="dxa"/>
            <w:vAlign w:val="bottom"/>
          </w:tcPr>
          <w:p>
            <w:pPr>
              <w:spacing w:after="0"/>
              <w:rPr>
                <w:sz w:val="12"/>
                <w:szCs w:val="12"/>
                <w:color w:val="auto"/>
              </w:rPr>
            </w:pPr>
          </w:p>
        </w:tc>
      </w:tr>
      <w:tr>
        <w:trPr>
          <w:trHeight w:val="149"/>
        </w:trPr>
        <w:tc>
          <w:tcPr>
            <w:tcW w:w="660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assets)</w:t>
            </w:r>
          </w:p>
        </w:tc>
        <w:tc>
          <w:tcPr>
            <w:tcW w:w="8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84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32,350</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20,680</w:t>
            </w:r>
          </w:p>
        </w:tc>
        <w:tc>
          <w:tcPr>
            <w:tcW w:w="100" w:type="dxa"/>
            <w:vAlign w:val="bottom"/>
          </w:tcPr>
          <w:p>
            <w:pPr>
              <w:spacing w:after="0"/>
              <w:rPr>
                <w:sz w:val="12"/>
                <w:szCs w:val="12"/>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5068570</wp:posOffset>
            </wp:positionH>
            <wp:positionV relativeFrom="paragraph">
              <wp:posOffset>-2665095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-2665095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-2073910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-2073910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-1310640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-1310640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-908050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-890905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-908050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-890905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-128270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-128270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biotechnology company advancing a pipeline of novel therapies designed to treat cancer and extend patients’ lives.</w:t>
      </w:r>
    </w:p>
    <w:p>
      <w:pPr>
        <w:spacing w:after="0" w:line="72"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spacing w:after="0" w:line="68" w:lineRule="exact"/>
        <w:rPr>
          <w:sz w:val="20"/>
          <w:szCs w:val="20"/>
          <w:color w:val="auto"/>
        </w:rPr>
      </w:pPr>
    </w:p>
    <w:p>
      <w:pPr>
        <w:jc w:val="both"/>
        <w:ind w:right="160" w:firstLine="441"/>
        <w:spacing w:after="0" w:line="289" w:lineRule="auto"/>
        <w:rPr>
          <w:sz w:val="20"/>
          <w:szCs w:val="20"/>
          <w:color w:val="auto"/>
        </w:rPr>
      </w:pPr>
      <w:r>
        <w:rPr>
          <w:rFonts w:ascii="Times New Roman" w:cs="Times New Roman" w:eastAsia="Times New Roman" w:hAnsi="Times New Roman"/>
          <w:sz w:val="17"/>
          <w:szCs w:val="17"/>
          <w:color w:val="auto"/>
        </w:rPr>
        <w:t>As of March 31, 2026,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spacing w:after="0" w:line="50"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Management expects to incur additional losses in the future to conduct product candidate research and development and to conduct pre-commercialization activities and recognizes that the Company will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 after the date the condensed consolidated financial statements are issued.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2025 filed with the SEC on March 9, 2026.</w:t>
      </w:r>
    </w:p>
    <w:p>
      <w:pPr>
        <w:spacing w:after="0" w:line="81"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included herein was derived from the audited financial statements as of that date, but does not include all disclosures including notes required by U.S. GAAP.</w:t>
      </w:r>
    </w:p>
    <w:p>
      <w:pPr>
        <w:spacing w:after="0" w:line="54"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2026.</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the Company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the Company believes to be reasonable under the circumstances and adjusts those estimates and assumptions when facts and circumstances change. Actual results could differ from those estimates.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new or material changes to the significant accounting policies discussed in the Company’s Annual Report on Form 10-K for the year ended December 31, 2025.</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ASU 2025-12 aims to make the Codification easier to understand and apply by making changes to the Codification that (1) clarify, (2) correct errors, or (3) make minor improvements. Key improvements include clarifying the calculation of diluted earnings per share (EPS) when a loss from continuing operations exists. ASU 2025-12 is effective for annual periods beginning after December 15, 2026, including interim periods within those annual periods. Early adoption is permitted. The guidance can be applied on a prospective or retrospective basis. The Company adopted ASU 2025-12 on January 1, 2026. The adoption did not have a material impact on the Company’s consolidated financial statements.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7"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spacing w:after="0" w:line="75"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clarifies interim disclosure requirements and the applicability of Topic 270. ASU 2025-11 is effective for annual periods beginning after December 15, 2027 and interim periods beginning after December 15, 2028. Early adoption is permitted. The guidance can be applied either on a prospective basis or a retrospective basis to any or all prior periods presented in the financial statements. The Company is evaluating the impact of this guidance and does not expect it to have a material impact on its consolidated financial statements and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12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The Company’s chief operating decision maker (CODM) uses consolidated, single-segment financial information for the purposes of assessing performance, making operating decisions, allocating resources, and planning and forecasting for future periods.</w:t>
      </w:r>
    </w:p>
    <w:p>
      <w:pPr>
        <w:spacing w:after="0" w:line="68" w:lineRule="exact"/>
        <w:rPr>
          <w:sz w:val="20"/>
          <w:szCs w:val="20"/>
          <w:color w:val="auto"/>
        </w:rPr>
      </w:pPr>
    </w:p>
    <w:p>
      <w:pPr>
        <w:jc w:val="both"/>
        <w:ind w:right="580" w:firstLine="441"/>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w:t>
      </w:r>
    </w:p>
    <w:p>
      <w:pPr>
        <w:spacing w:after="0" w:line="68" w:lineRule="exact"/>
        <w:rPr>
          <w:sz w:val="20"/>
          <w:szCs w:val="20"/>
          <w:color w:val="auto"/>
        </w:rPr>
      </w:pPr>
    </w:p>
    <w:p>
      <w:pPr>
        <w:ind w:right="440" w:firstLine="441"/>
        <w:spacing w:after="0" w:line="261" w:lineRule="auto"/>
        <w:rPr>
          <w:sz w:val="20"/>
          <w:szCs w:val="20"/>
          <w:color w:val="auto"/>
        </w:rPr>
      </w:pPr>
      <w:r>
        <w:rPr>
          <w:rFonts w:ascii="Times New Roman" w:cs="Times New Roman" w:eastAsia="Times New Roman" w:hAnsi="Times New Roman"/>
          <w:sz w:val="18"/>
          <w:szCs w:val="18"/>
          <w:color w:val="auto"/>
        </w:rPr>
        <w:t>The CODM reviews cash, cash equivalents and investments as a measure of segment assets. As of March 31, 2026 and December 31, 2025, the Company’s cash, cash equivalents and investments were $169.1 million and $48.3 million, respectively.</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11" w:name="page12"/>
    <w:bookmarkEnd w:id="11"/>
    <w:p>
      <w:pPr>
        <w:ind w:left="660" w:right="13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segment expenses for the three months ended March 31, 2026 and 2025 (in thousands):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2260" w:type="dxa"/>
            <w:vAlign w:val="bottom"/>
            <w:gridSpan w:val="2"/>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80" w:type="dxa"/>
            <w:vAlign w:val="bottom"/>
          </w:tcPr>
          <w:p>
            <w:pPr>
              <w:spacing w:after="0"/>
              <w:rPr>
                <w:sz w:val="18"/>
                <w:szCs w:val="18"/>
                <w:color w:val="auto"/>
              </w:rPr>
            </w:pP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Preclinical costs</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research costs</w:t>
            </w:r>
          </w:p>
        </w:tc>
        <w:tc>
          <w:tcPr>
            <w:tcW w:w="11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18"/>
                <w:szCs w:val="18"/>
                <w:color w:val="auto"/>
              </w:rPr>
            </w:pPr>
          </w:p>
        </w:tc>
      </w:tr>
      <w:tr>
        <w:trPr>
          <w:trHeight w:val="209"/>
        </w:trPr>
        <w:tc>
          <w:tcPr>
            <w:tcW w:w="4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18"/>
                <w:szCs w:val="18"/>
                <w:color w:val="auto"/>
              </w:rPr>
            </w:pPr>
          </w:p>
        </w:tc>
      </w:tr>
      <w:tr>
        <w:trPr>
          <w:trHeight w:val="216"/>
        </w:trPr>
        <w:tc>
          <w:tcPr>
            <w:tcW w:w="4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1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(18,966)</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(31,820)</w:t>
            </w:r>
          </w:p>
        </w:tc>
      </w:tr>
      <w:tr>
        <w:trPr>
          <w:trHeight w:val="209"/>
        </w:trPr>
        <w:tc>
          <w:tcPr>
            <w:tcW w:w="45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FF0FC"/>
            </w:tcBorders>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-882015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-882015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-590550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-590550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-24765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-7620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-170815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-24765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-7620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-170815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left="660" w:right="120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are determined in accordance with the fair value hierarchy established in ASC 820, Fair Value Measurements and Disclosures.</w:t>
      </w:r>
    </w:p>
    <w:p>
      <w:pPr>
        <w:spacing w:after="0" w:line="54" w:lineRule="exact"/>
        <w:rPr>
          <w:sz w:val="20"/>
          <w:szCs w:val="20"/>
          <w:color w:val="auto"/>
        </w:rPr>
      </w:pPr>
    </w:p>
    <w:p>
      <w:pPr>
        <w:ind w:left="660" w:right="74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investments, which consist of cash equivalents and investments classified as available-for-sale investments, that are measured at fair value on a recurring basis by level within the fair value hierarchy as of March 31, 2026 and December 31, 2025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7"/>
        </w:trPr>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6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68,778</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20"/>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-1010920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4862195</wp:posOffset>
            </wp:positionH>
            <wp:positionV relativeFrom="paragraph">
              <wp:posOffset>-1010920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-1010920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-1010920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19,215</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46,593</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-170815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-170815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available-for-sale investments by classification included in the condensed consolidated balance sheets was as follows as of March 31,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30,265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14,682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28,417</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0"/>
        </w:trPr>
        <w:tc>
          <w:tcPr>
            <w:tcW w:w="5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167,088</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46,593</w:t>
            </w:r>
          </w:p>
        </w:tc>
      </w:tr>
      <w:tr>
        <w:trPr>
          <w:trHeight w:val="20"/>
        </w:trPr>
        <w:tc>
          <w:tcPr>
            <w:tcW w:w="5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-170815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right="100" w:firstLine="441"/>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above table excludes bank account cash of $2.0 million and $1.7 million as of March 31, 2026 and December 31, 2025, respectively.</w:t>
      </w:r>
    </w:p>
    <w:p>
      <w:pPr>
        <w:spacing w:after="0" w:line="54"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available-for-sale investments by contractual maturity was as follows as of March 31,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138,305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43,099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46,593</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-24765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-8255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the fair value measurement levels during the three months ended</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March 31, 2026 and 2025 and there were no financial instruments classified as Level 3 as of March 31, 2026 and December 31, 2025.</w:t>
      </w:r>
    </w:p>
    <w:p>
      <w:pPr>
        <w:spacing w:after="0" w:line="110"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accrued interest receivable related to the Company’s investments of $1.0 million and $0.3 million was included in prepaid expenses and other current assets on the condensed consolidated balance sheet.</w:t>
      </w:r>
    </w:p>
    <w:p>
      <w:pPr>
        <w:spacing w:after="0" w:line="54"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As of March 31, 2026,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March 31, 2026 and 2025, no allowance for credit losses for the Company’s investments was recorded. As of March 31, 2026 and December 31, 2025, no securities were in a continuous net unrealized loss position for more than 12 months. As of March 31, 2026 and 2025, the Company has not recognized any impairment losses on available-for-sale investments.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3" w:name="page14"/>
    <w:bookmarkEnd w:id="13"/>
    <w:p>
      <w:pPr>
        <w:ind w:left="440" w:right="6020" w:hanging="436"/>
        <w:spacing w:after="0" w:line="400" w:lineRule="auto"/>
        <w:tabs>
          <w:tab w:leader="none" w:pos="25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Prepaid Expenses and Other Current Assets</w:t>
      </w: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prepaid expenses and other current assets as of March 31,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receivables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property and equipment, net as of March 31,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3,179</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(1,979)</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was $0.1 million and $0.2 million for the three months ended March 31, 2026 and 2025, respectively.</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components of other assets as of March 31, 2026 and December 31,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prepaid clinical expenses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prepaid contract manufacturing costs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 has determined it operates in a single operating segment and has one reportable segment. The Company reviews for indicators of impairment on a quarterly basis, including changes in how its property is being used.</w:t>
      </w:r>
    </w:p>
    <w:p>
      <w:pPr>
        <w:spacing w:after="0" w:line="54"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In May 2025, the Company made a decision to sublease its leased property in Palo Alto. The Company is actively marketing the leased building for sublease. In connection with the preparation of these condensed consolidated financial statements, the Company determined that the change in how this building is being used could indicate impairment. The Company identified this to-be-sublet property as a separate asset group for purposes of long-lived asset impairment assessment. The Company concluded that the carrying value of this to-be-sublet property asset group was not recoverable and the estimated fair value of this asset group was below its carrying value. The lower fair value of this asset group was mainly due to the lower estimated sublease income compared to the lease payments in accordance with the initial operating lease agreement and higher discount rate. The Company applied a discounted cash flow method to estimate fair value of its right-of-use asset and leasehold improvements. Based on this analysis, the Company concluded the fair value of the right-of-use asset and leasehold improvements of $1.5 million was lower than its net book value of $4.7 million. The Company recognized a pre-tax long-lived asset impairment charge of $3.2 million on the right-of-use asset and leasehold improvements in the second quarter of 2025. For the three months ended March 31, 2026, the Company has recognized no impairment on the right-of-use asset and leasehold improvements.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components of accrued expenses and other current liabilities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and nonclinical study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Company has non-cancelable operating leases for its offices located in the U.S. As of March 31, 2026,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maturities and balance sheet information of the Company’s operating lease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thousands, except lease term and discount rate):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jc w:val="right"/>
              <w:ind w:right="10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r>
      <w:tr>
        <w:trPr>
          <w:trHeight w:val="196"/>
        </w:trPr>
        <w:tc>
          <w:tcPr>
            <w:tcW w:w="4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80" w:type="dxa"/>
            <w:vAlign w:val="bottom"/>
          </w:tcPr>
          <w:p>
            <w:pPr>
              <w:spacing w:after="0"/>
              <w:rPr>
                <w:sz w:val="17"/>
                <w:szCs w:val="17"/>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37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Lease liabilities: current </w:t>
            </w:r>
            <w:r>
              <w:rPr>
                <w:rFonts w:ascii="Times New Roman" w:cs="Times New Roman" w:eastAsia="Times New Roman" w:hAnsi="Times New Roman"/>
                <w:sz w:val="24"/>
                <w:szCs w:val="24"/>
                <w:color w:val="auto"/>
                <w:vertAlign w:val="superscript"/>
              </w:rPr>
              <w:t>(i)</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Pr>
          <w:p>
            <w:pPr>
              <w:spacing w:after="0"/>
              <w:rPr>
                <w:sz w:val="24"/>
                <w:szCs w:val="24"/>
                <w:color w:val="auto"/>
              </w:rPr>
            </w:pPr>
          </w:p>
        </w:tc>
      </w:tr>
      <w:tr>
        <w:trPr>
          <w:trHeight w:val="254"/>
        </w:trPr>
        <w:tc>
          <w:tcPr>
            <w:tcW w:w="482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Lease liabilities: non-current </w:t>
            </w:r>
            <w:r>
              <w:rPr>
                <w:rFonts w:ascii="Times New Roman" w:cs="Times New Roman" w:eastAsia="Times New Roman" w:hAnsi="Times New Roman"/>
                <w:sz w:val="24"/>
                <w:szCs w:val="24"/>
                <w:color w:val="auto"/>
                <w:vertAlign w:val="superscript"/>
              </w:rPr>
              <w:t>(ii)</w:t>
            </w:r>
          </w:p>
        </w:tc>
        <w:tc>
          <w:tcPr>
            <w:tcW w:w="1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22"/>
                <w:szCs w:val="22"/>
                <w:color w:val="auto"/>
              </w:rPr>
            </w:pPr>
          </w:p>
        </w:tc>
      </w:tr>
      <w:tr>
        <w:trPr>
          <w:trHeight w:val="25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shd w:val="clear" w:color="auto" w:fill="CFF0FC"/>
          </w:tcPr>
          <w:p>
            <w:pPr>
              <w:spacing w:after="0"/>
              <w:rPr>
                <w:sz w:val="21"/>
                <w:szCs w:val="21"/>
                <w:color w:val="auto"/>
              </w:rPr>
            </w:pPr>
          </w:p>
        </w:tc>
      </w:tr>
      <w:tr>
        <w:trPr>
          <w:trHeight w:val="196"/>
        </w:trPr>
        <w:tc>
          <w:tcPr>
            <w:tcW w:w="482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-868045</wp:posOffset>
            </wp:positionV>
            <wp:extent cx="617220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13716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-1031240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-1014095</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-1031240</wp:posOffset>
            </wp:positionV>
            <wp:extent cx="111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-1014095</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-448310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-431165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-448310</wp:posOffset>
            </wp:positionV>
            <wp:extent cx="1117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-431165</wp:posOffset>
            </wp:positionV>
            <wp:extent cx="1117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56" w:lineRule="exact"/>
        <w:rPr>
          <w:sz w:val="20"/>
          <w:szCs w:val="20"/>
          <w:color w:val="auto"/>
        </w:rPr>
      </w:pPr>
    </w:p>
    <w:p>
      <w:pPr>
        <w:ind w:left="660" w:hanging="33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lease liabilities are presented within accrued expenses and other current liabilities on the condensed consolidated balance sheets.</w:t>
      </w:r>
    </w:p>
    <w:p>
      <w:pPr>
        <w:spacing w:after="0" w:line="126" w:lineRule="exact"/>
        <w:rPr>
          <w:rFonts w:ascii="Times New Roman" w:cs="Times New Roman" w:eastAsia="Times New Roman" w:hAnsi="Times New Roman"/>
          <w:sz w:val="16"/>
          <w:szCs w:val="16"/>
          <w:color w:val="auto"/>
        </w:rPr>
      </w:pPr>
    </w:p>
    <w:p>
      <w:pPr>
        <w:ind w:left="660" w:hanging="33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lease liabilities are presented within other non-current liabilities on the condensed consolidated balance sheets.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components of lease costs for the three months ended March 31,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98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760" w:type="dxa"/>
            <w:vAlign w:val="bottom"/>
          </w:tcPr>
          <w:p>
            <w:pPr>
              <w:spacing w:after="0"/>
              <w:rPr>
                <w:sz w:val="18"/>
                <w:szCs w:val="18"/>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40" w:type="dxa"/>
            <w:vAlign w:val="bottom"/>
            <w:vMerge w:val="continue"/>
          </w:tcPr>
          <w:p>
            <w:pPr>
              <w:spacing w:after="0"/>
              <w:rPr>
                <w:sz w:val="13"/>
                <w:szCs w:val="13"/>
                <w:color w:val="auto"/>
              </w:rPr>
            </w:pPr>
          </w:p>
        </w:tc>
        <w:tc>
          <w:tcPr>
            <w:tcW w:w="2900" w:type="dxa"/>
            <w:vAlign w:val="bottom"/>
            <w:gridSpan w:val="2"/>
          </w:tcPr>
          <w:p>
            <w:pPr>
              <w:jc w:val="right"/>
              <w:ind w:right="950"/>
              <w:spacing w:after="0" w:line="15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Variable lease cost and other, net </w:t>
            </w:r>
            <w:r>
              <w:rPr>
                <w:rFonts w:ascii="Times New Roman" w:cs="Times New Roman" w:eastAsia="Times New Roman" w:hAnsi="Times New Roman"/>
                <w:sz w:val="24"/>
                <w:szCs w:val="24"/>
                <w:color w:val="auto"/>
                <w:vertAlign w:val="superscript"/>
              </w:rPr>
              <w:t>(i)</w:t>
            </w:r>
          </w:p>
        </w:tc>
        <w:tc>
          <w:tcPr>
            <w:tcW w:w="1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7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7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7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7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-993775</wp:posOffset>
            </wp:positionV>
            <wp:extent cx="617220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2200" cy="137160"/>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-24765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8" w:lineRule="exact"/>
        <w:rPr>
          <w:sz w:val="20"/>
          <w:szCs w:val="20"/>
          <w:color w:val="auto"/>
        </w:rPr>
      </w:pPr>
    </w:p>
    <w:p>
      <w:pPr>
        <w:ind w:left="660" w:hanging="33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variable lease cost and other, net is comprised primarily of common area maintenance charges for the operating lease, which are</w:t>
      </w:r>
    </w:p>
    <w:p>
      <w:pPr>
        <w:spacing w:after="0" w:line="26" w:lineRule="exact"/>
        <w:rPr>
          <w:rFonts w:ascii="Times New Roman" w:cs="Times New Roman" w:eastAsia="Times New Roman" w:hAnsi="Times New Roman"/>
          <w:sz w:val="16"/>
          <w:szCs w:val="16"/>
          <w:color w:val="auto"/>
        </w:rPr>
      </w:pPr>
    </w:p>
    <w:p>
      <w:pPr>
        <w:ind w:left="47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476885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15" w:name="page16"/>
    <w:bookmarkEnd w:id="15"/>
    <w:p>
      <w:pPr>
        <w:ind w:left="660" w:right="280"/>
        <w:spacing w:after="0" w:line="281" w:lineRule="auto"/>
        <w:rPr>
          <w:sz w:val="20"/>
          <w:szCs w:val="20"/>
          <w:color w:val="auto"/>
        </w:rPr>
      </w:pPr>
      <w:r>
        <w:rPr>
          <w:rFonts w:ascii="Times New Roman" w:cs="Times New Roman" w:eastAsia="Times New Roman" w:hAnsi="Times New Roman"/>
          <w:sz w:val="16"/>
          <w:szCs w:val="16"/>
          <w:color w:val="auto"/>
        </w:rPr>
        <w:t>dependent on usage. These costs are classified as operating lease expense due to the election to not separate lease and non-lease components. These costs were not included within the measurement of the Company’s operating lease right-of-use assets and operating lease liabilities.</w:t>
      </w:r>
    </w:p>
    <w:p>
      <w:pPr>
        <w:spacing w:after="0" w:line="65"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cash flow disclosures for cash paid for leases for the three months ended March 31, 2026 and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r>
      <w:tr>
        <w:trPr>
          <w:trHeight w:val="23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Oxford Finance and Silicon Valley Bank Loan</w:t>
      </w:r>
    </w:p>
    <w:p>
      <w:pPr>
        <w:spacing w:after="0" w:line="121"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In December 2023, the original terms of the Loan Agreement were amended to extend the draw deadline to June 2024. The original terms of the Loan Agreement provided for an additional $50.0 million over three tranches, with $12.5 million available in each of two tranches based upon the achievement of milestones related to the development of evorpacept and one preclinical product candidate, and $25.0 million at the Lenders’ sole discretion. 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March 31, 2026.</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proceeds of the loans may be used by the Company for working capital and to fund its general business requirements.</w:t>
      </w:r>
    </w:p>
    <w:p>
      <w:pPr>
        <w:spacing w:after="0" w:line="117" w:lineRule="exact"/>
        <w:rPr>
          <w:sz w:val="20"/>
          <w:szCs w:val="20"/>
          <w:color w:val="auto"/>
        </w:rPr>
      </w:pPr>
    </w:p>
    <w:p>
      <w:pPr>
        <w:ind w:right="520" w:firstLine="441"/>
        <w:spacing w:after="0" w:line="312" w:lineRule="auto"/>
        <w:rPr>
          <w:sz w:val="20"/>
          <w:szCs w:val="20"/>
          <w:color w:val="auto"/>
        </w:rPr>
      </w:pPr>
      <w:r>
        <w:rPr>
          <w:rFonts w:ascii="Times New Roman" w:cs="Times New Roman" w:eastAsia="Times New Roman" w:hAnsi="Times New Roman"/>
          <w:sz w:val="17"/>
          <w:szCs w:val="17"/>
          <w:color w:val="auto"/>
        </w:rPr>
        <w:t>Additional information regarding our indebtedness is included in our notes to our consolidated financial statements in our Annual Report on Form 10-K for the fiscal year ended December 31, 2025, which was filed with the SEC on March 9, 2026.</w:t>
      </w:r>
    </w:p>
    <w:p>
      <w:pPr>
        <w:spacing w:after="0" w:line="3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interest expense incurred in connection with the Loan Agreement was $0.3 million.</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2026, the Company was in compliance with all financial reporting covenants under the Loan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2026, the future maturities under the Loan Agreement are as follows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future maturities</w:t>
            </w:r>
          </w:p>
        </w:tc>
        <w:tc>
          <w:tcPr>
            <w:tcW w:w="13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6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10"/>
        </w:trPr>
        <w:tc>
          <w:tcPr>
            <w:tcW w:w="20" w:type="dxa"/>
            <w:vAlign w:val="bottom"/>
          </w:tcPr>
          <w:p>
            <w:pPr>
              <w:spacing w:after="0"/>
              <w:rPr>
                <w:sz w:val="18"/>
                <w:szCs w:val="18"/>
                <w:color w:val="auto"/>
              </w:rPr>
            </w:pPr>
          </w:p>
        </w:tc>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term loan, net of current portion</w:t>
            </w:r>
          </w:p>
        </w:tc>
        <w:tc>
          <w:tcPr>
            <w:tcW w:w="13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6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unaccreted final payment costs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non-current, net</w:t>
            </w:r>
          </w:p>
        </w:tc>
        <w:tc>
          <w:tcPr>
            <w:tcW w:w="1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-873760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-590550</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-24765</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-8255</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2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On July 21, 2020, the Company’s amended and restated certificate of incorporation became effective, authorizing 1,000,000,000 shares of common stock, $0.001 par value per share, and 100,000,000 shares of undesignated preferred stock, $0.001 par value per share. As of March 31, 2026 and December 31, 2025, the Company had 134,540,741 and 54,388,022 shares of common stock outstanding, respectively, and no shares of undesignated preferred stock outstanding, respectively.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0" w:right="109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In February 2026, the Company completed a registered offering (the February 2026 Offering) and issued an aggregate of 76,979,112 shares of common stock at an offering price of $1.57 per share and, in lieu of common stock to certain investors, pre-funded warrants to purchase 18,574,120 shares of common stock at an offering price of $1.569 per pre-funded warrant. Net proceeds were approximately $140.4 million, after deducting underwriting discounts and commissions of $9.0 million and offering-related expenses of $0.6 million.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Common stock reserved for future issuance as of March 31, 2026 consists of the following:</w:t>
      </w:r>
    </w:p>
    <w:p>
      <w:pPr>
        <w:spacing w:after="0" w:line="113"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4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16,220,743</w:t>
            </w:r>
          </w:p>
        </w:tc>
        <w:tc>
          <w:tcPr>
            <w:tcW w:w="6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(RSUs) issued and outstanding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149,177</w:t>
            </w:r>
          </w:p>
        </w:tc>
        <w:tc>
          <w:tcPr>
            <w:tcW w:w="6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2,258,154</w:t>
            </w:r>
          </w:p>
        </w:tc>
        <w:tc>
          <w:tcPr>
            <w:tcW w:w="6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shares authorized for future issuance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1,984,143</w:t>
            </w:r>
          </w:p>
        </w:tc>
        <w:tc>
          <w:tcPr>
            <w:tcW w:w="6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17,260,613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37,872,830</w:t>
            </w:r>
          </w:p>
        </w:tc>
        <w:tc>
          <w:tcPr>
            <w:tcW w:w="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-170815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sales agreement (as amended, Sales Agreement) with Cantor Fitzgerald &amp; Co. and Credit Suisse Securities (USA) LLC (Credit Suisse),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March 31, 2026, the Company had issued approximately 3,183,109 shares of common stock pursuant to the Sales Agreement for net proceeds of $31.4 million. The Company may terminate this ATM program at any time, pursuant to its terms.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In October 2023, the Company completed a registered offering (the October 2023 Offering) pursuant to a shelf registration statement, which provides for aggregate offerings of up to $450.0 million of the Company’s securities. As part of the October 2023 Offering, the Company issued pre-funded warrants (2023 Pre-Funded Warrants) to certain investors to purchase 1,250,000 shares of common stock at an offering price of $6.379 per pre-funded warrant. Each pre-funded warrant entitles the holder to purchase one share of common stock at an exercise price of $0.001 per share. Additional information regarding the 2023 Pre-Funded Warrants is included in our notes to our consolidated financial statements in our Annual Report on Form 10-K for the fiscal year ended December 31, 2025, which was filed with the SEC on March 9, 2026. As of March 31, 2026, zero shares underlying the 2023 Pre-Funded Warrants have been exercised.</w:t>
      </w:r>
    </w:p>
    <w:p>
      <w:pPr>
        <w:spacing w:after="0" w:line="84" w:lineRule="exact"/>
        <w:rPr>
          <w:sz w:val="20"/>
          <w:szCs w:val="20"/>
          <w:color w:val="auto"/>
        </w:rPr>
      </w:pPr>
    </w:p>
    <w:p>
      <w:pPr>
        <w:ind w:right="400" w:firstLine="441"/>
        <w:spacing w:after="0" w:line="266" w:lineRule="auto"/>
        <w:rPr>
          <w:sz w:val="20"/>
          <w:szCs w:val="20"/>
          <w:color w:val="auto"/>
        </w:rPr>
      </w:pPr>
      <w:r>
        <w:rPr>
          <w:rFonts w:ascii="Times New Roman" w:cs="Times New Roman" w:eastAsia="Times New Roman" w:hAnsi="Times New Roman"/>
          <w:sz w:val="18"/>
          <w:szCs w:val="18"/>
          <w:color w:val="auto"/>
        </w:rPr>
        <w:t>As part of the February 2026 Offering, the Company issued pre-funded warrants (2026 Pre-Funded Warrants) to certain investors to purchase 18,574,120 shares of common stock at an offering price of $1.569 per pre-funded warrant. Each pre-funded warrant entitles the holder to purchase one share of common stock at an exercise price of $0.001 per share.</w:t>
      </w:r>
    </w:p>
    <w:p>
      <w:pPr>
        <w:spacing w:after="0" w:line="6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2026 Pre-Funded Warrants were classified as equity and accounted for as a component of additional paid-in capital. These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these pre-funded warrants do not provide any guarantee of value or return. The Company valued the 2026 Pre-Funded Warrants at issuance, concluding that their offering price approximated their fair value, and allocated the aggregate net proceeds from the offering proportionately to the common stock and pre-funded warrants, including approximately $29.1 million allocated to the pre-funded warrants and recorded as a component of additional paid-in capital on the consolidated balance sheets.</w:t>
      </w:r>
    </w:p>
    <w:p>
      <w:pPr>
        <w:spacing w:after="0" w:line="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2026 Pre-Funded Warrants are exercisable at any time after their original issuance. However, these pre-funded warrants include a separate provision whereby the exercisability of the pre-funded warrants may be limited if, upon exercise, the warrant holder (together with its affiliates) would beneficially own more than 4.99% or 9.99%, as applicable, of the Company’s common stock. This threshold is subject to each warrant holder’s rights under its pre-funded warrants to increase or decrease such percentage to any other percentage not in excess of 19.99% upon at least 61 days’ prior notice from such warrant holder to the Company. The pre-funded warrants do not have a stated expiration date and remain outstanding until exercised in full.</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2026, 2,563,507 shares underlying the 2026 Pre-Funded Warrants have been exercised.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89" w:right="111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pre-funded warrants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73025</wp:posOffset>
            </wp:positionV>
            <wp:extent cx="4761865" cy="304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1865" cy="304165"/>
                    </a:xfrm>
                    <a:prstGeom prst="rect">
                      <a:avLst/>
                    </a:prstGeom>
                    <a:noFill/>
                  </pic:spPr>
                </pic:pic>
              </a:graphicData>
            </a:graphic>
          </wp:anchor>
        </w:drawing>
      </w:r>
    </w:p>
    <w:p>
      <w:pPr>
        <w:spacing w:after="0" w:line="3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Outstanding as of December 31, 2025</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5715</wp:posOffset>
            </wp:positionV>
            <wp:extent cx="474916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14605</wp:posOffset>
            </wp:positionV>
            <wp:extent cx="474916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Outstanding as of March 31, 2026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Warrants</w:t>
      </w:r>
    </w:p>
    <w:p>
      <w:pPr>
        <w:spacing w:after="0" w:line="31"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1,250,000</w:t>
      </w:r>
    </w:p>
    <w:p>
      <w:pPr>
        <w:spacing w:after="0" w:line="23"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18,574,120</w:t>
      </w:r>
    </w:p>
    <w:p>
      <w:pPr>
        <w:spacing w:after="0" w:line="9"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color w:val="auto"/>
        </w:rPr>
        <w:t>(2,563,507)</w:t>
      </w:r>
    </w:p>
    <w:p>
      <w:pPr>
        <w:spacing w:after="0" w:line="9"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5715</wp:posOffset>
            </wp:positionV>
            <wp:extent cx="17913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jc w:val="right"/>
        <w:ind w:right="1160"/>
        <w:spacing w:after="0"/>
        <w:rPr>
          <w:sz w:val="20"/>
          <w:szCs w:val="20"/>
          <w:color w:val="auto"/>
        </w:rPr>
      </w:pPr>
      <w:r>
        <w:rPr>
          <w:rFonts w:ascii="Times New Roman" w:cs="Times New Roman" w:eastAsia="Times New Roman" w:hAnsi="Times New Roman"/>
          <w:sz w:val="18"/>
          <w:szCs w:val="18"/>
          <w:color w:val="auto"/>
        </w:rPr>
        <w:t>17,260,613</w:t>
      </w:r>
    </w:p>
    <w:p>
      <w:pPr>
        <w:spacing w:after="0" w:line="152" w:lineRule="exact"/>
        <w:rPr>
          <w:sz w:val="20"/>
          <w:szCs w:val="20"/>
          <w:color w:val="auto"/>
        </w:rPr>
      </w:pPr>
    </w:p>
    <w:p>
      <w:pPr>
        <w:sectPr>
          <w:pgSz w:w="11900" w:h="16838" w:orient="portrait"/>
          <w:cols w:equalWidth="0" w:num="2">
            <w:col w:w="5700" w:space="580"/>
            <w:col w:w="3380"/>
          </w:cols>
          <w:pgMar w:left="1080" w:top="1093" w:right="115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Outstanding pre-funded warrants as of March 31, 2026 and 2025 consists of the following:</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3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3880" w:type="dxa"/>
            <w:vAlign w:val="bottom"/>
          </w:tcPr>
          <w:p>
            <w:pPr>
              <w:spacing w:after="0"/>
              <w:rPr>
                <w:sz w:val="17"/>
                <w:szCs w:val="17"/>
                <w:color w:val="auto"/>
              </w:rPr>
            </w:pPr>
          </w:p>
        </w:tc>
        <w:tc>
          <w:tcPr>
            <w:tcW w:w="16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Pre-Funded Warrants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6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2026 Pre-Funded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16,010,613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17,260,613</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-25400</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-25400</wp:posOffset>
            </wp:positionV>
            <wp:extent cx="43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-7620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Outstanding pre-funded warrants are included in the weighted-average number of shares of common stock used to calculate basic net loss per share attributable to common stockholders (see Note 11 “Net Loss Per Share”).</w:t>
      </w:r>
    </w:p>
    <w:p>
      <w:pPr>
        <w:spacing w:after="0" w:line="266" w:lineRule="exact"/>
        <w:rPr>
          <w:sz w:val="20"/>
          <w:szCs w:val="20"/>
          <w:color w:val="auto"/>
        </w:rPr>
      </w:pPr>
    </w:p>
    <w:p>
      <w:pPr>
        <w:ind w:left="440" w:right="6580" w:hanging="436"/>
        <w:spacing w:after="0" w:line="376" w:lineRule="auto"/>
        <w:tabs>
          <w:tab w:leader="none" w:pos="25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i w:val="1"/>
          <w:iCs w:val="1"/>
          <w:color w:val="auto"/>
        </w:rPr>
        <w:t>Equity Incentive Plans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Amended and Restated 2020 Equity Incentive Plan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Amended and Restated 2020 Equity Incentive Plan, or the 2020 Plan, serves as the successor to the Company’s</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2020 Equity Incentive Plan and provides for the granting of incentive stock options, non-statutory stock options, stock appreciation rights, restricted stock, restricted stock units, performance units and performance shares.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 2026, the number of shares available under the 2020 Plan was increased by 2,175,521 shares.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2025 Inducement Equity Incentive Plan</w:t>
      </w:r>
    </w:p>
    <w:p>
      <w:pPr>
        <w:spacing w:after="0" w:line="11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In January 2025, the Company adopted the 2025 Inducement Equity Incentive Plan, or the 2025 Plan. The 2025 Plan provides for the granting of equity-based awards, including non-statutory stock options, stock appreciation rights, restricted stock, restricted stock units, performance units and performance shares.</w:t>
      </w:r>
    </w:p>
    <w:p>
      <w:pPr>
        <w:spacing w:after="0" w:line="68" w:lineRule="exact"/>
        <w:rPr>
          <w:sz w:val="20"/>
          <w:szCs w:val="20"/>
          <w:color w:val="auto"/>
        </w:rPr>
      </w:pPr>
    </w:p>
    <w:p>
      <w:pPr>
        <w:ind w:left="440" w:right="1360"/>
        <w:spacing w:after="0" w:line="375" w:lineRule="auto"/>
        <w:rPr>
          <w:sz w:val="20"/>
          <w:szCs w:val="20"/>
          <w:color w:val="auto"/>
        </w:rPr>
      </w:pPr>
      <w:r>
        <w:rPr>
          <w:rFonts w:ascii="Times New Roman" w:cs="Times New Roman" w:eastAsia="Times New Roman" w:hAnsi="Times New Roman"/>
          <w:sz w:val="18"/>
          <w:szCs w:val="18"/>
          <w:color w:val="auto"/>
        </w:rPr>
        <w:t xml:space="preserve">On January 21, 2026, the number of shares available under the 2025 Plan was increased by 1,300,000 shares. </w:t>
      </w:r>
      <w:r>
        <w:rPr>
          <w:rFonts w:ascii="Times New Roman" w:cs="Times New Roman" w:eastAsia="Times New Roman" w:hAnsi="Times New Roman"/>
          <w:sz w:val="18"/>
          <w:szCs w:val="18"/>
          <w:b w:val="1"/>
          <w:bCs w:val="1"/>
          <w:i w:val="1"/>
          <w:iCs w:val="1"/>
          <w:color w:val="auto"/>
        </w:rPr>
        <w:t>Performance-Based Restricted Stock Units</w:t>
      </w:r>
    </w:p>
    <w:p>
      <w:pPr>
        <w:spacing w:after="0" w:line="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spacing w:after="0" w:line="84"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Company determined that the performance conditions for one tranche of PSUs was achieved by the March 31, 2025 deadline. For the three months ended March 31, 2026, the Company recognized compensation expense of $0.1 million related to this tranche of PSUs. The performance conditions for the other tranche of PSUs was not achieved as of March 31, 2025, and therefore, these awards were forfeited. As of March 31, 2026, there were no PSUs outstanding and unvested.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Under the Company’s 2020 Employee Stock Purchase Plan, or the ESPP, eligible employees are entitled to purchase shares of common stock with accumulated payroll deductions.</w:t>
      </w: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093" w:right="1159" w:bottom="1440" w:gutter="0" w:footer="0" w:header="0"/>
          <w:type w:val="continuous"/>
        </w:sectPr>
      </w:pPr>
    </w:p>
    <w:bookmarkStart w:id="18" w:name="page19"/>
    <w:bookmarkEnd w:id="18"/>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Expenses</w:t>
      </w:r>
    </w:p>
    <w:p>
      <w:pPr>
        <w:spacing w:after="0" w:line="121" w:lineRule="exact"/>
        <w:rPr>
          <w:sz w:val="20"/>
          <w:szCs w:val="20"/>
          <w:color w:val="auto"/>
        </w:rPr>
      </w:pPr>
    </w:p>
    <w:p>
      <w:pPr>
        <w:ind w:left="660" w:right="800" w:firstLine="441"/>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5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540" w:type="dxa"/>
            <w:vAlign w:val="bottom"/>
          </w:tcPr>
          <w:p>
            <w:pPr>
              <w:spacing w:after="0"/>
              <w:rPr>
                <w:sz w:val="17"/>
                <w:szCs w:val="17"/>
                <w:color w:val="auto"/>
              </w:rPr>
            </w:pPr>
          </w:p>
        </w:tc>
        <w:tc>
          <w:tcPr>
            <w:tcW w:w="1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18"/>
                <w:szCs w:val="18"/>
                <w:color w:val="auto"/>
              </w:rPr>
            </w:pPr>
          </w:p>
        </w:tc>
      </w:tr>
      <w:tr>
        <w:trPr>
          <w:trHeight w:val="229"/>
        </w:trPr>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FF0FC"/>
          </w:tcPr>
          <w:p>
            <w:pPr>
              <w:spacing w:after="0"/>
              <w:rPr>
                <w:sz w:val="19"/>
                <w:szCs w:val="19"/>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-25400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5136515</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-25400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RELATED-PARTY TRANSACTIONS</w:t>
      </w:r>
    </w:p>
    <w:p>
      <w:pPr>
        <w:spacing w:after="0" w:line="121" w:lineRule="exact"/>
        <w:rPr>
          <w:sz w:val="20"/>
          <w:szCs w:val="20"/>
          <w:color w:val="auto"/>
        </w:rPr>
      </w:pPr>
    </w:p>
    <w:p>
      <w:pPr>
        <w:ind w:left="660" w:right="660" w:firstLine="441"/>
        <w:spacing w:after="0" w:line="261" w:lineRule="auto"/>
        <w:rPr>
          <w:sz w:val="20"/>
          <w:szCs w:val="20"/>
          <w:color w:val="auto"/>
        </w:rPr>
      </w:pPr>
      <w:r>
        <w:rPr>
          <w:rFonts w:ascii="Times New Roman" w:cs="Times New Roman" w:eastAsia="Times New Roman" w:hAnsi="Times New Roman"/>
          <w:sz w:val="18"/>
          <w:szCs w:val="18"/>
          <w:color w:val="auto"/>
        </w:rPr>
        <w:t>The Company had several related-party agreements with Tallac Therapeutics, Inc., or Tallac. The details of these agreements are described in our notes to our consolidated financial statements in our Annual Report on Form 10-K for the fiscal year ended December 31, 2025, which was filed with the SEC on March 9, 2026. During the three months ended March 31, 2026, there were no material changes to these agreements.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Tallac Collaboration Agreement</w:t>
      </w:r>
    </w:p>
    <w:p>
      <w:pPr>
        <w:spacing w:after="0" w:line="121" w:lineRule="exact"/>
        <w:rPr>
          <w:sz w:val="20"/>
          <w:szCs w:val="20"/>
          <w:color w:val="auto"/>
        </w:rPr>
      </w:pPr>
    </w:p>
    <w:p>
      <w:pPr>
        <w:ind w:left="660" w:right="780" w:firstLine="441"/>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zero and $48 thousand, respectively, as R&amp;D costs in relation to the collaboration agreement with Tallac, or the Tallac Collaboration Agreement.</w:t>
      </w:r>
    </w:p>
    <w:p>
      <w:pPr>
        <w:spacing w:after="0" w:line="54" w:lineRule="exact"/>
        <w:rPr>
          <w:sz w:val="20"/>
          <w:szCs w:val="20"/>
          <w:color w:val="auto"/>
        </w:rPr>
      </w:pPr>
    </w:p>
    <w:p>
      <w:pPr>
        <w:ind w:left="660" w:right="1200"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accrued expenses related to the Tallac Collaboration Agreement.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three months ended March 31,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2026 and 2025 (in thousands, except share and per share data):</w:t>
      </w:r>
    </w:p>
    <w:p>
      <w:pPr>
        <w:spacing w:after="0" w:line="9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(30,754)</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104,573,657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53,359,338</w:t>
            </w:r>
          </w:p>
        </w:tc>
        <w:tc>
          <w:tcPr>
            <w:tcW w:w="100" w:type="dxa"/>
            <w:vAlign w:val="bottom"/>
          </w:tcPr>
          <w:p>
            <w:pPr>
              <w:spacing w:after="0"/>
              <w:rPr>
                <w:sz w:val="18"/>
                <w:szCs w:val="18"/>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5462270</wp:posOffset>
            </wp:positionH>
            <wp:positionV relativeFrom="paragraph">
              <wp:posOffset>-24765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-24765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660" w:right="1040" w:firstLine="441"/>
        <w:spacing w:after="0" w:line="282" w:lineRule="auto"/>
        <w:rPr>
          <w:sz w:val="20"/>
          <w:szCs w:val="20"/>
          <w:color w:val="auto"/>
        </w:rPr>
      </w:pPr>
      <w:r>
        <w:rPr>
          <w:rFonts w:ascii="Times New Roman" w:cs="Times New Roman" w:eastAsia="Times New Roman" w:hAnsi="Times New Roman"/>
          <w:sz w:val="18"/>
          <w:szCs w:val="18"/>
          <w:color w:val="auto"/>
        </w:rPr>
        <w:t>The weighted average shares of common shares outstanding includes pre-funded warrants to purchase 17,260,613 shares of common stock and 1,250,000 shares of common stock for the three months ended March 31, 2026 and 2025, respectively.</w:t>
      </w:r>
    </w:p>
    <w:p>
      <w:pPr>
        <w:spacing w:after="0" w:line="54" w:lineRule="exact"/>
        <w:rPr>
          <w:sz w:val="20"/>
          <w:szCs w:val="20"/>
          <w:color w:val="auto"/>
        </w:rPr>
      </w:pPr>
    </w:p>
    <w:p>
      <w:pPr>
        <w:ind w:left="660" w:right="960" w:firstLine="441"/>
        <w:spacing w:after="0" w:line="282"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54" w:lineRule="exact"/>
        <w:rPr>
          <w:sz w:val="20"/>
          <w:szCs w:val="20"/>
          <w:color w:val="auto"/>
        </w:rPr>
      </w:pPr>
    </w:p>
    <w:p>
      <w:pPr>
        <w:ind w:left="660" w:right="920" w:firstLine="441"/>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for the three months ended March 31, 2026 and 2025 because including them would have been anti-dilutive: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90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16,220,743</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12,099,944</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149,177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594,552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2620" w:type="dxa"/>
            <w:vAlign w:val="bottom"/>
            <w:shd w:val="clear" w:color="auto" w:fill="CFF0FC"/>
          </w:tcPr>
          <w:p>
            <w:pPr>
              <w:spacing w:after="0"/>
              <w:rPr>
                <w:sz w:val="18"/>
                <w:szCs w:val="18"/>
                <w:color w:val="auto"/>
              </w:rPr>
            </w:pPr>
          </w:p>
        </w:tc>
        <w:tc>
          <w:tcPr>
            <w:tcW w:w="208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ESPP estimated shares issuable</w:t>
            </w:r>
          </w:p>
        </w:tc>
        <w:tc>
          <w:tcPr>
            <w:tcW w:w="26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16,374,490</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12,804,180</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386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43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-796290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-779780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-796290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-779780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March 31, 2026.</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00" w:firstLine="441"/>
        <w:spacing w:after="0" w:line="281" w:lineRule="auto"/>
        <w:rPr>
          <w:sz w:val="20"/>
          <w:szCs w:val="20"/>
          <w:color w:val="auto"/>
        </w:rPr>
      </w:pPr>
      <w:r>
        <w:rPr>
          <w:rFonts w:ascii="Times New Roman" w:cs="Times New Roman" w:eastAsia="Times New Roman" w:hAnsi="Times New Roman"/>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March 31, 2026, the Company had no pending or threatened litigation.</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In 2021, the Company entered into a stock purchase agreement with ScalmiBio, Inc., or ScalmiBio. The details of this agreement including the ongoing milestone and royalty payments to the former stockholders of ScalmiBio are described in our notes to our consolidated financial statements in our Annual Report on Form 10-K for the fiscal year ended December 31, 2025, which was filed with the SEC on March 9, 2026. During the three months ended March 31, 2026, there were no material changes to this agreement.</w:t>
      </w:r>
    </w:p>
    <w:p>
      <w:pPr>
        <w:spacing w:after="0" w:line="75"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no costs for payments relating to milestone achievements to the former stockholders of ScalmiBio.</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 and Other Commitments</w:t>
      </w:r>
    </w:p>
    <w:p>
      <w:pPr>
        <w:spacing w:after="0" w:line="121"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Company has other contractual obligations and other commitments from manufacturing and service contracts, which are presented as follows as of March 31, 2026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2027-2028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2029-2030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service contracts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-170815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$0.1 million. In addition, the Company has commitments with two other pharmaceutical contract manufacturers and suppliers, including certain future purchase obligations of approximately $1.7 million. These amounts are based on non-cancellable commitments and forecasts that include estimates of future market demand, quantity discounts and manufacturing efficiencies that may impact timing of purchases.</w:t>
      </w:r>
    </w:p>
    <w:p>
      <w:pPr>
        <w:spacing w:after="0" w:line="84"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Appointment of Chief Development and Operating Officer</w:t>
      </w:r>
    </w:p>
    <w:p>
      <w:pPr>
        <w:spacing w:after="0" w:line="119" w:lineRule="exact"/>
        <w:rPr>
          <w:sz w:val="20"/>
          <w:szCs w:val="20"/>
          <w:color w:val="auto"/>
        </w:rPr>
      </w:pPr>
    </w:p>
    <w:p>
      <w:pPr>
        <w:ind w:left="4780" w:right="900" w:hanging="4354"/>
        <w:spacing w:after="0" w:line="282" w:lineRule="auto"/>
        <w:rPr>
          <w:sz w:val="20"/>
          <w:szCs w:val="20"/>
          <w:color w:val="auto"/>
        </w:rPr>
      </w:pPr>
      <w:r>
        <w:rPr>
          <w:rFonts w:ascii="Times New Roman" w:cs="Times New Roman" w:eastAsia="Times New Roman" w:hAnsi="Times New Roman"/>
          <w:sz w:val="18"/>
          <w:szCs w:val="18"/>
          <w:color w:val="auto"/>
        </w:rPr>
        <w:t>Effective April 13, 2026, the Board of Directors appointed Jeff Knight as Chief Development and Operating Officer.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444500</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0" w:right="10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41"/>
        <w:spacing w:after="0" w:line="270" w:lineRule="auto"/>
        <w:rPr>
          <w:sz w:val="20"/>
          <w:szCs w:val="20"/>
          <w:color w:val="auto"/>
        </w:rPr>
      </w:pPr>
      <w:r>
        <w:rPr>
          <w:rFonts w:ascii="Times New Roman" w:cs="Times New Roman" w:eastAsia="Times New Roman" w:hAnsi="Times New Roman"/>
          <w:sz w:val="17"/>
          <w:szCs w:val="17"/>
          <w:color w:val="auto"/>
        </w:rPr>
        <w:t>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candidate, evorpacept, has demonstrated potential to serve as a cornerstone therapy upon which the future of immuno-oncology can be built. Evorpacept is currently being evaluated in combination with trastuzumab and chemotherapy in patients with metastatic HER2-positive breast cancer in the Phase 2 ASPEN-09-Breast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mechanism of action and entered into a Phase 1 clinical trial in August 2025.</w:t>
      </w:r>
    </w:p>
    <w:p>
      <w:pPr>
        <w:spacing w:after="0" w:line="6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81"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w:t>
      </w:r>
    </w:p>
    <w:p>
      <w:pPr>
        <w:spacing w:after="0" w:line="72" w:lineRule="exact"/>
        <w:rPr>
          <w:sz w:val="20"/>
          <w:szCs w:val="20"/>
          <w:color w:val="auto"/>
        </w:rPr>
      </w:pPr>
    </w:p>
    <w:p>
      <w:pPr>
        <w:jc w:val="both"/>
        <w:ind w:right="460" w:firstLine="441"/>
        <w:spacing w:after="0" w:line="289" w:lineRule="auto"/>
        <w:rPr>
          <w:sz w:val="20"/>
          <w:szCs w:val="20"/>
          <w:color w:val="auto"/>
        </w:rPr>
      </w:pPr>
      <w:r>
        <w:rPr>
          <w:rFonts w:ascii="Times New Roman" w:cs="Times New Roman" w:eastAsia="Times New Roman" w:hAnsi="Times New Roman"/>
          <w:sz w:val="17"/>
          <w:szCs w:val="17"/>
          <w:color w:val="auto"/>
        </w:rPr>
        <w:t>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w:t>
      </w:r>
    </w:p>
    <w:p>
      <w:pPr>
        <w:spacing w:after="0" w:line="50"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color w:val="auto"/>
        </w:rPr>
        <w:t>Data from the randomized ASPEN-06 Phase 2 clinical trial supports the clinical validation of this mechanism of action. ASPEN-06 evaluated the contribution of evorpacept to HERCEPTIN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(trastuzumab) plus standard of care (CYRAMZA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were presented at the Society for Immunotherapy of Cancer (SITC) Annual Meeting:</w:t>
      </w:r>
    </w:p>
    <w:p>
      <w:pPr>
        <w:spacing w:after="0" w:line="90" w:lineRule="exact"/>
        <w:rPr>
          <w:sz w:val="20"/>
          <w:szCs w:val="20"/>
          <w:color w:val="auto"/>
        </w:rPr>
      </w:pPr>
    </w:p>
    <w:p>
      <w:pPr>
        <w:ind w:left="880" w:hanging="436"/>
        <w:spacing w:after="0" w:line="258"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was highlighted as part of a poster presentation at the SITC Annual Meeting in November 2025.</w:t>
      </w:r>
    </w:p>
    <w:p>
      <w:pPr>
        <w:spacing w:after="0" w:line="8" w:lineRule="exact"/>
        <w:rPr>
          <w:sz w:val="20"/>
          <w:szCs w:val="20"/>
          <w:color w:val="auto"/>
        </w:rPr>
      </w:pPr>
    </w:p>
    <w:p>
      <w:pPr>
        <w:ind w:left="1420" w:right="280" w:hanging="444"/>
        <w:spacing w:after="0" w:line="260"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spacing w:after="0" w:line="2" w:lineRule="exact"/>
        <w:rPr>
          <w:rFonts w:ascii="Times New Roman" w:cs="Times New Roman" w:eastAsia="Times New Roman" w:hAnsi="Times New Roman"/>
          <w:sz w:val="18"/>
          <w:szCs w:val="18"/>
          <w:color w:val="auto"/>
        </w:rPr>
      </w:pPr>
    </w:p>
    <w:p>
      <w:pPr>
        <w:ind w:left="1420" w:hanging="444"/>
        <w:spacing w:after="0" w:line="255"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w:t>
      </w:r>
    </w:p>
    <w:p>
      <w:pPr>
        <w:spacing w:after="0" w:line="2" w:lineRule="exact"/>
        <w:rPr>
          <w:rFonts w:ascii="Times New Roman" w:cs="Times New Roman" w:eastAsia="Times New Roman" w:hAnsi="Times New Roman"/>
          <w:sz w:val="18"/>
          <w:szCs w:val="18"/>
          <w:color w:val="auto"/>
        </w:rPr>
      </w:pPr>
    </w:p>
    <w:p>
      <w:pPr>
        <w:ind w:left="1420" w:right="1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Treatment with Evo-TRP resulted in a median PFS (mPFS) of 18.4 months versus 7.0 months for TRP, hazard ratio (HR) of 0.39. Treatment with Evo-TRP resulted in a median OS (mOS) of 17 months versus 9.9 months for</w:t>
      </w:r>
    </w:p>
    <w:p>
      <w:pPr>
        <w:ind w:left="1420"/>
        <w:spacing w:after="0"/>
        <w:rPr>
          <w:sz w:val="20"/>
          <w:szCs w:val="20"/>
          <w:color w:val="auto"/>
        </w:rPr>
      </w:pPr>
      <w:r>
        <w:rPr>
          <w:rFonts w:ascii="Times New Roman" w:cs="Times New Roman" w:eastAsia="Times New Roman" w:hAnsi="Times New Roman"/>
          <w:sz w:val="18"/>
          <w:szCs w:val="18"/>
          <w:color w:val="auto"/>
        </w:rPr>
        <w:t>TRP, HR of 0.70.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21" w:name="page22"/>
    <w:bookmarkEnd w:id="21"/>
    <w:p>
      <w:pPr>
        <w:ind w:firstLine="441"/>
        <w:spacing w:after="0" w:line="255" w:lineRule="auto"/>
        <w:rPr>
          <w:sz w:val="20"/>
          <w:szCs w:val="20"/>
          <w:color w:val="auto"/>
        </w:rPr>
      </w:pPr>
      <w:r>
        <w:rPr>
          <w:rFonts w:ascii="Times New Roman" w:cs="Times New Roman" w:eastAsia="Times New Roman" w:hAnsi="Times New Roman"/>
          <w:sz w:val="18"/>
          <w:szCs w:val="18"/>
          <w:color w:val="auto"/>
        </w:rPr>
        <w:t>Evorpacept has been combined in clinical trials with multiple anti-cancer antibodies in addition to trastuzumab including the CD20-targeted antibody rituximab, the CD38-targeted antibody isatuximab-</w:t>
      </w:r>
      <w:r>
        <w:rPr>
          <w:rFonts w:ascii="Times New Roman" w:cs="Times New Roman" w:eastAsia="Times New Roman" w:hAnsi="Times New Roman"/>
          <w:sz w:val="18"/>
          <w:szCs w:val="18"/>
          <w:i w:val="1"/>
          <w:iCs w:val="1"/>
          <w:color w:val="auto"/>
        </w:rPr>
        <w:t>irfc</w:t>
      </w:r>
      <w:r>
        <w:rPr>
          <w:rFonts w:ascii="Times New Roman" w:cs="Times New Roman" w:eastAsia="Times New Roman" w:hAnsi="Times New Roman"/>
          <w:sz w:val="18"/>
          <w:szCs w:val="18"/>
          <w:color w:val="auto"/>
        </w:rPr>
        <w:t>, and the HER2-targeted bispecific antibody zanidatamab. Our earlier ASPEN-01 Phase 1 positive data in combination with rituximab in non-Hodgkin lymphoma (NHL); the Phase 1/2 investigator-sponsored trial (IST) of evorpacept in combination with rituximab and lenalidomide in patients with relapsed refractory B-cell NHL (R/R B-NHL) and subsequently, in patients with newly diagnosed indolent B-cell NHL; and the Phase 1b/2 trial of evorpacept with zanidatamab in patients with HER2-positive breast cancer provide additional support for the clinical validation of this mechanism of action and support exploring combinations of evorpacept with other anti-cancer antibodies.</w:t>
      </w:r>
    </w:p>
    <w:p>
      <w:pPr>
        <w:spacing w:after="0" w:line="8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Our second product candidate is ALX2004, a novel EGFR-targeted ADC. ALX2004 was created from our proprietary linker-payload library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engaged in the following clinical programs, collaborations, and investigator-sponsored trials: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Evorpacept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Combination with the HER2-targeted antibody trastuzumab</w:t>
      </w:r>
    </w:p>
    <w:p>
      <w:pPr>
        <w:spacing w:after="0" w:line="119" w:lineRule="exact"/>
        <w:rPr>
          <w:sz w:val="20"/>
          <w:szCs w:val="20"/>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ASPEN-09-Breast – HER2+ Breast Cancer</w:t>
      </w:r>
    </w:p>
    <w:p>
      <w:pPr>
        <w:spacing w:after="0" w:line="50" w:lineRule="exact"/>
        <w:rPr>
          <w:sz w:val="20"/>
          <w:szCs w:val="20"/>
          <w:color w:val="auto"/>
        </w:rPr>
      </w:pPr>
    </w:p>
    <w:p>
      <w:pPr>
        <w:ind w:left="1420" w:right="440" w:hanging="444"/>
        <w:spacing w:after="0" w:line="260"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spacing w:after="0" w:line="2" w:lineRule="exact"/>
        <w:rPr>
          <w:rFonts w:ascii="Times New Roman" w:cs="Times New Roman" w:eastAsia="Times New Roman" w:hAnsi="Times New Roman"/>
          <w:sz w:val="18"/>
          <w:szCs w:val="18"/>
          <w:color w:val="auto"/>
        </w:rPr>
      </w:pPr>
    </w:p>
    <w:p>
      <w:pPr>
        <w:ind w:left="1420" w:right="140" w:hanging="444"/>
        <w:spacing w:after="0" w:line="261"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that based on the magnitude of benefit in patients with high CD47 expression in HER2-positive gastric cancer, the ASPEN-09-Breast study in HER2-positive breast cancer evaluating evorpacept in combination with trastuzumab and chemotherapy has been amended to a single-arm design in all previously treated HER2 positive patients and will be evaluated by CD47 expression.</w:t>
      </w:r>
    </w:p>
    <w:p>
      <w:pPr>
        <w:spacing w:after="0" w:line="4" w:lineRule="exact"/>
        <w:rPr>
          <w:rFonts w:ascii="Times New Roman" w:cs="Times New Roman" w:eastAsia="Times New Roman" w:hAnsi="Times New Roman"/>
          <w:sz w:val="18"/>
          <w:szCs w:val="18"/>
          <w:color w:val="auto"/>
        </w:rPr>
      </w:pPr>
    </w:p>
    <w:p>
      <w:pPr>
        <w:ind w:left="1420" w:hanging="444"/>
        <w:spacing w:after="0"/>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announced that the first patient had been dosed in the trial.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ASPEN-06 – Gastric/GEJ Cancer</w:t>
      </w:r>
    </w:p>
    <w:p>
      <w:pPr>
        <w:spacing w:after="0" w:line="49" w:lineRule="exact"/>
        <w:rPr>
          <w:rFonts w:ascii="Times New Roman" w:cs="Times New Roman" w:eastAsia="Times New Roman" w:hAnsi="Times New Roman"/>
          <w:sz w:val="18"/>
          <w:szCs w:val="18"/>
          <w:color w:val="auto"/>
        </w:rPr>
      </w:pPr>
    </w:p>
    <w:p>
      <w:pPr>
        <w:jc w:val="both"/>
        <w:ind w:left="1420" w:right="260" w:hanging="444"/>
        <w:spacing w:after="0" w:line="258"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ind w:left="1420" w:hanging="444"/>
        <w:spacing w:after="0" w:line="247"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spacing w:after="0" w:line="20" w:lineRule="exact"/>
        <w:rPr>
          <w:rFonts w:ascii="Times New Roman" w:cs="Times New Roman" w:eastAsia="Times New Roman" w:hAnsi="Times New Roman"/>
          <w:sz w:val="18"/>
          <w:szCs w:val="18"/>
          <w:color w:val="auto"/>
        </w:rPr>
      </w:pPr>
    </w:p>
    <w:p>
      <w:pPr>
        <w:ind w:left="1420" w:right="140" w:hanging="444"/>
        <w:spacing w:after="0" w:line="261"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presented updated results from the ASPEN-06 Phase 2 clinical trial in an oral presentation at the 2025 American Society of Clinical Oncology Gastrointestinal Cancers Symposium. A confirmed ORR of</w:t>
      </w:r>
    </w:p>
    <w:p>
      <w:pPr>
        <w:ind w:left="14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spacing w:after="0" w:line="11" w:lineRule="exact"/>
        <w:rPr>
          <w:rFonts w:ascii="Times New Roman" w:cs="Times New Roman" w:eastAsia="Times New Roman" w:hAnsi="Times New Roman"/>
          <w:sz w:val="18"/>
          <w:szCs w:val="18"/>
          <w:color w:val="auto"/>
        </w:rPr>
      </w:pPr>
    </w:p>
    <w:p>
      <w:pPr>
        <w:jc w:val="both"/>
        <w:ind w:left="1420" w:right="440" w:hanging="444"/>
        <w:spacing w:after="0" w:line="260"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presented a pre-planned exploratory analysis of the ASPEN-06 clinical trial in gastric cancer in which CD47 overexpression was identified as a key predictive biomarker for response and durable benefit in patients with retained HER2 expression.</w:t>
      </w:r>
    </w:p>
    <w:p>
      <w:pPr>
        <w:spacing w:after="0" w:line="2" w:lineRule="exact"/>
        <w:rPr>
          <w:sz w:val="20"/>
          <w:szCs w:val="20"/>
          <w:color w:val="auto"/>
        </w:rPr>
      </w:pPr>
    </w:p>
    <w:p>
      <w:pPr>
        <w:jc w:val="both"/>
        <w:ind w:left="2000" w:right="400" w:hanging="441"/>
        <w:spacing w:after="0" w:line="257" w:lineRule="auto"/>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retained HER2-positive and CD47-high gastric cancer (n=43), Evo-TRP had a 65.0% ORR versus 26.1% ORR for TRP, while patients with retained HER2-positive and CD47-low gastric cancer (n=47), Evo-TRP had a 37.5% ORR compared to 26.1% ORR for TRP.</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22" w:name="page23"/>
    <w:bookmarkEnd w:id="22"/>
    <w:p>
      <w:pPr>
        <w:ind w:left="2000" w:hanging="441"/>
        <w:spacing w:after="0" w:line="256" w:lineRule="auto"/>
        <w:tabs>
          <w:tab w:leader="none" w:pos="2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an mPFS of 18.4 months versus 7.0 months for TRP, HR of 0.39. Treatment with Evo-TRP resulted in an mOS of 17 months versus 9.9 months for TRP, HR of 0.70.</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Combination with the EGFR-targeted antibody cetuximab</w:t>
      </w:r>
    </w:p>
    <w:p>
      <w:pPr>
        <w:spacing w:after="0" w:line="119" w:lineRule="exact"/>
        <w:rPr>
          <w:sz w:val="20"/>
          <w:szCs w:val="20"/>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ASPEN-CRC – Colorectal Cancer (CRC)</w:t>
      </w:r>
    </w:p>
    <w:p>
      <w:pPr>
        <w:spacing w:after="0" w:line="36" w:lineRule="exact"/>
        <w:rPr>
          <w:sz w:val="20"/>
          <w:szCs w:val="20"/>
          <w:color w:val="auto"/>
        </w:rPr>
      </w:pPr>
    </w:p>
    <w:p>
      <w:pPr>
        <w:ind w:left="1420" w:right="180" w:hanging="444"/>
        <w:spacing w:after="0" w:line="290" w:lineRule="auto"/>
        <w:tabs>
          <w:tab w:leader="none" w:pos="1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2025, we announced intent to initiate a Phase 1b study evaluating evorpacept in combination with the EGFR-targeted antibody cetuximab and FOLFIRI for the treatment of patients with second-line metastatic CRC.</w:t>
      </w:r>
    </w:p>
    <w:p>
      <w:pPr>
        <w:ind w:left="1420" w:right="20" w:hanging="444"/>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streamlined evorpacept development program to focus our resources on the ASPEN-09-Breast trial and paused the ASPEN-CRC study announced earlier in March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Investigator-Sponsored Trials (ISTs)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Combination with the HER2-targeted bispecific, zanidatamab, and HER2-targeted ADC, fam-trastuzumab deruxtecan-nxki</w:t>
      </w:r>
    </w:p>
    <w:p>
      <w:pPr>
        <w:spacing w:after="0" w:line="119" w:lineRule="exact"/>
        <w:rPr>
          <w:sz w:val="20"/>
          <w:szCs w:val="20"/>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Pharmaceuticals plc – Breast Cancer</w:t>
      </w:r>
    </w:p>
    <w:p>
      <w:pPr>
        <w:spacing w:after="0" w:line="50" w:lineRule="exact"/>
        <w:rPr>
          <w:sz w:val="20"/>
          <w:szCs w:val="20"/>
          <w:color w:val="auto"/>
        </w:rPr>
      </w:pPr>
    </w:p>
    <w:p>
      <w:pPr>
        <w:ind w:left="1420" w:right="40" w:hanging="444"/>
        <w:spacing w:after="0" w:line="258"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 Jazz Pharmaceuticals plc (Jazz), sponsored and managed the Phase 1b/2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ind w:left="1420" w:right="40" w:hanging="444"/>
        <w:spacing w:after="0" w:line="261"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pacing w:after="0" w:line="4" w:lineRule="exact"/>
        <w:rPr>
          <w:rFonts w:ascii="Times New Roman" w:cs="Times New Roman" w:eastAsia="Times New Roman" w:hAnsi="Times New Roman"/>
          <w:sz w:val="18"/>
          <w:szCs w:val="18"/>
          <w:color w:val="auto"/>
        </w:rPr>
      </w:pPr>
    </w:p>
    <w:p>
      <w:pPr>
        <w:ind w:left="1420" w:right="20" w:hanging="444"/>
        <w:spacing w:after="0" w:line="268" w:lineRule="auto"/>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spacing w:after="0" w:line="6" w:lineRule="exact"/>
        <w:rPr>
          <w:rFonts w:ascii="Times New Roman" w:cs="Times New Roman" w:eastAsia="Times New Roman" w:hAnsi="Times New Roman"/>
          <w:sz w:val="17"/>
          <w:szCs w:val="17"/>
          <w:color w:val="auto"/>
        </w:rPr>
      </w:pPr>
    </w:p>
    <w:p>
      <w:pPr>
        <w:ind w:left="1420" w:right="140" w:hanging="444"/>
        <w:spacing w:after="0" w:line="270" w:lineRule="auto"/>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2026, exploratory biomarker analyses were presented at the ESMO Breast Cancer 2026 meeting. The exploratory analyses comprised 24 patients, including 10 with centrally confirmed HER2-positive (ccHER2-positive) disease. Seventeen of 24 samples were evaluable for CD47 expression, including samples from nine of the 10 ccHER2-positive patients. Patients received zanidatamab plus evorpacept at dosages of 20 mg/kg (n=3) or</w:t>
      </w:r>
    </w:p>
    <w:p>
      <w:pPr>
        <w:spacing w:after="0" w:line="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 mg/kg (n=21). As of the August 1, 2024 data cut-off, key findings from the analyses include:</w:t>
      </w:r>
    </w:p>
    <w:p>
      <w:pPr>
        <w:spacing w:after="0" w:line="17" w:lineRule="exact"/>
        <w:rPr>
          <w:rFonts w:ascii="Times New Roman" w:cs="Times New Roman" w:eastAsia="Times New Roman" w:hAnsi="Times New Roman"/>
          <w:sz w:val="17"/>
          <w:szCs w:val="17"/>
          <w:color w:val="auto"/>
        </w:rPr>
      </w:pPr>
    </w:p>
    <w:p>
      <w:pPr>
        <w:ind w:left="2000" w:right="380" w:hanging="441"/>
        <w:spacing w:after="0" w:line="273" w:lineRule="auto"/>
        <w:tabs>
          <w:tab w:leader="none" w:pos="2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confirmed objective response rate (cORR) among all 24 patients was 33% and the mPFS was 3.6 months.</w:t>
      </w:r>
    </w:p>
    <w:p>
      <w:pPr>
        <w:spacing w:after="0" w:line="1" w:lineRule="exact"/>
        <w:rPr>
          <w:rFonts w:ascii="Times New Roman" w:cs="Times New Roman" w:eastAsia="Times New Roman" w:hAnsi="Times New Roman"/>
          <w:sz w:val="18"/>
          <w:szCs w:val="18"/>
          <w:color w:val="auto"/>
        </w:rPr>
      </w:pPr>
    </w:p>
    <w:p>
      <w:pPr>
        <w:ind w:left="2000" w:right="120" w:hanging="441"/>
        <w:spacing w:after="0" w:line="273" w:lineRule="auto"/>
        <w:tabs>
          <w:tab w:leader="none" w:pos="2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ccHER2-positive disease (n=10) had higher response rates, with a cORR of 60% and mPFS of 8.3 months.</w:t>
      </w:r>
    </w:p>
    <w:p>
      <w:pPr>
        <w:spacing w:after="0" w:line="1" w:lineRule="exact"/>
        <w:rPr>
          <w:rFonts w:ascii="Times New Roman" w:cs="Times New Roman" w:eastAsia="Times New Roman" w:hAnsi="Times New Roman"/>
          <w:sz w:val="18"/>
          <w:szCs w:val="18"/>
          <w:color w:val="auto"/>
        </w:rPr>
      </w:pPr>
    </w:p>
    <w:p>
      <w:pPr>
        <w:ind w:left="2000" w:hanging="441"/>
        <w:spacing w:after="0"/>
        <w:tabs>
          <w:tab w:leader="none" w:pos="2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patients (n=5/5) with ccHER2-positive disease and high CD47 expression (defined as total</w:t>
      </w:r>
    </w:p>
    <w:p>
      <w:pPr>
        <w:spacing w:after="0" w:line="27" w:lineRule="exact"/>
        <w:rPr>
          <w:sz w:val="20"/>
          <w:szCs w:val="20"/>
          <w:color w:val="auto"/>
        </w:rPr>
      </w:pPr>
    </w:p>
    <w:p>
      <w:pPr>
        <w:ind w:left="2000" w:right="100"/>
        <w:spacing w:after="0" w:line="250" w:lineRule="auto"/>
        <w:rPr>
          <w:sz w:val="20"/>
          <w:szCs w:val="20"/>
          <w:color w:val="auto"/>
        </w:rPr>
      </w:pPr>
      <w:r>
        <w:rPr>
          <w:rFonts w:ascii="Times New Roman" w:cs="Times New Roman" w:eastAsia="Times New Roman" w:hAnsi="Times New Roman"/>
          <w:sz w:val="18"/>
          <w:szCs w:val="18"/>
          <w:color w:val="auto"/>
        </w:rPr>
        <w:t xml:space="preserve">membrane staining of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 responded (including one complete response and four partial responses), with an mDOR of 20.2 months and mPFS of 22.1 months. In comparison, among the patients with ccHER2-positive disease and low CD47 expression (defined as total membrane staining of &lt;20%), cORR was 25% (n=1/4) and mPFS was 3.4 months.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26" w:right="111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i w:val="1"/>
          <w:iCs w:val="1"/>
          <w:color w:val="auto"/>
        </w:rPr>
        <w:t>Combination with the CD20-targeted antibody rituximab</w:t>
      </w:r>
    </w:p>
    <w:p>
      <w:pPr>
        <w:spacing w:after="0" w:line="119" w:lineRule="exact"/>
        <w:rPr>
          <w:sz w:val="20"/>
          <w:szCs w:val="20"/>
          <w:color w:val="auto"/>
        </w:rPr>
      </w:pPr>
    </w:p>
    <w:p>
      <w:pPr>
        <w:ind w:left="880" w:hanging="436"/>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 Anderson Cancer Center – Non-Hodgkin Lymphoma</w:t>
      </w:r>
    </w:p>
    <w:p>
      <w:pPr>
        <w:spacing w:after="0" w:line="56" w:lineRule="exact"/>
        <w:rPr>
          <w:sz w:val="20"/>
          <w:szCs w:val="20"/>
          <w:color w:val="auto"/>
        </w:rPr>
      </w:pPr>
    </w:p>
    <w:p>
      <w:pPr>
        <w:ind w:left="1420" w:hanging="444"/>
        <w:spacing w:after="0" w:line="238"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an IST of evorpacept was initiated in combination with rituximab and lenalidomide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for the treatment of patients with indolent and aggressive NHL, sponsored by MD Anderson Cancer Center in Texas. We announced the dosing of the first patient in September 2021.</w:t>
      </w:r>
    </w:p>
    <w:p>
      <w:pPr>
        <w:spacing w:after="0" w:line="10" w:lineRule="exact"/>
        <w:rPr>
          <w:rFonts w:ascii="Times New Roman" w:cs="Times New Roman" w:eastAsia="Times New Roman" w:hAnsi="Times New Roman"/>
          <w:sz w:val="18"/>
          <w:szCs w:val="18"/>
          <w:color w:val="auto"/>
        </w:rPr>
      </w:pPr>
    </w:p>
    <w:p>
      <w:pPr>
        <w:ind w:left="1420" w:right="140" w:hanging="444"/>
        <w:spacing w:after="0" w:line="255" w:lineRule="auto"/>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2024, MD Anderson Cancer Center reported clinical data from the ongoing Phase 1/2 IST of evorpacept in combination with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treatment. The regimen was well tolerated, and there were no dose-limiting toxicities. Patients with indolent R/R B-NHL (n=18) had a best ORR of 94% and a complete response rate of 83%. The mDOR was not reached.</w:t>
      </w:r>
    </w:p>
    <w:p>
      <w:pPr>
        <w:spacing w:after="0" w:line="14" w:lineRule="exact"/>
        <w:rPr>
          <w:rFonts w:ascii="Times New Roman" w:cs="Times New Roman" w:eastAsia="Times New Roman" w:hAnsi="Times New Roman"/>
          <w:sz w:val="17"/>
          <w:szCs w:val="17"/>
          <w:color w:val="auto"/>
        </w:rPr>
      </w:pPr>
    </w:p>
    <w:p>
      <w:pPr>
        <w:ind w:left="1420" w:right="40" w:hanging="444"/>
        <w:spacing w:after="0" w:line="261"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w:t>
      </w:r>
    </w:p>
    <w:p>
      <w:pPr>
        <w:spacing w:after="0" w:line="4" w:lineRule="exact"/>
        <w:rPr>
          <w:rFonts w:ascii="Times New Roman" w:cs="Times New Roman" w:eastAsia="Times New Roman" w:hAnsi="Times New Roman"/>
          <w:sz w:val="18"/>
          <w:szCs w:val="18"/>
          <w:color w:val="auto"/>
        </w:rPr>
      </w:pPr>
    </w:p>
    <w:p>
      <w:pPr>
        <w:ind w:left="1420" w:right="40" w:hanging="444"/>
        <w:spacing w:after="0" w:line="251"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data for the Phase 2 portion of this trial, which enrolled patients with untreated indolent NHL was presented at the 2025 American Society of Hematology Annual Meeting. The combination of evorpacept with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generated complete responses in 92% of patients comparing favorably to an approximate 50% historical complete response rate for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alone.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Combination with the CD38-targeted antibody isatuximab-irfc</w:t>
      </w:r>
    </w:p>
    <w:p>
      <w:pPr>
        <w:spacing w:after="0" w:line="119" w:lineRule="exact"/>
        <w:rPr>
          <w:sz w:val="20"/>
          <w:szCs w:val="20"/>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 Multiple Myeloma</w:t>
      </w:r>
    </w:p>
    <w:p>
      <w:pPr>
        <w:spacing w:after="0" w:line="36" w:lineRule="exact"/>
        <w:rPr>
          <w:sz w:val="20"/>
          <w:szCs w:val="20"/>
          <w:color w:val="auto"/>
        </w:rPr>
      </w:pPr>
    </w:p>
    <w:p>
      <w:pPr>
        <w:ind w:left="1420" w:right="220" w:hanging="444"/>
        <w:spacing w:after="0" w:line="244"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announced a collaboration with Sanofi who will sponsor and manage a Phase 1/2 trial of SARCLISA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(isatuximab-irfc), an anti-cancer antibody, and dexamethasone in combination with evorpacept for the treatment of patients with relapsed or refractory multiple myeloma. We announced the dosing of the first patient in September 2024.</w:t>
      </w:r>
    </w:p>
    <w:p>
      <w:pPr>
        <w:spacing w:after="0" w:line="19" w:lineRule="exact"/>
        <w:rPr>
          <w:rFonts w:ascii="Times New Roman" w:cs="Times New Roman" w:eastAsia="Times New Roman" w:hAnsi="Times New Roman"/>
          <w:sz w:val="18"/>
          <w:szCs w:val="18"/>
          <w:color w:val="auto"/>
        </w:rPr>
      </w:pPr>
    </w:p>
    <w:p>
      <w:pPr>
        <w:ind w:left="1420" w:right="40" w:hanging="444"/>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that the dose escalation portion of this trial was complete and Sanofi had begun the dose optimization portion of the trial.</w:t>
      </w:r>
    </w:p>
    <w:p>
      <w:pPr>
        <w:spacing w:after="0" w:line="108"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Based on our clinical results to date in multiple oncology indications that show encouraging anti-tumor activity and tolerability, our strategy is to pursue evorpacept as a potentially critical component of future oncology treatments in combination with anticancer antibodies.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ALX2004</w:t>
      </w:r>
    </w:p>
    <w:p>
      <w:pPr>
        <w:spacing w:after="0" w:line="54" w:lineRule="exact"/>
        <w:rPr>
          <w:sz w:val="20"/>
          <w:szCs w:val="20"/>
          <w:color w:val="auto"/>
        </w:rPr>
      </w:pPr>
    </w:p>
    <w:p>
      <w:pPr>
        <w:ind w:left="880" w:right="40" w:hanging="436"/>
        <w:spacing w:after="0" w:line="260"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filed an investigational new drug (IND) application for our first ADC program, ALX2004 and in April 2025, the FDA cleared the IND to evaluate ALX2004 in a Phase 1 clinical trial for patients with EGFR-expressing solid tumors.</w:t>
      </w:r>
    </w:p>
    <w:p>
      <w:pPr>
        <w:spacing w:after="0" w:line="2" w:lineRule="exact"/>
        <w:rPr>
          <w:rFonts w:ascii="Times New Roman" w:cs="Times New Roman" w:eastAsia="Times New Roman" w:hAnsi="Times New Roman"/>
          <w:sz w:val="18"/>
          <w:szCs w:val="18"/>
          <w:color w:val="auto"/>
        </w:rPr>
      </w:pPr>
    </w:p>
    <w:p>
      <w:pPr>
        <w:ind w:left="880" w:right="560" w:hanging="436"/>
        <w:spacing w:after="0" w:line="273"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the dosing of the first patient in the first-in-human, open-label multi-center Phase 1 clinical trial of ALX2004 for the treatment of advanced or metastatic select EGFR-expressing solid tumors.</w:t>
      </w:r>
    </w:p>
    <w:p>
      <w:pPr>
        <w:spacing w:after="0" w:line="1" w:lineRule="exact"/>
        <w:rPr>
          <w:rFonts w:ascii="Times New Roman" w:cs="Times New Roman" w:eastAsia="Times New Roman" w:hAnsi="Times New Roman"/>
          <w:sz w:val="18"/>
          <w:szCs w:val="18"/>
          <w:color w:val="auto"/>
        </w:rPr>
      </w:pPr>
    </w:p>
    <w:p>
      <w:pPr>
        <w:ind w:left="880" w:right="440" w:hanging="436"/>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announced that the trial had begun enrolling patients in the third dose cohort at 4 mg/kg after successfully clearing the second dose cohort. No dose-limiting toxicities were observed in the first two dose cohorts.</w:t>
      </w:r>
    </w:p>
    <w:p>
      <w:pPr>
        <w:spacing w:after="0" w:line="54"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w:t>
      </w:r>
    </w:p>
    <w:p>
      <w:pPr>
        <w:spacing w:after="0" w:line="7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From inception through March 31, 2026, we have raised an aggregate of $785.2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registered offering in December 2020, $9.3 million were net proceeds from borrowings under the Loan Agreement (as defined below), $58.9 million were net proceeds from our registered offering in October 2023, $140.4 million in net proceeds from our registered offering in February 2026, and $31.4 million were net proceeds from our at-the-market (ATM) offering. For more information on the funding of our operations since inception, see section titled “—Liquidity and Capital Resources; Plan of Operations—Funding Requirements” included elsewhere in this Quarterly Report on Form 10-Q.</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45" w:right="1099" w:bottom="1440" w:gutter="0" w:footer="0" w:header="0"/>
        </w:sectPr>
      </w:pPr>
    </w:p>
    <w:bookmarkStart w:id="24" w:name="page25"/>
    <w:bookmarkEnd w:id="24"/>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have incurred net losses in each year since inception. Our net losses were $17.9 million and $30.8 million for the three months ended March 31, 2026 and 2025, respectively. As of March 31, 2026, we had an accumulated deficit of $740.7 million. Substantially all of our operating losses are a result of expenses incurred in connection with our research and development programs, primarily evorpacept, and from general and administrative expenses associated with our operations.</w:t>
      </w:r>
    </w:p>
    <w:p>
      <w:pPr>
        <w:spacing w:after="0" w:line="7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54" w:lineRule="exact"/>
        <w:rPr>
          <w:sz w:val="20"/>
          <w:szCs w:val="20"/>
          <w:color w:val="auto"/>
        </w:rPr>
      </w:pPr>
    </w:p>
    <w:p>
      <w:pPr>
        <w:ind w:left="880" w:hanging="436"/>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evorpacept through multiple clinical trials in multiple indications;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of evorpacept in solid tumors and hematological malignancies;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ALX2004 through a first-in-human trial;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and clinical development efforts;</w:t>
      </w:r>
    </w:p>
    <w:p>
      <w:pPr>
        <w:spacing w:after="0" w:line="117" w:lineRule="exact"/>
        <w:rPr>
          <w:rFonts w:ascii="Times New Roman" w:cs="Times New Roman" w:eastAsia="Times New Roman" w:hAnsi="Times New Roman"/>
          <w:sz w:val="18"/>
          <w:szCs w:val="18"/>
          <w:color w:val="auto"/>
        </w:rPr>
      </w:pPr>
    </w:p>
    <w:p>
      <w:pPr>
        <w:ind w:left="880" w:right="500" w:hanging="436"/>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trade secret and other intellectual property protection and regulatory exclusivity for our product candidates;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supplies for our preclinical studies and clinical trials; and</w:t>
      </w:r>
    </w:p>
    <w:p>
      <w:pPr>
        <w:spacing w:after="0" w:line="117" w:lineRule="exact"/>
        <w:rPr>
          <w:rFonts w:ascii="Times New Roman" w:cs="Times New Roman" w:eastAsia="Times New Roman" w:hAnsi="Times New Roman"/>
          <w:sz w:val="18"/>
          <w:szCs w:val="18"/>
          <w:color w:val="auto"/>
        </w:rPr>
      </w:pPr>
    </w:p>
    <w:p>
      <w:pPr>
        <w:ind w:left="880" w:right="300" w:hanging="436"/>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operational, financial and management information systems to support ongoing operations as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development of our lead product candidate, evorpacept, and the initiation and advancement of ALX2004, which include:</w:t>
      </w:r>
    </w:p>
    <w:p>
      <w:pPr>
        <w:spacing w:after="0" w:line="54" w:lineRule="exact"/>
        <w:rPr>
          <w:sz w:val="20"/>
          <w:szCs w:val="20"/>
          <w:color w:val="auto"/>
        </w:rPr>
      </w:pPr>
    </w:p>
    <w:p>
      <w:pPr>
        <w:ind w:left="880" w:right="880" w:hanging="436"/>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preclinical and clinical development, including expenses incurred under collaboration agreements and under agreements with contract research organizations, or CROs;</w:t>
      </w:r>
    </w:p>
    <w:p>
      <w:pPr>
        <w:spacing w:after="0" w:line="53" w:lineRule="exact"/>
        <w:rPr>
          <w:rFonts w:ascii="Times New Roman" w:cs="Times New Roman" w:eastAsia="Times New Roman" w:hAnsi="Times New Roman"/>
          <w:sz w:val="18"/>
          <w:szCs w:val="18"/>
          <w:color w:val="auto"/>
        </w:rPr>
      </w:pPr>
    </w:p>
    <w:p>
      <w:pPr>
        <w:ind w:left="880" w:right="600" w:hanging="436"/>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880" w:right="500" w:hanging="436"/>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production of clinical materials,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vendor expenses and third-party drugs related to the execution of preclinical studies and clinical trials; and</w:t>
      </w:r>
    </w:p>
    <w:p>
      <w:pPr>
        <w:spacing w:after="0" w:line="11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expenses, which include expenses for rent and maintenance of facilities, depreciation and amortization expense and other supplies.</w:t>
      </w:r>
    </w:p>
    <w:p>
      <w:pPr>
        <w:spacing w:after="0" w:line="54"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7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associated with the development of our lead product candidate, evorpacept, and the initiation and advancement of clinical trials of ALX2004, and include external costs, such as fees paid to consultants, central laboratories, contractors, collaborators, CMOs and CROs in connection with our preclinical and clinical development activities.</w:t>
      </w:r>
    </w:p>
    <w:p>
      <w:pPr>
        <w:spacing w:after="0" w:line="7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Almost all of our research and development expenses to date have been related to the clinical development of our lead product candidate, evorpacept, the initiation and advancement of clinical trials of ALX2004, and development of potential product candidates.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093" w:right="1159" w:bottom="1440" w:gutter="0" w:footer="0" w:header="0"/>
        </w:sectPr>
      </w:pPr>
    </w:p>
    <w:bookmarkStart w:id="25" w:name="page26"/>
    <w:bookmarkEnd w:id="25"/>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numerous risks and uncertainties, including the following:</w:t>
      </w:r>
    </w:p>
    <w:p>
      <w:pPr>
        <w:spacing w:after="0" w:line="54" w:lineRule="exact"/>
        <w:rPr>
          <w:sz w:val="20"/>
          <w:szCs w:val="20"/>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regulators or institutional review boards authorizing us or our investigators to commence our clinical trials;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agreements with clinical trial sites or CROs;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included in the trials;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our product candidates;</w:t>
      </w:r>
    </w:p>
    <w:p>
      <w:pPr>
        <w:spacing w:after="0" w:line="117" w:lineRule="exact"/>
        <w:rPr>
          <w:rFonts w:ascii="Times New Roman" w:cs="Times New Roman" w:eastAsia="Times New Roman" w:hAnsi="Times New Roman"/>
          <w:sz w:val="18"/>
          <w:szCs w:val="18"/>
          <w:color w:val="auto"/>
        </w:rPr>
      </w:pPr>
    </w:p>
    <w:p>
      <w:pPr>
        <w:ind w:left="880" w:right="8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third-party manufacturers for clinical supplies of our product candidates;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including, if necessary, litigation;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68"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7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remain stable for the remainder of this year. Factors that may affect general administrative expenses include inflationary pressures, higher costs of consulting, legal, tax and regulatory-related services associated with maintaining compliance with stock exchange listing and Securities and Exchange Commission (SEC) requirements, audit and investor relations costs, director and officer insurance premiums and other costs associated with being a public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interest income consists primarily of interest income on cash, cash equivalents and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Our interest expense consists primarily of interest expense on the term loan, amortization of deferred debt issuance costs, and interest related to finance leases.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4780" w:right="1480" w:hanging="4328"/>
        <w:spacing w:after="0" w:line="282" w:lineRule="auto"/>
        <w:rPr>
          <w:sz w:val="20"/>
          <w:szCs w:val="20"/>
          <w:color w:val="auto"/>
        </w:rPr>
      </w:pPr>
      <w:r>
        <w:rPr>
          <w:rFonts w:ascii="Times New Roman" w:cs="Times New Roman" w:eastAsia="Times New Roman" w:hAnsi="Times New Roman"/>
          <w:sz w:val="18"/>
          <w:szCs w:val="18"/>
          <w:color w:val="auto"/>
        </w:rPr>
        <w:t>Our other income (expense), net consists primarily of realized foreign currency transaction gains and losses.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444500</wp:posOffset>
            </wp:positionV>
            <wp:extent cx="70377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93" w:right="11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 and Net Loss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4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(2,572)</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00" w:type="dxa"/>
            <w:vAlign w:val="bottom"/>
            <w:vMerge w:val="continue"/>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(31,820)</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2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-886460</wp:posOffset>
            </wp:positionV>
            <wp:extent cx="8572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-886460</wp:posOffset>
            </wp:positionV>
            <wp:extent cx="8572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-25400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-170815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-25400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-170815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-25400</wp:posOffset>
            </wp:positionV>
            <wp:extent cx="596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-7620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-170815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-25400</wp:posOffset>
            </wp:positionV>
            <wp:extent cx="111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-7620</wp:posOffset>
            </wp:positionV>
            <wp:extent cx="1117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-170815</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(R&amp;D) expenses incurred 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2026 and 2025 (in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3"/>
        </w:trPr>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4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(2,257)</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Preclinical costs</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(4,388)</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costs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-170815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-170815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-170815</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-170815</wp:posOffset>
            </wp:positionV>
            <wp:extent cx="1117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R&amp;D expenses decreased by $10.3 million during the three months ended March 31, 2026 compared to the three months ended March 31, 2025. The decrease was primarily attributable to a decrease of $4.4 million in personnel and related costs primarily driven by the reduction in workforce in early 2025, a decrease of $2.3 million in clinical and development costs primarily due to change in clinical development strategy reducing the number of active clinical trials in the current quarter compared to prior period, a decrease of $1.8 million in stock-based compensation expense due to terminations from the reduction in workforce, a decrease of $1.3 million in preclinical costs due to pipeline prioritization strategy, and a decrease of $0.5 million in other research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(G&amp;A) expenses incurred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4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10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(984)</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(685)</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4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-170815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-170815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-170815</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-170815</wp:posOffset>
            </wp:positionV>
            <wp:extent cx="1117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G&amp;A expenses decreased by $2.6 million during the three months ended March 31, 2026 compared to the three months ended March 31, 2025. The decrease was primarily attributable to a decrease of $1.0 million in personnel and related costs primarily driven by the reduction in workforce in early 2025, a decrease of $0.9 million in stock-based compensation expense due to terminations from the reduction in workforce, and a decrease of $0.7 million in other G&amp;A costs from corporate legal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420" w:firstLine="441"/>
        <w:spacing w:after="0" w:line="257" w:lineRule="auto"/>
        <w:rPr>
          <w:sz w:val="20"/>
          <w:szCs w:val="20"/>
          <w:color w:val="auto"/>
        </w:rPr>
      </w:pPr>
      <w:r>
        <w:rPr>
          <w:rFonts w:ascii="Times New Roman" w:cs="Times New Roman" w:eastAsia="Times New Roman" w:hAnsi="Times New Roman"/>
          <w:sz w:val="18"/>
          <w:szCs w:val="18"/>
          <w:color w:val="auto"/>
        </w:rPr>
        <w:t>Interest income decreased by $0.3 million for the three months ended March 31, 2026 compared to the three months ended March 31, 2025. The decreases were primarily attributable to lower interest rates during first quarter of 2026 as compared to first quarter of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Interest expense remained flat for the three months ended March 31, 2026 compared to the three months ended March 31, 2025, due to similar interest rates during the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$0.2 million for the three months ended March 31, 2026 compared to the three months ended March 31, 2025 due to insurance claim refund received during this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March 31, 2026, we had cash, cash equivalents and investments of $169.1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and anticipate that we will continue to incur net losses for the foreseeable future. As of March 31, 2026, we had an accumulated deficit of $740.7 million. We expect our expenses to incur significant expenses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79" w:lineRule="exact"/>
        <w:rPr>
          <w:sz w:val="20"/>
          <w:szCs w:val="20"/>
          <w:color w:val="auto"/>
        </w:rPr>
      </w:pPr>
    </w:p>
    <w:p>
      <w:pPr>
        <w:ind w:left="880" w:hanging="43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880" w:right="220" w:hanging="435"/>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clinical supply for our clinical trials and, if any of our product candidates are approved, commercial manufacturing;</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retention of key research and development personnel;</w:t>
      </w:r>
    </w:p>
    <w:p>
      <w:pPr>
        <w:spacing w:after="0" w:line="117" w:lineRule="exact"/>
        <w:rPr>
          <w:rFonts w:ascii="Times New Roman" w:cs="Times New Roman" w:eastAsia="Times New Roman" w:hAnsi="Times New Roman"/>
          <w:sz w:val="18"/>
          <w:szCs w:val="18"/>
          <w:color w:val="auto"/>
        </w:rPr>
      </w:pPr>
    </w:p>
    <w:p>
      <w:pPr>
        <w:ind w:left="880" w:right="660" w:hanging="435"/>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financial and information management systems, and hire additional personnel, including personnel to support development of our product candidates;</w:t>
      </w:r>
    </w:p>
    <w:p>
      <w:pPr>
        <w:spacing w:after="0" w:line="53" w:lineRule="exact"/>
        <w:rPr>
          <w:rFonts w:ascii="Times New Roman" w:cs="Times New Roman" w:eastAsia="Times New Roman" w:hAnsi="Times New Roman"/>
          <w:sz w:val="18"/>
          <w:szCs w:val="18"/>
          <w:color w:val="auto"/>
        </w:rPr>
      </w:pPr>
    </w:p>
    <w:p>
      <w:pPr>
        <w:ind w:left="880" w:right="600" w:hanging="435"/>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880" w:right="560" w:hanging="436"/>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patent costs involved in prosecuting patent applications and enforcing patent claims and other intellectual property claims;</w:t>
      </w:r>
    </w:p>
    <w:p>
      <w:pPr>
        <w:spacing w:after="0" w:line="53" w:lineRule="exact"/>
        <w:rPr>
          <w:rFonts w:ascii="Times New Roman" w:cs="Times New Roman" w:eastAsia="Times New Roman" w:hAnsi="Times New Roman"/>
          <w:sz w:val="18"/>
          <w:szCs w:val="18"/>
          <w:color w:val="auto"/>
        </w:rPr>
      </w:pPr>
    </w:p>
    <w:p>
      <w:pPr>
        <w:ind w:left="880" w:right="140" w:hanging="435"/>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and royalty payments thereunder;</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Nasdaq; and</w:t>
      </w:r>
    </w:p>
    <w:p>
      <w:pPr>
        <w:spacing w:after="0" w:line="117" w:lineRule="exact"/>
        <w:rPr>
          <w:rFonts w:ascii="Times New Roman" w:cs="Times New Roman" w:eastAsia="Times New Roman" w:hAnsi="Times New Roman"/>
          <w:sz w:val="18"/>
          <w:szCs w:val="18"/>
          <w:color w:val="auto"/>
        </w:rPr>
      </w:pPr>
    </w:p>
    <w:p>
      <w:pPr>
        <w:ind w:left="880" w:right="380" w:hanging="435"/>
        <w:spacing w:after="0" w:line="272" w:lineRule="auto"/>
        <w:tabs>
          <w:tab w:leader="none" w:pos="8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w:t>
      </w:r>
    </w:p>
    <w:p>
      <w:pPr>
        <w:spacing w:after="0" w:line="2" w:lineRule="exact"/>
        <w:rPr>
          <w:sz w:val="20"/>
          <w:szCs w:val="20"/>
          <w:color w:val="auto"/>
        </w:rPr>
      </w:pPr>
    </w:p>
    <w:p>
      <w:pPr>
        <w:ind w:left="880" w:right="160"/>
        <w:spacing w:after="0" w:line="250" w:lineRule="auto"/>
        <w:rPr>
          <w:sz w:val="20"/>
          <w:szCs w:val="20"/>
          <w:color w:val="auto"/>
        </w:rPr>
      </w:pPr>
      <w:r>
        <w:rPr>
          <w:rFonts w:ascii="Times New Roman" w:cs="Times New Roman" w:eastAsia="Times New Roman" w:hAnsi="Times New Roman"/>
          <w:sz w:val="18"/>
          <w:szCs w:val="18"/>
          <w:color w:val="auto"/>
        </w:rPr>
        <w:t>disasters, and medical or public health crises, such as the COVID-19 pandemic, which may exacerbate the magnitude of the factors discussed above.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89" w:right="1119" w:bottom="1440" w:gutter="0" w:footer="0" w:header="0"/>
        </w:sectPr>
      </w:pPr>
    </w:p>
    <w:bookmarkStart w:id="28" w:name="page29"/>
    <w:bookmarkEnd w:id="28"/>
    <w:p>
      <w:pPr>
        <w:ind w:firstLine="441"/>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Other than a loan and security agreement (as amended, the Loan Agreement) we entered into with Oxford Finance LLC, Oxford Finance Credit Fund II LP, and Silicon Valley Bank (SVB) (collectively, the Lenders), for a secured term loan facility of up to $100.0 million in October 2022,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a stockholder’s ownership interest will be diluted, and the terms of these securities may include liquidation or other preferences that adversely affect one’s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87"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75" w:lineRule="exact"/>
        <w:rPr>
          <w:sz w:val="20"/>
          <w:szCs w:val="20"/>
          <w:color w:val="auto"/>
        </w:rPr>
      </w:pPr>
    </w:p>
    <w:p>
      <w:pPr>
        <w:ind w:right="260" w:firstLine="441"/>
        <w:spacing w:after="0" w:line="258" w:lineRule="auto"/>
        <w:rPr>
          <w:sz w:val="20"/>
          <w:szCs w:val="20"/>
          <w:color w:val="auto"/>
        </w:rPr>
      </w:pPr>
      <w:r>
        <w:rPr>
          <w:rFonts w:ascii="Times New Roman" w:cs="Times New Roman" w:eastAsia="Times New Roman" w:hAnsi="Times New Roman"/>
          <w:sz w:val="18"/>
          <w:szCs w:val="18"/>
          <w:color w:val="auto"/>
        </w:rPr>
        <w:t>In December 2020, we completed our registered offering pursuant to a registration statement on Form S-1. In this registered offering, we issued and sold an aggregate of 2,737,000 shares of common stock, including the underwriters’ exercise in full of their overallotment option, under the registration statement at an offering price of $76.00 per share. Net proceeds were approximately $194.9 million, after deducting underwriting discounts and commissions of $12.5 million and offering-related expenses of $0.7 million.</w:t>
      </w:r>
    </w:p>
    <w:p>
      <w:pPr>
        <w:spacing w:after="0" w:line="7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sales agreement (as amended, Sales Agreement) with Cantor Fitzgerald &amp; Co. and Credit Suisse Securities (USA) LLC (Credit Suisse), under which we may offer and sell our common stock, having aggregate gross proceeds of up to $150.0 million, from time to time through them as our sales agents in our ATM offering program. In March 2022, we filed a universal shelf registration statement (2022 Shelf Registration Statement) with the SEC, which was declared effective by the SEC on May 31, 2022. In August 2023, we entered into an amendment to the Sales Agreement to include UBS Securities LLC as an additional sales agent and to remove Credit Suisse as a sales agent.</w:t>
      </w:r>
    </w:p>
    <w:p>
      <w:pPr>
        <w:spacing w:after="0" w:line="7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7.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8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spacing w:after="0" w:line="80" w:lineRule="exact"/>
        <w:rPr>
          <w:sz w:val="20"/>
          <w:szCs w:val="20"/>
          <w:color w:val="auto"/>
        </w:rPr>
      </w:pPr>
    </w:p>
    <w:p>
      <w:pPr>
        <w:ind w:right="140" w:firstLine="441"/>
        <w:spacing w:after="0" w:line="253" w:lineRule="auto"/>
        <w:rPr>
          <w:sz w:val="20"/>
          <w:szCs w:val="20"/>
          <w:color w:val="auto"/>
        </w:rPr>
      </w:pPr>
      <w:r>
        <w:rPr>
          <w:rFonts w:ascii="Times New Roman" w:cs="Times New Roman" w:eastAsia="Times New Roman" w:hAnsi="Times New Roman"/>
          <w:sz w:val="18"/>
          <w:szCs w:val="18"/>
          <w:color w:val="auto"/>
        </w:rPr>
        <w:t>In October 2023, we completed a registered offering pursuant to the 2022 Shelf Registration Statement. In this registered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an offering price of $6.38 per share and $6.379 per pre-funded warrant. Net proceeds were approximately $58.9 million, after deducting underwriting discounts and commissions of $3.8 million and offering-related expenses of $0.6 million. As of March 31, 2026, no shares underlying these pre-funded warrants had been exercised.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29" w:name="page30"/>
    <w:bookmarkEnd w:id="29"/>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7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March 31, 2026. The term loans under the Loan Agreement mature on October 1, 2027. We began to make principal payments in equal monthly installments beginning on December 1, 2025.</w:t>
      </w:r>
    </w:p>
    <w:p>
      <w:pPr>
        <w:spacing w:after="0" w:line="8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 From December 2021 to March 31, 2026, we sold an aggregate of 3,183,109 shares of common stock under our Sales Agreement for net proceeds of $31.4 million, after deducting commissions. We may terminate this ATM program and the Sales Agreement at any time, pursuant to its terms.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2, 2026, we completed a registered offering and issued an aggregate of 76,979,112 shares of common stock at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of $1.57 per share and pre-funded warrants to purchase 18,574,120 shares of common stock at an offering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$1.569 per pre-funded warrant. We received net proceeds of approximately $140.4 million, after deducting underwriting discounts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of $9.0 million and other offering-related expenses of $0.6 million. As of March 31, 2026, 2,563,507 shares underlying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pre-funded warrants had been exercised.</w:t>
      </w:r>
    </w:p>
    <w:p>
      <w:pPr>
        <w:spacing w:after="0" w:line="99"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We believe our existing cash, cash equivalents and investments will enable us to fund our operating expenses and capital expenditure requirements through the first half of 2028. Additionally, the Company also has the ability to further utilize the ATM program. We have based these estimates on assumptions in which actuals may materially differ, and we could utilize our available capital resources sooner than we expect.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net cash flow activity for the three months ended March 31, 2026 and 2025 (in thousands):</w:t>
      </w:r>
    </w:p>
    <w:p>
      <w:pPr>
        <w:spacing w:after="0" w:line="50"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(18,648)</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(24,663)</w:t>
            </w: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(105,036)</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80" w:type="dxa"/>
            <w:vAlign w:val="bottom"/>
            <w:shd w:val="clear" w:color="auto" w:fill="CFF0FC"/>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139,595</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r>
      <w:tr>
        <w:trPr>
          <w:trHeight w:val="250"/>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4734560</wp:posOffset>
            </wp:positionH>
            <wp:positionV relativeFrom="paragraph">
              <wp:posOffset>-24765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-24765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2026, net cash used in operating activities of $18.6 million was attributable to a net loss of $17.9 million and a change in our net operating assets and liabilities of $3.6 million, offset by non-cash charges of $2.9 million. The change in operating assets and liabilities was primarily due to (i) a decrease in accounts payable and accrued expenses and other current liabilities of $4.2 million primarily due to timing of invoices and payments, (ii) a decrease in prepaid and other current assets of $0.7 million, (iii) a decrease in other non-current liabilities of $0.4 million and (iv) a decrease in other assets of $0.3 million. Non-cash charges consisted primarily of stock-based compensation expense of $2.5 million, non-cash lease costs of $0.4 million, and depreciation and amortization costs of $0.1 million, offset by net accretion of discounts on investments of $0.2 million.</w:t>
      </w:r>
    </w:p>
    <w:p>
      <w:pPr>
        <w:spacing w:after="0" w:line="81"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In the three months ended March 31, 2025, net cash used in operating activities of $24.7 million was attributable to a net loss of $30.8 million, offset by a change in our net operating assets and liabilities of $0.6 million and by non-cash charges of $5.4 million. The change in operating assets and liabilities was primarily due to (i) a decrease in accounts payable, payable and accrued liabilities due to related party, and accrued expenses and other current liabilities of $0.8 million primarily due to timing of invoices and payments, (ii) a decrease in prepaid and other current assets of $1.9 million and (iii) a decrease in other non-current liabilities of $0.5 million. Non-cash charges consisted primarily of stock-based compensation expense of $5.2 million, non-cash lease costs of $0.5 million, and depreciation and amortization costs of $0.2 million offset by net accretion of discounts on investments of $0.5 million.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93" w:right="11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net cash used in investing activities of $105.0 million was attributable to cash received for maturities of investments of $19.5 million, offset by purchases of short-term and long-term investments of $124.5 million and purchases of property and equipment of $0.1 million.</w:t>
      </w:r>
    </w:p>
    <w:p>
      <w:pPr>
        <w:spacing w:after="0" w:line="68"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net cash provided by investing activities of $27.6 million was attributable to cash received for maturities of investments of $43.5 million, offset by purchases of short-term and long-term investments of $15.8 million and purchases of property and equipment of $0.1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2026, net cash provided by financing activities of $139.6 million was attributable to proceeds from equity offerings of $150.0 million, proceeds from exercise of stock options under equity incentive plan of $0.7 million, offset by payments for issuance costs related to equity offerings of $9.5 million, principal payments on term loan of $1.3 million, and principal payments on finance leases of $0.3 million.</w:t>
      </w:r>
    </w:p>
    <w:p>
      <w:pPr>
        <w:spacing w:after="0" w:line="7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net cash provided by financing activities of $0.1 million was attributable to proceeds from our ATM offering program of $0.4 million offset by principal payments on finance leases of $0.3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During the period presented, we did not have, nor do we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86"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2025. During the three months ended March 31, 2026, there were no material changes to our critical accounting policies and estimates from those discussed in the Company’s Annual Report on Form 10-K for the year ended December 31, 2025 filed with the SEC on March 9,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 Recent Accounting Pronouncements”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117" w:lineRule="exact"/>
        <w:rPr>
          <w:sz w:val="20"/>
          <w:szCs w:val="20"/>
          <w:color w:val="auto"/>
        </w:rPr>
      </w:pPr>
    </w:p>
    <w:p>
      <w:pPr>
        <w:ind w:right="180" w:firstLine="441"/>
        <w:spacing w:after="0" w:line="253" w:lineRule="auto"/>
        <w:rPr>
          <w:sz w:val="20"/>
          <w:szCs w:val="20"/>
          <w:color w:val="auto"/>
        </w:rPr>
      </w:pPr>
      <w:r>
        <w:rPr>
          <w:rFonts w:ascii="Times New Roman" w:cs="Times New Roman" w:eastAsia="Times New Roman" w:hAnsi="Times New Roman"/>
          <w:sz w:val="18"/>
          <w:szCs w:val="18"/>
          <w:color w:val="auto"/>
        </w:rPr>
        <w:t>As of March 31, 2026, we had cash, cash equivalents and investments of $169.1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31" w:name="page32"/>
    <w:bookmarkEnd w:id="31"/>
    <w:p>
      <w:pPr>
        <w:ind w:firstLine="441"/>
        <w:spacing w:after="0" w:line="261" w:lineRule="auto"/>
        <w:rPr>
          <w:sz w:val="20"/>
          <w:szCs w:val="20"/>
          <w:color w:val="auto"/>
        </w:rPr>
      </w:pPr>
      <w:r>
        <w:rPr>
          <w:rFonts w:ascii="Times New Roman" w:cs="Times New Roman" w:eastAsia="Times New Roman" w:hAnsi="Times New Roman"/>
          <w:sz w:val="18"/>
          <w:szCs w:val="18"/>
          <w:color w:val="auto"/>
        </w:rPr>
        <w:t>As of March 31, 2026, we had borrowings of $8.3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FDIC.</w:t>
      </w:r>
    </w:p>
    <w:p>
      <w:pPr>
        <w:spacing w:after="0" w:line="79"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The Company is continuing to monitor any events involving limited liquidity, defaults, non-performance or other adverse developments that affect financial institutions or other companies in the financial services industry or the financial services industry generally.</w:t>
      </w:r>
    </w:p>
    <w:p>
      <w:pPr>
        <w:spacing w:after="0" w:line="68"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has not experienced any realized losses on its deposits of cash, cash equivalents or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 increase or decrease in current exchange rates would not have a material impact on our financial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6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March 31, 2026.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80"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materially affected, or are reasonably likely to materially affect, our internal control over financial reporting.</w:t>
      </w: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51" w:lineRule="exact"/>
        <w:rPr>
          <w:sz w:val="20"/>
          <w:szCs w:val="20"/>
          <w:color w:val="auto"/>
        </w:rPr>
      </w:pPr>
    </w:p>
    <w:p>
      <w:pPr>
        <w:ind w:left="880" w:right="240" w:hanging="435"/>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53" w:lineRule="exact"/>
        <w:rPr>
          <w:rFonts w:ascii="Times New Roman" w:cs="Times New Roman" w:eastAsia="Times New Roman" w:hAnsi="Times New Roman"/>
          <w:sz w:val="18"/>
          <w:szCs w:val="18"/>
          <w:color w:val="auto"/>
        </w:rPr>
      </w:pPr>
    </w:p>
    <w:p>
      <w:pPr>
        <w:ind w:left="880" w:right="460" w:hanging="435"/>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such capital may not be available to us when needed or may only be available on terms that are unfavorable to us;</w:t>
      </w:r>
    </w:p>
    <w:p>
      <w:pPr>
        <w:spacing w:after="0" w:line="53" w:lineRule="exact"/>
        <w:rPr>
          <w:rFonts w:ascii="Times New Roman" w:cs="Times New Roman" w:eastAsia="Times New Roman" w:hAnsi="Times New Roman"/>
          <w:sz w:val="18"/>
          <w:szCs w:val="18"/>
          <w:color w:val="auto"/>
        </w:rPr>
      </w:pPr>
    </w:p>
    <w:p>
      <w:pPr>
        <w:ind w:left="880" w:right="80" w:hanging="435"/>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 products approved for commercial sale, and have not generated any revenue from product sales, licenses or collaborations;</w:t>
      </w:r>
    </w:p>
    <w:p>
      <w:pPr>
        <w:spacing w:after="0" w:line="53" w:lineRule="exact"/>
        <w:rPr>
          <w:rFonts w:ascii="Times New Roman" w:cs="Times New Roman" w:eastAsia="Times New Roman" w:hAnsi="Times New Roman"/>
          <w:sz w:val="18"/>
          <w:szCs w:val="18"/>
          <w:color w:val="auto"/>
        </w:rPr>
      </w:pPr>
    </w:p>
    <w:p>
      <w:pPr>
        <w:ind w:left="880" w:right="100" w:hanging="435"/>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evorpacept, also known as ALX 148, which is in clinical development and which has not completed a pivotal trial;</w:t>
      </w:r>
    </w:p>
    <w:p>
      <w:pPr>
        <w:spacing w:after="0" w:line="53" w:lineRule="exact"/>
        <w:rPr>
          <w:rFonts w:ascii="Times New Roman" w:cs="Times New Roman" w:eastAsia="Times New Roman" w:hAnsi="Times New Roman"/>
          <w:sz w:val="18"/>
          <w:szCs w:val="18"/>
          <w:color w:val="auto"/>
        </w:rPr>
      </w:pPr>
    </w:p>
    <w:p>
      <w:pPr>
        <w:ind w:left="880" w:right="140" w:hanging="435"/>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880" w:right="20" w:hanging="435"/>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7" w:lineRule="exact"/>
        <w:rPr>
          <w:rFonts w:ascii="Times New Roman" w:cs="Times New Roman" w:eastAsia="Times New Roman" w:hAnsi="Times New Roman"/>
          <w:sz w:val="18"/>
          <w:szCs w:val="18"/>
          <w:color w:val="auto"/>
        </w:rPr>
      </w:pPr>
    </w:p>
    <w:p>
      <w:pPr>
        <w:ind w:left="880" w:right="480" w:hanging="435"/>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significant adverse events or other undesirable side effects when used alone or in combination with other treatments;</w:t>
      </w:r>
    </w:p>
    <w:p>
      <w:pPr>
        <w:spacing w:after="0" w:line="53"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53" w:lineRule="exact"/>
        <w:rPr>
          <w:rFonts w:ascii="Times New Roman" w:cs="Times New Roman" w:eastAsia="Times New Roman" w:hAnsi="Times New Roman"/>
          <w:sz w:val="18"/>
          <w:szCs w:val="18"/>
          <w:color w:val="auto"/>
        </w:rPr>
      </w:pPr>
    </w:p>
    <w:p>
      <w:pPr>
        <w:ind w:left="880" w:right="780" w:hanging="435"/>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and other intellectual property for our product candidates and related technology, our business could be materially harmed;</w:t>
      </w:r>
    </w:p>
    <w:p>
      <w:pPr>
        <w:spacing w:after="0" w:line="53" w:lineRule="exact"/>
        <w:rPr>
          <w:rFonts w:ascii="Times New Roman" w:cs="Times New Roman" w:eastAsia="Times New Roman" w:hAnsi="Times New Roman"/>
          <w:sz w:val="18"/>
          <w:szCs w:val="18"/>
          <w:color w:val="auto"/>
        </w:rPr>
      </w:pPr>
    </w:p>
    <w:p>
      <w:pPr>
        <w:ind w:left="880" w:right="80" w:hanging="436"/>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for clinical supplies of our product candidates;</w:t>
      </w:r>
    </w:p>
    <w:p>
      <w:pPr>
        <w:spacing w:after="0" w:line="117" w:lineRule="exact"/>
        <w:rPr>
          <w:rFonts w:ascii="Times New Roman" w:cs="Times New Roman" w:eastAsia="Times New Roman" w:hAnsi="Times New Roman"/>
          <w:sz w:val="18"/>
          <w:szCs w:val="18"/>
          <w:color w:val="auto"/>
        </w:rPr>
      </w:pPr>
    </w:p>
    <w:p>
      <w:pPr>
        <w:ind w:left="880" w:right="560" w:hanging="436"/>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our debt and compliance with the terms of our loan agreement could restrict our ability to operate our business;</w:t>
      </w:r>
    </w:p>
    <w:p>
      <w:pPr>
        <w:spacing w:after="0" w:line="53" w:lineRule="exact"/>
        <w:rPr>
          <w:rFonts w:ascii="Times New Roman" w:cs="Times New Roman" w:eastAsia="Times New Roman" w:hAnsi="Times New Roman"/>
          <w:sz w:val="18"/>
          <w:szCs w:val="18"/>
          <w:color w:val="auto"/>
        </w:rPr>
      </w:pPr>
    </w:p>
    <w:p>
      <w:pPr>
        <w:ind w:left="880" w:right="380" w:hanging="435"/>
        <w:spacing w:after="0" w:line="270" w:lineRule="auto"/>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could adversely impact our business</w:t>
      </w:r>
    </w:p>
    <w:p>
      <w:pPr>
        <w:spacing w:after="0" w:line="3" w:lineRule="exact"/>
        <w:rPr>
          <w:sz w:val="20"/>
          <w:szCs w:val="20"/>
          <w:color w:val="auto"/>
        </w:rPr>
      </w:pPr>
    </w:p>
    <w:p>
      <w:pPr>
        <w:ind w:left="4780" w:right="3540" w:hanging="3887"/>
        <w:spacing w:after="0" w:line="260" w:lineRule="auto"/>
        <w:rPr>
          <w:sz w:val="20"/>
          <w:szCs w:val="20"/>
          <w:color w:val="auto"/>
        </w:rPr>
      </w:pPr>
      <w:r>
        <w:rPr>
          <w:rFonts w:ascii="Times New Roman" w:cs="Times New Roman" w:eastAsia="Times New Roman" w:hAnsi="Times New Roman"/>
          <w:sz w:val="18"/>
          <w:szCs w:val="18"/>
          <w:color w:val="auto"/>
        </w:rPr>
        <w:t>including our ongoing and planned clinical trials and preclinical research;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457200</wp:posOffset>
            </wp:positionV>
            <wp:extent cx="70377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33" w:name="page34"/>
    <w:bookmarkEnd w:id="33"/>
    <w:p>
      <w:pPr>
        <w:ind w:left="880" w:hanging="435"/>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 and</w:t>
      </w:r>
    </w:p>
    <w:p>
      <w:pPr>
        <w:spacing w:after="0" w:line="117" w:lineRule="exact"/>
        <w:rPr>
          <w:rFonts w:ascii="Times New Roman" w:cs="Times New Roman" w:eastAsia="Times New Roman" w:hAnsi="Times New Roman"/>
          <w:sz w:val="18"/>
          <w:szCs w:val="18"/>
          <w:color w:val="auto"/>
        </w:rPr>
      </w:pPr>
    </w:p>
    <w:p>
      <w:pPr>
        <w:ind w:left="880" w:right="100" w:hanging="435"/>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implement and maintain effective internal control over financial reporting in the future, investors may lose confidence in our financial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we expect to continue to incur significant net losses for the foreseeable future.</w:t>
      </w:r>
    </w:p>
    <w:p>
      <w:pPr>
        <w:spacing w:after="0" w:line="5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$17.9 million and $30.8 million for the three months ended March 31, 2026 and 2025, respectively. As of March 31, 2026, we had an accumulated deficit of $740.7 million. We have devoted substantially all of our resources and efforts to research and development. Our product candidates, evorpacept and ALX2004, are in early-stage clinical trials.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7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ALX2004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8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As of March 31, 2026, we had cash, cash equivalents and investments of $169.1 million. Based on our current operating plan, we believe that our existing cash, cash equivalents, and investments and net proceeds of $140.4 million raised in our registered offering that closed in February 2026 (the February 2026 Offering) will be sufficient to fund our operations through the first half of 2028.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84"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plan to use our cash, cash equivalents and investments to advance the clinical development of evorpacept and ALX2004,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ALX2004, and our other programs will require a significant amount of capital. Our current cash, cash equivalents and investments on hand, may not be sufficient to fund all of the actions that are necessary to complete the development of evorpacept and ALX2004, or our other programs.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34" w:name="page35"/>
    <w:bookmarkEnd w:id="34"/>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March 31, 2026.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5"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and Phase 1 clinical trials of ALX2004.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75" w:lineRule="exact"/>
        <w:rPr>
          <w:sz w:val="20"/>
          <w:szCs w:val="20"/>
          <w:color w:val="auto"/>
        </w:rPr>
      </w:pPr>
    </w:p>
    <w:p>
      <w:pPr>
        <w:ind w:left="880" w:right="520" w:hanging="435"/>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product candidates, evorpacept and ALX2004, and our other future product candidates;</w:t>
      </w:r>
    </w:p>
    <w:p>
      <w:pPr>
        <w:spacing w:after="0" w:line="53"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evorpacept, ALX2004 and our other future product candidates;</w:t>
      </w:r>
    </w:p>
    <w:p>
      <w:pPr>
        <w:spacing w:after="0" w:line="53" w:lineRule="exact"/>
        <w:rPr>
          <w:rFonts w:ascii="Times New Roman" w:cs="Times New Roman" w:eastAsia="Times New Roman" w:hAnsi="Times New Roman"/>
          <w:sz w:val="18"/>
          <w:szCs w:val="18"/>
          <w:color w:val="auto"/>
        </w:rPr>
      </w:pPr>
    </w:p>
    <w:p>
      <w:pPr>
        <w:ind w:left="880" w:right="400" w:hanging="436"/>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jc w:val="both"/>
        <w:ind w:left="880" w:right="140" w:hanging="435"/>
        <w:spacing w:after="0" w:line="276" w:lineRule="auto"/>
        <w:tabs>
          <w:tab w:leader="none" w:pos="8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 efficient and scalable manufacturing process for evorpacept, ALX2004 and any future product candidates, including establishing and maintaining commercially viable supply and manufacturing relationships with third parties to</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obtain finished products that are appropriately packaged for sale;</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35" w:name="page36"/>
    <w:bookmarkEnd w:id="35"/>
    <w:p>
      <w:pPr>
        <w:ind w:left="880" w:right="100" w:hanging="435"/>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auto"/>
        </w:rPr>
      </w:pPr>
    </w:p>
    <w:p>
      <w:pPr>
        <w:ind w:left="880" w:right="960" w:hanging="435"/>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880" w:right="320" w:hanging="435"/>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evorpacept and ALX2004, and any future product candidates as viable treatment options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117" w:lineRule="exact"/>
        <w:rPr>
          <w:rFonts w:ascii="Times New Roman" w:cs="Times New Roman" w:eastAsia="Times New Roman" w:hAnsi="Times New Roman"/>
          <w:sz w:val="18"/>
          <w:szCs w:val="18"/>
          <w:color w:val="auto"/>
        </w:rPr>
      </w:pPr>
    </w:p>
    <w:p>
      <w:pPr>
        <w:ind w:left="880" w:right="380" w:hanging="436"/>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including our licensed intellectual property;</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880" w:right="80" w:hanging="435"/>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880" w:right="540" w:hanging="435"/>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that may be necessary to develop, manufacture or commercialize our product candidate; and</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Agreement require us to meet certain operating and financial covenants, place restrictions on our operating and financial flexibility, and may subject us to default.</w:t>
      </w:r>
    </w:p>
    <w:p>
      <w:pPr>
        <w:spacing w:after="0" w:line="51" w:lineRule="exact"/>
        <w:rPr>
          <w:sz w:val="20"/>
          <w:szCs w:val="20"/>
          <w:color w:val="auto"/>
        </w:rPr>
      </w:pPr>
    </w:p>
    <w:p>
      <w:pPr>
        <w:ind w:right="380" w:firstLine="441"/>
        <w:spacing w:after="0" w:line="289" w:lineRule="auto"/>
        <w:rPr>
          <w:sz w:val="20"/>
          <w:szCs w:val="20"/>
          <w:color w:val="auto"/>
        </w:rPr>
      </w:pPr>
      <w:r>
        <w:rPr>
          <w:rFonts w:ascii="Times New Roman" w:cs="Times New Roman" w:eastAsia="Times New Roman" w:hAnsi="Times New Roman"/>
          <w:sz w:val="17"/>
          <w:szCs w:val="17"/>
          <w:color w:val="auto"/>
        </w:rPr>
        <w:t>In October 2022, we entered into the Loan Agreement, most recently amended in December 2023, under which we have borrowed $10.0 million. Under the Loan Agreement, $25.0 million is available for us to draw at the Lenders’ sole discretion as of March 31, 2026. The proceeds of the loans may be used by us for working capital and to fund our general business requirements.</w:t>
      </w:r>
    </w:p>
    <w:p>
      <w:pPr>
        <w:spacing w:after="0" w:line="5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term loans under the Loan Agreement mature on October 1, 2027. We began to make principal payments in equal monthly installments beginning on December 1, 2025.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spacing w:after="0" w:line="8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term loans under the Loan Agreement are secured by substantially all of our assets, except our intellectual property, which is the subject of a negative pledge, and will be guaranteed by our future subsidiaries, subject to certain limitations.</w:t>
      </w:r>
    </w:p>
    <w:p>
      <w:pPr>
        <w:spacing w:after="0" w:line="54"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36" w:name="page37"/>
    <w:bookmarkEnd w:id="36"/>
    <w:p>
      <w:pPr>
        <w:ind w:firstLine="441"/>
        <w:spacing w:after="0" w:line="254" w:lineRule="auto"/>
        <w:rPr>
          <w:sz w:val="20"/>
          <w:szCs w:val="20"/>
          <w:color w:val="auto"/>
        </w:rPr>
      </w:pPr>
      <w:r>
        <w:rPr>
          <w:rFonts w:ascii="Times New Roman" w:cs="Times New Roman" w:eastAsia="Times New Roman" w:hAnsi="Times New Roman"/>
          <w:sz w:val="18"/>
          <w:szCs w:val="18"/>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evorpacept, or our second product candidate, ALX2004, which are both in clinical development and have not completed a pivotal trial. If we do not obtain regulatory approval for and successfully commercialize evorpacept or ALX2004 in one or more indications, or we experience significant delays in doing so, we may never generate any revenue or become profitable.</w:t>
      </w:r>
    </w:p>
    <w:p>
      <w:pPr>
        <w:spacing w:after="0" w:line="72"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product candidates, evorpacept and ALX2004, in our ongoing clinical trials. As a result, our business currently depends heavily on the successful development, regulatory approval and, if approved, commercialization of evorpacept in one or more of these indications, such as gastric/gastroesophageal junction, or GEJ, carcinoma, breast cancer, NHL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ALX2004 or any of our future product candidates, would materially harm our business, financial condition and results of operations. We are not permitted to market or promote evorpacept, ALX2004 or any other product candidate, before we receive marketing approval from the FDA and comparable foreign regulatory authorities, and we may never receive such marketing approvals. If we do not receive marketing approvals for evorpacept or ALX2004, we may not be able to continue our operations.</w:t>
      </w:r>
    </w:p>
    <w:p>
      <w:pPr>
        <w:spacing w:after="0" w:line="7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72"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head and neck squamous cell carcinoma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80"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ALX2004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including with respect to our single-arm ASPEN-09-Breast study in HER2-positive breast cancer, our clinical timelines may be delayed.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37" w:name="page38"/>
    <w:bookmarkEnd w:id="37"/>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6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preclinical development and then extensive clinical trials (including initiation of any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8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or enroll subjects on time or whether our ongoing and/or future clinical trials will be completed on schedule or at all. Clinical trials can be delayed for a variety of reasons, including delays related to:</w:t>
      </w:r>
    </w:p>
    <w:p>
      <w:pPr>
        <w:spacing w:after="0" w:line="54" w:lineRule="exact"/>
        <w:rPr>
          <w:sz w:val="20"/>
          <w:szCs w:val="20"/>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to commence a clinical trial;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necessary new clinical trial sites;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subjects to participate in a trial;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clinical trial protocols;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site or trial subjects withdrawing or dropping out of clinical trials at a higher rate than anticipated;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117"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54" w:lineRule="exact"/>
        <w:rPr>
          <w:sz w:val="20"/>
          <w:szCs w:val="20"/>
          <w:color w:val="auto"/>
        </w:rPr>
      </w:pPr>
    </w:p>
    <w:p>
      <w:pPr>
        <w:ind w:left="880" w:hanging="436"/>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880" w:right="280" w:hanging="436"/>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53" w:lineRule="exact"/>
        <w:rPr>
          <w:rFonts w:ascii="Times New Roman" w:cs="Times New Roman" w:eastAsia="Times New Roman" w:hAnsi="Times New Roman"/>
          <w:sz w:val="18"/>
          <w:szCs w:val="18"/>
          <w:color w:val="auto"/>
        </w:rPr>
      </w:pPr>
    </w:p>
    <w:p>
      <w:pPr>
        <w:ind w:left="880" w:right="20" w:hanging="436"/>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880" w:right="280" w:hanging="436"/>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trials due to outbreaks or public health crises, such as the COVID-19 pandemic, that impact both trial site operations, subject selection and participation;</w:t>
      </w:r>
    </w:p>
    <w:p>
      <w:pPr>
        <w:spacing w:after="0" w:line="53"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880" w:right="300" w:hanging="436"/>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are greater than anticipated;</w:t>
      </w:r>
    </w:p>
    <w:p>
      <w:pPr>
        <w:spacing w:after="0" w:line="117" w:lineRule="exact"/>
        <w:rPr>
          <w:rFonts w:ascii="Times New Roman" w:cs="Times New Roman" w:eastAsia="Times New Roman" w:hAnsi="Times New Roman"/>
          <w:sz w:val="18"/>
          <w:szCs w:val="18"/>
          <w:color w:val="auto"/>
        </w:rPr>
      </w:pPr>
    </w:p>
    <w:p>
      <w:pPr>
        <w:ind w:left="880" w:right="560" w:hanging="436"/>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3"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and approval of FDA or other comparable foreign regulatory authorities required companion diagnostics necessary for use with our product candidates; and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w:t>
      </w:r>
    </w:p>
    <w:p>
      <w:pPr>
        <w:spacing w:after="0" w:line="117"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68" w:lineRule="exact"/>
        <w:rPr>
          <w:sz w:val="20"/>
          <w:szCs w:val="20"/>
          <w:color w:val="auto"/>
        </w:rPr>
      </w:pPr>
    </w:p>
    <w:p>
      <w:pPr>
        <w:ind w:right="660" w:firstLine="441"/>
        <w:spacing w:after="0" w:line="261"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safety and efficacy sufficient to obtain marketing approval of our product candidates or to market our drugs after any such approval.</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38" w:name="page39"/>
    <w:bookmarkEnd w:id="38"/>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p>
    <w:p>
      <w:pPr>
        <w:spacing w:after="0" w:line="6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and ALX2004 are focused on indications with small patient populations, our ability to enroll eligible subjects may be limited or may result in slower enrollment than we anticipate.</w:t>
      </w:r>
    </w:p>
    <w:p>
      <w:pPr>
        <w:spacing w:after="0" w:line="75" w:lineRule="exact"/>
        <w:rPr>
          <w:sz w:val="20"/>
          <w:szCs w:val="20"/>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In the past, clinical trial enrollment and data collection has been adversely impacted by staff shortages, site closures, travel limitations and physical distancing requirements and personal safety concerns resulting from and associated with the COVID-19 pandemic.</w:t>
      </w:r>
    </w:p>
    <w:p>
      <w:pPr>
        <w:spacing w:after="0" w:line="68" w:lineRule="exact"/>
        <w:rPr>
          <w:sz w:val="20"/>
          <w:szCs w:val="20"/>
          <w:color w:val="auto"/>
        </w:rPr>
      </w:pPr>
    </w:p>
    <w:p>
      <w:pPr>
        <w:ind w:firstLine="441"/>
        <w:spacing w:after="0" w:line="274" w:lineRule="auto"/>
        <w:rPr>
          <w:sz w:val="20"/>
          <w:szCs w:val="20"/>
          <w:color w:val="auto"/>
        </w:rPr>
      </w:pPr>
      <w:r>
        <w:rPr>
          <w:rFonts w:ascii="Times New Roman" w:cs="Times New Roman" w:eastAsia="Times New Roman" w:hAnsi="Times New Roman"/>
          <w:sz w:val="17"/>
          <w:szCs w:val="17"/>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65" w:lineRule="exact"/>
        <w:rPr>
          <w:sz w:val="20"/>
          <w:szCs w:val="20"/>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880" w:right="420" w:hanging="435"/>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6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 by us and the clinical trial sites;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the clinical trial;</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of clinical trial sites to prospective subjects;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subjects enrolled in clinical trials dropping out before completion;</w:t>
      </w:r>
    </w:p>
    <w:p>
      <w:pPr>
        <w:spacing w:after="0" w:line="117" w:lineRule="exact"/>
        <w:rPr>
          <w:rFonts w:ascii="Times New Roman" w:cs="Times New Roman" w:eastAsia="Times New Roman" w:hAnsi="Times New Roman"/>
          <w:sz w:val="18"/>
          <w:szCs w:val="18"/>
          <w:color w:val="auto"/>
        </w:rPr>
      </w:pPr>
    </w:p>
    <w:p>
      <w:pPr>
        <w:ind w:left="880" w:right="120" w:hanging="435"/>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in enrollment of subjects due to a variety of reasons, including outbreaks and public health crises, such as the COVID-19 pandemic;</w:t>
      </w:r>
    </w:p>
    <w:p>
      <w:pPr>
        <w:spacing w:after="0" w:line="53" w:lineRule="exact"/>
        <w:rPr>
          <w:rFonts w:ascii="Times New Roman" w:cs="Times New Roman" w:eastAsia="Times New Roman" w:hAnsi="Times New Roman"/>
          <w:sz w:val="18"/>
          <w:szCs w:val="18"/>
          <w:color w:val="auto"/>
        </w:rPr>
      </w:pPr>
    </w:p>
    <w:p>
      <w:pPr>
        <w:ind w:left="880" w:right="60" w:hanging="435"/>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appropriately enroll an ethnically and racially diverse patient population representative of the target patient population;</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regulatory requirements; and</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adverse effects related to our product candidates.</w:t>
      </w:r>
    </w:p>
    <w:p>
      <w:pPr>
        <w:spacing w:after="0" w:line="117"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89" w:right="1139" w:bottom="1440" w:gutter="0" w:footer="0" w:header="0"/>
        </w:sectPr>
      </w:pPr>
    </w:p>
    <w:bookmarkStart w:id="39" w:name="page40"/>
    <w:bookmarkEnd w:id="39"/>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67"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81"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If evorpacept, ALX2004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40" w:name="page41"/>
    <w:bookmarkEnd w:id="40"/>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Some of these competitive products and therapies are based on scientific approaches that are the same as or similar to our approaches, including with respect to the targeting of the CD47 pathway, targeting epidermal growth factor receptor (EGFR) as an antibody-drug conjugate target,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AstraZeneca, BioNTech, Bristol Myers Squibb with Systimmune, CSPC, and Henlius, among others, are developing or have begun development of antibody drug conjugates (ADCs)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1"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8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80"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5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based on biomarker analyses or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41" w:name="page42"/>
    <w:bookmarkEnd w:id="41"/>
    <w:p>
      <w:pPr>
        <w:ind w:firstLine="441"/>
        <w:spacing w:after="0" w:line="254"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European Medicines Agency (EMA) and other comparable foreign regulatory requirements may subject our company to administrative or judicially imposed sanctions or enforcement actions, including:</w:t>
      </w:r>
    </w:p>
    <w:p>
      <w:pPr>
        <w:spacing w:after="0" w:line="84" w:lineRule="exact"/>
        <w:rPr>
          <w:sz w:val="20"/>
          <w:szCs w:val="20"/>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17" w:lineRule="exact"/>
        <w:rPr>
          <w:sz w:val="20"/>
          <w:szCs w:val="20"/>
          <w:color w:val="auto"/>
        </w:rPr>
      </w:pPr>
    </w:p>
    <w:p>
      <w:pPr>
        <w:ind w:right="860" w:firstLine="441"/>
        <w:spacing w:after="0" w:line="282" w:lineRule="auto"/>
        <w:rPr>
          <w:sz w:val="20"/>
          <w:szCs w:val="20"/>
          <w:color w:val="auto"/>
        </w:rPr>
      </w:pPr>
      <w:r>
        <w:rPr>
          <w:rFonts w:ascii="Times New Roman" w:cs="Times New Roman" w:eastAsia="Times New Roman" w:hAnsi="Times New Roman"/>
          <w:sz w:val="18"/>
          <w:szCs w:val="18"/>
          <w:color w:val="auto"/>
        </w:rPr>
        <w:t>The occurrence of any of these sanctions, enforcement actions or penalties described above may inhibit our ability to commercialize our product candidates, even if approved, and generate revenue.</w:t>
      </w:r>
    </w:p>
    <w:p>
      <w:pPr>
        <w:spacing w:after="0" w:line="5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7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84" w:lineRule="exact"/>
        <w:rPr>
          <w:sz w:val="20"/>
          <w:szCs w:val="20"/>
          <w:color w:val="auto"/>
        </w:rPr>
      </w:pPr>
    </w:p>
    <w:p>
      <w:pPr>
        <w:ind w:right="100" w:firstLine="441"/>
        <w:spacing w:after="0" w:line="251"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42" w:name="page43"/>
    <w:bookmarkEnd w:id="42"/>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68" w:lineRule="exact"/>
        <w:rPr>
          <w:sz w:val="20"/>
          <w:szCs w:val="20"/>
          <w:color w:val="auto"/>
        </w:rPr>
      </w:pPr>
    </w:p>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68"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modifications in the methods of product candidate manufacturing or formulation may result in additional costs or delay.</w:t>
      </w:r>
    </w:p>
    <w:p>
      <w:pPr>
        <w:spacing w:after="0" w:line="121"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7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5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79" w:lineRule="exact"/>
        <w:rPr>
          <w:sz w:val="20"/>
          <w:szCs w:val="20"/>
          <w:color w:val="auto"/>
        </w:rPr>
      </w:pPr>
    </w:p>
    <w:p>
      <w:pPr>
        <w:ind w:right="160" w:firstLine="441"/>
        <w:spacing w:after="0" w:line="272" w:lineRule="auto"/>
        <w:rPr>
          <w:sz w:val="20"/>
          <w:szCs w:val="20"/>
          <w:color w:val="auto"/>
        </w:rPr>
      </w:pPr>
      <w:r>
        <w:rPr>
          <w:rFonts w:ascii="Times New Roman" w:cs="Times New Roman" w:eastAsia="Times New Roman" w:hAnsi="Times New Roman"/>
          <w:sz w:val="17"/>
          <w:szCs w:val="17"/>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64" w:lineRule="exact"/>
        <w:rPr>
          <w:sz w:val="20"/>
          <w:szCs w:val="20"/>
          <w:color w:val="auto"/>
        </w:rPr>
      </w:pPr>
    </w:p>
    <w:p>
      <w:pPr>
        <w:ind w:right="180" w:firstLine="441"/>
        <w:spacing w:after="0" w:line="253" w:lineRule="auto"/>
        <w:rPr>
          <w:sz w:val="20"/>
          <w:szCs w:val="20"/>
          <w:color w:val="auto"/>
        </w:rPr>
      </w:pPr>
      <w:r>
        <w:rPr>
          <w:rFonts w:ascii="Times New Roman" w:cs="Times New Roman" w:eastAsia="Times New Roman" w:hAnsi="Times New Roman"/>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2/3 clinical trials of evorpacept in combination with trastuzumab for gastric/GEJ carcinoma. As a result, the results of our clinical trials and the sales of our drugs may be affected by the availability of these third-party drugs. For instance, we entered into clinical trial collaboration and supply agreements with Eli Lilly, pursuant to which our collaboration counterparties will supply doses of ramucirumab for use in certain clinical trials. If the agreement with Eli Lilly is terminated before the trial is completed, we may need to find another source of ramucirumab in order to continue our trial.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43" w:name="page44"/>
    <w:bookmarkEnd w:id="43"/>
    <w:p>
      <w:pPr>
        <w:ind w:right="280" w:firstLine="441"/>
        <w:spacing w:after="0" w:line="256" w:lineRule="auto"/>
        <w:rPr>
          <w:sz w:val="20"/>
          <w:szCs w:val="20"/>
          <w:color w:val="auto"/>
        </w:rPr>
      </w:pPr>
      <w:r>
        <w:rPr>
          <w:rFonts w:ascii="Times New Roman" w:cs="Times New Roman" w:eastAsia="Times New Roman" w:hAnsi="Times New Roman"/>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7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7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88"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81"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Our business also may be implicated if any of our CROs violates fraud and abuse or false claims laws and regulations or healthcare privacy and security laws.</w:t>
      </w:r>
    </w:p>
    <w:p>
      <w:pPr>
        <w:spacing w:after="0" w:line="54"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7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5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ALX2004 and any other product candidates, if any are approved, will depend on a number of factors, including, among others:</w:t>
      </w:r>
    </w:p>
    <w:p>
      <w:pPr>
        <w:spacing w:after="0" w:line="75" w:lineRule="exact"/>
        <w:rPr>
          <w:sz w:val="20"/>
          <w:szCs w:val="20"/>
          <w:color w:val="auto"/>
        </w:rPr>
      </w:pPr>
    </w:p>
    <w:p>
      <w:pPr>
        <w:ind w:left="880" w:right="40" w:hanging="436"/>
        <w:spacing w:after="0" w:line="261"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evorpacept, ALX2004, and our other product candidates to treat cancer or other applicable targeted diseases, as compared with other available drugs, treatments or therapies;</w:t>
      </w: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93" w:right="1119" w:bottom="1440" w:gutter="0" w:footer="0" w:header="0"/>
        </w:sectPr>
      </w:pPr>
    </w:p>
    <w:bookmarkStart w:id="44" w:name="page45"/>
    <w:bookmarkEnd w:id="44"/>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rFonts w:ascii="Times New Roman" w:cs="Times New Roman" w:eastAsia="Times New Roman" w:hAnsi="Times New Roman"/>
          <w:sz w:val="18"/>
          <w:szCs w:val="18"/>
          <w:color w:val="auto"/>
        </w:rPr>
      </w:pPr>
    </w:p>
    <w:p>
      <w:pPr>
        <w:ind w:left="880" w:right="44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evorpacept, ALX2004, and our other product candidates;</w:t>
      </w:r>
    </w:p>
    <w:p>
      <w:pPr>
        <w:spacing w:after="0" w:line="53" w:lineRule="exact"/>
        <w:rPr>
          <w:rFonts w:ascii="Times New Roman" w:cs="Times New Roman" w:eastAsia="Times New Roman" w:hAnsi="Times New Roman"/>
          <w:sz w:val="18"/>
          <w:szCs w:val="18"/>
          <w:color w:val="auto"/>
        </w:rPr>
      </w:pPr>
    </w:p>
    <w:p>
      <w:pPr>
        <w:ind w:left="880" w:right="12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evorpacept, ALX2004, or our other product candidates by the FDA or foreign regulatory authorities;</w:t>
      </w:r>
    </w:p>
    <w:p>
      <w:pPr>
        <w:spacing w:after="0" w:line="53" w:lineRule="exact"/>
        <w:rPr>
          <w:rFonts w:ascii="Times New Roman" w:cs="Times New Roman" w:eastAsia="Times New Roman" w:hAnsi="Times New Roman"/>
          <w:sz w:val="18"/>
          <w:szCs w:val="18"/>
          <w:color w:val="auto"/>
        </w:rPr>
      </w:pPr>
    </w:p>
    <w:p>
      <w:pPr>
        <w:ind w:left="88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and the potential and perceived advantages of our product candidates over alternative treatments;</w:t>
      </w:r>
    </w:p>
    <w:p>
      <w:pPr>
        <w:spacing w:after="0" w:line="53" w:lineRule="exact"/>
        <w:rPr>
          <w:rFonts w:ascii="Times New Roman" w:cs="Times New Roman" w:eastAsia="Times New Roman" w:hAnsi="Times New Roman"/>
          <w:sz w:val="18"/>
          <w:szCs w:val="18"/>
          <w:color w:val="auto"/>
        </w:rPr>
      </w:pPr>
    </w:p>
    <w:p>
      <w:pPr>
        <w:ind w:left="880" w:right="32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53" w:lineRule="exact"/>
        <w:rPr>
          <w:rFonts w:ascii="Times New Roman" w:cs="Times New Roman" w:eastAsia="Times New Roman" w:hAnsi="Times New Roman"/>
          <w:sz w:val="18"/>
          <w:szCs w:val="18"/>
          <w:color w:val="auto"/>
        </w:rPr>
      </w:pPr>
    </w:p>
    <w:p>
      <w:pPr>
        <w:ind w:left="880" w:right="36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marketing and distribution support and timing of market introduction of competitive products;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 in relation to alternative treatments;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880" w:right="14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by government, insurers or third-party payors, and the willingness of patients to pay out-of-pocket in the absence of third-party coverage; and</w:t>
      </w:r>
    </w:p>
    <w:p>
      <w:pPr>
        <w:spacing w:after="0" w:line="53" w:lineRule="exact"/>
        <w:rPr>
          <w:rFonts w:ascii="Times New Roman" w:cs="Times New Roman" w:eastAsia="Times New Roman" w:hAnsi="Times New Roman"/>
          <w:sz w:val="18"/>
          <w:szCs w:val="18"/>
          <w:color w:val="auto"/>
        </w:rPr>
      </w:pPr>
    </w:p>
    <w:p>
      <w:pPr>
        <w:ind w:left="880" w:right="640" w:hanging="435"/>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or any foreign regulatory authority may impose additional requirements that limit the promotion, advertising, distribution or sales of our product candidates.</w:t>
      </w:r>
    </w:p>
    <w:p>
      <w:pPr>
        <w:spacing w:after="0" w:line="54"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ALX2004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7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patients, physicians and/or third-party payors, we may not generate sufficient revenue to become or remain profitable and our business may be harmed.</w:t>
      </w:r>
    </w:p>
    <w:p>
      <w:pPr>
        <w:spacing w:after="0" w:line="50"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5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68"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93" w:right="1139" w:bottom="1440" w:gutter="0" w:footer="0" w:header="0"/>
        </w:sectPr>
      </w:pPr>
    </w:p>
    <w:bookmarkStart w:id="45" w:name="page46"/>
    <w:bookmarkEnd w:id="45"/>
    <w:p>
      <w:pPr>
        <w:ind w:firstLine="441"/>
        <w:spacing w:after="0" w:line="254" w:lineRule="auto"/>
        <w:rPr>
          <w:sz w:val="20"/>
          <w:szCs w:val="20"/>
          <w:color w:val="auto"/>
        </w:rPr>
      </w:pPr>
      <w:r>
        <w:rPr>
          <w:rFonts w:ascii="Times New Roman" w:cs="Times New Roman" w:eastAsia="Times New Roman" w:hAnsi="Times New Roman"/>
          <w:sz w:val="18"/>
          <w:szCs w:val="18"/>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the product candidates we develop, if approved, may be limited to certain smaller patient subsets.</w:t>
      </w:r>
    </w:p>
    <w:p>
      <w:pPr>
        <w:spacing w:after="0" w:line="121" w:lineRule="exact"/>
        <w:rPr>
          <w:sz w:val="20"/>
          <w:szCs w:val="20"/>
          <w:color w:val="auto"/>
        </w:rPr>
      </w:pPr>
    </w:p>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spacing w:after="0" w:line="6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2" w:lineRule="exact"/>
        <w:rPr>
          <w:sz w:val="20"/>
          <w:szCs w:val="20"/>
          <w:color w:val="auto"/>
        </w:rPr>
      </w:pPr>
    </w:p>
    <w:p>
      <w:pPr>
        <w:jc w:val="both"/>
        <w:ind w:right="160" w:firstLine="441"/>
        <w:spacing w:after="0" w:line="272" w:lineRule="auto"/>
        <w:rPr>
          <w:sz w:val="20"/>
          <w:szCs w:val="20"/>
          <w:color w:val="auto"/>
        </w:rPr>
      </w:pPr>
      <w:r>
        <w:rPr>
          <w:rFonts w:ascii="Times New Roman" w:cs="Times New Roman" w:eastAsia="Times New Roman" w:hAnsi="Times New Roman"/>
          <w:sz w:val="17"/>
          <w:szCs w:val="17"/>
          <w:color w:val="auto"/>
        </w:rPr>
        <w:t>Our product candidates, evorpacept and ALX2004, are at an early stage of clinical development and not all adverse effects can be predicted or anticipated. Unforeseen side effects from evorpacept, ALX2004, or any of our future product candidates may arise at any time during clinical development or, if approved by regulatory authorities, after the approved drug product has been marketed.</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Any undesirable or unacceptable side effects of evorpacept, ALX2004,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82"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if we or others later identify undesirable or unacceptable side effects caused by such products:</w:t>
      </w:r>
    </w:p>
    <w:p>
      <w:pPr>
        <w:spacing w:after="0" w:line="54" w:lineRule="exact"/>
        <w:rPr>
          <w:sz w:val="20"/>
          <w:szCs w:val="20"/>
          <w:color w:val="auto"/>
        </w:rPr>
      </w:pPr>
    </w:p>
    <w:p>
      <w:pPr>
        <w:ind w:left="880" w:hanging="435"/>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880" w:right="200" w:hanging="435"/>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contraindication, precaution or field alerts to physicians and pharmacies;</w:t>
      </w:r>
    </w:p>
    <w:p>
      <w:pPr>
        <w:spacing w:after="0" w:line="53" w:lineRule="exact"/>
        <w:rPr>
          <w:rFonts w:ascii="Times New Roman" w:cs="Times New Roman" w:eastAsia="Times New Roman" w:hAnsi="Times New Roman"/>
          <w:sz w:val="18"/>
          <w:szCs w:val="18"/>
          <w:color w:val="auto"/>
        </w:rPr>
      </w:pPr>
    </w:p>
    <w:p>
      <w:pPr>
        <w:ind w:left="880" w:right="580" w:hanging="436"/>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including changing the dose and/or schedule of administration, limit the patient population who can use the product or conduct additional clinical trials;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6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51"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46" w:name="page47"/>
    <w:bookmarkEnd w:id="46"/>
    <w:p>
      <w:pPr>
        <w:ind w:firstLine="441"/>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8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84" w:lineRule="exact"/>
        <w:rPr>
          <w:sz w:val="20"/>
          <w:szCs w:val="20"/>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a product;</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28"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65" w:lineRule="exact"/>
        <w:rPr>
          <w:sz w:val="20"/>
          <w:szCs w:val="20"/>
          <w:color w:val="auto"/>
        </w:rPr>
      </w:pPr>
    </w:p>
    <w:p>
      <w:pPr>
        <w:ind w:left="4780" w:right="4560" w:hanging="4335"/>
        <w:spacing w:after="0" w:line="276" w:lineRule="auto"/>
        <w:tabs>
          <w:tab w:leader="none" w:pos="89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drug;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610870</wp:posOffset>
            </wp:positionV>
            <wp:extent cx="703770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93" w:right="1139" w:bottom="1440" w:gutter="0" w:footer="0" w:header="0"/>
        </w:sectPr>
      </w:pPr>
    </w:p>
    <w:bookmarkStart w:id="47" w:name="page48"/>
    <w:bookmarkEnd w:id="47"/>
    <w:p>
      <w:pPr>
        <w:ind w:left="880" w:hanging="435"/>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fines, warning letters or holds on clinical trials;</w:t>
      </w:r>
    </w:p>
    <w:p>
      <w:pPr>
        <w:spacing w:after="0" w:line="117" w:lineRule="exact"/>
        <w:rPr>
          <w:rFonts w:ascii="Times New Roman" w:cs="Times New Roman" w:eastAsia="Times New Roman" w:hAnsi="Times New Roman"/>
          <w:sz w:val="18"/>
          <w:szCs w:val="18"/>
          <w:color w:val="auto"/>
        </w:rPr>
      </w:pPr>
    </w:p>
    <w:p>
      <w:pPr>
        <w:ind w:left="880" w:right="580" w:hanging="436"/>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seizure or detention, or refusal to permit the import or export of product candidates; and</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7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ALX2004,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80"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54" w:lineRule="exact"/>
        <w:rPr>
          <w:sz w:val="20"/>
          <w:szCs w:val="20"/>
          <w:color w:val="auto"/>
        </w:rPr>
      </w:pPr>
    </w:p>
    <w:p>
      <w:pPr>
        <w:ind w:left="880" w:right="20" w:hanging="435"/>
        <w:spacing w:after="0" w:line="282"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auto"/>
        </w:rPr>
      </w:pPr>
    </w:p>
    <w:p>
      <w:pPr>
        <w:ind w:left="880" w:right="140" w:hanging="435"/>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auto"/>
        </w:rPr>
      </w:pPr>
    </w:p>
    <w:p>
      <w:pPr>
        <w:ind w:left="880" w:right="520" w:hanging="435"/>
        <w:spacing w:after="0" w:line="261"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potency and safety in the full population for which we seek approval;</w:t>
      </w: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93" w:right="1119" w:bottom="1440" w:gutter="0" w:footer="0" w:header="0"/>
        </w:sectPr>
      </w:pPr>
    </w:p>
    <w:bookmarkStart w:id="48" w:name="page49"/>
    <w:bookmarkEnd w:id="48"/>
    <w:p>
      <w:pPr>
        <w:ind w:left="880" w:right="180" w:hanging="435"/>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880" w:right="120" w:hanging="436"/>
        <w:spacing w:after="0" w:line="266"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880" w:right="40" w:hanging="435"/>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comparable international regulatory authorities that a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880" w:hanging="435"/>
        <w:spacing w:after="0" w:line="266"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880" w:right="100" w:hanging="435"/>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international foreign regulatory authorities may significantly change in a manner rendering our clinical data insufficient for approval.</w:t>
      </w:r>
    </w:p>
    <w:p>
      <w:pPr>
        <w:spacing w:after="0" w:line="54"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7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81"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Further, under the new leadership at the HHS, reorganization of that department, departure of senior leadership at the FDA and other agencies under HHS, mass layoffs at HHS, government shutdown, and a lapse in U.S. government appropriations may impact operations at the FDA as well as other federal agencies, which can materially delay our timelines.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w:t>
      </w:r>
    </w:p>
    <w:p>
      <w:pPr>
        <w:spacing w:after="0" w:line="80"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28"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49" w:name="page50"/>
    <w:bookmarkEnd w:id="49"/>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spacing w:after="0" w:line="67"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 Changes in the leadership of the FDA and other federal agencies under the current U.S. presidential administration may also lead to new policies and changes in the regulations and operations of the FDA, which may impact our clinical development plans.</w:t>
      </w:r>
    </w:p>
    <w:p>
      <w:pPr>
        <w:spacing w:after="0" w:line="9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p>
    <w:p>
      <w:pPr>
        <w:spacing w:after="0" w:line="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51"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6"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436"/>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drugs, if we obtain regulatory approval;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drugs;</w:t>
      </w:r>
    </w:p>
    <w:p>
      <w:pPr>
        <w:spacing w:after="0" w:line="117" w:lineRule="exact"/>
        <w:rPr>
          <w:rFonts w:ascii="Times New Roman" w:cs="Times New Roman" w:eastAsia="Times New Roman" w:hAnsi="Times New Roman"/>
          <w:sz w:val="18"/>
          <w:szCs w:val="18"/>
          <w:color w:val="auto"/>
        </w:rPr>
      </w:pPr>
    </w:p>
    <w:p>
      <w:pPr>
        <w:ind w:left="4780" w:right="3920" w:hanging="4336"/>
        <w:spacing w:after="0" w:line="276" w:lineRule="auto"/>
        <w:tabs>
          <w:tab w:leader="none" w:pos="89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or maintain profitability;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610870</wp:posOffset>
            </wp:positionV>
            <wp:extent cx="703770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50" w:name="page51"/>
    <w:bookmarkEnd w:id="50"/>
    <w:p>
      <w:pPr>
        <w:ind w:left="880" w:hanging="436"/>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w:t>
      </w:r>
    </w:p>
    <w:p>
      <w:pPr>
        <w:spacing w:after="0" w:line="80"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spacing w:after="0" w:line="68"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Centers for Medicare &amp; Medicaid Services, or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The One Big Beautiful Bill Act,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51" w:name="page52"/>
    <w:bookmarkEnd w:id="51"/>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7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84"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52" w:name="page53"/>
    <w:bookmarkEnd w:id="52"/>
    <w:p>
      <w:pPr>
        <w:ind w:left="520" w:right="220" w:hanging="436"/>
        <w:spacing w:after="0" w:line="255"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w:t>
      </w:r>
    </w:p>
    <w:p>
      <w:pPr>
        <w:spacing w:after="0" w:line="80" w:lineRule="exact"/>
        <w:rPr>
          <w:rFonts w:ascii="Times New Roman" w:cs="Times New Roman" w:eastAsia="Times New Roman" w:hAnsi="Times New Roman"/>
          <w:sz w:val="18"/>
          <w:szCs w:val="18"/>
          <w:color w:val="auto"/>
        </w:rPr>
      </w:pPr>
    </w:p>
    <w:p>
      <w:pPr>
        <w:ind w:left="520" w:right="100" w:hanging="435"/>
        <w:spacing w:after="0" w:line="25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79" w:lineRule="exact"/>
        <w:rPr>
          <w:rFonts w:ascii="Times New Roman" w:cs="Times New Roman" w:eastAsia="Times New Roman" w:hAnsi="Times New Roman"/>
          <w:sz w:val="18"/>
          <w:szCs w:val="18"/>
          <w:color w:val="auto"/>
        </w:rPr>
      </w:pPr>
    </w:p>
    <w:p>
      <w:pPr>
        <w:ind w:left="520" w:hanging="436"/>
        <w:spacing w:after="0" w:line="25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9" w:lineRule="exact"/>
        <w:rPr>
          <w:rFonts w:ascii="Times New Roman" w:cs="Times New Roman" w:eastAsia="Times New Roman" w:hAnsi="Times New Roman"/>
          <w:sz w:val="18"/>
          <w:szCs w:val="18"/>
          <w:color w:val="auto"/>
        </w:rPr>
      </w:pPr>
    </w:p>
    <w:p>
      <w:pPr>
        <w:ind w:left="540" w:right="40" w:hanging="451"/>
        <w:spacing w:after="0" w:line="256"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540" w:right="40" w:hanging="451"/>
        <w:spacing w:after="0" w:line="254"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0" w:lineRule="exact"/>
        <w:rPr>
          <w:rFonts w:ascii="Times New Roman" w:cs="Times New Roman" w:eastAsia="Times New Roman" w:hAnsi="Times New Roman"/>
          <w:sz w:val="18"/>
          <w:szCs w:val="18"/>
          <w:color w:val="auto"/>
        </w:rPr>
      </w:pPr>
    </w:p>
    <w:p>
      <w:pPr>
        <w:ind w:left="540" w:right="160" w:hanging="451"/>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prohibits, among other things, the adulteration or misbranding of drugs, biologics and medical devices.</w:t>
      </w:r>
    </w:p>
    <w:p>
      <w:pPr>
        <w:spacing w:after="0" w:line="53" w:lineRule="exact"/>
        <w:rPr>
          <w:rFonts w:ascii="Times New Roman" w:cs="Times New Roman" w:eastAsia="Times New Roman" w:hAnsi="Times New Roman"/>
          <w:sz w:val="18"/>
          <w:szCs w:val="18"/>
          <w:color w:val="auto"/>
        </w:rPr>
      </w:pPr>
    </w:p>
    <w:p>
      <w:pPr>
        <w:ind w:left="540" w:right="140" w:hanging="451"/>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80" w:lineRule="exact"/>
        <w:rPr>
          <w:rFonts w:ascii="Times New Roman" w:cs="Times New Roman" w:eastAsia="Times New Roman" w:hAnsi="Times New Roman"/>
          <w:sz w:val="18"/>
          <w:szCs w:val="18"/>
          <w:color w:val="auto"/>
        </w:rPr>
      </w:pPr>
    </w:p>
    <w:p>
      <w:pPr>
        <w:ind w:left="540" w:right="100" w:hanging="451"/>
        <w:spacing w:after="0" w:line="257"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w:t>
      </w:r>
    </w:p>
    <w:p>
      <w:pPr>
        <w:spacing w:after="0" w:line="1" w:lineRule="exact"/>
        <w:rPr>
          <w:sz w:val="20"/>
          <w:szCs w:val="20"/>
          <w:color w:val="auto"/>
        </w:rPr>
      </w:pPr>
    </w:p>
    <w:p>
      <w:pPr>
        <w:ind w:left="540" w:right="100"/>
        <w:spacing w:after="0" w:line="250" w:lineRule="auto"/>
        <w:rPr>
          <w:sz w:val="20"/>
          <w:szCs w:val="20"/>
          <w:color w:val="auto"/>
        </w:rPr>
      </w:pPr>
      <w:r>
        <w:rPr>
          <w:rFonts w:ascii="Times New Roman" w:cs="Times New Roman" w:eastAsia="Times New Roman" w:hAnsi="Times New Roman"/>
          <w:sz w:val="18"/>
          <w:szCs w:val="18"/>
          <w:color w:val="auto"/>
        </w:rPr>
        <w:t>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473075</wp:posOffset>
            </wp:positionV>
            <wp:extent cx="703770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40"/>
          </w:cols>
          <w:pgMar w:left="1440" w:top="1093" w:right="1119" w:bottom="1440" w:gutter="0" w:footer="0" w:header="0"/>
        </w:sectPr>
      </w:pPr>
    </w:p>
    <w:bookmarkStart w:id="53" w:name="page54"/>
    <w:bookmarkEnd w:id="53"/>
    <w:p>
      <w:pPr>
        <w:ind w:left="880" w:right="60" w:hanging="436"/>
        <w:spacing w:after="0" w:line="253"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83" w:lineRule="exact"/>
        <w:rPr>
          <w:rFonts w:ascii="Times New Roman" w:cs="Times New Roman" w:eastAsia="Times New Roman" w:hAnsi="Times New Roman"/>
          <w:sz w:val="18"/>
          <w:szCs w:val="18"/>
          <w:color w:val="auto"/>
        </w:rPr>
      </w:pPr>
    </w:p>
    <w:p>
      <w:pPr>
        <w:ind w:left="880" w:right="540" w:hanging="435"/>
        <w:spacing w:after="0" w:line="282"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also impose legal requirements, including reporting requirements detailing interactions with and payments to healthcare providers.</w:t>
      </w:r>
    </w:p>
    <w:p>
      <w:pPr>
        <w:spacing w:after="0" w:line="54"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67"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54" w:name="page55"/>
    <w:bookmarkEnd w:id="54"/>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51"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67"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84" w:lineRule="exact"/>
        <w:rPr>
          <w:sz w:val="20"/>
          <w:szCs w:val="20"/>
          <w:color w:val="auto"/>
        </w:rPr>
      </w:pPr>
    </w:p>
    <w:p>
      <w:pPr>
        <w:ind w:right="20" w:firstLine="441"/>
        <w:spacing w:after="0" w:line="251" w:lineRule="auto"/>
        <w:rPr>
          <w:sz w:val="20"/>
          <w:szCs w:val="20"/>
          <w:color w:val="auto"/>
        </w:rPr>
      </w:pPr>
      <w:r>
        <w:rPr>
          <w:rFonts w:ascii="Times New Roman" w:cs="Times New Roman" w:eastAsia="Times New Roman" w:hAnsi="Times New Roman"/>
          <w:sz w:val="18"/>
          <w:szCs w:val="18"/>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55" w:name="page56"/>
    <w:bookmarkEnd w:id="55"/>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67"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68"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General Data Protection Regulation, or, together with the UK’s Data Protection Act 2018,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84"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Any actual or alleged failure to comply with the GDPR, UK GDPR, FADP, or other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68"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GDPR, UK GDPR and FADP also restrict the transfer of personal information outside of the EEA, United Kingdom and Switzerland, respectively, unless appropriate safeguards are in place.</w:t>
      </w:r>
    </w:p>
    <w:p>
      <w:pPr>
        <w:spacing w:after="0" w:line="5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spacing w:after="0" w:line="84"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Data protection regulation in the United Kingdom is subject to some uncertainty. Although the European Commission granted “adequacy” status to the United Kingdom in June 2021, and personal information can flow from the European Union to the United Kingdom and back, the United Kingdom may change its policy with respect to the export of personal information to third countries, such as the United States. The United Kingdom made targeted amendments to the UK GDPR in the UK Data (Use and Access) Act 2025, or DUAA, which was enacted on June 19, 2025. The European Commission has renewed the UK’s adequacy decision after assessing the DUAA through December 2031, but it may be modified or revoked in the interim.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require us to modify our policies and practices and increase our compliance costs.</w:t>
      </w:r>
    </w:p>
    <w:p>
      <w:pPr>
        <w:spacing w:after="0" w:line="86"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spacing w:after="0" w:line="72" w:lineRule="exact"/>
        <w:rPr>
          <w:sz w:val="20"/>
          <w:szCs w:val="20"/>
          <w:color w:val="auto"/>
        </w:rPr>
      </w:pPr>
    </w:p>
    <w:p>
      <w:pPr>
        <w:ind w:right="60" w:firstLine="441"/>
        <w:spacing w:after="0" w:line="276" w:lineRule="auto"/>
        <w:rPr>
          <w:sz w:val="20"/>
          <w:szCs w:val="20"/>
          <w:color w:val="auto"/>
        </w:rPr>
      </w:pPr>
      <w:r>
        <w:rPr>
          <w:rFonts w:ascii="Times New Roman" w:cs="Times New Roman" w:eastAsia="Times New Roman" w:hAnsi="Times New Roman"/>
          <w:sz w:val="17"/>
          <w:szCs w:val="17"/>
          <w:color w:val="auto"/>
        </w:rPr>
        <w:t>We may, therefore, incur liabilities, expenses, costs, and other operational losses under the GDPR, the UK GDPR, the FADP, and applicable laws and regulations of European Union member states in connection with any measures we take to comply with them.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56" w:name="page57"/>
    <w:bookmarkEnd w:id="56"/>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8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Alabama, Colorado, Connecticut, Delaware, Florida, Indiana, Iowa, Kentucky, Maryland, Minnesota, Montana, Nebraska, New Hampshire, New Jersey, Oklahoma, Oregon, Rhode Island, Tennessee, Texas, Utah, and Virginia. Other states have proposed, and in certain cases enacted, legislation addressing privacy and cybersecurity in the context of specific subject matter such as biometrics and health-related personal information. The U.S. Department of Justice also has issued rules regarding certain bulk sensitive personal data transfers. As we expand our operations, preclinical studies and clinical trials, these new state laws and other state laws and regulations relating to privacy, data security, and the collection, use, transfer, and other processing of data may increase our compliance costs and potential liability. Laws and regulations relating to these matters are not consistent across jurisdictions, and they may impose conflicting or uncertain obligations. Compliance with these and any other applicable laws and regulations relating to these matters is a rigorous, costly and time-intensive process, and we may be required to put in place additional mechanisms to address new and changing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5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88"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opposition or derivation proceedings challenging our patent rights or the patent rights of others.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57" w:name="page58"/>
    <w:bookmarkEnd w:id="57"/>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8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80"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9"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8"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7"/>
          <w:szCs w:val="17"/>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58" w:name="page59"/>
    <w:bookmarkEnd w:id="58"/>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6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5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84"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84"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via post-grant reviews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84"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 candidates could be found invalid or unenforceable if challenged.</w:t>
      </w:r>
    </w:p>
    <w:p>
      <w:pPr>
        <w:spacing w:after="0" w:line="12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59" w:name="page60"/>
    <w:bookmarkEnd w:id="59"/>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81"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protection, prosecution, assertion and defense for some of our product candidates may be dependent on third parties.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51" w:lineRule="exact"/>
        <w:rPr>
          <w:sz w:val="20"/>
          <w:szCs w:val="20"/>
          <w:color w:val="auto"/>
        </w:rPr>
      </w:pP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0" w:name="page61"/>
    <w:bookmarkEnd w:id="60"/>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time-consuming and unsuccessful.</w:t>
      </w:r>
    </w:p>
    <w:p>
      <w:pPr>
        <w:spacing w:after="0" w:line="51" w:lineRule="exact"/>
        <w:rPr>
          <w:sz w:val="20"/>
          <w:szCs w:val="20"/>
          <w:color w:val="auto"/>
        </w:rPr>
      </w:pPr>
    </w:p>
    <w:p>
      <w:pPr>
        <w:ind w:right="20" w:firstLine="441"/>
        <w:spacing w:after="0" w:line="269" w:lineRule="auto"/>
        <w:rPr>
          <w:sz w:val="20"/>
          <w:szCs w:val="20"/>
          <w:color w:val="auto"/>
        </w:rPr>
      </w:pPr>
      <w:r>
        <w:rPr>
          <w:rFonts w:ascii="Times New Roman" w:cs="Times New Roman" w:eastAsia="Times New Roman" w:hAnsi="Times New Roman"/>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74"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54" w:lineRule="exact"/>
        <w:rPr>
          <w:sz w:val="20"/>
          <w:szCs w:val="20"/>
          <w:color w:val="auto"/>
        </w:rPr>
      </w:pPr>
    </w:p>
    <w:p>
      <w:pPr>
        <w:ind w:left="880" w:hanging="43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initiate litigation or other proceedings against third parties to enforce our patent and trade secret rights;</w:t>
      </w:r>
    </w:p>
    <w:p>
      <w:pPr>
        <w:spacing w:after="0" w:line="117" w:lineRule="exact"/>
        <w:rPr>
          <w:rFonts w:ascii="Times New Roman" w:cs="Times New Roman" w:eastAsia="Times New Roman" w:hAnsi="Times New Roman"/>
          <w:sz w:val="18"/>
          <w:szCs w:val="18"/>
          <w:color w:val="auto"/>
        </w:rPr>
      </w:pPr>
    </w:p>
    <w:p>
      <w:pPr>
        <w:jc w:val="both"/>
        <w:ind w:left="880" w:right="420" w:hanging="436"/>
        <w:spacing w:after="0" w:line="312" w:lineRule="auto"/>
        <w:tabs>
          <w:tab w:leader="none" w:pos="8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31" w:lineRule="exact"/>
        <w:rPr>
          <w:rFonts w:ascii="Times New Roman" w:cs="Times New Roman" w:eastAsia="Times New Roman" w:hAnsi="Times New Roman"/>
          <w:sz w:val="17"/>
          <w:szCs w:val="17"/>
          <w:color w:val="auto"/>
        </w:rPr>
      </w:pPr>
    </w:p>
    <w:p>
      <w:pPr>
        <w:ind w:left="880" w:right="180" w:hanging="436"/>
        <w:spacing w:after="0" w:line="282"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53" w:lineRule="exact"/>
        <w:rPr>
          <w:rFonts w:ascii="Times New Roman" w:cs="Times New Roman" w:eastAsia="Times New Roman" w:hAnsi="Times New Roman"/>
          <w:sz w:val="18"/>
          <w:szCs w:val="18"/>
          <w:color w:val="auto"/>
        </w:rPr>
      </w:pPr>
    </w:p>
    <w:p>
      <w:pPr>
        <w:ind w:left="880" w:right="120" w:hanging="436"/>
        <w:spacing w:after="0" w:line="261"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w:t>
      </w:r>
    </w:p>
    <w:p>
      <w:pPr>
        <w:spacing w:after="0" w:line="71"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the expiration of</w:t>
      </w:r>
    </w:p>
    <w:p>
      <w:pPr>
        <w:spacing w:after="0" w:line="27" w:lineRule="exact"/>
        <w:rPr>
          <w:sz w:val="20"/>
          <w:szCs w:val="20"/>
          <w:color w:val="auto"/>
        </w:rPr>
      </w:pPr>
    </w:p>
    <w:p>
      <w:pPr>
        <w:ind w:left="880" w:right="140"/>
        <w:spacing w:after="0" w:line="250" w:lineRule="auto"/>
        <w:rPr>
          <w:sz w:val="20"/>
          <w:szCs w:val="20"/>
          <w:color w:val="auto"/>
        </w:rPr>
      </w:pPr>
      <w:r>
        <w:rPr>
          <w:rFonts w:ascii="Times New Roman" w:cs="Times New Roman" w:eastAsia="Times New Roman" w:hAnsi="Times New Roman"/>
          <w:sz w:val="18"/>
          <w:szCs w:val="18"/>
          <w:color w:val="auto"/>
        </w:rPr>
        <w:t>relevant patents owned by or licensed to us under the Biologics Price Competition and Innovation Act of 2009, requiring us to defend our patents, including by filing lawsuits alleging patent infringement.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1" w:name="page62"/>
    <w:bookmarkEnd w:id="61"/>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7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5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operate without infringing the patents and other proprietary rights of third parties.</w:t>
      </w:r>
    </w:p>
    <w:p>
      <w:pPr>
        <w:spacing w:after="0" w:line="5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2" w:name="page63"/>
    <w:bookmarkEnd w:id="62"/>
    <w:p>
      <w:pPr>
        <w:ind w:firstLine="441"/>
        <w:spacing w:after="0" w:line="251"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owned by University Health Network, or UHN, and The Hospital for Sick Children that may encompass certain therapies for the treatment of cancer using polypeptides comprising soluble human SIRPα, as well as related applications in other jurisdictions. This patent relates to the treatment of cancer with polypeptides comprising soluble human SIRPα. Pfizer, through its acquisition of Trillium Therapeutics, has an exclusive license to the U.S. patent and related applications. The European counterpart patent (EP 2 429 574) was subject to European Patent Office opposition proceedings, which resulted in the patent being upheld in amended form. Additionally, we are aware of a second European Patent (EP 2 995 315), a divisional of European patent (EP 2 429 574), granted to UHN and The Hospital for Sick Children. This patent relates to the eradication of hematological CD47+ cancer cells and tumors with polypeptides comprising soluble human SIRPα, or a CD47-binding fragment thereof. This patent was upheld as granted by the European Patent Office Opposition Division on November 28, 2025. This decision is currently under appeal. The patent claims of both EP 2 429 574 and EP 2 995 315 could potentially limit our ability to pursue evorpacept in certain indications in certain territories in the EU in the future unless we obtain a license under these patents, these patents are determined to be invalid or unenforceable by the European Patent Office or a national court in one or more relevant territories, these patents are revoked or otherwise limited by the European Patent Office or a national court, or until these patents expire. A license may however not be available on commercially reasonable terms or at all. With respect to U.S. patent 10,907,209, we believe that we do not infringe claims listed in this U.S. patent. Further, with respect to the development of our ALX2004 program, many companies have filed, and continue to file, patent applications related to ADCs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9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84"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121"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8" w:lineRule="exact"/>
        <w:rPr>
          <w:sz w:val="20"/>
          <w:szCs w:val="20"/>
          <w:color w:val="auto"/>
        </w:rPr>
      </w:pPr>
    </w:p>
    <w:p>
      <w:pPr>
        <w:ind w:left="880" w:hanging="436"/>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880" w:right="140" w:hanging="436"/>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880" w:right="400" w:hanging="436"/>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67" w:lineRule="exact"/>
        <w:rPr>
          <w:rFonts w:ascii="Times New Roman" w:cs="Times New Roman" w:eastAsia="Times New Roman" w:hAnsi="Times New Roman"/>
          <w:sz w:val="18"/>
          <w:szCs w:val="18"/>
          <w:color w:val="auto"/>
        </w:rPr>
      </w:pPr>
    </w:p>
    <w:p>
      <w:pPr>
        <w:jc w:val="both"/>
        <w:ind w:left="880" w:right="240" w:hanging="436"/>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3" w:name="page64"/>
    <w:bookmarkEnd w:id="63"/>
    <w:p>
      <w:pPr>
        <w:ind w:left="880" w:right="140" w:hanging="436"/>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51"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may be subject, in part, to the terms and conditions of agreements with others.</w:t>
      </w:r>
    </w:p>
    <w:p>
      <w:pPr>
        <w:spacing w:after="0" w:line="51"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7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6"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93" w:right="1139" w:bottom="1440" w:gutter="0" w:footer="0" w:header="0"/>
        </w:sectPr>
      </w:pPr>
    </w:p>
    <w:bookmarkStart w:id="64" w:name="page65"/>
    <w:bookmarkEnd w:id="64"/>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67"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880" w:hanging="436"/>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option or license rights granted under the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collaborator that is not subject to the option or license rights granted under the agreement;</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880" w:right="580" w:hanging="436"/>
        <w:spacing w:after="0" w:line="282"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collaborators and us and our other partners; and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As of March 31, 2026, we had 43 employees, including 28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p>
    <w:p>
      <w:pPr>
        <w:spacing w:after="0" w:line="72" w:lineRule="exact"/>
        <w:rPr>
          <w:sz w:val="20"/>
          <w:szCs w:val="20"/>
          <w:color w:val="auto"/>
        </w:rPr>
      </w:pPr>
    </w:p>
    <w:p>
      <w:pPr>
        <w:ind w:left="880" w:hanging="436"/>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1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evorpacept, ALX2004 and any other future product candidates, while complying with applicable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updating our operational, financial and management controls, reporting systems and procedures.</w:t>
      </w:r>
    </w:p>
    <w:p>
      <w:pPr>
        <w:spacing w:after="0" w:line="11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evorpacept and ALX2004,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89" w:right="1139" w:bottom="1440" w:gutter="0" w:footer="0" w:header="0"/>
        </w:sectPr>
      </w:pPr>
    </w:p>
    <w:bookmarkStart w:id="65" w:name="page66"/>
    <w:bookmarkEnd w:id="65"/>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ALX2004 and any other future product candidates or otherwise advance our business. We cannot assure you that we will be able to manage our existing third-party service providers or find other qualified outside contractors and consultants on economically reasonable terms, or at all.</w:t>
      </w:r>
    </w:p>
    <w:p>
      <w:pPr>
        <w:spacing w:after="0" w:line="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ALX2004, and other future product candidates and, accordingly, may not achieve our research, development and commercialization goals.</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technology, which makes it difficult to predict the time and cost of product candidate development.</w:t>
      </w:r>
    </w:p>
    <w:p>
      <w:pPr>
        <w:spacing w:after="0" w:line="5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We have concentrated our product research and development efforts on our novel immuno-oncology approach, and our future success depends on the successful development of our product candidates, evorpacept and ALX2004,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previously completed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w:t>
      </w:r>
    </w:p>
    <w:p>
      <w:pPr>
        <w:spacing w:after="0" w:line="86" w:lineRule="exact"/>
        <w:rPr>
          <w:sz w:val="20"/>
          <w:szCs w:val="20"/>
          <w:color w:val="auto"/>
        </w:rPr>
      </w:pPr>
    </w:p>
    <w:p>
      <w:pPr>
        <w:ind w:right="120" w:firstLine="441"/>
        <w:spacing w:after="0" w:line="252" w:lineRule="auto"/>
        <w:rPr>
          <w:sz w:val="20"/>
          <w:szCs w:val="20"/>
          <w:color w:val="auto"/>
        </w:rPr>
      </w:pPr>
      <w:r>
        <w:rPr>
          <w:rFonts w:ascii="Times New Roman" w:cs="Times New Roman" w:eastAsia="Times New Roman" w:hAnsi="Times New Roman"/>
          <w:sz w:val="18"/>
          <w:szCs w:val="18"/>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6" w:name="page67"/>
    <w:bookmarkEnd w:id="66"/>
    <w:p>
      <w:pPr>
        <w:ind w:firstLine="441"/>
        <w:spacing w:after="0" w:line="252"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51"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81" w:lineRule="exact"/>
        <w:rPr>
          <w:sz w:val="20"/>
          <w:szCs w:val="20"/>
          <w:color w:val="auto"/>
        </w:rPr>
      </w:pPr>
    </w:p>
    <w:p>
      <w:pPr>
        <w:ind w:left="880" w:hanging="435"/>
        <w:spacing w:after="0" w:line="261"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w:t>
      </w:r>
    </w:p>
    <w:p>
      <w:pPr>
        <w:spacing w:after="0" w:line="71"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and maintain regulatory approvals for the use of our products in various countries;</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or qualification of foreign clinical trial data by the competent authorities of other countries;</w:t>
      </w:r>
    </w:p>
    <w:p>
      <w:pPr>
        <w:spacing w:after="0" w:line="117" w:lineRule="exact"/>
        <w:rPr>
          <w:rFonts w:ascii="Times New Roman" w:cs="Times New Roman" w:eastAsia="Times New Roman" w:hAnsi="Times New Roman"/>
          <w:sz w:val="18"/>
          <w:szCs w:val="18"/>
          <w:color w:val="auto"/>
        </w:rPr>
      </w:pPr>
    </w:p>
    <w:p>
      <w:pPr>
        <w:ind w:left="880" w:right="200" w:hanging="435"/>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maintaining, protecting and enforcing our intellectual property, including as a result of potentially relevant third-party patent rights;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880" w:right="340" w:hanging="436"/>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880" w:right="200" w:hanging="435"/>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drugs;</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117" w:lineRule="exact"/>
        <w:rPr>
          <w:rFonts w:ascii="Times New Roman" w:cs="Times New Roman" w:eastAsia="Times New Roman" w:hAnsi="Times New Roman"/>
          <w:sz w:val="18"/>
          <w:szCs w:val="18"/>
          <w:color w:val="auto"/>
        </w:rPr>
      </w:pPr>
    </w:p>
    <w:p>
      <w:pPr>
        <w:jc w:val="both"/>
        <w:ind w:left="880" w:right="220" w:hanging="435"/>
        <w:spacing w:after="0" w:line="26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such as the geopolitical unrest and regional economic disruptions caused by Russia’s war with Ukraine, and war and instability in Israel, Iran, and the surrounding region, and including wars, terrorism and political unrest, boycotts, curtailment of trade and other business restrictions;</w:t>
      </w:r>
    </w:p>
    <w:p>
      <w:pPr>
        <w:spacing w:after="0" w:line="67" w:lineRule="exact"/>
        <w:rPr>
          <w:rFonts w:ascii="Times New Roman" w:cs="Times New Roman" w:eastAsia="Times New Roman" w:hAnsi="Times New Roman"/>
          <w:sz w:val="18"/>
          <w:szCs w:val="18"/>
          <w:color w:val="auto"/>
        </w:rPr>
      </w:pPr>
    </w:p>
    <w:p>
      <w:pPr>
        <w:ind w:left="880" w:right="460" w:hanging="435"/>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a fire, an earthquake or a flood, or outbreaks or public health crises, such as the COVID-19 pandemic;</w:t>
      </w:r>
    </w:p>
    <w:p>
      <w:pPr>
        <w:spacing w:after="0" w:line="53"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breach or incident or a related breach of our information systems or data;</w:t>
      </w:r>
    </w:p>
    <w:p>
      <w:pPr>
        <w:spacing w:after="0" w:line="117" w:lineRule="exact"/>
        <w:rPr>
          <w:rFonts w:ascii="Times New Roman" w:cs="Times New Roman" w:eastAsia="Times New Roman" w:hAnsi="Times New Roman"/>
          <w:sz w:val="18"/>
          <w:szCs w:val="18"/>
          <w:color w:val="auto"/>
        </w:rPr>
      </w:pPr>
    </w:p>
    <w:p>
      <w:pPr>
        <w:ind w:left="880" w:hanging="435"/>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jc w:val="both"/>
        <w:ind w:left="880" w:right="380" w:hanging="436"/>
        <w:spacing w:after="0" w:line="26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68" w:lineRule="exact"/>
        <w:rPr>
          <w:sz w:val="20"/>
          <w:szCs w:val="20"/>
          <w:color w:val="auto"/>
        </w:rPr>
      </w:pPr>
    </w:p>
    <w:p>
      <w:pPr>
        <w:jc w:val="center"/>
        <w:ind w:left="1360" w:right="160"/>
        <w:spacing w:after="0" w:line="282" w:lineRule="auto"/>
        <w:rPr>
          <w:sz w:val="20"/>
          <w:szCs w:val="20"/>
          <w:color w:val="auto"/>
        </w:rPr>
      </w:pPr>
      <w:r>
        <w:rPr>
          <w:rFonts w:ascii="Times New Roman" w:cs="Times New Roman" w:eastAsia="Times New Roman" w:hAnsi="Times New Roman"/>
          <w:sz w:val="18"/>
          <w:szCs w:val="18"/>
          <w:color w:val="auto"/>
        </w:rPr>
        <w:t>Any of these factors could harm our future international expansion and operations and, consequently, our results of operations.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444500</wp:posOffset>
            </wp:positionV>
            <wp:extent cx="703770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7" w:name="page68"/>
    <w:bookmarkEnd w:id="67"/>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67"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4"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80"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75"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72"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68" w:name="page69"/>
    <w:bookmarkEnd w:id="68"/>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2"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8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8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8" w:lineRule="exact"/>
        <w:rPr>
          <w:sz w:val="20"/>
          <w:szCs w:val="20"/>
          <w:color w:val="auto"/>
        </w:rPr>
      </w:pPr>
    </w:p>
    <w:p>
      <w:pPr>
        <w:ind w:right="20" w:firstLine="441"/>
        <w:spacing w:after="0" w:line="251" w:lineRule="auto"/>
        <w:rPr>
          <w:sz w:val="20"/>
          <w:szCs w:val="20"/>
          <w:color w:val="auto"/>
        </w:rPr>
      </w:pPr>
      <w:r>
        <w:rPr>
          <w:rFonts w:ascii="Times New Roman" w:cs="Times New Roman" w:eastAsia="Times New Roman" w:hAnsi="Times New Roman"/>
          <w:sz w:val="18"/>
          <w:szCs w:val="18"/>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and we may not realize the benefits of such acquisitions.</w:t>
      </w:r>
    </w:p>
    <w:p>
      <w:pPr>
        <w:spacing w:after="0" w:line="121"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84"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2025, we had net operating loss carryforwards of approximately $305.4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but may only offset 80% of taxable income in periods of future utilization. The state net operating loss carryforwards will begin to expire beginning in 2038. Other limitations may apply under state law. For example, California legislation suspends the use of state net operating losses by taxpayers with net business income or modified adjusted gross income of $1 million or more for tax years beginning on or after January 1, 2024 and before January 1, 2027.</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the Organisation for Economic Co-operation and Development, or OECD, has proposed implementing a global minimum tax of 15%, or Pillar Two, which has been implemented into the domestic laws of European Union member countries and is being considered for implementation by other countries. However, on January 5, 2026, the OECD announced a side-by-side elective safe harbor that exempts U.S.-parented multinational businesses from certain provisions of Pillar Two for fiscal years beginning on or after January 1, 2026. Changes in tax laws, regulations, or rulings, changes in interpretations of existing laws and regulations, or changes in accounting principles could negatively and materially affect our financial position, cash flows,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be sustained for our common stock.</w:t>
      </w:r>
    </w:p>
    <w:p>
      <w:pPr>
        <w:spacing w:after="0" w:line="121" w:lineRule="exact"/>
        <w:rPr>
          <w:sz w:val="20"/>
          <w:szCs w:val="20"/>
          <w:color w:val="auto"/>
        </w:rPr>
      </w:pPr>
    </w:p>
    <w:p>
      <w:pPr>
        <w:jc w:val="both"/>
        <w:ind w:right="140" w:firstLine="441"/>
        <w:spacing w:after="0" w:line="255" w:lineRule="auto"/>
        <w:rPr>
          <w:sz w:val="20"/>
          <w:szCs w:val="20"/>
          <w:color w:val="auto"/>
        </w:rPr>
      </w:pPr>
      <w:r>
        <w:rPr>
          <w:rFonts w:ascii="Times New Roman" w:cs="Times New Roman" w:eastAsia="Times New Roman" w:hAnsi="Times New Roman"/>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89" w:right="1139" w:bottom="1440" w:gutter="0" w:footer="0" w:header="0"/>
        </w:sectPr>
      </w:pPr>
    </w:p>
    <w:bookmarkStart w:id="70" w:name="page71"/>
    <w:bookmarkEnd w:id="70"/>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or ATM, offering. From December 2021 to March 31, 2026, we sold an aggregate of 3,183,109 shares of common stock under our ATM offering. On October 10, 2023, we completed a registered offering (the October 2023 Offering) for the issuance and sale of an aggregate of 8,663,793 shares of common stock at an offering price of $6.38 per share and pre-funded warrants to purchase 1,250,000 shares of common stock at an offering price of $6.379 per pre-funded warrant. On February 2, 2026, we completed the February 2026 Offering for the issuance and sale of an aggregate of 76,979,112 shares of common stock at an offering price of $1.57 per share and pre-funded warrants to purchase 18,574,120 shares of common stock at an offering price of $1.569 per pre-funded warrant. Our stockholders may be further diluted by the exercise of the pre-funded warrants issued in the October 2023 Offering and February 2026 Offering. As of March 31, 2026, 2,563,507 shares underlying the pre-funded warrants had been exercised. If we issue common stock or securities convertible into common stock, our stockholders will experience additional dilution and our stock price may decline.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p>
    <w:p>
      <w:pPr>
        <w:spacing w:after="0" w:line="68" w:lineRule="exact"/>
        <w:rPr>
          <w:sz w:val="20"/>
          <w:szCs w:val="20"/>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preclinical studies and clinical trials and studies and trials of our competitors;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880" w:right="80" w:hanging="436"/>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foreign countries with respect to our product candidates or our competitors’ products;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and development relative to our competitors;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candidates or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880" w:right="240" w:hanging="436"/>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future strategic partners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or recommendations by securities analysts, if any cover our common stock;</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880" w:right="120" w:hanging="436"/>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insiders or our other stockholders including pursuant to the existing primary and secondary shelf registration statements that we have filed with the SEC;</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perceptions of our ability to maintain our listing on Nasdaq;</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actual or anticipated reduction in force, including the RIF;</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overseas;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89" w:right="1119" w:bottom="1440" w:gutter="0" w:footer="0" w:header="0"/>
        </w:sectPr>
      </w:pPr>
    </w:p>
    <w:bookmarkStart w:id="71" w:name="page72"/>
    <w:bookmarkEnd w:id="71"/>
    <w:p>
      <w:pPr>
        <w:ind w:left="880" w:right="400" w:hanging="436"/>
        <w:spacing w:after="0" w:line="261"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w:t>
      </w:r>
    </w:p>
    <w:p>
      <w:pPr>
        <w:spacing w:after="0" w:line="71" w:lineRule="exact"/>
        <w:rPr>
          <w:rFonts w:ascii="Times New Roman" w:cs="Times New Roman" w:eastAsia="Times New Roman" w:hAnsi="Times New Roman"/>
          <w:sz w:val="18"/>
          <w:szCs w:val="18"/>
          <w:color w:val="auto"/>
        </w:rPr>
      </w:pPr>
    </w:p>
    <w:p>
      <w:pPr>
        <w:ind w:left="880" w:right="480" w:hanging="436"/>
        <w:spacing w:after="0" w:line="282"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U.S. equity markets, general market conditions and market conditions for biotechnology stocks;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11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7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listing of our securities on the Nasdaq Global Select Market or another reputable stock exchange, it may be more difficult for our stockholders to sell their securities.</w:t>
      </w:r>
    </w:p>
    <w:p>
      <w:pPr>
        <w:spacing w:after="0" w:line="51" w:lineRule="exact"/>
        <w:rPr>
          <w:sz w:val="20"/>
          <w:szCs w:val="20"/>
          <w:color w:val="auto"/>
        </w:rPr>
      </w:pPr>
    </w:p>
    <w:p>
      <w:pPr>
        <w:ind w:right="380" w:firstLine="441"/>
        <w:spacing w:after="0" w:line="261" w:lineRule="auto"/>
        <w:rPr>
          <w:sz w:val="20"/>
          <w:szCs w:val="20"/>
          <w:color w:val="auto"/>
        </w:rPr>
      </w:pPr>
      <w:r>
        <w:rPr>
          <w:rFonts w:ascii="Times New Roman" w:cs="Times New Roman" w:eastAsia="Times New Roman" w:hAnsi="Times New Roman"/>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spacing w:after="0" w:line="72"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In September 2025, we received written confirmation from the Staff of Nasdaq that we had regained compliance with the minimum bid price requirement, as the closing bid price of our common stock had been at $1.00 per share or greater for ten consecutive business days. However, there can be no assurance that we will be able to maintain compliance with the minimum bid price requirement or other Nasdaq listing standards. To the extent that we are unable to maintain compliance with Nasdaq listing standards, there is a risk that our common stock may be delisted from Nasdaq, which would adversely impact liquidity of our common stock and potentially result in even lower bid prices for our common stock.</w:t>
      </w:r>
    </w:p>
    <w:p>
      <w:pPr>
        <w:spacing w:after="0" w:line="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jc w:val="both"/>
        <w:ind w:left="880" w:right="440" w:hanging="436"/>
        <w:spacing w:after="0" w:line="272" w:lineRule="auto"/>
        <w:tabs>
          <w:tab w:leader="none" w:pos="8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72" w:name="page73"/>
    <w:bookmarkEnd w:id="72"/>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53" w:lineRule="exact"/>
        <w:rPr>
          <w:rFonts w:ascii="Times New Roman" w:cs="Times New Roman" w:eastAsia="Times New Roman" w:hAnsi="Times New Roman"/>
          <w:sz w:val="18"/>
          <w:szCs w:val="18"/>
          <w:color w:val="auto"/>
        </w:rPr>
      </w:pPr>
    </w:p>
    <w:p>
      <w:pPr>
        <w:ind w:left="880" w:right="540" w:hanging="436"/>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evorpacept and ALX2004, and any of our other product candidates, or competing product candidates;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880" w:right="360" w:hanging="436"/>
        <w:spacing w:after="0" w:line="266"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evorpacept, ALX2004 and any of our other product candidates, and changes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evorpacept, ALX2004 or any of our other product candidates;</w:t>
      </w:r>
    </w:p>
    <w:p>
      <w:pPr>
        <w:spacing w:after="0" w:line="117" w:lineRule="exact"/>
        <w:rPr>
          <w:rFonts w:ascii="Times New Roman" w:cs="Times New Roman" w:eastAsia="Times New Roman" w:hAnsi="Times New Roman"/>
          <w:sz w:val="18"/>
          <w:szCs w:val="18"/>
          <w:color w:val="auto"/>
        </w:rPr>
      </w:pPr>
    </w:p>
    <w:p>
      <w:pPr>
        <w:ind w:left="880" w:right="120" w:hanging="436"/>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evorpacept, ALX2004 and any of our other product candidates, if approved, which may fluctuate significantly and be difficult to predict;</w:t>
      </w:r>
    </w:p>
    <w:p>
      <w:pPr>
        <w:spacing w:after="0" w:line="53" w:lineRule="exact"/>
        <w:rPr>
          <w:rFonts w:ascii="Times New Roman" w:cs="Times New Roman" w:eastAsia="Times New Roman" w:hAnsi="Times New Roman"/>
          <w:sz w:val="18"/>
          <w:szCs w:val="18"/>
          <w:color w:val="auto"/>
        </w:rPr>
      </w:pPr>
    </w:p>
    <w:p>
      <w:pPr>
        <w:ind w:left="880" w:right="140" w:hanging="436"/>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evorpacept, ALX2004 and any of our other product candidates;</w:t>
      </w:r>
    </w:p>
    <w:p>
      <w:pPr>
        <w:spacing w:after="0" w:line="53"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evorpacept, ALX2004, and any of our other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880" w:right="180" w:hanging="436"/>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interest expense due to an increase in the floating rate under the Loan Agreement as described elsewhere in this Quarterly Report on Form 10-Q;</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880" w:right="20" w:hanging="436"/>
        <w:spacing w:after="0" w:line="261"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U.S. federal government shutdowns, and any U.S. federal government debt default due to a failure to increase the debt ceiling; and</w:t>
      </w:r>
    </w:p>
    <w:p>
      <w:pPr>
        <w:spacing w:after="0" w:line="71"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outbreaks or public health crises, such as the COVID-19 pandemic, geopolitical unrest related to Russia’s conflict with Ukraine, war and instability in Israel, Iran, and the surrounding region, and bank failures or instability in the financial services sector on the global economy.</w:t>
      </w:r>
    </w:p>
    <w:p>
      <w:pPr>
        <w:spacing w:after="0" w:line="68"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81"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p>
    <w:p>
      <w:pPr>
        <w:spacing w:after="0" w:line="68"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p>
    <w:p>
      <w:pPr>
        <w:spacing w:after="0" w:line="6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 October 10, 2023, we completed the October 2023 Offering and on February 2, 2026, we completed the February 2026 Offering. Our stockholders may be further diluted by the exercise of the pre-funded warrants issued in the October 2023 Offering and February 2026 Offering. As of March 31, 2026, 2,563,507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and management resources as a result of operating as a public company.</w:t>
      </w:r>
    </w:p>
    <w:p>
      <w:pPr>
        <w:spacing w:after="0" w:line="51"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75"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p>
    <w:p>
      <w:pPr>
        <w:spacing w:after="0" w:line="8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89" w:right="1119" w:bottom="1440" w:gutter="0" w:footer="0" w:header="0"/>
        </w:sectPr>
      </w:pPr>
    </w:p>
    <w:bookmarkStart w:id="74" w:name="page75"/>
    <w:bookmarkEnd w:id="74"/>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were a large-accelerated filer for fiscal year 2022, we have been a “non-accelerated filer” since fiscal year 2023 and we anticipate we will continue to be one throughout fiscal year 2026. This status could make our common stock less attractive to investors.</w:t>
      </w:r>
    </w:p>
    <w:p>
      <w:pPr>
        <w:spacing w:after="0" w:line="6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Each year, we re-evaluate our SEC filing status. Accordingly, we are a non-accelerated filer, and due to our public float as of June 30, 2025, we anticipate we will be a non-accelerated filer throughout calendar year 2026.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conditions and changing circumstances could impair our ability to access our existing cash, cash equivalents and investments and to timely pay key vendors and others.</w:t>
      </w:r>
    </w:p>
    <w:p>
      <w:pPr>
        <w:spacing w:after="0" w:line="5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spacing w:after="0" w:line="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5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pacing w:after="0" w:line="6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51" w:lineRule="exact"/>
        <w:rPr>
          <w:sz w:val="20"/>
          <w:szCs w:val="20"/>
          <w:color w:val="auto"/>
        </w:rPr>
      </w:pPr>
    </w:p>
    <w:p>
      <w:pPr>
        <w:ind w:right="20" w:firstLine="441"/>
        <w:spacing w:after="0" w:line="25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October 2023 Offering and the February 2026 Offering. As of March 31, 2026, 2,563,507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89" w:right="1139" w:bottom="1440" w:gutter="0" w:footer="0" w:header="0"/>
        </w:sectPr>
      </w:pPr>
    </w:p>
    <w:bookmarkStart w:id="75" w:name="page76"/>
    <w:bookmarkEnd w:id="75"/>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6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5" w:lineRule="exact"/>
        <w:rPr>
          <w:sz w:val="20"/>
          <w:szCs w:val="20"/>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w:t>
      </w:r>
    </w:p>
    <w:p>
      <w:pPr>
        <w:spacing w:after="0" w:line="117" w:lineRule="exact"/>
        <w:rPr>
          <w:rFonts w:ascii="Times New Roman" w:cs="Times New Roman" w:eastAsia="Times New Roman" w:hAnsi="Times New Roman"/>
          <w:sz w:val="18"/>
          <w:szCs w:val="18"/>
          <w:color w:val="auto"/>
        </w:rPr>
      </w:pPr>
    </w:p>
    <w:p>
      <w:pPr>
        <w:ind w:left="880" w:right="180" w:hanging="436"/>
        <w:spacing w:after="0" w:line="282" w:lineRule="auto"/>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7" w:lineRule="exact"/>
        <w:rPr>
          <w:rFonts w:ascii="Times New Roman" w:cs="Times New Roman" w:eastAsia="Times New Roman" w:hAnsi="Times New Roman"/>
          <w:sz w:val="18"/>
          <w:szCs w:val="18"/>
          <w:color w:val="auto"/>
        </w:rPr>
      </w:pPr>
    </w:p>
    <w:p>
      <w:pPr>
        <w:ind w:left="880" w:right="200" w:hanging="436"/>
        <w:spacing w:after="0" w:line="282" w:lineRule="auto"/>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880" w:right="220" w:hanging="436"/>
        <w:spacing w:after="0" w:line="282" w:lineRule="auto"/>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 and</w:t>
      </w:r>
    </w:p>
    <w:p>
      <w:pPr>
        <w:spacing w:after="0" w:line="117" w:lineRule="exact"/>
        <w:rPr>
          <w:rFonts w:ascii="Times New Roman" w:cs="Times New Roman" w:eastAsia="Times New Roman" w:hAnsi="Times New Roman"/>
          <w:sz w:val="18"/>
          <w:szCs w:val="18"/>
          <w:color w:val="auto"/>
        </w:rPr>
      </w:pPr>
    </w:p>
    <w:p>
      <w:pPr>
        <w:ind w:left="880" w:right="120" w:hanging="436"/>
        <w:spacing w:after="0" w:line="282" w:lineRule="auto"/>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54" w:lineRule="exact"/>
        <w:rPr>
          <w:sz w:val="20"/>
          <w:szCs w:val="20"/>
          <w:color w:val="auto"/>
        </w:rPr>
      </w:pPr>
    </w:p>
    <w:p>
      <w:pPr>
        <w:ind w:right="20" w:firstLine="441"/>
        <w:spacing w:after="0" w:line="281" w:lineRule="auto"/>
        <w:rPr>
          <w:sz w:val="20"/>
          <w:szCs w:val="20"/>
          <w:color w:val="auto"/>
        </w:rPr>
      </w:pPr>
      <w:r>
        <w:rPr>
          <w:rFonts w:ascii="Times New Roman" w:cs="Times New Roman" w:eastAsia="Times New Roman" w:hAnsi="Times New Roman"/>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56"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436"/>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w:t>
      </w:r>
    </w:p>
    <w:p>
      <w:pPr>
        <w:spacing w:after="0" w:line="117" w:lineRule="exact"/>
        <w:rPr>
          <w:rFonts w:ascii="Times New Roman" w:cs="Times New Roman" w:eastAsia="Times New Roman" w:hAnsi="Times New Roman"/>
          <w:sz w:val="18"/>
          <w:szCs w:val="18"/>
          <w:color w:val="auto"/>
        </w:rPr>
      </w:pPr>
    </w:p>
    <w:p>
      <w:pPr>
        <w:jc w:val="both"/>
        <w:ind w:left="880" w:right="40" w:hanging="436"/>
        <w:spacing w:after="0" w:line="282"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17"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54"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76" w:name="page77"/>
    <w:bookmarkEnd w:id="76"/>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6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In the past, we experienced material weaknesses in our internal control over financial reporting, which have since been remediated for a number of years. 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7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5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for a number of years.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84"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54"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77" w:name="page78"/>
    <w:bookmarkEnd w:id="77"/>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5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Iran,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84"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disruptions and delays or incur financial damages as a result of system failures or security breaches or incidents.</w:t>
      </w:r>
    </w:p>
    <w:p>
      <w:pPr>
        <w:spacing w:after="0" w:line="51" w:lineRule="exact"/>
        <w:rPr>
          <w:sz w:val="20"/>
          <w:szCs w:val="20"/>
          <w:color w:val="auto"/>
        </w:rPr>
      </w:pPr>
    </w:p>
    <w:p>
      <w:pPr>
        <w:ind w:right="60" w:firstLine="441"/>
        <w:spacing w:after="0" w:line="251" w:lineRule="auto"/>
        <w:rPr>
          <w:sz w:val="20"/>
          <w:szCs w:val="20"/>
          <w:color w:val="auto"/>
        </w:rPr>
      </w:pPr>
      <w:r>
        <w:rPr>
          <w:rFonts w:ascii="Times New Roman" w:cs="Times New Roman" w:eastAsia="Times New Roman" w:hAnsi="Times New Roman"/>
          <w:sz w:val="18"/>
          <w:szCs w:val="18"/>
          <w:color w:val="auto"/>
        </w:rPr>
        <w:t>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and war and instability in Israel, Iran, and the surrounding region may subject us and our CROs and other third-party service providers to heightened risks of cyber-attacks and security breaches and incidents, any of which could materially disrupt our drug discovery and development programs or other aspects of our operations.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78" w:name="page79"/>
    <w:bookmarkEnd w:id="78"/>
    <w:p>
      <w:pPr>
        <w:ind w:firstLine="441"/>
        <w:spacing w:after="0" w:line="252" w:lineRule="auto"/>
        <w:rPr>
          <w:sz w:val="20"/>
          <w:szCs w:val="20"/>
          <w:color w:val="auto"/>
        </w:rPr>
      </w:pPr>
      <w:r>
        <w:rPr>
          <w:rFonts w:ascii="Times New Roman" w:cs="Times New Roman" w:eastAsia="Times New Roman" w:hAnsi="Times New Roman"/>
          <w:sz w:val="18"/>
          <w:szCs w:val="18"/>
          <w:color w:val="auto"/>
        </w:rPr>
        <w:t>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88"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79" w:name="page80"/>
    <w:bookmarkEnd w:id="79"/>
    <w:p>
      <w:pPr>
        <w:ind w:right="4400"/>
        <w:spacing w:after="0" w:line="400" w:lineRule="auto"/>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 Use of Proceeds from Initial Public Offering of Common Stock</w:t>
      </w: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officers or directors, as defined in Rule 16a-1(f), adopted and/or terminated a “Rule 10b5-1 trading arrangement” or a “non-Rule 10b5-1 trading arrangement,” as defined in Regulation S-K Item 408.</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60"/>
          </w:cols>
          <w:pgMar w:left="1080" w:top="1305" w:right="1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29"/>
        </w:trPr>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3180" w:type="dxa"/>
            <w:vAlign w:val="bottom"/>
            <w:gridSpan w:val="10"/>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vMerge w:val="restart"/>
          </w:tcPr>
          <w:p>
            <w:pPr>
              <w:spacing w:after="0"/>
              <w:rPr>
                <w:sz w:val="11"/>
                <w:szCs w:val="11"/>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1"/>
                <w:szCs w:val="11"/>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tcPr>
          <w:p>
            <w:pPr>
              <w:jc w:val="center"/>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Borders>
              <w:bottom w:val="single" w:sz="8" w:color="auto"/>
            </w:tcBorders>
            <w:gridSpan w:val="10"/>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Confirmatory Offer Letter between the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Registrant and Jeff Knight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w:t>
            </w:r>
          </w:p>
        </w:tc>
        <w:tc>
          <w:tcPr>
            <w:tcW w:w="16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13a-14(a) and 15d-14(a)</w:t>
            </w:r>
          </w:p>
        </w:tc>
        <w:tc>
          <w:tcPr>
            <w:tcW w:w="2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under the Securities Exchange Act of 1934,</w:t>
            </w:r>
          </w:p>
        </w:tc>
        <w:tc>
          <w:tcPr>
            <w:tcW w:w="1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w:t>
            </w:r>
          </w:p>
        </w:tc>
        <w:tc>
          <w:tcPr>
            <w:tcW w:w="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Sarbanes-Oxley Act of 2002.</w:t>
            </w:r>
          </w:p>
        </w:tc>
        <w:tc>
          <w:tcPr>
            <w:tcW w:w="122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3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18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13a-14(a) and 15d-14(a)</w:t>
            </w:r>
          </w:p>
        </w:tc>
        <w:tc>
          <w:tcPr>
            <w:tcW w:w="2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under the Securities Exchange Act of 1934,</w:t>
            </w:r>
          </w:p>
        </w:tc>
        <w:tc>
          <w:tcPr>
            <w:tcW w:w="1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w:t>
            </w:r>
          </w:p>
        </w:tc>
        <w:tc>
          <w:tcPr>
            <w:tcW w:w="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Sarbanes-Oxley Act of 2002.</w:t>
            </w:r>
          </w:p>
        </w:tc>
        <w:tc>
          <w:tcPr>
            <w:tcW w:w="122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w:t>
            </w:r>
          </w:p>
        </w:tc>
        <w:tc>
          <w:tcPr>
            <w:tcW w:w="16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 as</w:t>
            </w:r>
          </w:p>
        </w:tc>
        <w:tc>
          <w:tcPr>
            <w:tcW w:w="48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w:t>
            </w:r>
          </w:p>
        </w:tc>
        <w:tc>
          <w:tcPr>
            <w:tcW w:w="4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Sarbanes-Oxley Act of 2002.</w:t>
            </w:r>
          </w:p>
        </w:tc>
        <w:tc>
          <w:tcPr>
            <w:tcW w:w="122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3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18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 as</w:t>
            </w:r>
          </w:p>
        </w:tc>
        <w:tc>
          <w:tcPr>
            <w:tcW w:w="48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w:t>
            </w:r>
          </w:p>
        </w:tc>
        <w:tc>
          <w:tcPr>
            <w:tcW w:w="4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Sarbanes-Oxley Act of 2002.</w:t>
            </w:r>
          </w:p>
        </w:tc>
        <w:tc>
          <w:tcPr>
            <w:tcW w:w="122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 Embedded Linkbase Documents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 Inline XBRL and included in exhibit 101)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80" w:firstLine="4"/>
        <w:spacing w:after="0" w:line="282" w:lineRule="auto"/>
        <w:tabs>
          <w:tab w:leader="none" w:pos="1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in accordance with Item 601(a)(5) of Regulation S-K. The registrant agrees to furnish supplementally a copy of any omitted exhibit or schedule to the SEC upon its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right="160" w:firstLine="4"/>
        <w:spacing w:after="0" w:line="255" w:lineRule="auto"/>
        <w:tabs>
          <w:tab w:leader="none" w:pos="1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ALX ONCOLOGY HOLDINGS INC.</w:t>
      </w:r>
    </w:p>
    <w:p>
      <w:pPr>
        <w:sectPr>
          <w:pgSz w:w="11900" w:h="16838" w:orient="portrait"/>
          <w:cols w:equalWidth="0" w:num="1">
            <w:col w:w="9700"/>
          </w:cols>
          <w:pgMar w:left="1080" w:top="981" w:right="11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1060"/>
        <w:spacing w:after="0"/>
        <w:tabs>
          <w:tab w:leader="none" w:pos="2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17145</wp:posOffset>
            </wp:positionV>
            <wp:extent cx="22199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7"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23"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spacing w:after="0"/>
        <w:tabs>
          <w:tab w:leader="none" w:pos="2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17145</wp:posOffset>
            </wp:positionV>
            <wp:extent cx="22199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7"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23"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spacing w:after="0"/>
        <w:tabs>
          <w:tab w:leader="none" w:pos="2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17145</wp:posOffset>
            </wp:positionV>
            <wp:extent cx="22199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7"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Shelly Wong</w:t>
      </w:r>
    </w:p>
    <w:p>
      <w:pPr>
        <w:spacing w:after="0" w:line="23"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7"/>
          <w:szCs w:val="17"/>
          <w:b w:val="1"/>
          <w:bCs w:val="1"/>
          <w:color w:val="auto"/>
        </w:rPr>
        <w:t>Senior Vice President, Finance and Chief</w:t>
      </w:r>
    </w:p>
    <w:p>
      <w:pPr>
        <w:spacing w:after="0" w:line="21"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9"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484505</wp:posOffset>
            </wp:positionV>
            <wp:extent cx="703770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060" w:space="720"/>
            <w:col w:w="4920"/>
          </w:cols>
          <w:pgMar w:left="1080" w:top="981" w:right="1119" w:bottom="1440" w:gutter="0" w:footer="0" w:header="0"/>
          <w:type w:val="continuous"/>
        </w:sectPr>
      </w:pPr>
    </w:p>
    <w:bookmarkStart w:id="82" w:name="page83"/>
    <w:bookmarkEnd w:id="82"/>
    <w:p>
      <w:pPr>
        <w:ind w:left="79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77" w:lineRule="exact"/>
        <w:rPr>
          <w:sz w:val="20"/>
          <w:szCs w:val="20"/>
          <w:color w:val="auto"/>
        </w:rPr>
      </w:pPr>
    </w:p>
    <w:p>
      <w:pPr>
        <w:jc w:val="both"/>
        <w:ind w:left="160" w:right="819"/>
        <w:spacing w:after="0" w:line="268" w:lineRule="auto"/>
        <w:rPr>
          <w:sz w:val="20"/>
          <w:szCs w:val="20"/>
          <w:color w:val="auto"/>
        </w:rPr>
      </w:pPr>
      <w:r>
        <w:rPr>
          <w:rFonts w:ascii="Times New Roman" w:cs="Times New Roman" w:eastAsia="Times New Roman" w:hAnsi="Times New Roman"/>
          <w:sz w:val="18"/>
          <w:szCs w:val="18"/>
          <w:b w:val="1"/>
          <w:bCs w:val="1"/>
          <w:color w:val="auto"/>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February 24, 2026</w:t>
      </w: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Jeff Knight</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Re: Offer of Employment</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Dear Jeff:</w:t>
      </w:r>
    </w:p>
    <w:p>
      <w:pPr>
        <w:spacing w:after="0" w:line="233" w:lineRule="exact"/>
        <w:rPr>
          <w:sz w:val="20"/>
          <w:szCs w:val="20"/>
          <w:color w:val="auto"/>
        </w:rPr>
      </w:pPr>
    </w:p>
    <w:p>
      <w:pPr>
        <w:ind w:left="160" w:right="179" w:firstLine="648"/>
        <w:spacing w:after="0" w:line="258" w:lineRule="auto"/>
        <w:rPr>
          <w:sz w:val="20"/>
          <w:szCs w:val="20"/>
          <w:color w:val="auto"/>
        </w:rPr>
      </w:pPr>
      <w:r>
        <w:rPr>
          <w:rFonts w:ascii="Times New Roman" w:cs="Times New Roman" w:eastAsia="Times New Roman" w:hAnsi="Times New Roman"/>
          <w:sz w:val="22"/>
          <w:szCs w:val="22"/>
          <w:color w:val="auto"/>
        </w:rPr>
        <w:t>I am pleased to offer you a position with ALX Oncology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accordance with the terms of this Offer of Employment letter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60" w:right="179" w:firstLine="650"/>
        <w:spacing w:after="0" w:line="248" w:lineRule="auto"/>
        <w:tabs>
          <w:tab w:leader="none" w:pos="104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Position; Location</w:t>
      </w:r>
      <w:r>
        <w:rPr>
          <w:rFonts w:ascii="Times New Roman" w:cs="Times New Roman" w:eastAsia="Times New Roman" w:hAnsi="Times New Roman"/>
          <w:sz w:val="21"/>
          <w:szCs w:val="21"/>
          <w:color w:val="auto"/>
        </w:rPr>
        <w:t>. If you accept this offer of employment, you will serve as the Company’s Chief Development &amp; Operating Officer (“</w:t>
      </w:r>
      <w:r>
        <w:rPr>
          <w:rFonts w:ascii="Times New Roman" w:cs="Times New Roman" w:eastAsia="Times New Roman" w:hAnsi="Times New Roman"/>
          <w:sz w:val="21"/>
          <w:szCs w:val="21"/>
          <w:u w:val="single" w:color="auto"/>
          <w:color w:val="auto"/>
        </w:rPr>
        <w:t>CDOO</w:t>
      </w:r>
      <w:r>
        <w:rPr>
          <w:rFonts w:ascii="Times New Roman" w:cs="Times New Roman" w:eastAsia="Times New Roman" w:hAnsi="Times New Roman"/>
          <w:sz w:val="21"/>
          <w:szCs w:val="21"/>
          <w:color w:val="auto"/>
        </w:rPr>
        <w:t>”). In your role as CDOO, you will report to the Company’s Chief Executive Officer (“</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and will perform the duties and responsibilities customary for such position and such other related duties as are lawfully assigned by the CEO. You will perform your duties from the Company’s corporate offices located in South San Francisco, California which currently permits a hybrid work environment, subject to customary travel as reasonably required by the Company and necessary to perform your job duties.</w:t>
      </w:r>
    </w:p>
    <w:p>
      <w:pPr>
        <w:spacing w:after="0" w:line="170" w:lineRule="exact"/>
        <w:rPr>
          <w:rFonts w:ascii="Times New Roman" w:cs="Times New Roman" w:eastAsia="Times New Roman" w:hAnsi="Times New Roman"/>
          <w:sz w:val="21"/>
          <w:szCs w:val="21"/>
          <w:color w:val="auto"/>
        </w:rPr>
      </w:pPr>
    </w:p>
    <w:p>
      <w:pPr>
        <w:jc w:val="both"/>
        <w:ind w:left="160" w:right="179" w:firstLine="650"/>
        <w:spacing w:after="0" w:line="238" w:lineRule="auto"/>
        <w:tabs>
          <w:tab w:leader="none" w:pos="10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Your annual base salary will be $565,000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which will be payable, less any applicable withholdings, in accordance with the Company’s normal payroll practices. Your Salary will be subject to review and adjustment from time to time by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its Compensation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as applicable, in its sole discretion.</w:t>
      </w:r>
    </w:p>
    <w:p>
      <w:pPr>
        <w:spacing w:after="0" w:line="176" w:lineRule="exact"/>
        <w:rPr>
          <w:rFonts w:ascii="Times New Roman" w:cs="Times New Roman" w:eastAsia="Times New Roman" w:hAnsi="Times New Roman"/>
          <w:sz w:val="22"/>
          <w:szCs w:val="22"/>
          <w:color w:val="auto"/>
        </w:rPr>
      </w:pPr>
    </w:p>
    <w:p>
      <w:pPr>
        <w:jc w:val="both"/>
        <w:ind w:left="160" w:right="179" w:firstLine="650"/>
        <w:spacing w:after="0" w:line="233" w:lineRule="auto"/>
        <w:tabs>
          <w:tab w:leader="none" w:pos="10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For the Company’s 2026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 In addition, the Board or the Committee, as applicable and in its sole discretion, may approve that the Company grant additional discretionary bonus amounts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878205</wp:posOffset>
            </wp:positionV>
            <wp:extent cx="70377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83" w:name="page84"/>
    <w:bookmarkEnd w:id="83"/>
    <w:p>
      <w:pPr>
        <w:spacing w:after="0" w:line="200" w:lineRule="exact"/>
        <w:rPr>
          <w:sz w:val="20"/>
          <w:szCs w:val="20"/>
          <w:color w:val="auto"/>
        </w:rPr>
      </w:pPr>
    </w:p>
    <w:p>
      <w:pPr>
        <w:spacing w:after="0" w:line="309" w:lineRule="exact"/>
        <w:rPr>
          <w:sz w:val="20"/>
          <w:szCs w:val="20"/>
          <w:color w:val="auto"/>
        </w:rPr>
      </w:pPr>
    </w:p>
    <w:p>
      <w:pPr>
        <w:jc w:val="both"/>
        <w:ind w:left="160" w:right="179" w:firstLine="650"/>
        <w:spacing w:after="0" w:line="244" w:lineRule="auto"/>
        <w:tabs>
          <w:tab w:leader="none" w:pos="104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It will be recommended that, subject to the approval of the Board or the Committee, as applicable, in its sole discretion, the Company grant you an award of stock options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800,000 shares of the Company’s common stock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under the Company’s 2025 Inducement Equity Incentive Plan (or other applicable Company equity plan) and applicable non-qualified stock option agreement thereunder, with an exercise price per Share equal to the fair market value per Share on the Option’s date of grant, as determined by the Board or Committee (as applicable). The Company will recommend that the Option be scheduled to vest and become exercisable as to one-fourth (1/4th) of the Shares subject to the Option on the one-year anniversary of the vesting commencement date (which shall be the same date as the date the Board 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spacing w:after="0" w:line="183" w:lineRule="exact"/>
        <w:rPr>
          <w:rFonts w:ascii="Times New Roman" w:cs="Times New Roman" w:eastAsia="Times New Roman" w:hAnsi="Times New Roman"/>
          <w:sz w:val="21"/>
          <w:szCs w:val="21"/>
          <w:color w:val="auto"/>
        </w:rPr>
      </w:pPr>
    </w:p>
    <w:p>
      <w:pPr>
        <w:jc w:val="both"/>
        <w:ind w:left="160" w:right="179" w:firstLine="650"/>
        <w:spacing w:after="0" w:line="235" w:lineRule="auto"/>
        <w:tabs>
          <w:tab w:leader="none" w:pos="10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78" w:lineRule="exact"/>
        <w:rPr>
          <w:rFonts w:ascii="Times New Roman" w:cs="Times New Roman" w:eastAsia="Times New Roman" w:hAnsi="Times New Roman"/>
          <w:sz w:val="22"/>
          <w:szCs w:val="22"/>
          <w:color w:val="auto"/>
        </w:rPr>
      </w:pPr>
    </w:p>
    <w:p>
      <w:pPr>
        <w:jc w:val="both"/>
        <w:ind w:left="160" w:right="179" w:firstLine="650"/>
        <w:spacing w:after="0" w:line="238" w:lineRule="auto"/>
        <w:tabs>
          <w:tab w:leader="none" w:pos="10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You will be eligible to enter into a Change in Control and Severance Agreement (the “</w:t>
      </w:r>
      <w:r>
        <w:rPr>
          <w:rFonts w:ascii="Times New Roman" w:cs="Times New Roman" w:eastAsia="Times New Roman" w:hAnsi="Times New Roman"/>
          <w:sz w:val="22"/>
          <w:szCs w:val="22"/>
          <w:u w:val="single" w:color="auto"/>
          <w:color w:val="auto"/>
        </w:rPr>
        <w:t>Severance Agreement</w:t>
      </w:r>
      <w:r>
        <w:rPr>
          <w:rFonts w:ascii="Times New Roman" w:cs="Times New Roman" w:eastAsia="Times New Roman" w:hAnsi="Times New Roman"/>
          <w:sz w:val="22"/>
          <w:szCs w:val="22"/>
          <w:color w:val="auto"/>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w:t>
      </w:r>
    </w:p>
    <w:p>
      <w:pPr>
        <w:spacing w:after="0" w:line="271" w:lineRule="exact"/>
        <w:rPr>
          <w:rFonts w:ascii="Times New Roman" w:cs="Times New Roman" w:eastAsia="Times New Roman" w:hAnsi="Times New Roman"/>
          <w:sz w:val="22"/>
          <w:szCs w:val="22"/>
          <w:color w:val="auto"/>
        </w:rPr>
      </w:pPr>
    </w:p>
    <w:p>
      <w:pPr>
        <w:jc w:val="both"/>
        <w:ind w:left="160" w:right="179" w:firstLine="650"/>
        <w:spacing w:after="0" w:line="235" w:lineRule="auto"/>
        <w:tabs>
          <w:tab w:leader="none" w:pos="10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Company’s Employee Confidentiality, Inventions and Non-Interference Agreement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Please note that we must receive your signed Confidentiality Agreement before your first day of employment.</w:t>
      </w:r>
    </w:p>
    <w:p>
      <w:pPr>
        <w:spacing w:after="0" w:line="183" w:lineRule="exact"/>
        <w:rPr>
          <w:rFonts w:ascii="Times New Roman" w:cs="Times New Roman" w:eastAsia="Times New Roman" w:hAnsi="Times New Roman"/>
          <w:sz w:val="22"/>
          <w:szCs w:val="22"/>
          <w:color w:val="auto"/>
        </w:rPr>
      </w:pPr>
    </w:p>
    <w:p>
      <w:pPr>
        <w:jc w:val="both"/>
        <w:ind w:left="160" w:right="179" w:firstLine="650"/>
        <w:spacing w:after="0" w:line="236" w:lineRule="auto"/>
        <w:tabs>
          <w:tab w:leader="none" w:pos="10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imply any right to your continued employment for any period with the Company or any parent, subsidiary, or affiliate of the Company. Your employment with the Company constitutes at-will employment,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p>
    <w:p>
      <w:pPr>
        <w:spacing w:after="0" w:line="309" w:lineRule="exact"/>
        <w:rPr>
          <w:sz w:val="20"/>
          <w:szCs w:val="20"/>
          <w:color w:val="auto"/>
        </w:rPr>
      </w:pPr>
    </w:p>
    <w:p>
      <w:pPr>
        <w:jc w:val="both"/>
        <w:ind w:left="160" w:right="179" w:firstLine="650"/>
        <w:spacing w:after="0" w:line="232" w:lineRule="auto"/>
        <w:tabs>
          <w:tab w:leader="none" w:pos="10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Activity Not Prohibited</w:t>
      </w:r>
      <w:r>
        <w:rPr>
          <w:rFonts w:ascii="Times New Roman" w:cs="Times New Roman" w:eastAsia="Times New Roman" w:hAnsi="Times New Roman"/>
          <w:sz w:val="22"/>
          <w:szCs w:val="22"/>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prevents you from discussing or disclosing information about unlawful acts in the workplace, such as harassment or discrimination or any other conduct that you have reason to believe is unlawful.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160" w:right="179" w:firstLine="648"/>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Additional Employment Provisions</w:t>
      </w:r>
      <w:r>
        <w:rPr>
          <w:rFonts w:ascii="Times New Roman" w:cs="Times New Roman" w:eastAsia="Times New Roman" w:hAnsi="Times New Roman"/>
          <w:sz w:val="22"/>
          <w:szCs w:val="22"/>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w:t>
      </w:r>
    </w:p>
    <w:p>
      <w:pPr>
        <w:spacing w:after="0" w:line="183" w:lineRule="exact"/>
        <w:rPr>
          <w:sz w:val="20"/>
          <w:szCs w:val="20"/>
          <w:color w:val="auto"/>
        </w:rPr>
      </w:pPr>
    </w:p>
    <w:p>
      <w:pPr>
        <w:jc w:val="both"/>
        <w:ind w:left="160" w:right="179" w:firstLine="648"/>
        <w:spacing w:after="0" w:line="244" w:lineRule="auto"/>
        <w:rPr>
          <w:sz w:val="20"/>
          <w:szCs w:val="20"/>
          <w:color w:val="auto"/>
        </w:rPr>
      </w:pPr>
      <w:r>
        <w:rPr>
          <w:rFonts w:ascii="Times New Roman" w:cs="Times New Roman" w:eastAsia="Times New Roman" w:hAnsi="Times New Roman"/>
          <w:sz w:val="21"/>
          <w:szCs w:val="21"/>
          <w:color w:val="auto"/>
        </w:rPr>
        <w:t xml:space="preserve">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Subject to Board approval, you will be permitted to engage in the outside activities set forth in </w:t>
      </w:r>
      <w:r>
        <w:rPr>
          <w:rFonts w:ascii="Times New Roman" w:cs="Times New Roman" w:eastAsia="Times New Roman" w:hAnsi="Times New Roman"/>
          <w:sz w:val="21"/>
          <w:szCs w:val="21"/>
          <w:b w:val="1"/>
          <w:bCs w:val="1"/>
          <w:u w:val="single" w:color="auto"/>
          <w:color w:val="auto"/>
        </w:rPr>
        <w:t>Appendix B</w:t>
      </w:r>
      <w:r>
        <w:rPr>
          <w:rFonts w:ascii="Times New Roman" w:cs="Times New Roman" w:eastAsia="Times New Roman" w:hAnsi="Times New Roman"/>
          <w:sz w:val="21"/>
          <w:szCs w:val="21"/>
          <w:color w:val="auto"/>
        </w:rPr>
        <w:t>, as long as such activities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p>
    <w:p>
      <w:pPr>
        <w:spacing w:after="0" w:line="309" w:lineRule="exact"/>
        <w:rPr>
          <w:sz w:val="20"/>
          <w:szCs w:val="20"/>
          <w:color w:val="auto"/>
        </w:rPr>
      </w:pPr>
    </w:p>
    <w:p>
      <w:pPr>
        <w:jc w:val="both"/>
        <w:ind w:left="160" w:right="179" w:firstLine="648"/>
        <w:spacing w:after="0" w:line="247" w:lineRule="auto"/>
        <w:rPr>
          <w:sz w:val="20"/>
          <w:szCs w:val="20"/>
          <w:color w:val="auto"/>
        </w:rPr>
      </w:pPr>
      <w:r>
        <w:rPr>
          <w:rFonts w:ascii="Times New Roman" w:cs="Times New Roman" w:eastAsia="Times New Roman" w:hAnsi="Times New Roman"/>
          <w:sz w:val="21"/>
          <w:szCs w:val="21"/>
          <w:color w:val="auto"/>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spacing w:after="0" w:line="172" w:lineRule="exact"/>
        <w:rPr>
          <w:sz w:val="20"/>
          <w:szCs w:val="20"/>
          <w:color w:val="auto"/>
        </w:rPr>
      </w:pPr>
    </w:p>
    <w:p>
      <w:pPr>
        <w:jc w:val="both"/>
        <w:ind w:left="160" w:right="179" w:firstLine="648"/>
        <w:spacing w:after="0" w:line="236" w:lineRule="auto"/>
        <w:rPr>
          <w:sz w:val="20"/>
          <w:szCs w:val="20"/>
          <w:color w:val="auto"/>
        </w:rPr>
      </w:pPr>
      <w:r>
        <w:rPr>
          <w:rFonts w:ascii="Times New Roman" w:cs="Times New Roman" w:eastAsia="Times New Roman" w:hAnsi="Times New Roman"/>
          <w:sz w:val="22"/>
          <w:szCs w:val="22"/>
          <w:color w:val="auto"/>
        </w:rPr>
        <w:t>This Agreement and its terms are intended to be exempt from, or otherwise comply with, the requirements of Section 409A of the Internal Revenue Code of 1986, as amended, and the Treasury Regulations and any formal guidance promulgated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so that none of the payments and benefits to be provided hereunder will be subject to the additional tax imposed by Section 409A, and any ambiguities or ambiguous terms herein will be interpreted to so be exempt or comply.</w:t>
      </w:r>
    </w:p>
    <w:p>
      <w:pPr>
        <w:spacing w:after="0" w:line="181" w:lineRule="exact"/>
        <w:rPr>
          <w:sz w:val="20"/>
          <w:szCs w:val="20"/>
          <w:color w:val="auto"/>
        </w:rPr>
      </w:pPr>
    </w:p>
    <w:p>
      <w:pPr>
        <w:jc w:val="both"/>
        <w:ind w:left="160" w:right="179" w:firstLine="648"/>
        <w:spacing w:after="0" w:line="245" w:lineRule="auto"/>
        <w:rPr>
          <w:sz w:val="20"/>
          <w:szCs w:val="20"/>
          <w:color w:val="auto"/>
        </w:rPr>
      </w:pPr>
      <w:r>
        <w:rPr>
          <w:rFonts w:ascii="Times New Roman" w:cs="Times New Roman" w:eastAsia="Times New Roman" w:hAnsi="Times New Roman"/>
          <w:sz w:val="21"/>
          <w:szCs w:val="21"/>
          <w:color w:val="auto"/>
        </w:rPr>
        <w:t>To accept the Company’s offer, please sign and date in the spaces indicated below and return this Agreement to me. A duplicate original is enclosed for your records. If you accept our offer, your first day of employment will be April 13, 2026, or such other date as you and the Company mutually agree in writing (the “</w:t>
      </w:r>
      <w:r>
        <w:rPr>
          <w:rFonts w:ascii="Times New Roman" w:cs="Times New Roman" w:eastAsia="Times New Roman" w:hAnsi="Times New Roman"/>
          <w:sz w:val="21"/>
          <w:szCs w:val="21"/>
          <w:u w:val="single" w:color="auto"/>
          <w:color w:val="auto"/>
        </w:rPr>
        <w:t>Start Date</w:t>
      </w:r>
      <w:r>
        <w:rPr>
          <w:rFonts w:ascii="Times New Roman" w:cs="Times New Roman" w:eastAsia="Times New Roman" w:hAnsi="Times New Roman"/>
          <w:sz w:val="21"/>
          <w:szCs w:val="21"/>
          <w:color w:val="auto"/>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February 27, 2026.</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We look forward to your favorable reply and to working with you at ALX Oncology.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ALX Oncology Holdings Inc.</w:t>
      </w:r>
    </w:p>
    <w:p>
      <w:pPr>
        <w:spacing w:after="0" w:line="200" w:lineRule="exact"/>
        <w:rPr>
          <w:sz w:val="20"/>
          <w:szCs w:val="20"/>
          <w:color w:val="auto"/>
        </w:rPr>
      </w:pPr>
    </w:p>
    <w:p>
      <w:pPr>
        <w:spacing w:after="0" w:line="36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Lettmann</w:t>
      </w:r>
    </w:p>
    <w:p>
      <w:pPr>
        <w:spacing w:after="0" w:line="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Jason Lettmann</w:t>
      </w:r>
    </w:p>
    <w:p>
      <w:pPr>
        <w:spacing w:after="0" w:line="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3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Jeff Knight</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Jeff Knight</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Dated: March 1, 2026</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Enclosures</w:t>
      </w:r>
    </w:p>
    <w:p>
      <w:pPr>
        <w:spacing w:after="0" w:line="4" w:lineRule="exact"/>
        <w:rPr>
          <w:sz w:val="20"/>
          <w:szCs w:val="20"/>
          <w:color w:val="auto"/>
        </w:rPr>
      </w:pPr>
    </w:p>
    <w:p>
      <w:pPr>
        <w:ind w:left="840" w:hanging="315"/>
        <w:spacing w:after="0"/>
        <w:tabs>
          <w:tab w:leader="none" w:pos="8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Duplicate Original Letter</w:t>
      </w:r>
    </w:p>
    <w:p>
      <w:pPr>
        <w:ind w:left="840" w:hanging="315"/>
        <w:spacing w:after="0"/>
        <w:tabs>
          <w:tab w:leader="none" w:pos="8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Confidentiality, Inventions and Non-Interference Agreement</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469900</wp:posOffset>
            </wp:positionV>
            <wp:extent cx="703770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Section 7 of the Defend Trade Secrets Act of 2016</w:t>
      </w:r>
    </w:p>
    <w:p>
      <w:pPr>
        <w:spacing w:after="0" w:line="200" w:lineRule="exact"/>
        <w:rPr>
          <w:sz w:val="20"/>
          <w:szCs w:val="20"/>
          <w:color w:val="auto"/>
        </w:rPr>
      </w:pPr>
    </w:p>
    <w:p>
      <w:pPr>
        <w:spacing w:after="0" w:line="236" w:lineRule="exact"/>
        <w:rPr>
          <w:sz w:val="20"/>
          <w:szCs w:val="20"/>
          <w:color w:val="auto"/>
        </w:rPr>
      </w:pPr>
    </w:p>
    <w:p>
      <w:pPr>
        <w:jc w:val="both"/>
        <w:ind w:left="200" w:right="159"/>
        <w:spacing w:after="0" w:line="243" w:lineRule="auto"/>
        <w:rPr>
          <w:sz w:val="20"/>
          <w:szCs w:val="20"/>
          <w:color w:val="auto"/>
        </w:rPr>
      </w:pPr>
      <w:r>
        <w:rPr>
          <w:rFonts w:ascii="Times New Roman" w:cs="Times New Roman" w:eastAsia="Times New Roman" w:hAnsi="Times New Roman"/>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469900</wp:posOffset>
            </wp:positionV>
            <wp:extent cx="703770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Outside Activities</w:t>
      </w:r>
    </w:p>
    <w:p>
      <w:pPr>
        <w:spacing w:after="0" w:line="233" w:lineRule="exact"/>
        <w:rPr>
          <w:sz w:val="20"/>
          <w:szCs w:val="20"/>
          <w:color w:val="auto"/>
        </w:rPr>
      </w:pPr>
    </w:p>
    <w:p>
      <w:pPr>
        <w:jc w:val="center"/>
        <w:ind w:left="300" w:right="299"/>
        <w:spacing w:after="0" w:line="254" w:lineRule="auto"/>
        <w:rPr>
          <w:sz w:val="20"/>
          <w:szCs w:val="20"/>
          <w:color w:val="auto"/>
        </w:rPr>
      </w:pPr>
      <w:r>
        <w:rPr>
          <w:rFonts w:ascii="Times New Roman" w:cs="Times New Roman" w:eastAsia="Times New Roman" w:hAnsi="Times New Roman"/>
          <w:sz w:val="20"/>
          <w:szCs w:val="20"/>
          <w:color w:val="auto"/>
        </w:rPr>
        <w:t>[Appendix B has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469900</wp:posOffset>
            </wp:positionV>
            <wp:extent cx="703770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900" w:right="919"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Jason Lettmann, certify that:</w:t>
      </w:r>
    </w:p>
    <w:p>
      <w:pPr>
        <w:spacing w:after="0" w:line="117" w:lineRule="exact"/>
        <w:rPr>
          <w:sz w:val="20"/>
          <w:szCs w:val="20"/>
          <w:color w:val="auto"/>
        </w:rPr>
      </w:pPr>
    </w:p>
    <w:p>
      <w:pPr>
        <w:ind w:left="740" w:hanging="44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17" w:lineRule="exact"/>
        <w:rPr>
          <w:rFonts w:ascii="Times New Roman" w:cs="Times New Roman" w:eastAsia="Times New Roman" w:hAnsi="Times New Roman"/>
          <w:sz w:val="18"/>
          <w:szCs w:val="18"/>
          <w:color w:val="auto"/>
        </w:rPr>
      </w:pPr>
    </w:p>
    <w:p>
      <w:pPr>
        <w:ind w:left="740" w:right="399" w:hanging="448"/>
        <w:spacing w:after="0" w:line="266"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40" w:right="719" w:hanging="448"/>
        <w:spacing w:after="0" w:line="266"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740" w:right="339" w:hanging="448"/>
        <w:spacing w:after="0" w:line="289" w:lineRule="auto"/>
        <w:tabs>
          <w:tab w:leader="none" w:pos="7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Times New Roman" w:cs="Times New Roman" w:eastAsia="Times New Roman" w:hAnsi="Times New Roman"/>
          <w:sz w:val="17"/>
          <w:szCs w:val="17"/>
          <w:color w:val="auto"/>
        </w:rPr>
      </w:pPr>
    </w:p>
    <w:p>
      <w:pPr>
        <w:ind w:left="1180" w:right="379" w:hanging="448"/>
        <w:spacing w:after="0" w:line="261" w:lineRule="auto"/>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180" w:right="359" w:hanging="448"/>
        <w:spacing w:after="0" w:line="261" w:lineRule="auto"/>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80" w:right="339" w:hanging="448"/>
        <w:spacing w:after="0" w:line="266" w:lineRule="auto"/>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80" w:right="619" w:hanging="448"/>
        <w:spacing w:after="0" w:line="261" w:lineRule="auto"/>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740" w:right="319" w:hanging="448"/>
        <w:spacing w:after="0" w:line="266"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80" w:right="499" w:hanging="448"/>
        <w:spacing w:after="0" w:line="266" w:lineRule="auto"/>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80" w:right="1079" w:hanging="448"/>
        <w:spacing w:after="0" w:line="282" w:lineRule="auto"/>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300"/>
        <w:spacing w:after="0"/>
        <w:tabs>
          <w:tab w:leader="none" w:pos="4500" w:val="left"/>
          <w:tab w:leader="none" w:pos="60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4606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21"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9"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1021715</wp:posOffset>
            </wp:positionV>
            <wp:extent cx="703770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0" w:name="page91"/>
    <w:bookmarkEnd w:id="90"/>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900" w:right="919"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Harish Shantharam, certify that:</w:t>
      </w:r>
    </w:p>
    <w:p>
      <w:pPr>
        <w:spacing w:after="0" w:line="117" w:lineRule="exact"/>
        <w:rPr>
          <w:sz w:val="20"/>
          <w:szCs w:val="20"/>
          <w:color w:val="auto"/>
        </w:rPr>
      </w:pPr>
    </w:p>
    <w:p>
      <w:pPr>
        <w:ind w:left="740" w:hanging="44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17" w:lineRule="exact"/>
        <w:rPr>
          <w:rFonts w:ascii="Times New Roman" w:cs="Times New Roman" w:eastAsia="Times New Roman" w:hAnsi="Times New Roman"/>
          <w:sz w:val="18"/>
          <w:szCs w:val="18"/>
          <w:color w:val="auto"/>
        </w:rPr>
      </w:pPr>
    </w:p>
    <w:p>
      <w:pPr>
        <w:ind w:left="740" w:right="399" w:hanging="448"/>
        <w:spacing w:after="0" w:line="266" w:lineRule="auto"/>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40" w:right="719" w:hanging="448"/>
        <w:spacing w:after="0" w:line="266" w:lineRule="auto"/>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740" w:right="339" w:hanging="448"/>
        <w:spacing w:after="0" w:line="289" w:lineRule="auto"/>
        <w:tabs>
          <w:tab w:leader="none" w:pos="7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Times New Roman" w:cs="Times New Roman" w:eastAsia="Times New Roman" w:hAnsi="Times New Roman"/>
          <w:sz w:val="17"/>
          <w:szCs w:val="17"/>
          <w:color w:val="auto"/>
        </w:rPr>
      </w:pPr>
    </w:p>
    <w:p>
      <w:pPr>
        <w:ind w:left="1180" w:right="379" w:hanging="448"/>
        <w:spacing w:after="0" w:line="261"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180" w:right="359" w:hanging="448"/>
        <w:spacing w:after="0" w:line="261"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80" w:right="339" w:hanging="448"/>
        <w:spacing w:after="0" w:line="266"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80" w:right="619" w:hanging="448"/>
        <w:spacing w:after="0" w:line="261"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740" w:right="319" w:hanging="448"/>
        <w:spacing w:after="0" w:line="266" w:lineRule="auto"/>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80" w:right="499" w:hanging="448"/>
        <w:spacing w:after="0" w:line="266"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80" w:right="1079" w:hanging="448"/>
        <w:spacing w:after="0" w:line="282"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300"/>
        <w:spacing w:after="0"/>
        <w:tabs>
          <w:tab w:leader="none" w:pos="4500" w:val="left"/>
          <w:tab w:leader="none" w:pos="59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4606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21"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9"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1158875</wp:posOffset>
            </wp:positionV>
            <wp:extent cx="703770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1" w:name="page92"/>
    <w:bookmarkEnd w:id="9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160" w:right="2179" w:firstLine="60"/>
        <w:spacing w:after="0" w:line="26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1"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March 31, 2026, as filed with the Securities and Exchange Commission on the date hereof (the “Report”), I certify, pursuant to 18 U.S.C. §1350, as adopted pursuant to section 906 of the Sarbanes-Oxley Act of 2002, that:</w:t>
      </w:r>
    </w:p>
    <w:p>
      <w:pPr>
        <w:spacing w:after="0" w:line="180" w:lineRule="exact"/>
        <w:rPr>
          <w:sz w:val="20"/>
          <w:szCs w:val="20"/>
          <w:color w:val="auto"/>
        </w:rPr>
      </w:pPr>
    </w:p>
    <w:p>
      <w:pPr>
        <w:ind w:left="1180" w:right="559" w:hanging="448"/>
        <w:spacing w:after="0" w:line="282" w:lineRule="auto"/>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180" w:right="459" w:hanging="448"/>
        <w:spacing w:after="0" w:line="282" w:lineRule="auto"/>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300"/>
        <w:spacing w:after="0"/>
        <w:tabs>
          <w:tab w:leader="none" w:pos="4420" w:val="left"/>
          <w:tab w:leader="none" w:pos="60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517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1021715</wp:posOffset>
            </wp:positionV>
            <wp:extent cx="70377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2" w:name="page93"/>
    <w:bookmarkEnd w:id="92"/>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160" w:right="2179" w:firstLine="60"/>
        <w:spacing w:after="0" w:line="26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1"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March 31, 2026, as filed with the Securities and Exchange Commission on the date hereof (the “Report”), I certify, pursuant to 18 U.S.C. §1350, as adopted pursuant to section 906 of the Sarbanes-Oxley Act of 2002, that:</w:t>
      </w:r>
    </w:p>
    <w:p>
      <w:pPr>
        <w:spacing w:after="0" w:line="180" w:lineRule="exact"/>
        <w:rPr>
          <w:sz w:val="20"/>
          <w:szCs w:val="20"/>
          <w:color w:val="auto"/>
        </w:rPr>
      </w:pPr>
    </w:p>
    <w:p>
      <w:pPr>
        <w:ind w:left="1180" w:right="559" w:hanging="448"/>
        <w:spacing w:after="0" w:line="282"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180" w:right="459" w:hanging="448"/>
        <w:spacing w:after="0" w:line="282"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300"/>
        <w:spacing w:after="0"/>
        <w:tabs>
          <w:tab w:leader="none" w:pos="4260" w:val="left"/>
          <w:tab w:leader="none" w:pos="5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6149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1"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9"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1021715</wp:posOffset>
            </wp:positionV>
            <wp:extent cx="703770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5"/>
    </w:lvl>
  </w:abstractNum>
  <w:abstractNum w:abstractNumId="5">
    <w:nsid w:val="5C482A97"/>
    <w:multiLevelType w:val="hybridMultilevel"/>
    <w:lvl w:ilvl="0">
      <w:lvlJc w:val="left"/>
      <w:lvlText w:val="(%1)"/>
      <w:numFmt w:val="lowerRoman"/>
      <w:start w:val="1"/>
    </w:lvl>
  </w:abstractNum>
  <w:abstractNum w:abstractNumId="6">
    <w:nsid w:val="2463B9EA"/>
    <w:multiLevelType w:val="hybridMultilevel"/>
    <w:lvl w:ilvl="0">
      <w:lvlJc w:val="left"/>
      <w:lvlText w:val="(%1)"/>
      <w:numFmt w:val="lowerRoman"/>
      <w:start w:val="1"/>
    </w:lvl>
  </w:abstractNum>
  <w:abstractNum w:abstractNumId="7">
    <w:nsid w:val="5E884ADC"/>
    <w:multiLevelType w:val="hybridMultilevel"/>
    <w:lvl w:ilvl="0">
      <w:lvlJc w:val="left"/>
      <w:lvlText w:val="(%1)"/>
      <w:numFmt w:val="decimal"/>
      <w:start w:val="9"/>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o"/>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lvl w:ilvl="1">
      <w:lvlJc w:val="left"/>
      <w:lvlText w:val="o"/>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o"/>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o"/>
      <w:numFmt w:val="bullet"/>
      <w:start w:val="1"/>
    </w:lvl>
    <w:lvl w:ilvl="1">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o"/>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o"/>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4"/>
    </w:lvl>
  </w:abstractNum>
  <w:abstractNum w:abstractNumId="63">
    <w:nsid w:val="1F48EAA1"/>
    <w:multiLevelType w:val="hybridMultilevel"/>
    <w:lvl w:ilvl="0">
      <w:lvlJc w:val="left"/>
      <w:lvlText w:val="%1."/>
      <w:numFmt w:val="decimal"/>
      <w:start w:val="9"/>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ldblquote"/>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2026-05-08T07:15:35Z</dcterms:created>
  <dcterms:modified xsi:type="dcterms:W3CDTF">2026-05-08T07:15:35Z</dcterms:modified>
</cp:coreProperties>
</file>