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lxo-20230630.htm"/>
      <w:bookmarkStart w:id="1" w:name="ksalxo20230630"/>
      <w:bookmarkEnd w:id="0"/>
      <w:bookmarkEnd w:id="1"/>
      <w:r>
        <w:rPr/>
        <w:t> </w:t>
      </w:r>
    </w:p>
    <w:p>
      <w:pPr>
        <w:pStyle w:val="TextBody"/>
        <w:bidi w:val="0"/>
        <w:spacing w:before="0" w:after="0"/>
        <w:jc w:val="center"/>
        <w:rPr/>
      </w:pPr>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30"/>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0"/>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7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QUARTERLY REPORT PURSUANT TO SECTION 13 OR 15(d) OF THE SECURITIES EXCHANGE ACT OF 1934</w:t>
            </w:r>
            <w:r>
              <w:rPr>
                <w:rFonts w:ascii="Times New Roman" w:hAnsi="Times New Roman"/>
                <w:sz w:val="16"/>
              </w:rPr>
              <w:t xml:space="preserve"> </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0"/>
              <w:ind w:left="0" w:right="0" w:hanging="0"/>
              <w:jc w:val="left"/>
              <w:rPr/>
            </w:pPr>
            <w:r>
              <w:rPr/>
              <w:t>☐</w:t>
            </w:r>
          </w:p>
        </w:tc>
        <w:tc>
          <w:tcPr>
            <w:tcW w:w="8716" w:type="dxa"/>
            <w:tcBorders/>
            <w:vAlign w:val="center"/>
          </w:tcPr>
          <w:p>
            <w:pPr>
              <w:pStyle w:val="TableContents"/>
              <w:bidi w:val="0"/>
              <w:spacing w:before="40" w:after="0"/>
              <w:ind w:left="0" w:right="0" w:hanging="0"/>
              <w:jc w:val="left"/>
              <w:rPr>
                <w:rFonts w:ascii="Times New Roman" w:hAnsi="Times New Roman"/>
                <w:sz w:val="16"/>
              </w:rPr>
            </w:pPr>
            <w:r>
              <w:rPr>
                <w:rFonts w:ascii="Times New Roman;serif" w:hAnsi="Times New Roman;serif"/>
                <w:b/>
                <w:sz w:val="16"/>
              </w:rPr>
              <w:t>TRANSITION REPORT PURSUANT TO SECTION 13 OR 15(d) OF THE SECURITIES EXCHANGE ACT OF 1934</w:t>
            </w:r>
            <w:r>
              <w:rPr>
                <w:rFonts w:ascii="Times New Roman" w:hAnsi="Times New Roman"/>
                <w:sz w:val="16"/>
              </w:rPr>
              <w:t xml:space="preserve"> </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40" w:after="0"/>
        <w:jc w:val="center"/>
        <w:rPr>
          <w:rFonts w:ascii="Times New Roman" w:hAnsi="Times New Roman"/>
          <w:sz w:val="20"/>
        </w:rPr>
      </w:pPr>
      <w:r>
        <w:rPr>
          <w:rFonts w:ascii="Times New Roman;serif" w:hAnsi="Times New Roman;serif"/>
          <w:b/>
          <w:sz w:val="20"/>
        </w:rPr>
        <w:t>Commission File Number 001-39386</w:t>
      </w:r>
      <w:r>
        <w:rPr>
          <w:rFonts w:ascii="Times New Roman" w:hAnsi="Times New Roman"/>
          <w:sz w:val="20"/>
        </w:rPr>
        <w:t xml:space="preserve"> </w:t>
      </w:r>
    </w:p>
    <w:p>
      <w:pPr>
        <w:pStyle w:val="TextBody"/>
        <w:bidi w:val="0"/>
        <w:spacing w:before="40" w:after="0"/>
        <w:jc w:val="center"/>
        <w:rPr>
          <w:rFonts w:ascii="Times New Roman;serif" w:hAnsi="Times New Roman;serif"/>
          <w:b/>
          <w:sz w:val="36"/>
        </w:rPr>
      </w:pPr>
      <w:r>
        <w:rPr>
          <w:rFonts w:ascii="Times New Roman;serif" w:hAnsi="Times New Roman;serif"/>
          <w:b/>
          <w:sz w:val="36"/>
        </w:rPr>
        <w:t>ALX ONCOLOGY HOLDINGS INC.</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85-0642577</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323 Allerton Avenue</w:t>
            </w:r>
          </w:p>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48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40" w:after="0"/>
        <w:jc w:val="center"/>
        <w:rPr>
          <w:rFonts w:ascii="Times New Roman;serif" w:hAnsi="Times New Roman;serif"/>
          <w:b/>
          <w:sz w:val="20"/>
        </w:rPr>
      </w:pPr>
      <w:r>
        <w:rPr>
          <w:rFonts w:ascii="Times New Roman;serif" w:hAnsi="Times New Roman;serif"/>
          <w:b/>
          <w:sz w:val="20"/>
        </w:rPr>
        <w:t>Registrant’s telephone number, including area code: 650-466-7125</w:t>
      </w:r>
    </w:p>
    <w:p>
      <w:pPr>
        <w:pStyle w:val="TextBody"/>
        <w:bidi w:val="0"/>
        <w:spacing w:before="40" w:after="0"/>
        <w:jc w:val="left"/>
        <w:rPr>
          <w:rFonts w:ascii="Times New Roman" w:hAnsi="Times New Roman"/>
          <w:sz w:val="20"/>
        </w:rPr>
      </w:pPr>
      <w:r>
        <w:rPr>
          <w:rFonts w:ascii="Times New Roman;serif" w:hAnsi="Times New Roman;serif"/>
          <w:b w:val="false"/>
          <w:sz w:val="16"/>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ALXO</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Global Select Market</w:t>
            </w:r>
          </w:p>
        </w:tc>
      </w:tr>
    </w:tbl>
    <w:p>
      <w:pPr>
        <w:pStyle w:val="TextBody"/>
        <w:bidi w:val="0"/>
        <w:spacing w:before="40" w:after="0"/>
        <w:jc w:val="left"/>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sz w:val="16"/>
        </w:rPr>
        <w:t>NO ☐</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6"/>
        </w:rPr>
        <w:t>As of August 3, 2023, the registrant had 41,151,819</w:t>
      </w:r>
      <w:r>
        <w:rPr>
          <w:rFonts w:ascii="Times New Roman" w:hAnsi="Times New Roman"/>
          <w:sz w:val="20"/>
        </w:rPr>
        <w:t xml:space="preserve"> </w:t>
      </w:r>
      <w:r>
        <w:rPr>
          <w:rFonts w:ascii="Times New Roman;serif" w:hAnsi="Times New Roman;serif"/>
          <w:b w:val="false"/>
          <w:sz w:val="16"/>
        </w:rPr>
        <w:t>shares of common stock outstanding, $0.001 par value per share.</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sufficiency of our existing cash to fund our future operating expenses and capital expenditure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accuracy of our estimates regarding expenses, future revenue, capital requirements, and needs for additional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relating to commercializing our product candidates, if approved, including the geographic areas of focus and our ability to grow a sales team;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strategic plans for our business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reliance on third parties to conduct preclinical research activities, and for the manufacture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beneficial characteristics, mechanisms of action, safety profile, efficacy and therapeutic effects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progress and focus of our current and future clinical trials, and the reporting of data from those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advance product candidates into and successfully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competing therapies that are or may become available;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relating to our competitors and our industry, including competing product candidates and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relating to the further development and manufacturing of our product candidates, including additional indications that we may pursue;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existing regulations and regulatory developments in the United States and other jurisdictions;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potential and ability to successfully manufacture and supply our product candidates for clinical trials and for commercial use,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continued reliance on third parties to conduct clinical trials of our product candidates, and for the manufacture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and ability to obtain or protect intellectual property rights, including extensions of existing patent terms where available;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are able to establish and maintain for intellectual property rights, including our technology platform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the continued service of our key personnel and to identify, hire, and then retain additional qualified personnel;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rising interest rates, bank failures or instability in the financial services sector, or geopolitical risks on our business;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for and prospects of our acquisitions and other business development activities, and our ability to successfully capitalize on these opportunities;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our financial and internal controls;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anticipated use of our existing cash and cash equivalents, short-term and long-term investments, and the funds available from our term loan.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oc_page"/>
      <w:bookmarkEnd w:id="2"/>
      <w:r>
        <w:rPr>
          <w:rFonts w:ascii="Times New Roman;serif" w:hAnsi="Times New Roman;serif"/>
          <w:b/>
          <w:sz w:val="20"/>
        </w:rPr>
        <w:t>Table of Contents</w:t>
      </w:r>
    </w:p>
    <w:p>
      <w:pPr>
        <w:pStyle w:val="TextBody"/>
        <w:bidi w:val="0"/>
        <w:spacing w:before="0" w:after="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1">
              <w:r>
                <w:rPr>
                  <w:rStyle w:val="InternetLink"/>
                  <w:rFonts w:ascii="Times New Roman;serif" w:hAnsi="Times New Roman;serif"/>
                  <w:b w:val="false"/>
                  <w:sz w:val="20"/>
                  <w:u w:val="single"/>
                </w:rPr>
                <w:t>FINANCIAL INFORMATION</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f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bs">
              <w:r>
                <w:rPr>
                  <w:rStyle w:val="InternetLink"/>
                  <w:rFonts w:ascii="Times New Roman;serif" w:hAnsi="Times New Roman;serif"/>
                  <w:b w:val="false"/>
                  <w:sz w:val="20"/>
                  <w:u w:val="single"/>
                </w:rPr>
                <w:t>Condensed Consolidated Balance Sheets</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is">
              <w:r>
                <w:rPr>
                  <w:rStyle w:val="InternetLink"/>
                  <w:rFonts w:ascii="Times New Roman;serif" w:hAnsi="Times New Roman;serif"/>
                  <w:b w:val="false"/>
                  <w:sz w:val="20"/>
                  <w:u w:val="single"/>
                </w:rPr>
                <w:t>Condensed Consolidated Statements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cl">
              <w:r>
                <w:rPr>
                  <w:rStyle w:val="InternetLink"/>
                  <w:rFonts w:ascii="Times New Roman;serif" w:hAnsi="Times New Roman;serif"/>
                  <w:b w:val="false"/>
                  <w:sz w:val="20"/>
                  <w:u w:val="single"/>
                </w:rPr>
                <w:t>Condensed Consolidated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se">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cf">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notes">
              <w:r>
                <w:rPr>
                  <w:rStyle w:val="InternetLink"/>
                  <w:rFonts w:ascii="Times New Roman;serif" w:hAnsi="Times New Roman;serif"/>
                  <w:b w:val="false"/>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2_mda">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3_risk">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4_controls">
              <w:r>
                <w:rPr>
                  <w:rStyle w:val="InternetLink"/>
                  <w:rFonts w:ascii="Times New Roman;serif" w:hAnsi="Times New Roman;serif"/>
                  <w:b w:val="false"/>
                  <w:sz w:val="20"/>
                  <w:u w:val="single"/>
                </w:rPr>
                <w:t>Controls and Procedures</w:t>
              </w:r>
            </w:hyperlink>
            <w:hyperlink w:anchor="part1_item4_controls">
              <w:r>
                <w:rPr>
                  <w:rStyle w:val="InternetLink"/>
                  <w:rFonts w:ascii="Times New Roman" w:hAnsi="Times New Roman"/>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2">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1_legal">
              <w:r>
                <w:rPr>
                  <w:rStyle w:val="InternetLink"/>
                  <w:rFonts w:ascii="Times New Roman;serif" w:hAnsi="Times New Roman;serif"/>
                  <w:b w:val="false"/>
                  <w:sz w:val="20"/>
                  <w:u w:val="single"/>
                </w:rPr>
                <w:t>Legal Proceedings</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31</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1a_rf">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31</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2_unreg">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3_defaults">
              <w:r>
                <w:rPr>
                  <w:rStyle w:val="InternetLink"/>
                  <w:rFonts w:ascii="Times New Roman;serif" w:hAnsi="Times New Roman;serif"/>
                  <w:b w:val="false"/>
                  <w:sz w:val="20"/>
                  <w:u w:val="single"/>
                </w:rPr>
                <w:t>Defaults Upon Senior Securities</w:t>
              </w:r>
            </w:hyperlink>
            <w:hyperlink w:anchor="part2_item3_defaults">
              <w:r>
                <w:rPr>
                  <w:rStyle w:val="InternetLink"/>
                  <w:rFonts w:ascii="Times New Roman" w:hAnsi="Times New Roman"/>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4_mine">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5_other">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1"/>
      <w:bookmarkEnd w:id="3"/>
      <w:r>
        <w:rPr>
          <w:rFonts w:ascii="Times New Roman;serif" w:hAnsi="Times New Roman;serif"/>
          <w:b/>
          <w:sz w:val="20"/>
        </w:rPr>
        <w:t>PART I — FINANCIAL INFORMATION</w:t>
      </w:r>
    </w:p>
    <w:p>
      <w:pPr>
        <w:pStyle w:val="TextBody"/>
        <w:bidi w:val="0"/>
        <w:spacing w:before="0" w:after="0"/>
        <w:jc w:val="left"/>
        <w:rPr>
          <w:rFonts w:ascii="Times New Roman" w:hAnsi="Times New Roman"/>
          <w:sz w:val="20"/>
        </w:rPr>
      </w:pPr>
      <w:bookmarkStart w:id="4" w:name="part1_item1_fs"/>
      <w:bookmarkEnd w:id="4"/>
      <w:r>
        <w:rPr>
          <w:rFonts w:ascii="Times New Roman;serif" w:hAnsi="Times New Roman;serif"/>
          <w:b/>
          <w:sz w:val="20"/>
        </w:rPr>
        <w:t>Item 1. Financial Statements</w:t>
      </w:r>
      <w:r>
        <w:rPr>
          <w:rFonts w:ascii="Times New Roman" w:hAnsi="Times New Roman"/>
          <w:sz w:val="20"/>
        </w:rPr>
        <w:t xml:space="preserve"> </w:t>
      </w: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5" w:name="part1_item1_bs"/>
      <w:bookmarkEnd w:id="5"/>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p>
      <w:pPr>
        <w:pStyle w:val="TextBody"/>
        <w:bidi w:val="0"/>
        <w:spacing w:before="0" w:after="0"/>
        <w:jc w:val="left"/>
        <w:rPr/>
      </w:pPr>
      <w:r>
        <w:rPr/>
        <w:t> </w:t>
      </w:r>
    </w:p>
    <w:tbl>
      <w:tblPr>
        <w:tblW w:w="8977" w:type="dxa"/>
        <w:jc w:val="left"/>
        <w:tblInd w:w="0" w:type="dxa"/>
        <w:tblLayout w:type="fixed"/>
        <w:tblCellMar>
          <w:top w:w="28" w:type="dxa"/>
          <w:left w:w="28" w:type="dxa"/>
          <w:bottom w:w="28" w:type="dxa"/>
          <w:right w:w="28" w:type="dxa"/>
        </w:tblCellMar>
      </w:tblPr>
      <w:tblGrid>
        <w:gridCol w:w="5596"/>
        <w:gridCol w:w="146"/>
        <w:gridCol w:w="211"/>
        <w:gridCol w:w="841"/>
        <w:gridCol w:w="166"/>
        <w:gridCol w:w="146"/>
        <w:gridCol w:w="252"/>
        <w:gridCol w:w="1008"/>
        <w:gridCol w:w="61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48,822</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217,385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270,969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245,932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306,489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8,073</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Payable and accrued liabilities due to related party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28,325</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 xml:space="preserve">shares authorized </w:t>
              <w:br/>
              <w:t>     as of June 30, 2023 and December 31, 2022; 40,992,179</w:t>
            </w:r>
            <w:r>
              <w:rPr>
                <w:rFonts w:ascii="Times New Roman" w:hAnsi="Times New Roman"/>
                <w:sz w:val="20"/>
              </w:rPr>
              <w:t> </w:t>
            </w:r>
            <w:r>
              <w:rPr>
                <w:rFonts w:ascii="Times New Roman;serif" w:hAnsi="Times New Roman;serif"/>
                <w:b w:val="false"/>
                <w:sz w:val="20"/>
              </w:rPr>
              <w:t xml:space="preserve">and </w:t>
              <w:br/>
              <w:t>     40,861,386</w:t>
            </w:r>
            <w:r>
              <w:rPr>
                <w:rFonts w:ascii="Times New Roman" w:hAnsi="Times New Roman"/>
                <w:sz w:val="20"/>
              </w:rPr>
              <w:t> </w:t>
            </w:r>
            <w:r>
              <w:rPr>
                <w:rFonts w:ascii="Times New Roman;serif" w:hAnsi="Times New Roman;serif"/>
                <w:b w:val="false"/>
                <w:sz w:val="20"/>
              </w:rPr>
              <w:t>shares issued and outstanding as of June 30, 2023</w:t>
              <w:br/>
              <w:t>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589,735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(389,810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212,692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245,932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306,489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6" w:name="part1_item1_is"/>
      <w:bookmarkEnd w:id="6"/>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591" w:type="dxa"/>
            <w:tcBorders/>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43,821</w:t>
            </w:r>
          </w:p>
        </w:tc>
        <w:tc>
          <w:tcPr>
            <w:tcW w:w="591" w:type="dxa"/>
            <w:tcBorders/>
            <w:vAlign w:val="center"/>
          </w:tcPr>
          <w:p>
            <w:pPr>
              <w:pStyle w:val="TableContents"/>
              <w:bidi w:val="0"/>
              <w:spacing w:before="0" w:after="0"/>
              <w:ind w:left="0" w:right="0" w:firstLine="200"/>
              <w:jc w:val="lef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591" w:type="dxa"/>
            <w:tcBorders/>
            <w:vAlign w:val="center"/>
          </w:tcPr>
          <w:p>
            <w:pPr>
              <w:pStyle w:val="TableContents"/>
              <w:bidi w:val="0"/>
              <w:spacing w:before="0" w:after="0"/>
              <w:ind w:left="0" w:right="0" w:firstLine="200"/>
              <w:jc w:val="lef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(34,159</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(32,920</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(64,343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(57,453</w:t>
            </w:r>
          </w:p>
        </w:tc>
        <w:tc>
          <w:tcPr>
            <w:tcW w:w="5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of common stock used to </w:t>
              <w:br/>
              <w:t>    compute 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40,875,457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40,687,751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40,869,021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40,652,224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7" w:name="part1_item1_cl"/>
      <w:bookmarkEnd w:id="7"/>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jc w:val="center"/>
        <w:rPr/>
      </w:pPr>
      <w:r>
        <w:rPr/>
        <w:t> </w:t>
      </w:r>
    </w:p>
    <w:tbl>
      <w:tblPr>
        <w:tblW w:w="9882" w:type="dxa"/>
        <w:jc w:val="left"/>
        <w:tblInd w:w="0" w:type="dxa"/>
        <w:tblLayout w:type="fixed"/>
        <w:tblCellMar>
          <w:top w:w="28" w:type="dxa"/>
          <w:left w:w="28" w:type="dxa"/>
          <w:bottom w:w="28" w:type="dxa"/>
          <w:right w:w="28" w:type="dxa"/>
        </w:tblCellMar>
      </w:tblPr>
      <w:tblGrid>
        <w:gridCol w:w="4621"/>
        <w:gridCol w:w="146"/>
        <w:gridCol w:w="211"/>
        <w:gridCol w:w="736"/>
        <w:gridCol w:w="166"/>
        <w:gridCol w:w="146"/>
        <w:gridCol w:w="211"/>
        <w:gridCol w:w="736"/>
        <w:gridCol w:w="166"/>
        <w:gridCol w:w="146"/>
        <w:gridCol w:w="211"/>
        <w:gridCol w:w="736"/>
        <w:gridCol w:w="166"/>
        <w:gridCol w:w="146"/>
        <w:gridCol w:w="211"/>
        <w:gridCol w:w="736"/>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(57,453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 net of tax:</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6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(58,709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 w:hAnsi="Times New Roman"/>
          <w:sz w:val="20"/>
        </w:rPr>
      </w:pPr>
      <w:bookmarkStart w:id="8" w:name="part1_item1_se"/>
      <w:bookmarkEnd w:id="8"/>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55"/>
        <w:gridCol w:w="146"/>
        <w:gridCol w:w="146"/>
        <w:gridCol w:w="916"/>
        <w:gridCol w:w="146"/>
        <w:gridCol w:w="146"/>
        <w:gridCol w:w="249"/>
        <w:gridCol w:w="442"/>
        <w:gridCol w:w="146"/>
        <w:gridCol w:w="146"/>
        <w:gridCol w:w="196"/>
        <w:gridCol w:w="691"/>
        <w:gridCol w:w="146"/>
        <w:gridCol w:w="146"/>
        <w:gridCol w:w="316"/>
        <w:gridCol w:w="705"/>
        <w:gridCol w:w="166"/>
        <w:gridCol w:w="146"/>
        <w:gridCol w:w="217"/>
        <w:gridCol w:w="834"/>
        <w:gridCol w:w="166"/>
        <w:gridCol w:w="146"/>
        <w:gridCol w:w="237"/>
        <w:gridCol w:w="842"/>
        <w:gridCol w:w="413"/>
      </w:tblGrid>
      <w:tr>
        <w:trPr/>
        <w:tc>
          <w:tcPr>
            <w:tcW w:w="2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3" w:type="dxa"/>
            <w:tcBorders/>
            <w:vAlign w:val="center"/>
          </w:tcPr>
          <w:p>
            <w:pPr>
              <w:pStyle w:val="TableContents"/>
              <w:bidi w:val="0"/>
              <w:spacing w:before="0" w:after="0"/>
              <w:ind w:left="0" w:right="0" w:hanging="0"/>
              <w:jc w:val="center"/>
              <w:rPr/>
            </w:pPr>
            <w:r>
              <w:rPr/>
              <w:t> </w:t>
            </w:r>
          </w:p>
        </w:tc>
      </w:tr>
      <w:tr>
        <w:trPr/>
        <w:tc>
          <w:tcPr>
            <w:tcW w:w="23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40,861,386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263,464</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6,351</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gain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757</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(30,184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40,863,049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596,086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240,388</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6,237</w:t>
            </w:r>
          </w:p>
        </w:tc>
        <w:tc>
          <w:tcPr>
            <w:tcW w:w="413" w:type="dxa"/>
            <w:tcBorders/>
            <w:vAlign w:val="center"/>
          </w:tcPr>
          <w:p>
            <w:pPr>
              <w:pStyle w:val="TableContents"/>
              <w:bidi w:val="0"/>
              <w:spacing w:before="0" w:after="0"/>
              <w:ind w:left="0" w:right="0" w:firstLine="200"/>
              <w:jc w:val="left"/>
              <w:rPr/>
            </w:pPr>
            <w:r>
              <w:rPr/>
              <w:t> </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35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(34,159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40,992,179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602,773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(389,810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212,692</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53"/>
        <w:gridCol w:w="146"/>
        <w:gridCol w:w="146"/>
        <w:gridCol w:w="916"/>
        <w:gridCol w:w="146"/>
        <w:gridCol w:w="146"/>
        <w:gridCol w:w="249"/>
        <w:gridCol w:w="442"/>
        <w:gridCol w:w="146"/>
        <w:gridCol w:w="146"/>
        <w:gridCol w:w="196"/>
        <w:gridCol w:w="691"/>
        <w:gridCol w:w="146"/>
        <w:gridCol w:w="146"/>
        <w:gridCol w:w="260"/>
        <w:gridCol w:w="761"/>
        <w:gridCol w:w="166"/>
        <w:gridCol w:w="146"/>
        <w:gridCol w:w="217"/>
        <w:gridCol w:w="834"/>
        <w:gridCol w:w="166"/>
        <w:gridCol w:w="146"/>
        <w:gridCol w:w="238"/>
        <w:gridCol w:w="843"/>
        <w:gridCol w:w="4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3" w:type="dxa"/>
            <w:tcBorders/>
            <w:vAlign w:val="center"/>
          </w:tcPr>
          <w:p>
            <w:pPr>
              <w:pStyle w:val="TableContents"/>
              <w:bidi w:val="0"/>
              <w:spacing w:before="0" w:after="0"/>
              <w:ind w:left="0" w:right="0" w:hanging="0"/>
              <w:jc w:val="center"/>
              <w:rPr/>
            </w:pPr>
            <w:r>
              <w:rPr/>
              <w:t> </w:t>
            </w:r>
          </w:p>
        </w:tc>
      </w:tr>
      <w:tr>
        <w:trPr/>
        <w:tc>
          <w:tcPr>
            <w:tcW w:w="23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40,587,067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(201,985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363,049</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5,501</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(24,533</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40,656,632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570,679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(226,518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343,596</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5,836</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(32,920</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40,745,252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576,972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(259,438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316,319</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9" w:name="part1_item1_c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jc w:val="left"/>
        <w:rPr/>
      </w:pPr>
      <w:r>
        <w:rPr/>
        <w:t> </w:t>
      </w:r>
    </w:p>
    <w:tbl>
      <w:tblPr>
        <w:tblW w:w="8774" w:type="dxa"/>
        <w:jc w:val="left"/>
        <w:tblInd w:w="0" w:type="dxa"/>
        <w:tblLayout w:type="fixed"/>
        <w:tblCellMar>
          <w:top w:w="28" w:type="dxa"/>
          <w:left w:w="28" w:type="dxa"/>
          <w:bottom w:w="28" w:type="dxa"/>
          <w:right w:w="28" w:type="dxa"/>
        </w:tblCellMar>
      </w:tblPr>
      <w:tblGrid>
        <w:gridCol w:w="5611"/>
        <w:gridCol w:w="146"/>
        <w:gridCol w:w="196"/>
        <w:gridCol w:w="751"/>
        <w:gridCol w:w="166"/>
        <w:gridCol w:w="146"/>
        <w:gridCol w:w="196"/>
        <w:gridCol w:w="751"/>
        <w:gridCol w:w="8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811" w:type="dxa"/>
            <w:tcBorders/>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(57,453</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lease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514</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11,337</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amortization of premiums and accretion of discounts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term loan discount and issuance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5,116</w:t>
            </w:r>
          </w:p>
        </w:tc>
        <w:tc>
          <w:tcPr>
            <w:tcW w:w="811" w:type="dxa"/>
            <w:tcBorders/>
            <w:vAlign w:val="center"/>
          </w:tcPr>
          <w:p>
            <w:pPr>
              <w:pStyle w:val="TableContents"/>
              <w:bidi w:val="0"/>
              <w:spacing w:before="0" w:after="0"/>
              <w:ind w:left="0" w:right="0" w:firstLine="400"/>
              <w:jc w:val="lef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Payable and accrued liabilities due to related party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894</w:t>
            </w:r>
          </w:p>
        </w:tc>
        <w:tc>
          <w:tcPr>
            <w:tcW w:w="811" w:type="dxa"/>
            <w:tcBorders/>
            <w:vAlign w:val="center"/>
          </w:tcPr>
          <w:p>
            <w:pPr>
              <w:pStyle w:val="TableContents"/>
              <w:bidi w:val="0"/>
              <w:spacing w:before="0" w:after="0"/>
              <w:ind w:left="0" w:right="0" w:firstLine="400"/>
              <w:jc w:val="lef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2,761</w:t>
            </w:r>
          </w:p>
        </w:tc>
        <w:tc>
          <w:tcPr>
            <w:tcW w:w="811" w:type="dxa"/>
            <w:tcBorders/>
            <w:vAlign w:val="center"/>
          </w:tcPr>
          <w:p>
            <w:pPr>
              <w:pStyle w:val="TableContents"/>
              <w:bidi w:val="0"/>
              <w:spacing w:before="0" w:after="0"/>
              <w:ind w:left="0" w:right="0" w:firstLine="400"/>
              <w:jc w:val="lef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(37,672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(118,730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(279,207</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Maturities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(846</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48,508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(260,053</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exercise of stock options under equity incentive plan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340</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Principal payments on finance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502</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(297,223</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beginning of year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363,667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66,444</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 in 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Right-of-use asset acquired under operating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4,684</w:t>
            </w:r>
          </w:p>
        </w:tc>
        <w:tc>
          <w:tcPr>
            <w:tcW w:w="81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Reconciliation of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66,378</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Restricted cash (included in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66,444</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10" w:name="part1_item1_notes"/>
      <w:bookmarkEnd w:id="10"/>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240" w:after="0"/>
        <w:jc w:val="left"/>
        <w:rPr>
          <w:rFonts w:ascii="Times New Roman;serif" w:hAnsi="Times New Roman;serif"/>
          <w:b/>
          <w:sz w:val="20"/>
        </w:rPr>
      </w:pPr>
      <w:r>
        <w:rPr>
          <w:rFonts w:ascii="Times New Roman;serif" w:hAnsi="Times New Roman;serif"/>
          <w:b/>
          <w:sz w:val="20"/>
        </w:rPr>
        <w:t>(1) ORGANIZATION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Organization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ALX Oncology Holdings Inc., or the Company, was formed as a Delaware corporation on April 1, 2020, or date of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subsidiaries include: ALX Oncology Limited, incorporated in Ireland, and a wholly-owned subsidiary of ALX Oncology Holdings Inc.; ALX Oncology Inc., incorporated in Delaware, and a wholly-owned subsidiary of ALX Oncology Limited; and Alexo International Holdings Limited, incorporated in Malta, and a wholly-owned subsidiary of ALX Oncology Inc. (collectively, the Subsidiaries).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expects to incur additional losses in the future to conduct product candidate research and development and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twelve months after the filing date.</w:t>
      </w:r>
    </w:p>
    <w:p>
      <w:pPr>
        <w:pStyle w:val="TextBody"/>
        <w:bidi w:val="0"/>
        <w:spacing w:before="240" w:after="0"/>
        <w:jc w:val="left"/>
        <w:rPr>
          <w:rFonts w:ascii="Times New Roman;serif" w:hAnsi="Times New Roman;serif"/>
          <w:b/>
          <w:sz w:val="20"/>
        </w:rPr>
      </w:pPr>
      <w:r>
        <w:rPr>
          <w:rFonts w:ascii="Times New Roman;serif" w:hAnsi="Times New Roman;serif"/>
          <w:b/>
          <w:sz w:val="20"/>
        </w:rPr>
        <w:t>(2)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Preparation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2022 filed with the SEC on March 9,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condensed consolidated balance sheet as of June 30, 2023 included herein was derived from the audited financial statements as of that date, but does not include all disclosures including notes required by U.S. GAAP.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amounts in the prior period have been reclassified to conform to the current period presentation.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intercompany balances and transactions have been eliminated in consolidation.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or material changes to the significant accounting policies discussed in the Company’s Annual Report on Form 10-K for the year ended December 31, 2022.</w:t>
      </w:r>
    </w:p>
    <w:p>
      <w:pPr>
        <w:pStyle w:val="TextBody"/>
        <w:bidi w:val="0"/>
        <w:spacing w:before="120" w:after="0"/>
        <w:jc w:val="left"/>
        <w:rPr>
          <w:rFonts w:ascii="Times New Roman" w:hAnsi="Times New Roman"/>
          <w:sz w:val="20"/>
        </w:rPr>
      </w:pPr>
      <w:r>
        <w:rPr>
          <w:rFonts w:ascii="Times New Roman;serif" w:hAnsi="Times New Roman;serif"/>
          <w:b/>
          <w:i/>
          <w:sz w:val="20"/>
        </w:rPr>
        <w:t>Recent</w:t>
      </w:r>
      <w:r>
        <w:rPr>
          <w:rFonts w:ascii="Times New Roman" w:hAnsi="Times New Roman"/>
          <w:sz w:val="20"/>
        </w:rPr>
        <w:t xml:space="preserve"> </w:t>
      </w:r>
      <w:r>
        <w:rPr>
          <w:rFonts w:ascii="Times New Roman;serif" w:hAnsi="Times New Roman;serif"/>
          <w:b/>
          <w:i/>
          <w:sz w:val="20"/>
        </w:rPr>
        <w:t>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r>
        <w:rPr>
          <w:rFonts w:ascii="Times New Roman;serif" w:hAnsi="Times New Roman;serif"/>
          <w:b/>
          <w:sz w:val="20"/>
        </w:rPr>
        <w:t>(3) FAIR VALUE OF FINANCIAL INSTRUMENTS</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 Company’s financial assets and liabilities are determined in accordance with the fair value hierarchy established in ASC 820, Fair Value Measurements and Disclosures.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Company’s investments, which consist of cash equivalents and investments classified as available-for-sale investments, that are measured at fair value on a recurring basis by level within the fair value hierarchy as of June 30, 2023 and December 31, 2022 (in thousands):</w:t>
      </w:r>
    </w:p>
    <w:tbl>
      <w:tblPr>
        <w:tblW w:w="10205" w:type="dxa"/>
        <w:jc w:val="left"/>
        <w:tblInd w:w="0" w:type="dxa"/>
        <w:tblLayout w:type="fixed"/>
        <w:tblCellMar>
          <w:top w:w="28" w:type="dxa"/>
          <w:left w:w="28" w:type="dxa"/>
          <w:bottom w:w="28" w:type="dxa"/>
          <w:right w:w="28" w:type="dxa"/>
        </w:tblCellMar>
      </w:tblPr>
      <w:tblGrid>
        <w:gridCol w:w="2416"/>
        <w:gridCol w:w="146"/>
        <w:gridCol w:w="1012"/>
        <w:gridCol w:w="146"/>
        <w:gridCol w:w="275"/>
        <w:gridCol w:w="1028"/>
        <w:gridCol w:w="146"/>
        <w:gridCol w:w="146"/>
        <w:gridCol w:w="537"/>
        <w:gridCol w:w="882"/>
        <w:gridCol w:w="146"/>
        <w:gridCol w:w="146"/>
        <w:gridCol w:w="444"/>
        <w:gridCol w:w="1017"/>
        <w:gridCol w:w="166"/>
        <w:gridCol w:w="146"/>
        <w:gridCol w:w="215"/>
        <w:gridCol w:w="796"/>
        <w:gridCol w:w="395"/>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48"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br/>
              <w:t>Hierarchy</w:t>
              <w:b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32,052</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4,998</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77,350</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44,322</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12,543</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39,451</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8,781</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223,494</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16"/>
        <w:gridCol w:w="146"/>
        <w:gridCol w:w="1012"/>
        <w:gridCol w:w="146"/>
        <w:gridCol w:w="275"/>
        <w:gridCol w:w="1028"/>
        <w:gridCol w:w="146"/>
        <w:gridCol w:w="146"/>
        <w:gridCol w:w="537"/>
        <w:gridCol w:w="882"/>
        <w:gridCol w:w="146"/>
        <w:gridCol w:w="146"/>
        <w:gridCol w:w="444"/>
        <w:gridCol w:w="1017"/>
        <w:gridCol w:w="166"/>
        <w:gridCol w:w="146"/>
        <w:gridCol w:w="215"/>
        <w:gridCol w:w="796"/>
        <w:gridCol w:w="395"/>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48"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41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br/>
              <w:t>Hierarchy</w:t>
              <w:b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36,690</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72,623</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16,263</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55,951</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62,087</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10,461</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9,745</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275,103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fair value of cash equivalents and available-for-sale investments by classification included in the condensed consolidated balance sheets was as follows as of June 30, 2023 and December 31, 2022 (in thousands):</w:t>
      </w:r>
    </w:p>
    <w:tbl>
      <w:tblPr>
        <w:tblW w:w="5147"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68"/>
        <w:gridCol w:w="992"/>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40,174</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217,385</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223,494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Cash and cash equivalents in the above table excludes bank account cash of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$8.6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fair value of cash equivalents and available-for-sale investments by contractual maturity was as follows as of June 30, 2023 and December 31, 2022 (in thousands):</w:t>
      </w:r>
    </w:p>
    <w:tbl>
      <w:tblPr>
        <w:tblW w:w="64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Maturing in one year 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257,559</w:t>
            </w:r>
          </w:p>
        </w:tc>
        <w:tc>
          <w:tcPr>
            <w:tcW w:w="191"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Maturing after one year through five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223,494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of financial instruments between the fair value measurement levels during the three months and six months ended June 30, 2023 and 2022</w:t>
      </w:r>
      <w:r>
        <w:rPr>
          <w:rFonts w:ascii="Times New Roman" w:hAnsi="Times New Roman"/>
          <w:sz w:val="20"/>
        </w:rPr>
        <w:t xml:space="preserve"> </w:t>
      </w:r>
      <w:r>
        <w:rPr>
          <w:rFonts w:ascii="Times New Roman;serif" w:hAnsi="Times New Roman;serif"/>
          <w:b w:val="false"/>
          <w:sz w:val="20"/>
        </w:rPr>
        <w:t>and there were no</w:t>
      </w:r>
      <w:r>
        <w:rPr>
          <w:rFonts w:ascii="Times New Roman" w:hAnsi="Times New Roman"/>
          <w:sz w:val="20"/>
        </w:rPr>
        <w:t xml:space="preserve"> </w:t>
      </w:r>
      <w:r>
        <w:rPr>
          <w:rFonts w:ascii="Times New Roman;serif" w:hAnsi="Times New Roman;serif"/>
          <w:b w:val="false"/>
          <w:sz w:val="20"/>
        </w:rPr>
        <w:t>financial instruments classified as Level 3 as of June 30, 2023</w:t>
      </w:r>
      <w:r>
        <w:rPr>
          <w:rFonts w:ascii="Times New Roman" w:hAnsi="Times New Roman"/>
          <w:sz w:val="20"/>
        </w:rPr>
        <w:t xml:space="preserve"> </w:t>
      </w:r>
      <w:r>
        <w:rPr>
          <w:rFonts w:ascii="Times New Roman;serif" w:hAnsi="Times New Roman;serif"/>
          <w:b w:val="false"/>
          <w:sz w:val="20"/>
        </w:rPr>
        <w:t>and 2022.</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accrued interest receivable related to the Company’s investments of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 respectively, was included in prepaid expenses and other current assets</w:t>
      </w:r>
      <w:r>
        <w:rPr>
          <w:rFonts w:ascii="Times New Roman" w:hAnsi="Times New Roman"/>
          <w:sz w:val="20"/>
        </w:rPr>
        <w:t xml:space="preserve"> </w:t>
      </w:r>
      <w:r>
        <w:rPr>
          <w:rFonts w:ascii="Times New Roman;serif" w:hAnsi="Times New Roman;serif"/>
          <w:b w:val="false"/>
          <w:sz w:val="20"/>
        </w:rPr>
        <w:t>on the condensed consolidated balance sheet.</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June 30, 2023, no</w:t>
      </w:r>
      <w:r>
        <w:rPr>
          <w:rFonts w:ascii="Times New Roman" w:hAnsi="Times New Roman"/>
          <w:sz w:val="20"/>
        </w:rPr>
        <w:t xml:space="preserve"> </w:t>
      </w:r>
      <w:r>
        <w:rPr>
          <w:rFonts w:ascii="Times New Roman;serif" w:hAnsi="Times New Roman;serif"/>
          <w:b w:val="false"/>
          <w:sz w:val="20"/>
        </w:rPr>
        <w:t>allowance for credit losses for the Company’s investments was recorded. As of June 30, 2023 and December 31, 2022, securities with a fair value of $4.2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zero, respectively, were in a continuous net unrealized loss position for more than 12 months. As of June 30, 2023, the Company has not recognized any impairment losses on available-for-sale investments.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(4) BALANCE SHEET COMPONENTS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and Equipment, Net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components of property and equipment, net as of June 30, 2023 and December 31, 2022 (in thousands):</w:t>
      </w:r>
    </w:p>
    <w:tbl>
      <w:tblPr>
        <w:tblW w:w="5715" w:type="dxa"/>
        <w:jc w:val="left"/>
        <w:tblInd w:w="0" w:type="dxa"/>
        <w:tblLayout w:type="fixed"/>
        <w:tblCellMar>
          <w:top w:w="28" w:type="dxa"/>
          <w:left w:w="28" w:type="dxa"/>
          <w:bottom w:w="28" w:type="dxa"/>
          <w:right w:w="28" w:type="dxa"/>
        </w:tblCellMar>
      </w:tblPr>
      <w:tblGrid>
        <w:gridCol w:w="2776"/>
        <w:gridCol w:w="146"/>
        <w:gridCol w:w="218"/>
        <w:gridCol w:w="592"/>
        <w:gridCol w:w="166"/>
        <w:gridCol w:w="146"/>
        <w:gridCol w:w="339"/>
        <w:gridCol w:w="921"/>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411" w:type="dxa"/>
            <w:tcBorders/>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hardware and software</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gross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Depreciation was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June 30, 2023 and 2022, respectively. Depreciation was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Assets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components of other assets as of June 30, 2023 and December 31, 2022 (in thousands):</w:t>
      </w:r>
      <w:r>
        <w:rPr>
          <w:rFonts w:ascii="Times New Roman" w:hAnsi="Times New Roman"/>
          <w:sz w:val="20"/>
        </w:rPr>
        <w:t xml:space="preserve"> </w:t>
      </w:r>
    </w:p>
    <w:tbl>
      <w:tblPr>
        <w:tblW w:w="6997"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5,626</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prepaid clinical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7,264</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prepaid contract manufacturing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Accrued Expenses and Other Current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components of accrued expenses and other current liabilities as of June 30, 2023 and December 31, 2022 (in thousands):</w:t>
      </w:r>
    </w:p>
    <w:tbl>
      <w:tblPr>
        <w:tblW w:w="7237"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99"/>
        <w:gridCol w:w="961"/>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and nonclinical study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contract manufacturing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5,249</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(5) 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non-cancelable operating leases for its offices located in the U.S. As of June 30, 2023, these leases expire on various dates between 2026</w:t>
      </w:r>
      <w:r>
        <w:rPr>
          <w:rFonts w:ascii="Times New Roman;serif" w:hAnsi="Times New Roman;serif"/>
          <w:sz w:val="20"/>
        </w:rPr>
        <w:t xml:space="preserve"> </w:t>
      </w:r>
      <w:r>
        <w:rPr>
          <w:rFonts w:ascii="Times New Roman;serif" w:hAnsi="Times New Roman;serif"/>
          <w:b w:val="false"/>
          <w:sz w:val="20"/>
        </w:rPr>
        <w:t>and 2030.</w:t>
      </w:r>
      <w:r>
        <w:rPr>
          <w:rFonts w:ascii="Times New Roman" w:hAnsi="Times New Roman"/>
          <w:sz w:val="20"/>
        </w:rPr>
        <w:t xml:space="preserve"> </w:t>
      </w:r>
      <w:r>
        <w:rPr>
          <w:rFonts w:ascii="Times New Roman;serif" w:hAnsi="Times New Roman;serif"/>
          <w:b w:val="false"/>
          <w:sz w:val="20"/>
        </w:rPr>
        <w:t>Certain lease agreements include one or more options to renew, with renewal terms that can extend the lease up to two years</w:t>
      </w:r>
      <w:r>
        <w:rPr>
          <w:rFonts w:ascii="Times New Roman;serif" w:hAnsi="Times New Roman;serif"/>
          <w:sz w:val="20"/>
        </w:rPr>
        <w:t xml:space="preserve"> </w:t>
      </w:r>
      <w:r>
        <w:rPr>
          <w:rFonts w:ascii="Times New Roman;serif" w:hAnsi="Times New Roman;serif"/>
          <w:b w:val="false"/>
          <w:sz w:val="20"/>
        </w:rPr>
        <w:t>after expiration.</w:t>
      </w:r>
      <w:r>
        <w:rPr>
          <w:rFonts w:ascii="Times New Roman" w:hAnsi="Times New Roman"/>
          <w:sz w:val="20"/>
        </w:rPr>
        <w:t xml:space="preserve"> </w:t>
      </w:r>
      <w:r>
        <w:rPr>
          <w:rFonts w:ascii="Times New Roman;serif" w:hAnsi="Times New Roman;serif"/>
          <w:b w:val="false"/>
          <w:sz w:val="20"/>
        </w:rPr>
        <w:t>The Company has the right to exercise or forego the lease renewal options. The lease agreements do not contain any material residual value guarantees or material restrictive covenants.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maturities and balance sheet information of the Company’s operating lease liabilities as of June 30, 2023 (in thousands, except lease term and discount rate):</w:t>
      </w:r>
    </w:p>
    <w:tbl>
      <w:tblPr>
        <w:tblW w:w="5938" w:type="dxa"/>
        <w:jc w:val="left"/>
        <w:tblInd w:w="0" w:type="dxa"/>
        <w:tblLayout w:type="fixed"/>
        <w:tblCellMar>
          <w:top w:w="28" w:type="dxa"/>
          <w:left w:w="28" w:type="dxa"/>
          <w:bottom w:w="28" w:type="dxa"/>
          <w:right w:w="28" w:type="dxa"/>
        </w:tblCellMar>
      </w:tblPr>
      <w:tblGrid>
        <w:gridCol w:w="4111"/>
        <w:gridCol w:w="146"/>
        <w:gridCol w:w="341"/>
        <w:gridCol w:w="1024"/>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7,360</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Lease liabilities: current</w:t>
            </w:r>
            <w:r>
              <w:rPr>
                <w:rFonts w:ascii="Times New Roman" w:hAnsi="Times New Roman"/>
                <w:sz w:val="20"/>
              </w:rPr>
              <w:t xml:space="preserve"> </w:t>
            </w:r>
            <w:r>
              <w:rPr>
                <w:rFonts w:ascii="Times New Roman;serif" w:hAnsi="Times New Roman;serif"/>
                <w:b w:val="false"/>
                <w:sz w:val="13"/>
              </w:rPr>
              <w:t>(i)</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Lease liabilities: non-current</w:t>
            </w:r>
            <w:r>
              <w:rPr>
                <w:rFonts w:ascii="Times New Roman" w:hAnsi="Times New Roman"/>
                <w:sz w:val="20"/>
              </w:rPr>
              <w:t xml:space="preserve"> </w:t>
            </w:r>
            <w:r>
              <w:rPr>
                <w:rFonts w:ascii="Times New Roman;serif" w:hAnsi="Times New Roman;serif"/>
                <w:b w:val="false"/>
                <w:sz w:val="13"/>
              </w:rPr>
              <w:t>(ii)</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18"/>
        </w:rPr>
      </w:pPr>
      <w:r>
        <w:rPr>
          <w:rFonts w:ascii="Times New Roman" w:hAnsi="Times New Roman"/>
          <w:b w:val="false"/>
          <w:sz w:val="18"/>
        </w:rPr>
        <w:t>(i)</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Current lease liabilities are presented within accrued expenses and other current liabilities on the condensed consolidated balance sheets.</w:t>
      </w:r>
    </w:p>
    <w:p>
      <w:pPr>
        <w:pStyle w:val="TextBody"/>
        <w:bidi w:val="0"/>
        <w:spacing w:before="120" w:after="0"/>
        <w:jc w:val="left"/>
        <w:rPr>
          <w:rFonts w:ascii="Times New Roman" w:hAnsi="Times New Roman"/>
          <w:b w:val="false"/>
          <w:sz w:val="18"/>
        </w:rPr>
      </w:pPr>
      <w:r>
        <w:rPr>
          <w:rFonts w:ascii="Times New Roman" w:hAnsi="Times New Roman"/>
          <w:b w:val="false"/>
          <w:sz w:val="18"/>
        </w:rPr>
        <w:t>(ii)</w:t>
      </w:r>
    </w:p>
    <w:p>
      <w:pPr>
        <w:pStyle w:val="TextBody"/>
        <w:bidi w:val="0"/>
        <w:spacing w:before="120" w:after="283"/>
        <w:jc w:val="left"/>
        <w:rPr>
          <w:rFonts w:ascii="Times New Roman;serif" w:hAnsi="Times New Roman;serif"/>
          <w:b w:val="false"/>
          <w:sz w:val="18"/>
        </w:rPr>
      </w:pPr>
      <w:r>
        <w:rPr>
          <w:rFonts w:ascii="Times New Roman;serif" w:hAnsi="Times New Roman;serif"/>
          <w:b w:val="false"/>
          <w:sz w:val="18"/>
        </w:rPr>
        <w:t>Non-current lease liabilities are presented within other non-current liabilities on the condensed consolidated balance sheets.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components of lease costs for the three months and six months ended June 30, 2023 and 2022 (in thousands):</w:t>
      </w:r>
      <w:r>
        <w:rPr>
          <w:rFonts w:ascii="Times New Roman" w:hAnsi="Times New Roman"/>
          <w:sz w:val="20"/>
        </w:rPr>
        <w:t xml:space="preserve"> </w:t>
      </w:r>
    </w:p>
    <w:tbl>
      <w:tblPr>
        <w:tblW w:w="7380" w:type="dxa"/>
        <w:jc w:val="left"/>
        <w:tblInd w:w="0" w:type="dxa"/>
        <w:tblLayout w:type="fixed"/>
        <w:tblCellMar>
          <w:top w:w="28" w:type="dxa"/>
          <w:left w:w="28" w:type="dxa"/>
          <w:bottom w:w="28" w:type="dxa"/>
          <w:right w:w="28" w:type="dxa"/>
        </w:tblCellMar>
      </w:tblPr>
      <w:tblGrid>
        <w:gridCol w:w="2971"/>
        <w:gridCol w:w="146"/>
        <w:gridCol w:w="254"/>
        <w:gridCol w:w="507"/>
        <w:gridCol w:w="176"/>
        <w:gridCol w:w="176"/>
        <w:gridCol w:w="254"/>
        <w:gridCol w:w="507"/>
        <w:gridCol w:w="146"/>
        <w:gridCol w:w="146"/>
        <w:gridCol w:w="211"/>
        <w:gridCol w:w="571"/>
        <w:gridCol w:w="146"/>
        <w:gridCol w:w="146"/>
        <w:gridCol w:w="211"/>
        <w:gridCol w:w="42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Variable lease cost and other, net </w:t>
            </w:r>
            <w:r>
              <w:rPr>
                <w:rFonts w:ascii="Times New Roman;serif" w:hAnsi="Times New Roman;serif"/>
                <w:b w:val="false"/>
                <w:sz w:val="13"/>
              </w:rPr>
              <w:t>(i)</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right-of-use assets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3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18"/>
        </w:rPr>
      </w:pPr>
      <w:r>
        <w:rPr>
          <w:rFonts w:ascii="Times New Roman" w:hAnsi="Times New Roman"/>
          <w:b w:val="false"/>
          <w:sz w:val="18"/>
        </w:rPr>
        <w:t>(i)</w:t>
      </w:r>
    </w:p>
    <w:p>
      <w:pPr>
        <w:pStyle w:val="TextBody"/>
        <w:bidi w:val="0"/>
        <w:jc w:val="left"/>
        <w:rPr>
          <w:rFonts w:ascii="Times New Roman;serif" w:hAnsi="Times New Roman;serif"/>
          <w:b w:val="false"/>
          <w:sz w:val="18"/>
        </w:rPr>
      </w:pPr>
      <w:r>
        <w:rPr>
          <w:rFonts w:ascii="Times New Roman;serif" w:hAnsi="Times New Roman;serif"/>
          <w:b w:val="false"/>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supplemental cash flow disclosures for cash paid for leases for the six months ended June 30, 2023 and 2022 (in thousands):</w:t>
      </w:r>
    </w:p>
    <w:tbl>
      <w:tblPr>
        <w:tblW w:w="8109" w:type="dxa"/>
        <w:jc w:val="left"/>
        <w:tblInd w:w="0" w:type="dxa"/>
        <w:tblLayout w:type="fixed"/>
        <w:tblCellMar>
          <w:top w:w="28" w:type="dxa"/>
          <w:left w:w="28" w:type="dxa"/>
          <w:bottom w:w="28" w:type="dxa"/>
          <w:right w:w="28" w:type="dxa"/>
        </w:tblCellMar>
      </w:tblPr>
      <w:tblGrid>
        <w:gridCol w:w="5866"/>
        <w:gridCol w:w="146"/>
        <w:gridCol w:w="211"/>
        <w:gridCol w:w="42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9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 acquired under leases</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4,684</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(6) TERM LOAN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Oxford Finance and Silicon Valley Bank Loan</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the Company entered into a loan and security agreement, or the Loan Agreement, with Oxford Finance LLC, Oxford Finance Credit Fund II LP, and Silicon Valley Bank, or SVB, collectively the Lenders, for a secured term loan facility of up to $100.0</w:t>
      </w:r>
      <w:r>
        <w:rPr>
          <w:rFonts w:ascii="Times New Roman" w:hAnsi="Times New Roman"/>
          <w:sz w:val="20"/>
        </w:rPr>
        <w:t xml:space="preserve"> </w:t>
      </w:r>
      <w:r>
        <w:rPr>
          <w:rFonts w:ascii="Times New Roman;serif" w:hAnsi="Times New Roman;serif"/>
          <w:b w:val="false"/>
          <w:sz w:val="20"/>
        </w:rPr>
        <w:t>million. Pursuant to the Loan Agreement, the Company drew an initial loan of $10.0</w:t>
      </w:r>
      <w:r>
        <w:rPr>
          <w:rFonts w:ascii="Times New Roman" w:hAnsi="Times New Roman"/>
          <w:sz w:val="20"/>
        </w:rPr>
        <w:t xml:space="preserve"> </w:t>
      </w:r>
      <w:r>
        <w:rPr>
          <w:rFonts w:ascii="Times New Roman;serif" w:hAnsi="Times New Roman;serif"/>
          <w:b w:val="false"/>
          <w:sz w:val="20"/>
        </w:rPr>
        <w:t>million and has access to draw an additional $40.0</w:t>
      </w:r>
      <w:r>
        <w:rPr>
          <w:rFonts w:ascii="Times New Roman" w:hAnsi="Times New Roman"/>
          <w:sz w:val="20"/>
        </w:rPr>
        <w:t xml:space="preserve"> </w:t>
      </w:r>
      <w:r>
        <w:rPr>
          <w:rFonts w:ascii="Times New Roman;serif" w:hAnsi="Times New Roman;serif"/>
          <w:b w:val="false"/>
          <w:sz w:val="20"/>
        </w:rPr>
        <w:t>million through the end of 2023. The Loan Agreement provides for an additional $50.0</w:t>
      </w:r>
      <w:r>
        <w:rPr>
          <w:rFonts w:ascii="Times New Roman" w:hAnsi="Times New Roman"/>
          <w:sz w:val="20"/>
        </w:rPr>
        <w:t xml:space="preserve"> </w:t>
      </w:r>
      <w:r>
        <w:rPr>
          <w:rFonts w:ascii="Times New Roman;serif" w:hAnsi="Times New Roman;serif"/>
          <w:b w:val="false"/>
          <w:sz w:val="20"/>
        </w:rPr>
        <w:t>million over three tranches, with $12.5</w:t>
      </w:r>
      <w:r>
        <w:rPr>
          <w:rFonts w:ascii="Times New Roman" w:hAnsi="Times New Roman"/>
          <w:sz w:val="20"/>
        </w:rPr>
        <w:t xml:space="preserve"> </w:t>
      </w:r>
      <w:r>
        <w:rPr>
          <w:rFonts w:ascii="Times New Roman;serif" w:hAnsi="Times New Roman;serif"/>
          <w:b w:val="false"/>
          <w:sz w:val="20"/>
        </w:rPr>
        <w:t>million available in each of two tranches based upon the achievement of milestones related to the development of evorpacept and one preclinical product candidate, and $25.0</w:t>
      </w:r>
      <w:r>
        <w:rPr>
          <w:rFonts w:ascii="Times New Roman" w:hAnsi="Times New Roman"/>
          <w:sz w:val="20"/>
        </w:rPr>
        <w:t xml:space="preserve"> </w:t>
      </w:r>
      <w:r>
        <w:rPr>
          <w:rFonts w:ascii="Times New Roman;serif" w:hAnsi="Times New Roman;serif"/>
          <w:b w:val="false"/>
          <w:sz w:val="20"/>
        </w:rPr>
        <w:t>million at the Lenders’ sole discretion. The proceeds of the loans may be used by the Company for working capital and to fund its general business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 information regarding our indebtedness is included in our notes to our consolidated financial statements in our Annual Report on Form 10-K for the fiscal year ended December 31, 2022, which was filed with the SEC on March 9, 2023.</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received net proceeds from issuance of the term loan of $9.3</w:t>
      </w:r>
      <w:r>
        <w:rPr>
          <w:rFonts w:ascii="Times New Roman" w:hAnsi="Times New Roman"/>
          <w:sz w:val="20"/>
        </w:rPr>
        <w:t xml:space="preserve"> </w:t>
      </w:r>
      <w:r>
        <w:rPr>
          <w:rFonts w:ascii="Times New Roman;serif" w:hAnsi="Times New Roman;serif"/>
          <w:b w:val="false"/>
          <w:sz w:val="20"/>
        </w:rPr>
        <w:t>million after deducting debt issuance costs of approximately $0.7</w:t>
      </w:r>
      <w:r>
        <w:rPr>
          <w:rFonts w:ascii="Times New Roman" w:hAnsi="Times New Roman"/>
          <w:sz w:val="20"/>
        </w:rPr>
        <w:t xml:space="preserve"> </w:t>
      </w:r>
      <w:r>
        <w:rPr>
          <w:rFonts w:ascii="Times New Roman;serif" w:hAnsi="Times New Roman;serif"/>
          <w:b w:val="false"/>
          <w:sz w:val="20"/>
        </w:rPr>
        <w:t>million. Debt issuance costs were recorded as debt discount on the term loan, offsetting term loan, non-current on the consolidated balance sheet. The debt discount will be amortized over the term of the loan as interest expense using the effective interest method. During the three months and six months ended June 30, 2023, interest expense incurred in connection with the Loan Agreement was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$0.6</w:t>
      </w:r>
      <w:r>
        <w:rPr>
          <w:rFonts w:ascii="Times New Roman" w:hAnsi="Times New Roman"/>
          <w:sz w:val="20"/>
        </w:rPr>
        <w:t xml:space="preserve"> </w:t>
      </w:r>
      <w:r>
        <w:rPr>
          <w:rFonts w:ascii="Times New Roman;serif" w:hAnsi="Times New Roman;serif"/>
          <w:b w:val="false"/>
          <w:sz w:val="20"/>
        </w:rPr>
        <w:t>million, respectively. We had no</w:t>
      </w:r>
      <w:r>
        <w:rPr>
          <w:rFonts w:ascii="Times New Roman" w:hAnsi="Times New Roman"/>
          <w:sz w:val="20"/>
        </w:rPr>
        <w:t xml:space="preserve"> </w:t>
      </w:r>
      <w:r>
        <w:rPr>
          <w:rFonts w:ascii="Times New Roman;serif" w:hAnsi="Times New Roman;serif"/>
          <w:b w:val="false"/>
          <w:sz w:val="20"/>
        </w:rPr>
        <w:t>outstanding debt as of June 30, 2022</w:t>
      </w:r>
      <w:r>
        <w:rPr>
          <w:rFonts w:ascii="Times New Roman" w:hAnsi="Times New Roman"/>
          <w:sz w:val="20"/>
        </w:rPr>
        <w:t xml:space="preserve"> </w:t>
      </w:r>
      <w:r>
        <w:rPr>
          <w:rFonts w:ascii="Times New Roman;serif" w:hAnsi="Times New Roman;serif"/>
          <w:b w:val="false"/>
          <w:sz w:val="20"/>
        </w:rPr>
        <w:t>and did not incur interest expense during the three months and six months ended June 30,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June 30, 2023, the value of the embedded derivative is not material, but could become material in future periods if an event of default became more probable than is currently estimated. As of June 30, 2023, we were in compliance with all financial reporting covenants under the Loan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10, 2023,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w:t>
      </w:r>
      <w:r>
        <w:rPr>
          <w:rFonts w:ascii="Times New Roman" w:hAnsi="Times New Roman"/>
          <w:sz w:val="20"/>
        </w:rPr>
        <w:t xml:space="preserve"> </w:t>
      </w:r>
      <w:r>
        <w:rPr>
          <w:rFonts w:ascii="Times New Roman;serif" w:hAnsi="Times New Roman;serif"/>
          <w:b w:val="false"/>
          <w:sz w:val="20"/>
        </w:rPr>
        <w:t>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31, 2023, we entered into a second amendment to the Loan Agreement. The primary purpose of the second amendment was to reduce the percentage of the amount required to be held in our collateral account with SVB from 100% to not less than 50% of the aggregate dollar value of all our collateral accounts.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 future maturities under the Loan Agreement are as follows (in thousands):</w:t>
      </w:r>
    </w:p>
    <w:p>
      <w:pPr>
        <w:pStyle w:val="TextBody"/>
        <w:bidi w:val="0"/>
        <w:spacing w:before="0" w:after="0"/>
        <w:jc w:val="left"/>
        <w:rPr/>
      </w:pPr>
      <w:r>
        <w:rPr/>
        <w:t> </w:t>
      </w:r>
    </w:p>
    <w:tbl>
      <w:tblPr>
        <w:tblW w:w="4828" w:type="dxa"/>
        <w:jc w:val="left"/>
        <w:tblInd w:w="0" w:type="dxa"/>
        <w:tblLayout w:type="fixed"/>
        <w:tblCellMar>
          <w:top w:w="28" w:type="dxa"/>
          <w:left w:w="28" w:type="dxa"/>
          <w:bottom w:w="28" w:type="dxa"/>
          <w:right w:w="28" w:type="dxa"/>
        </w:tblCellMar>
      </w:tblPr>
      <w:tblGrid>
        <w:gridCol w:w="3196"/>
        <w:gridCol w:w="146"/>
        <w:gridCol w:w="303"/>
        <w:gridCol w:w="972"/>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5,217</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maturities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10,600</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term loan</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term loan, net of current portion</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10,600</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issuance costs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unaccreted final payment costs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non-current, net</w:t>
            </w:r>
          </w:p>
        </w:tc>
        <w:tc>
          <w:tcPr>
            <w:tcW w:w="146" w:type="dxa"/>
            <w:tcBorders/>
            <w:vAlign w:val="center"/>
          </w:tcPr>
          <w:p>
            <w:pPr>
              <w:pStyle w:val="TableContents"/>
              <w:bidi w:val="0"/>
              <w:spacing w:before="0" w:after="0"/>
              <w:ind w:left="0" w:right="0" w:hanging="0"/>
              <w:jc w:val="righ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(7) 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On July 21, 2020, the Company’s amended and restated certificate of incorporation became effective, authorizing 1,000,000,000</w:t>
      </w:r>
      <w:r>
        <w:rPr>
          <w:rFonts w:ascii="Times New Roman" w:hAnsi="Times New Roman"/>
          <w:sz w:val="20"/>
        </w:rPr>
        <w:t xml:space="preserve"> </w:t>
      </w:r>
      <w:r>
        <w:rPr>
          <w:rFonts w:ascii="Times New Roman;serif" w:hAnsi="Times New Roman;serif"/>
          <w:b w:val="false"/>
          <w:sz w:val="20"/>
        </w:rPr>
        <w:t>shares of common stock, $0.001</w:t>
      </w:r>
      <w:r>
        <w:rPr>
          <w:rFonts w:ascii="Times New Roman" w:hAnsi="Times New Roman"/>
          <w:sz w:val="20"/>
        </w:rPr>
        <w:t xml:space="preserve"> </w:t>
      </w:r>
      <w:r>
        <w:rPr>
          <w:rFonts w:ascii="Times New Roman;serif" w:hAnsi="Times New Roman;serif"/>
          <w:b w:val="false"/>
          <w:sz w:val="20"/>
        </w:rPr>
        <w:t>par value per share, and 100,000,000</w:t>
      </w:r>
      <w:r>
        <w:rPr>
          <w:rFonts w:ascii="Times New Roman" w:hAnsi="Times New Roman"/>
          <w:sz w:val="20"/>
        </w:rPr>
        <w:t xml:space="preserve"> </w:t>
      </w:r>
      <w:r>
        <w:rPr>
          <w:rFonts w:ascii="Times New Roman;serif" w:hAnsi="Times New Roman;serif"/>
          <w:b w:val="false"/>
          <w:sz w:val="20"/>
        </w:rPr>
        <w:t>shares of undesignated preferred stock, $0.001</w:t>
      </w:r>
      <w:r>
        <w:rPr>
          <w:rFonts w:ascii="Times New Roman" w:hAnsi="Times New Roman"/>
          <w:sz w:val="20"/>
        </w:rPr>
        <w:t xml:space="preserve"> </w:t>
      </w:r>
      <w:r>
        <w:rPr>
          <w:rFonts w:ascii="Times New Roman;serif" w:hAnsi="Times New Roman;serif"/>
          <w:b w:val="false"/>
          <w:sz w:val="20"/>
        </w:rPr>
        <w:t>par value per share. As of June 30, 2023 and December 31, 2022, the Company had 40,992,179</w:t>
      </w:r>
      <w:r>
        <w:rPr>
          <w:rFonts w:ascii="Times New Roman" w:hAnsi="Times New Roman"/>
          <w:sz w:val="20"/>
        </w:rPr>
        <w:t xml:space="preserve"> </w:t>
      </w:r>
      <w:r>
        <w:rPr>
          <w:rFonts w:ascii="Times New Roman;serif" w:hAnsi="Times New Roman;serif"/>
          <w:b w:val="false"/>
          <w:sz w:val="20"/>
        </w:rPr>
        <w:t>and 40,861,386</w:t>
      </w:r>
      <w:r>
        <w:rPr>
          <w:rFonts w:ascii="Times New Roman" w:hAnsi="Times New Roman"/>
          <w:sz w:val="20"/>
        </w:rPr>
        <w:t xml:space="preserve"> </w:t>
      </w:r>
      <w:r>
        <w:rPr>
          <w:rFonts w:ascii="Times New Roman;serif" w:hAnsi="Times New Roman;serif"/>
          <w:b w:val="false"/>
          <w:sz w:val="20"/>
        </w:rPr>
        <w:t>shares of common stock outstanding, respectively.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Common stock reserved for future issuance as of June 30, 2023 consists of the following:</w:t>
      </w:r>
    </w:p>
    <w:tbl>
      <w:tblPr>
        <w:tblW w:w="7277" w:type="dxa"/>
        <w:jc w:val="left"/>
        <w:tblInd w:w="0" w:type="dxa"/>
        <w:tblLayout w:type="fixed"/>
        <w:tblCellMar>
          <w:top w:w="28" w:type="dxa"/>
          <w:left w:w="28" w:type="dxa"/>
          <w:bottom w:w="28" w:type="dxa"/>
          <w:right w:w="28" w:type="dxa"/>
        </w:tblCellMar>
      </w:tblPr>
      <w:tblGrid>
        <w:gridCol w:w="5611"/>
        <w:gridCol w:w="157"/>
        <w:gridCol w:w="1118"/>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57"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6,648,245</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authorized for future issuance</w:t>
            </w:r>
          </w:p>
        </w:tc>
        <w:tc>
          <w:tcPr>
            <w:tcW w:w="157"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4,143,116</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 shares authorized for future issuance</w:t>
            </w:r>
          </w:p>
        </w:tc>
        <w:tc>
          <w:tcPr>
            <w:tcW w:w="157"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1,095,066</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issued and outstanding</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714,705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12,601,132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(8)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Amended and Restated 2020 Equity Incentive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2023, the number of shares available under the 2020 Plan was increased by 1,634,456</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Company’s 2020 Employee Stock Purchase Plan, or the ESPP, eligible employees are entitled to purchase shares of common stock with accumulated payroll deductions.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Total stock-based compensation expense recognized in the condensed consolidated statements of operations was as follows (in thousands):</w:t>
      </w:r>
    </w:p>
    <w:tbl>
      <w:tblPr>
        <w:tblW w:w="706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(9) RELATED-PARTY TRANSACTIONS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several related-party agreements with Tallac Therapeutics, Inc., or Tallac. The details of these agreements are described in our notes to our consolidated financial statements in our Annual Report on Form 10-K for the fiscal year ended December 31, 2022, which was filed with the SEC on March 9, 2023. During the three months and six months ended June 30, 2023, there were no material changes to these agreements.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Tallac Service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each of the three months ended June 30, 2023 and 2022, the Company recorded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research and development, or R&amp;D, costs in relation to the research and development services agreement with Tallac, or the Tallac Services Agreement. During the six months ended June 30, 2023 and 2022, the Company recorded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 respectively, as R&amp;D costs in relation to the Tallac Services Agreement.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Tallac Collaboration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and 2022, the Company recorded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$2.5</w:t>
      </w:r>
      <w:r>
        <w:rPr>
          <w:rFonts w:ascii="Times New Roman" w:hAnsi="Times New Roman"/>
          <w:sz w:val="20"/>
        </w:rPr>
        <w:t xml:space="preserve"> </w:t>
      </w:r>
      <w:r>
        <w:rPr>
          <w:rFonts w:ascii="Times New Roman;serif" w:hAnsi="Times New Roman;serif"/>
          <w:b w:val="false"/>
          <w:sz w:val="20"/>
        </w:rPr>
        <w:t>million, respectively, as R&amp;D costs in relation to the collaboration agreement with Tallac, or the Tallac Collaboration Agreement. During the six months ended June 30, 2023 and 2022, the Company recorded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$3.7</w:t>
      </w:r>
      <w:r>
        <w:rPr>
          <w:rFonts w:ascii="Times New Roman" w:hAnsi="Times New Roman"/>
          <w:sz w:val="20"/>
        </w:rPr>
        <w:t xml:space="preserve"> </w:t>
      </w:r>
      <w:r>
        <w:rPr>
          <w:rFonts w:ascii="Times New Roman;serif" w:hAnsi="Times New Roman;serif"/>
          <w:b w:val="false"/>
          <w:sz w:val="20"/>
        </w:rPr>
        <w:t>million, respectively, as R&amp;D costs in relation to the Tallac Collaboration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had accrued expenses</w:t>
      </w:r>
      <w:r>
        <w:rPr>
          <w:rFonts w:ascii="Times New Roman" w:hAnsi="Times New Roman"/>
          <w:sz w:val="20"/>
        </w:rPr>
        <w:t xml:space="preserve"> </w:t>
      </w:r>
      <w:r>
        <w:rPr>
          <w:rFonts w:ascii="Times New Roman;serif" w:hAnsi="Times New Roman;serif"/>
          <w:b w:val="false"/>
          <w:sz w:val="20"/>
        </w:rPr>
        <w:t>of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w:t>
      </w:r>
      <w:r>
        <w:rPr>
          <w:rFonts w:ascii="Times New Roman" w:hAnsi="Times New Roman"/>
          <w:sz w:val="20"/>
        </w:rPr>
        <w:t xml:space="preserve"> </w:t>
      </w:r>
      <w:r>
        <w:rPr>
          <w:rFonts w:ascii="Times New Roman;serif" w:hAnsi="Times New Roman;serif"/>
          <w:b w:val="false"/>
          <w:sz w:val="20"/>
        </w:rPr>
        <w:t>million, respectively, related to the Tallac Collaboration Agreement, which was presented within the payable and accrued liabilities due to related party on the condensed consolidated balance sheets.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Sub-lease Agreement with Tallac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leases office space in Burlingame, California under a single operating sub-lease agreement with Tallac. Refer to Note 5 “Leases” for additional discussion.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(10) NET LOSS PER SHARE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the basic and diluted net loss per share for the three months and six months ended June 30, 2023 and 2022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(57,453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of common stock outstanding,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40,875,457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40,687,751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40,869,021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40,652,224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Since the Company was in a loss position for all periods presented, basic net loss per share is the same as diluted net loss per share for all periods presented as the inclusion of all potential common stock outstanding would have been anti-dilutive.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outstanding potentially dilutive securities were excluded from the computation of diluted net loss per share for the three months and six months ended June 30, 2023 and 2022 because including them would have been anti-dilutive:</w:t>
      </w:r>
    </w:p>
    <w:tbl>
      <w:tblPr>
        <w:tblW w:w="7781" w:type="dxa"/>
        <w:jc w:val="left"/>
        <w:tblInd w:w="0" w:type="dxa"/>
        <w:tblLayout w:type="fixed"/>
        <w:tblCellMar>
          <w:top w:w="28" w:type="dxa"/>
          <w:left w:w="28" w:type="dxa"/>
          <w:bottom w:w="28" w:type="dxa"/>
          <w:right w:w="28" w:type="dxa"/>
        </w:tblCellMar>
      </w:tblPr>
      <w:tblGrid>
        <w:gridCol w:w="4696"/>
        <w:gridCol w:w="146"/>
        <w:gridCol w:w="152"/>
        <w:gridCol w:w="970"/>
        <w:gridCol w:w="152"/>
        <w:gridCol w:w="152"/>
        <w:gridCol w:w="152"/>
        <w:gridCol w:w="970"/>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8"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and Six Months Ended</w:t>
            </w:r>
          </w:p>
        </w:tc>
        <w:tc>
          <w:tcPr>
            <w:tcW w:w="391" w:type="dxa"/>
            <w:tcBorders/>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1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46"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6,648,245</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5,231,363</w:t>
            </w:r>
          </w:p>
        </w:tc>
        <w:tc>
          <w:tcPr>
            <w:tcW w:w="391"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issued and outstanding</w:t>
            </w:r>
          </w:p>
        </w:tc>
        <w:tc>
          <w:tcPr>
            <w:tcW w:w="146"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714,705</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493,562</w:t>
            </w:r>
          </w:p>
        </w:tc>
        <w:tc>
          <w:tcPr>
            <w:tcW w:w="391"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 estimated shares issuable</w:t>
            </w:r>
          </w:p>
        </w:tc>
        <w:tc>
          <w:tcPr>
            <w:tcW w:w="146" w:type="dxa"/>
            <w:tcBorders/>
            <w:vAlign w:val="center"/>
          </w:tcPr>
          <w:p>
            <w:pPr>
              <w:pStyle w:val="TableContents"/>
              <w:bidi w:val="0"/>
              <w:spacing w:before="0" w:after="0"/>
              <w:ind w:left="0" w:right="0" w:hanging="0"/>
              <w:jc w:val="right"/>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7,362,950</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5,724,925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(11)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Guarantees and Indemnifications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Contingencies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June 30, 2023, the Company had no</w:t>
      </w:r>
      <w:r>
        <w:rPr>
          <w:rFonts w:ascii="Times New Roman" w:hAnsi="Times New Roman"/>
          <w:sz w:val="20"/>
        </w:rPr>
        <w:t xml:space="preserve"> </w:t>
      </w:r>
      <w:r>
        <w:rPr>
          <w:rFonts w:ascii="Times New Roman;serif" w:hAnsi="Times New Roman;serif"/>
          <w:b w:val="false"/>
          <w:sz w:val="20"/>
        </w:rPr>
        <w:t>pending or threatened litigation.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Contractual Obligations and Other Commitments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other contractual obligations and other commitments from manufacturing and service contracts, which are presented as follows as of June 30, 2023 (in thousands):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2793"/>
        <w:gridCol w:w="146"/>
        <w:gridCol w:w="211"/>
        <w:gridCol w:w="676"/>
        <w:gridCol w:w="146"/>
        <w:gridCol w:w="146"/>
        <w:gridCol w:w="450"/>
        <w:gridCol w:w="1441"/>
        <w:gridCol w:w="146"/>
        <w:gridCol w:w="146"/>
        <w:gridCol w:w="261"/>
        <w:gridCol w:w="707"/>
        <w:gridCol w:w="146"/>
        <w:gridCol w:w="146"/>
        <w:gridCol w:w="373"/>
        <w:gridCol w:w="563"/>
        <w:gridCol w:w="146"/>
        <w:gridCol w:w="146"/>
        <w:gridCol w:w="386"/>
        <w:gridCol w:w="635"/>
        <w:gridCol w:w="395"/>
      </w:tblGrid>
      <w:tr>
        <w:trPr/>
        <w:tc>
          <w:tcPr>
            <w:tcW w:w="2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7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br/>
              <w:t>(remaining six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2024-2025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2026-2027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Thereafter</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and service contracts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9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w:t>
      </w:r>
      <w:r>
        <w:rPr>
          <w:rFonts w:ascii="Times New Roman" w:hAnsi="Times New Roman"/>
          <w:sz w:val="20"/>
        </w:rPr>
        <w:t xml:space="preserve"> </w:t>
      </w:r>
      <w:r>
        <w:rPr>
          <w:rFonts w:ascii="Times New Roman;serif" w:hAnsi="Times New Roman;serif"/>
          <w:b w:val="false"/>
          <w:sz w:val="20"/>
        </w:rPr>
        <w:t>with successive one-year</w:t>
      </w:r>
      <w:r>
        <w:rPr>
          <w:rFonts w:ascii="Times New Roman" w:hAnsi="Times New Roman"/>
          <w:sz w:val="20"/>
        </w:rPr>
        <w:t xml:space="preserve"> </w:t>
      </w:r>
      <w:r>
        <w:rPr>
          <w:rFonts w:ascii="Times New Roman;serif" w:hAnsi="Times New Roman;serif"/>
          <w:b w:val="false"/>
          <w:sz w:val="20"/>
        </w:rPr>
        <w:t>renewal periods, which was extended an additional eight years until November 2026, is cancellable upon notice and is non-exclusive. Statements of work under the MSA commit the Company to certain future purchase obligations of approximately $12.1</w:t>
      </w:r>
      <w:r>
        <w:rPr>
          <w:rFonts w:ascii="Times New Roman" w:hAnsi="Times New Roman"/>
          <w:sz w:val="20"/>
        </w:rPr>
        <w:t xml:space="preserve"> </w:t>
      </w:r>
      <w:r>
        <w:rPr>
          <w:rFonts w:ascii="Times New Roman;serif" w:hAnsi="Times New Roman;serif"/>
          <w:b w:val="false"/>
          <w:sz w:val="20"/>
        </w:rPr>
        <w:t>million. In addition, the Company has commitments with one other pharmaceutical contract manufacturer, including certain future purchase obligations of approximately $4.4</w:t>
      </w:r>
      <w:r>
        <w:rPr>
          <w:rFonts w:ascii="Times New Roman" w:hAnsi="Times New Roman"/>
          <w:sz w:val="20"/>
        </w:rPr>
        <w:t xml:space="preserve"> </w:t>
      </w:r>
      <w:r>
        <w:rPr>
          <w:rFonts w:ascii="Times New Roman;serif" w:hAnsi="Times New Roman;serif"/>
          <w:b w:val="false"/>
          <w:sz w:val="20"/>
        </w:rPr>
        <w:t>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(12)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preparing the consolidated financial statements as of June 30, 2023, the Company evaluated subsequent events for recognition and measurement purposes through the filing date of this Quarterly Report on Form 10-Q. The Company concluded that no events or transactions have occurred that require disclosure in the accompanying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1" w:name="part1_item2_mda"/>
      <w:bookmarkEnd w:id="11"/>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 w:hAnsi="Times New Roman"/>
          <w:sz w:val="20"/>
        </w:rPr>
      </w:pPr>
      <w:r>
        <w:rPr>
          <w:rFonts w:ascii="Times New Roman;serif" w:hAnsi="Times New Roman;serif"/>
          <w:b w:val="false"/>
          <w:sz w:val="20"/>
        </w:rPr>
        <w:t>We are a clinical-stage immuno-oncology company focused on helping patients fight cancer by developing a pipeline of product candidates that block the CD47 immune checkpoint pathway. Our lead candidate, evorpacept, is currently in multiple Phase 1 and 2 clinical trials. Cancer cells leverage CD47, a cell surface protein, as a “don’t eat me” signal to evade macrophage phagocytosis or as a “don’t activate T-cell” signal that prevents activation of T-cells by dendritic cells. Our company is developing a next-generation checkpoint inhibitor designed to have a high affinity for CD47 and to avoid the limitations caused by hematologic toxicities inherent in other CD47 blocking approaches.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 alpha, which is predominantly expressed on two cell types: macrophages and dendritic cells. ALX Oncology intends to focus evorpacept development with the standard-of-care agents, as originally designed, revolving around these two cell types.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initially pursued development of evorpacept based on these two well-validated mechanisms of action involving SIRP alpha expression on macrophages and dendritic cells. These are the two mechanisms we continue to focus on. After the announcement by Forty Seven, Inc. of their initial Phase 1b data with their CD47 blocker in combination with azacitidine in myelodysplastic syndromes (MDS) in December 2019, which led to their subsequent acquisition by Gilead Sciences Inc. (Gilead) in April 2020, we began exploring a third less well-validated mechanism of action, which led us to test the combination of evorpacept with azacitidine in MDS patients.</w:t>
      </w:r>
    </w:p>
    <w:p>
      <w:pPr>
        <w:pStyle w:val="TextBody"/>
        <w:bidi w:val="0"/>
        <w:spacing w:before="120" w:after="0"/>
        <w:jc w:val="left"/>
        <w:rPr>
          <w:rFonts w:ascii="Times New Roman" w:hAnsi="Times New Roman"/>
          <w:sz w:val="20"/>
        </w:rPr>
      </w:pPr>
      <w:r>
        <w:rPr>
          <w:rFonts w:ascii="Times New Roman;serif" w:hAnsi="Times New Roman;serif"/>
          <w:b w:val="false"/>
          <w:sz w:val="20"/>
        </w:rPr>
        <w:t>The distinct mechanism of actions and examples of the combinations of priority are:</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pPr>
      <w:r>
        <w:rPr>
          <w:rFonts w:ascii="Times New Roman;serif" w:hAnsi="Times New Roman;serif"/>
          <w:b/>
          <w:sz w:val="20"/>
        </w:rPr>
        <w:t>Anti-cancer antibodies (the “</w:t>
      </w:r>
      <w:r>
        <w:rPr>
          <w:rFonts w:ascii="Times New Roman;serif" w:hAnsi="Times New Roman;serif"/>
          <w:b/>
          <w:i/>
          <w:sz w:val="20"/>
        </w:rPr>
        <w:t>don’t eat me</w:t>
      </w:r>
      <w:r>
        <w:rPr/>
        <w:t xml:space="preserve">” </w:t>
      </w:r>
      <w:r>
        <w:rPr>
          <w:rFonts w:ascii="Times New Roman;serif" w:hAnsi="Times New Roman;serif"/>
          <w:b/>
          <w:sz w:val="20"/>
        </w:rPr>
        <w:t>signal)</w:t>
      </w:r>
      <w:r>
        <w:rPr>
          <w:rFonts w:ascii="Times New Roman;serif" w:hAnsi="Times New Roman;serif"/>
          <w:b w:val="false"/>
          <w:sz w:val="20"/>
        </w:rPr>
        <w:t xml:space="preserve">: </w:t>
      </w:r>
      <w:r>
        <w:rPr>
          <w:rFonts w:ascii="Times New Roman;serif" w:hAnsi="Times New Roman;serif"/>
          <w:b/>
          <w:sz w:val="20"/>
        </w:rPr>
        <w:t>Combining with anti-cancer targeted antibodies with an active Fc domain, where evorpacept enables the Fc-mediated antibody dependent phagocytosis that is impaired by the expression of CD47 on cancer cells</w:t>
      </w:r>
      <w:r>
        <w:rPr>
          <w:rFonts w:ascii="Times New Roman;serif" w:hAnsi="Times New Roman;serif"/>
          <w:b w:val="false"/>
          <w:sz w:val="20"/>
        </w:rPr>
        <w:t xml:space="preserve">. </w:t>
        <w:br/>
        <w:t>An example of this mechanism is in our clinical trial, ASPEN-06, a randomized study evaluating the contribution of evorpacept to HERCEPTIN</w:t>
      </w:r>
      <w:r>
        <w:rPr>
          <w:rFonts w:ascii="Times New Roman;serif" w:hAnsi="Times New Roman;serif"/>
          <w:b w:val="false"/>
          <w:sz w:val="13"/>
        </w:rPr>
        <w:t xml:space="preserve">® </w:t>
      </w:r>
      <w:r>
        <w:rPr>
          <w:rFonts w:ascii="Times New Roman;serif" w:hAnsi="Times New Roman;serif"/>
          <w:b w:val="false"/>
          <w:sz w:val="20"/>
        </w:rPr>
        <w:t>(trastuzumab) plus standard of care versus standard of care (CYRAMZA</w:t>
      </w:r>
      <w:r>
        <w:rPr>
          <w:rFonts w:ascii="Times New Roman;serif" w:hAnsi="Times New Roman;serif"/>
          <w:b w:val="false"/>
          <w:sz w:val="13"/>
        </w:rPr>
        <w:t>®</w:t>
      </w:r>
      <w:r>
        <w:rPr/>
        <w:t xml:space="preserve"> </w:t>
      </w:r>
      <w:r>
        <w:rPr>
          <w:rFonts w:ascii="Times New Roman;serif" w:hAnsi="Times New Roman;serif"/>
          <w:b w:val="false"/>
          <w:sz w:val="20"/>
        </w:rPr>
        <w:t>(ramucirumab) + paclitaxel) in second line or later HER2-positive gastric/gastroesophageal junction (GEJ) cancer. We believe this mechanism is clinically validated by our Phase 1 data in combination with Herceptin in gastric cancer and in combination with rituximab in non-Hodgkin lymphoma (NHL), where in both settings we saw improvement on overall response rate (ORR) with respect to historical data. Positive data in ASPEN-06 will represent proof of concept for this mechanism and could lead to combinations with other anti-cancer antibodies. We have already initiated multiple clinical studies based on this mechanism (see evorpacept clinical programs below) to rapidly expand the use of evorpacept in combination with this class of agents in multiple indications. This same mechanism of action also applies to antibody-drug conjugates (ADCs), which we are currently developing in two separate Phase 1 trials: one in combination with PADCEV</w:t>
      </w:r>
      <w:r>
        <w:rPr>
          <w:rFonts w:ascii="Times New Roman;serif" w:hAnsi="Times New Roman;serif"/>
          <w:b w:val="false"/>
          <w:sz w:val="13"/>
        </w:rPr>
        <w:t>®</w:t>
      </w:r>
      <w:r>
        <w:rPr/>
        <w:t xml:space="preserve"> </w:t>
      </w:r>
      <w:r>
        <w:rPr>
          <w:rFonts w:ascii="Times New Roman;serif" w:hAnsi="Times New Roman;serif"/>
          <w:b w:val="false"/>
          <w:sz w:val="20"/>
        </w:rPr>
        <w:t>(enfortumab vedotin-ejfv) in patients with urothelial cancer (ASPEN-07), and the other in combination with ENHERTU</w:t>
      </w:r>
      <w:r>
        <w:rPr>
          <w:rFonts w:ascii="Times New Roman;serif" w:hAnsi="Times New Roman;serif"/>
          <w:b w:val="false"/>
          <w:sz w:val="13"/>
        </w:rPr>
        <w:t>®</w:t>
      </w:r>
      <w:r>
        <w:rPr/>
        <w:t xml:space="preserve"> </w:t>
      </w:r>
      <w:r>
        <w:rPr>
          <w:rFonts w:ascii="Times New Roman;serif" w:hAnsi="Times New Roman;serif"/>
          <w:b w:val="false"/>
          <w:sz w:val="20"/>
        </w:rPr>
        <w:t>(fam-trastuzumab deruxtecan-nxki) in patients with unresectable or metastatic HER2-positive and HER2-low breast cancer.</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pPr>
      <w:r>
        <w:rPr>
          <w:rFonts w:ascii="Times New Roman;serif" w:hAnsi="Times New Roman;serif"/>
          <w:b/>
          <w:sz w:val="20"/>
        </w:rPr>
        <w:t>PD-1/PD-L1 immune checkpoint inhibitors (the “</w:t>
      </w:r>
      <w:r>
        <w:rPr>
          <w:rFonts w:ascii="Times New Roman;serif" w:hAnsi="Times New Roman;serif"/>
          <w:b/>
          <w:i/>
          <w:sz w:val="20"/>
        </w:rPr>
        <w:t>don’t activate T-cell</w:t>
      </w:r>
      <w:r>
        <w:rPr/>
        <w:t xml:space="preserve">” </w:t>
      </w:r>
      <w:r>
        <w:rPr>
          <w:rFonts w:ascii="Times New Roman;serif" w:hAnsi="Times New Roman;serif"/>
          <w:b/>
          <w:sz w:val="20"/>
        </w:rPr>
        <w:t>signal):</w:t>
      </w:r>
      <w:r>
        <w:rPr/>
        <w:t xml:space="preserve"> </w:t>
      </w:r>
      <w:r>
        <w:rPr>
          <w:rFonts w:ascii="Times New Roman;serif" w:hAnsi="Times New Roman;serif"/>
          <w:b/>
          <w:sz w:val="20"/>
        </w:rPr>
        <w:t>Combining with PD-1/PD-L1 checkpoint inhibitor, where evorpacept activates dendritic cells that are constitutively inhibited by the CD47/ SIRP alpha pathway.</w:t>
      </w:r>
      <w:r>
        <w:rPr/>
        <w:t xml:space="preserve"> </w:t>
      </w:r>
      <w:r>
        <w:rPr>
          <w:rFonts w:ascii="Times New Roman;serif" w:hAnsi="Times New Roman;serif"/>
          <w:b w:val="false"/>
          <w:sz w:val="20"/>
        </w:rPr>
        <w:br/>
        <w:t>Activated dendritic cells present neoantigens to T-cells that, once activated, will kill cancer cells when the PD-1/PD-L1 inhibitory interaction is blocked by T-cell checkpoint inhibitors. The combination with a PD-1/PD-L1 checkpoint inhibitor allows the maximum activity of these newly activated T-cells. Examples of this mechanism are our clinical trials, ASPEN-03 and ASPEN-04, two randomized studies in combination with KEYTRUDA</w:t>
      </w:r>
      <w:r>
        <w:rPr>
          <w:rFonts w:ascii="Times New Roman;serif" w:hAnsi="Times New Roman;serif"/>
          <w:b w:val="false"/>
          <w:sz w:val="13"/>
        </w:rPr>
        <w:t>®</w:t>
      </w:r>
      <w:r>
        <w:rPr/>
        <w:t xml:space="preserve"> </w:t>
      </w:r>
      <w:r>
        <w:rPr>
          <w:rFonts w:ascii="Times New Roman;serif" w:hAnsi="Times New Roman;serif"/>
          <w:b w:val="false"/>
          <w:sz w:val="20"/>
        </w:rPr>
        <w:t xml:space="preserve">(pembrolizumab), without or with chemotherapy respectively, comparing to the same treatments without evorpacept, in first line head and neck squamous cell carcinoma (HNSCC). This mechanism is validated by our Phase 1 data in the same indications and combinations where we saw an improvement in overall survival (OS) at 12 months with respect to historical data.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283"/>
        <w:jc w:val="left"/>
        <w:rPr/>
      </w:pPr>
      <w:r>
        <w:rPr>
          <w:rFonts w:ascii="Times New Roman;serif" w:hAnsi="Times New Roman;serif"/>
          <w:b/>
          <w:sz w:val="20"/>
        </w:rPr>
        <w:t>Hypomethylation agents:</w:t>
      </w:r>
      <w:r>
        <w:rPr/>
        <w:t xml:space="preserve"> </w:t>
      </w:r>
      <w:r>
        <w:rPr>
          <w:rFonts w:ascii="Times New Roman;serif" w:hAnsi="Times New Roman;serif"/>
          <w:b/>
          <w:sz w:val="20"/>
        </w:rPr>
        <w:t>Combining with azacitidine, which is described to upregulate calreticulin and potentially promote macrophage dependent phagocytosis that is inhibited by CD47</w:t>
      </w:r>
      <w:r>
        <w:rPr>
          <w:rFonts w:ascii="Times New Roman;serif" w:hAnsi="Times New Roman;serif"/>
          <w:b w:val="false"/>
          <w:sz w:val="20"/>
        </w:rPr>
        <w:t xml:space="preserve">. </w:t>
        <w:br/>
        <w:t xml:space="preserve">An example of this mechanism is our clinical trial, ASPEN-02, a Phase1b dose optimization study evaluating evorpacept in combination with azacitidine for the treatment of MDS. Validation for this mechanism was provided by magrolimab, an anti CD47 antibody with active Fc, being developed by Gilead, that in Phase 1 studies showed improvements in complete response (CR) rate with respect to historical data despite a significant increase in cytopenias. Gilead recently discontinued its Phase 3 magrolimab trial in this combination and indication due to lack of efficacy. Also, in our preliminary data review from ASPEN-02, despite being well tolerated, evorpacept did not yield the efficacy results needed to encourage us to move to Phase 2 trials. Based upon these recent results, we are no longer planning to pursue combinations with this mechanism of action. Resources originally earmarked for these trials will be allocated to support our ongoing programs evaluating combinations with anti-cancer antibodies and PD-1/PD-L1 immune checkpoint inhibitors.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pursuing the following clinical programs, collaborations, and investigator sponsored trials:</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Evorpacept</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Solid Tumors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Combination with anti-cancer antibody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ASPEN-06 - Gastric/GEJ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January 2022, the FDA’s Office of Orphan Products Development granted Orphan Drug Designation (ODD) to evorpacept for the treatment of patients with gastric/GEJ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June 2023, the European Commission granted ODD to evorpacept for the treatment of patients with gastric/GEJ cancer.</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Combination with antibody drug conjugate (ADC)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ASPEN-07 - Urothelial Cancer (UC)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February 2023, we announced the dosing of the first patient in the ASPEN-07 trial, a Phase 1 study evaluating evorpacept in combination with an ADC, enfortumab vedotin-ejfv, for the second-line treatment of locally advanced or metastatic UC.</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Combination with PD-1/PD-L1 immune checkpoint inhibitor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ASPEN-03 - Head and Neck Squamous Cell Carcinoma</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July 2022, the Food and Drug Administration (FDA) granted Fast Track designation for evorpacept in combination with pembrolizumab for first-line treatment of adult patients with metastatic or unresectable, recurrent HNSCC whose tumors express PD-L1.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ASPEN-04 - Head and Neck Squamous Cell Carcinoma</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Hematologic Malignancies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Combination with Hypomethylation Agent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ASPEN-02 - Myelodysplastic Syndromes</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October 2020, we announced the dosing of the first patient in the ASPEN-02 trial, a Phase 1 trial of evorpacept in combination with azacitidine for the treatment of MDS.</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December 2021, we presented initial clinical data from the Phase 1a dose escalation portion of the clinical trial evaluating evorpacept in combination with azacitidine for the treatment of MDS at the 63rd American Society of Hematology (ASH) Annual Meeting.</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August 2023, we announced that we were terminating development of ASPEN-02 based upon preliminary data from a recently completed Phase 1b trial indicating that the evorpacept combination did not substantially improve upon the historical activity of azacitidine alone. Currently enrolled patients may continue in the study and we plan to present the full data set from the forty-five subjects at an upcoming scientific conference.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ASPEN-05 - Acute Myeloid Leukemia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October 2021, we announced the dosing of the first patient in the ASPEN-05 trial, a Phase 1 trial of evorpacept in combination with azacitidine and venetoclax for the treatment of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June 2022, we paused enrollment in the ASPEN-05 AML trial based on the desire to leverage upcoming dose optimization data from the ASPEN-02 MDS study to inform dose optimization in ASPEN-05.</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June 2022, the FDA’s Office of Orphan Drug Products Development granted ODD to evorpacept for the treatment of patients with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December 2022, we presented initial clinical data from the Phase 1a dose escalation portion of the clinical trial evaluating evorpacept in combination with azacitidine and venetoclax for the treatment of AML at the 64th ASH Annual Meeting.</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 xml:space="preserve">In August 2023, we announced that we are terminating development of ASPEN-05 and will not initiate a Phase 1b dose optimization clinical evaluation of evorpacept in combination with azacitidine and venetoclax based on the initial results of ASPEN-02 and given the continuous disease spectrum in MDS and AML along with the close connection between the mechanism of action with azacitidine.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Collaborations and Investigator-Sponsored Trials (ISTs)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Solid Tumors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Combination with anti-cancer antibody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Zymeworks - Breast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Our collaborator, Zymeworks, is sponsoring and managing an ongoing Phase 1 trial of zanidatamab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October 2022, Zymeworks and Jazz Pharmaceuticals plc (Jazz) announced the execution of an exclusive license agreement with respect to zanidatamab. In December 2022, Jazz exercised its option to continue with its exclusive license to develop and commercialize zanidatamab in the United States, Europe, Japan and certain other territories. The rights granted to Jazz included responsibility for future zanidatamab-related clinical trials. In May 2023, Jazz and Zymeworks further expanded their collaboration, resulting in Jazz assuming responsibility from Zymeworks for certain ongoing clinical trials, including the Zanidatamab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Quantum Leap Healthcare Collaborative - I-SPY Trial - Breast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Our collaborator, Quantum Leap Healthcare Collaborative,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Combination with anti-cancer antibody and PD-1/PD-L1 immune checkpoint inhibitor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Colorectal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Combination with PD-1/PD-L1 immune checkpoint inhibitor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Ovarian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Hematologic Malignancies</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Combination with anti-cancer antibody</w:t>
      </w:r>
    </w:p>
    <w:p>
      <w:pPr>
        <w:pStyle w:val="TextBody"/>
        <w:bidi w:val="0"/>
        <w:spacing w:before="40" w:after="0"/>
        <w:jc w:val="left"/>
        <w:rPr/>
      </w:pPr>
      <w:r>
        <w:rPr/>
        <w:t>▪</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Non-Hodgkin Lymphoma</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2021, an IST of evorpacept was initiated in combination with rituximab and lenalidomide for the treatment of patients with indolent and aggressive NHL, sponsored by MD Anderson Cancer Center in Texas. We announced the dosing of the first patient in September 2021.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Sanofi - Multiple Myeloma</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April 2023, we announced a collaboration with Sanofi who will sponsor and manage a Phase 1/2 trial of isatuximab and dexamethasone in combination with evorpacept for the treatment of patients with relapsed or refractory multiple myeloma.</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Pre-clinical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Tallac Therapeutics - ALTA-002</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An investigational new drug (IND) filing for ALTA-002 has been delayed due to chemistry, manufacturing, and controls (CMC) related issues and is planned for the first quarter of 2024.</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Based on our preliminary clinical results to date in multiple oncology indications showing encouraging anti-tumor activity and tolerability and our clinical development plans, our strategy is to pursue evorpacept as a potentially critical component of future oncology combination treatments.</w:t>
      </w:r>
    </w:p>
    <w:p>
      <w:pPr>
        <w:pStyle w:val="TextBody"/>
        <w:bidi w:val="0"/>
        <w:spacing w:before="120" w:after="120"/>
        <w:jc w:val="left"/>
        <w:rPr>
          <w:rFonts w:ascii="Times New Roman" w:hAnsi="Times New Roman"/>
          <w:sz w:val="20"/>
        </w:rPr>
      </w:pPr>
      <w:r>
        <w:rPr>
          <w:rFonts w:ascii="Times New Roman;serif" w:hAnsi="Times New Roman;serif"/>
          <w:b w:val="false"/>
          <w:sz w:val="20"/>
        </w:rPr>
        <w:t>Additionally, with our acquisition of ScalmiBio, Inc. (ScalmiBio) in October 2021, we are developing ADC drug candidates based on our expertise in protein engineering and oncology.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(Sales Agreement) with Cantor Fitzgerald &amp; Co. and Credit Suisse Securities (USA) LLC, under which we may, subject to the effectiveness of the Shelf Registration Statement, offer and sell our common stock, having aggregate gross proceeds of up to $150.0 million, from time to time through them as our sales agents in an at-the-market offering. No securities have been sold pursuant to the Shelf Registration Statement or Sales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2022, we entered into a loan and security agreement (Loan Agreement) with Oxford Finance LLC, Oxford Finance Credit Fund II LP, and Silicon Valley Bank (SVB) (collectively,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31, 2023, we entered into a second amendment to the Loan Agreement. The primary purpose of the second amendment was to reduce the percentage of the amount required to be held in our collateral account with SVB from 100% to not less than 50% of the aggregate dollar value of all our collateral accounts.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inception through June 30, 2023, we have raised an aggregate of $554.6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and $9.3 million were net proceeds from borrowings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net losses in each year since inception. Our net losses were $34.2 million and $32.9 million for the three months ended June 30, 2023 and 2022, respectively, and $64.3 million and $57.5 million for the six months ended June 30, 2023 and 2022, respectively. As of June 30, 2023, we had an accumulated deficit of $389.8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advance evorpacept through multiple clinical trials in multiple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pursue regulatory approval of evorpacept in solid tumors and hematological malignancies;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our discovery and preclinical and clinical development efforts, including our collaborations with Sanofi, Tallac, Zymeworks/Jazz, and Quantum Leap Healthcare Collaborative and our acquisition of ScalmiBio;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 and maintain patent, trade secret and other intellectual property protection and regulatory exclusivity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manufacture supplies for our preclinical studies and clinical trials;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 to add operational, financial and management information systems to support ongoing operations as a public company.</w:t>
      </w:r>
    </w:p>
    <w:p>
      <w:pPr>
        <w:pStyle w:val="TextBody"/>
        <w:bidi w:val="0"/>
        <w:spacing w:before="120" w:after="0"/>
        <w:jc w:val="left"/>
        <w:rPr>
          <w:rFonts w:ascii="Times New Roman;serif" w:hAnsi="Times New Roman;serif"/>
          <w:b/>
          <w:sz w:val="20"/>
        </w:rPr>
      </w:pPr>
      <w:r>
        <w:rPr>
          <w:rFonts w:ascii="Times New Roman;serif" w:hAnsi="Times New Roman;serif"/>
          <w:b/>
          <w:sz w:val="20"/>
        </w:rPr>
        <w:t>Components of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for the development of our lead product candidate, evorpacept, which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employee-related expenses, including salaries, related benefits, travel and stock-based compensation expenses for employees engaged in research and development functions;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related to production of clinical materials, including fees paid to contract manufacturing organizations, or CMOs;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vendor expenses and third-party drugs related to the execution of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facilities and other expenses, which include expenses for rent and maintenance of facilities, depreciation and amortization expense and other supplies;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milestone payments related to our ScalmiBio acquisition.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as further described in Note 9 to our unaudited condensed consolidated financial statements appearing elsewhere in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successful development of our current and future product candidates is highly uncertain. This is due to numerous risks and uncertainties,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completion of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regulators or institutional review boards authorizing us or our investigators to commence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negotiate agreements with clinical trial sites or CROs;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location of clinical sites included in the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raising additional funds necessary to complete clinical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and maintaining patent, trade secret and other intellectual property protection and regulatory exclusivity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contracting with third-party manufacturers for clinical supplies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protecting and enforcing our rights in our intellectual property portfolio, including, if necessary, litigation;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the products following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interest income consists primarily of interest income on cash, cash equivalents and short-term and long-term investments.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interest expense consists primarily of interest expense on the term loan, amortization of deferred debt issuance costs, and interest related to finance leases.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other income (expense), net consists primarily of realized foreign currency transaction gains and losses.</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 and Net Loss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and six months ended June 30, 2023 and 2022 (in thousands):</w:t>
      </w:r>
    </w:p>
    <w:tbl>
      <w:tblPr>
        <w:tblW w:w="11573" w:type="dxa"/>
        <w:jc w:val="left"/>
        <w:tblInd w:w="0" w:type="dxa"/>
        <w:tblLayout w:type="fixed"/>
        <w:tblCellMar>
          <w:top w:w="28" w:type="dxa"/>
          <w:left w:w="28" w:type="dxa"/>
          <w:bottom w:w="28" w:type="dxa"/>
          <w:right w:w="28" w:type="dxa"/>
        </w:tblCellMar>
      </w:tblPr>
      <w:tblGrid>
        <w:gridCol w:w="1291"/>
        <w:gridCol w:w="146"/>
        <w:gridCol w:w="211"/>
        <w:gridCol w:w="736"/>
        <w:gridCol w:w="166"/>
        <w:gridCol w:w="146"/>
        <w:gridCol w:w="211"/>
        <w:gridCol w:w="736"/>
        <w:gridCol w:w="166"/>
        <w:gridCol w:w="146"/>
        <w:gridCol w:w="211"/>
        <w:gridCol w:w="631"/>
        <w:gridCol w:w="166"/>
        <w:gridCol w:w="146"/>
        <w:gridCol w:w="146"/>
        <w:gridCol w:w="631"/>
        <w:gridCol w:w="271"/>
        <w:gridCol w:w="146"/>
        <w:gridCol w:w="211"/>
        <w:gridCol w:w="736"/>
        <w:gridCol w:w="166"/>
        <w:gridCol w:w="146"/>
        <w:gridCol w:w="211"/>
        <w:gridCol w:w="736"/>
        <w:gridCol w:w="166"/>
        <w:gridCol w:w="146"/>
        <w:gridCol w:w="211"/>
        <w:gridCol w:w="736"/>
        <w:gridCol w:w="166"/>
        <w:gridCol w:w="146"/>
        <w:gridCol w:w="146"/>
        <w:gridCol w:w="631"/>
        <w:gridCol w:w="7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r>
      <w:tr>
        <w:trPr/>
        <w:tc>
          <w:tcPr>
            <w:tcW w:w="12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firstLine="200"/>
              <w:jc w:val="right"/>
              <w:rPr/>
            </w:pPr>
            <w:r>
              <w:rPr/>
              <w:t> </w:t>
            </w:r>
          </w:p>
        </w:tc>
      </w:tr>
      <w:tr>
        <w:trPr/>
        <w:tc>
          <w:tcPr>
            <w:tcW w:w="1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15080</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incurred for the three months and six months ended June 30, 2023 and 2022 (in thousands):</w:t>
      </w:r>
    </w:p>
    <w:tbl>
      <w:tblPr>
        <w:tblW w:w="10393" w:type="dxa"/>
        <w:jc w:val="left"/>
        <w:tblInd w:w="0" w:type="dxa"/>
        <w:tblLayout w:type="fixed"/>
        <w:tblCellMar>
          <w:top w:w="28" w:type="dxa"/>
          <w:left w:w="28" w:type="dxa"/>
          <w:bottom w:w="28" w:type="dxa"/>
          <w:right w:w="28" w:type="dxa"/>
        </w:tblCellMar>
      </w:tblPr>
      <w:tblGrid>
        <w:gridCol w:w="1261"/>
        <w:gridCol w:w="146"/>
        <w:gridCol w:w="211"/>
        <w:gridCol w:w="676"/>
        <w:gridCol w:w="146"/>
        <w:gridCol w:w="146"/>
        <w:gridCol w:w="211"/>
        <w:gridCol w:w="676"/>
        <w:gridCol w:w="146"/>
        <w:gridCol w:w="146"/>
        <w:gridCol w:w="211"/>
        <w:gridCol w:w="571"/>
        <w:gridCol w:w="166"/>
        <w:gridCol w:w="146"/>
        <w:gridCol w:w="146"/>
        <w:gridCol w:w="376"/>
        <w:gridCol w:w="271"/>
        <w:gridCol w:w="146"/>
        <w:gridCol w:w="211"/>
        <w:gridCol w:w="676"/>
        <w:gridCol w:w="146"/>
        <w:gridCol w:w="146"/>
        <w:gridCol w:w="211"/>
        <w:gridCol w:w="676"/>
        <w:gridCol w:w="146"/>
        <w:gridCol w:w="146"/>
        <w:gridCol w:w="211"/>
        <w:gridCol w:w="676"/>
        <w:gridCol w:w="166"/>
        <w:gridCol w:w="146"/>
        <w:gridCol w:w="146"/>
        <w:gridCol w:w="376"/>
        <w:gridCol w:w="51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and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Preclinical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$2.7 million during the three months ended June 30, 2023 compared to the three months ended June 30, 2022. The increase was primarily attributable to (i) an increase of $2.9 million in clinical and development costs primarily due to $3.9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offset by a decrease of $1.0 million related to the Tallac Collaboration for costs related to the IND filing planned for 2023, for which the primary work was completed in 2022, (ii) an increase of $0.8 million in personnel and related costs primarily driven by headcount growth, and (iii) an increase of $0.4 million in stock-based compensation expense due to additional awards granted since June 30, 2022. These increases were offset by a decrease of $1.0 million in other research costs due primarily to a decrease in value added tax, or VAT, fees related to refund of previously paid VAT and a decrease of $0.4 million in preclinical costs primarily related to the development of new targets.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$10.4 million during the six months ended June 30, 2023 compared to the six months ended June 30, 2022. The increase was primarily attributable to (i) an increase of $7.6 million in clinical and development costs primarily due to $8.5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offset by a decrease of $0.9 million related to the Tallac Collaboration for costs related to the IND filing planned for 2023, for which the primary work was completed in 2022, (ii) an increase of $2.3 million in personnel and related costs due primarily to an increase driven by headcount growth, and (iii) an increase of $1.5 million in stock-based compensation expense due to additional awards granted since June 30, 2022. These increases were offset by a decrease of $0.7 million in other research costs due primarily to a decrease in VAT fees related to refund of previously paid VAT and a decrease of $0.3 million in preclinical costs primarily related to development of new targets.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general and administrative expenses incurred for the three months and six months ended June 30, 2023 and 2022 (in thousands):</w:t>
      </w:r>
    </w:p>
    <w:tbl>
      <w:tblPr>
        <w:tblW w:w="10205" w:type="dxa"/>
        <w:jc w:val="left"/>
        <w:tblInd w:w="0" w:type="dxa"/>
        <w:tblLayout w:type="fixed"/>
        <w:tblCellMar>
          <w:top w:w="28" w:type="dxa"/>
          <w:left w:w="28" w:type="dxa"/>
          <w:bottom w:w="28" w:type="dxa"/>
          <w:right w:w="28" w:type="dxa"/>
        </w:tblCellMar>
      </w:tblPr>
      <w:tblGrid>
        <w:gridCol w:w="1764"/>
        <w:gridCol w:w="146"/>
        <w:gridCol w:w="211"/>
        <w:gridCol w:w="572"/>
        <w:gridCol w:w="146"/>
        <w:gridCol w:w="146"/>
        <w:gridCol w:w="211"/>
        <w:gridCol w:w="572"/>
        <w:gridCol w:w="146"/>
        <w:gridCol w:w="146"/>
        <w:gridCol w:w="211"/>
        <w:gridCol w:w="421"/>
        <w:gridCol w:w="146"/>
        <w:gridCol w:w="146"/>
        <w:gridCol w:w="146"/>
        <w:gridCol w:w="316"/>
        <w:gridCol w:w="271"/>
        <w:gridCol w:w="146"/>
        <w:gridCol w:w="211"/>
        <w:gridCol w:w="676"/>
        <w:gridCol w:w="146"/>
        <w:gridCol w:w="146"/>
        <w:gridCol w:w="211"/>
        <w:gridCol w:w="676"/>
        <w:gridCol w:w="146"/>
        <w:gridCol w:w="146"/>
        <w:gridCol w:w="211"/>
        <w:gridCol w:w="481"/>
        <w:gridCol w:w="166"/>
        <w:gridCol w:w="146"/>
        <w:gridCol w:w="146"/>
        <w:gridCol w:w="316"/>
        <w:gridCol w:w="518"/>
      </w:tblGrid>
      <w:tr>
        <w:trPr/>
        <w:tc>
          <w:tcPr>
            <w:tcW w:w="1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8"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Year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6" w:type="dxa"/>
            <w:gridSpan w:val="6"/>
            <w:tcBorders/>
            <w:vAlign w:val="center"/>
          </w:tcPr>
          <w:p>
            <w:pPr>
              <w:pStyle w:val="TableContents"/>
              <w:bidi w:val="0"/>
              <w:spacing w:before="0" w:after="0"/>
              <w:ind w:left="0" w:right="0" w:hanging="0"/>
              <w:jc w:val="center"/>
              <w:rPr/>
            </w:pPr>
            <w:r>
              <w:rPr/>
              <w:t> </w:t>
            </w:r>
          </w:p>
        </w:tc>
        <w:tc>
          <w:tcPr>
            <w:tcW w:w="518" w:type="dxa"/>
            <w:tcBorders/>
            <w:vAlign w:val="center"/>
          </w:tcPr>
          <w:p>
            <w:pPr>
              <w:pStyle w:val="TableContents"/>
              <w:bidi w:val="0"/>
              <w:spacing w:before="0" w:after="0"/>
              <w:ind w:left="0" w:right="0" w:hanging="0"/>
              <w:jc w:val="center"/>
              <w:rPr/>
            </w:pPr>
            <w:r>
              <w:rPr/>
              <w:t> </w:t>
            </w:r>
          </w:p>
        </w:tc>
      </w:tr>
      <w:tr>
        <w:trPr/>
        <w:tc>
          <w:tcPr>
            <w:tcW w:w="17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5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1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7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$0.3 million during the three months ended June 30, 2023 compared to the three months ended June 30, 2022. The increase was primarily attributable to an increase of $0.2 million in personnel and related costs primarily driven by headcount growth.</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remained flat during the six months ended June 30, 2023 compared to the six months ended June 30, 2022. The increase of $0.4 million in personnel and related costs driven by headcount growth in the first half of 2023 was offset by a decrease of $0.3 million in stock-based compensation expense and a decrease of $0.2 million in legal patent fees, corporate costs, and facility and information technology costs.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increased by $1.8 million for the three months ended June 30, 2023 compared to the three months ended June 30, 2022 and by $3.9 million for the six months ended June 30, 2023 compared to the six months ended June 30, 2022. The increases were primarily attributable to higher interest rates.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increased by $0.4 million for the three months ended June 30, 2023 compared to the three months ended June 30, 2022 and by $0.8 million for the six months ended June 30, 2023 compared to the six months ended June 30, 2022. The increases were primarily attributable to the Loan Agreement, which the Company entered into in October 2022. There was no comparable interest expense or debt obligation during the three months and six months ended June 30, 2022.</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increased by $0.3 million for the three months ended June 30, 2023 compared to the three months ended June 30, 2022 and by $0.4 million for the six months ended June 30, 2023 compared to the six months ended June 30, 2022. The increases were primarily attributable to other income from an immaterial service contract, under which the Company provides R&amp;D services for another company. There was no comparable other income during the three months and six months ended June 30, 2022.</w:t>
        <w:br/>
      </w:r>
      <w:r>
        <w:rPr>
          <w:rFonts w:ascii="Times New Roman" w:hAnsi="Times New Roman"/>
          <w:sz w:val="20"/>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June 30, 2023, we had cash, cash equivalents and short-term and long-term investments of $224.5 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losses and negative cash flows from operations since inception and anticipate that we will continue to incur net losses for the foreseeable future. As of June 30, 2023, we had an accumulated deficit of $389.8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progress of preclinical and clinical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enrollment in and completion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outcome of regulatory review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agreements with third-party manufacturers for clinical supply for our clinical trials and, if any of our product candidates are approved, commercial manufacturing;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 and retention of key research and development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efforts to enhance operational, financial and information management systems, and hire additional personnel, including personnel to support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legal patent costs involved in prosecuting patent applications and enforcing patent claims and other intellectual property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terms and timing of any collaboration, license or other arrangement, including the terms and timing of any milestone and royalty payments thereunder;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such as inflation, economic downturns, disasters, and medical or public health crises;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bank failures or instability in the financial services sector, or geopolitical risks, which may exacerbate the magnitude of the factors discussed above.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agents in our at-the-market equity offering program (ATM Offering Program). In March 2022, we filed a Shelf Registration Statement with the SEC. In May 2022, we filed an amended Shelf Registration Statement, which was declared effective by the SEC on May 31, 2022. No sales have been made under the ATM Offering Program as of the date of this report.</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we entered into the Loan Agreement as described above.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 from 100% to not less than 50% of the aggregate dollar value of all our collateral accounts.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our existing cash, cash equivalents, short-term and long-term investments and funds available from our term loan will enable us to fund our operating expenses and capital expenditure requirements through the middle of 2025. We have based these estimates on assumptions in which actuals may materially differ, and we could utilize our available capital resources sooner than we expect.</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a summary of the net cash flow activity for the six months ended June 30, 2023 and 2022 (in thousands):</w:t>
      </w:r>
    </w:p>
    <w:tbl>
      <w:tblPr>
        <w:tblW w:w="843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841"/>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(37,672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(260,053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(297,223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In the six months ended June 30, 2023, net cash used in operating activities of $59.5 million was attributable to a net loss of $64.3 million and a change in our net operating assets and liabilities of $6.2 million, offset by non-cash charges of $11.0 million. The change in operating assets and liabilities was primarily due to (i) a decrease in accounts payable and accrued expenses and other current liabilities of $7.1 million primarily due to timing of invoices and payments, (ii) a decrease in other assets of $3.4 million, (iii) an increase in prepaid and other current assets of $2.0 million and (iv) a decrease in other non-current liabilities of $0.5 million. Non-cash charges consisted primarily of stock-based compensation expense of $12.6 million and non-cash lease costs of $0.6 million offset by net amortization of premiums and accretion of discounts on investments of $2.8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six months ended June 30, 2022, net cash used in operating activities of $37.7 million was attributable to a net loss of $57.5 million, offset by non-cash charges of $12.1 million and a change in net operating assets and liabilities of $7.7 million. Non-cash charges consisted primarily of stock-based compensation expense of $11.3 million and non-cash lease costs of $0.5 million. The change in operating assets and liabilities was primarily due to (i) an increase in accounts payable and accrued expenses and other current liabilities of $8.8 million primarily due to timing of invoices and payments, (ii) a decrease in other non-current liabilities of $0.6 million and (iii) a decrease in other assets of $0.3 million.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six months ended June 30, 2023, net cash provided by investing activities of $48.5 million was attributable to cash received for maturities of investments of $169.7 million offset by purchases of short-term and long-term investments of $118.7 million and purchases of property and equipment of $2.4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six months ended June 30, 2022, net cash used in investing activities of $260.1 million was attributable to purchases of short-term and long-term investments of $279.2 million offset by cash received for sales and maturities of investments of $20.0 million and purchases of property and equipment of $0.8 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six months ended June 30, 2023, net cash provided by financing activities of $0.2 million was attributable to proceeds from the exercise of stock options under equity incentive plans of $0.1 million and proceeds from issuance of common stock pursuant to employee stock purchase plan of $0.3 million and by principal payments on finance leases of $0.2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six months ended June 30, 2022, net cash provided by financing activities was $0.5 million and was attributable to proceeds from the exercise of stock options under equity incentive plans of $0.3 million and proceeds from issuance of common stock pursuant to employee stock purchase plan of $0.3 million offset by principal payments on finance leases of $0.1 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period presented, we did not have, nor do we currently have, any off-balance sheet arrangements, as defined in the rules and regulations of the SEC.</w:t>
      </w:r>
    </w:p>
    <w:p>
      <w:pPr>
        <w:pStyle w:val="TextBody"/>
        <w:bidi w:val="0"/>
        <w:spacing w:before="12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2022. During the six months ended June 30, 2023, there were no material changes to our critical accounting policies and estimates from those discussed in the Company’s Annual Report on Form 10-K for the year ended December 31, 2022 filed with the SEC on March 9, 2023.</w:t>
      </w:r>
    </w:p>
    <w:p>
      <w:pPr>
        <w:pStyle w:val="TextBody"/>
        <w:bidi w:val="0"/>
        <w:spacing w:before="12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See “Note 2. Significant Accounting Policies - Recent Accounting Pronouncements” to our condensed consolidated financial statements included elsewhere in this Quarterly Report on Form 10-Q for more information.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2" w:name="part1_item3_risk"/>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market risks in the ordinary course of our business. These risks primarily include interest rate sensitivities.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cash, cash equivalents and investments of $224.5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borrowings of $10.0 million outstanding under our term loan facility, or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Credit Risk</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has exposure to loss as a result of SVB’s receivership.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periods presented, the Company has not experienced any realized losses on its deposits of cash, cash equivalents or investments.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Foreign 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pStyle w:val="TextBody"/>
        <w:bidi w:val="0"/>
        <w:spacing w:before="360" w:after="0"/>
        <w:jc w:val="left"/>
        <w:rPr>
          <w:rFonts w:ascii="Times New Roman;serif" w:hAnsi="Times New Roman;serif"/>
          <w:b/>
          <w:sz w:val="20"/>
        </w:rPr>
      </w:pPr>
      <w:bookmarkStart w:id="13" w:name="part1_item4_controls"/>
      <w:bookmarkEnd w:id="13"/>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June 30, 2023.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quarter ended June 30, 2023, the Company implemented a new procure to pay system to support the Company’s growth. The implementation was designed in part to enhance the overall system of internal controls over financial reporting through further automation of various business processes. Except for the new procure to pay system, there were no changes in our internal control over financial reporting during the quarter ended June 30, 2023 that materially affected, or are reasonably likely to materially affect, our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bookmarkStart w:id="14" w:name="part2"/>
      <w:bookmarkEnd w:id="14"/>
      <w:r>
        <w:rPr>
          <w:rFonts w:ascii="Times New Roman;serif" w:hAnsi="Times New Roman;serif"/>
          <w:b/>
          <w:sz w:val="20"/>
        </w:rPr>
        <w:t>PART II — OTHER INFORMATION</w:t>
      </w:r>
    </w:p>
    <w:p>
      <w:pPr>
        <w:pStyle w:val="TextBody"/>
        <w:bidi w:val="0"/>
        <w:spacing w:before="360" w:after="0"/>
        <w:jc w:val="left"/>
        <w:rPr>
          <w:rFonts w:ascii="Times New Roman" w:hAnsi="Times New Roman"/>
          <w:sz w:val="20"/>
        </w:rPr>
      </w:pPr>
      <w:bookmarkStart w:id="15" w:name="part2_item1_legal"/>
      <w:bookmarkEnd w:id="15"/>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0"/>
        <w:jc w:val="left"/>
        <w:rPr>
          <w:rFonts w:ascii="Times New Roman;serif" w:hAnsi="Times New Roman;serif"/>
          <w:b/>
          <w:sz w:val="20"/>
        </w:rPr>
      </w:pPr>
      <w:bookmarkStart w:id="16" w:name="part2_item1a_rf"/>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120" w:after="0"/>
        <w:jc w:val="left"/>
        <w:rPr>
          <w:rFonts w:ascii="Times New Roman;serif" w:hAnsi="Times New Roman;serif"/>
          <w:b/>
          <w:sz w:val="20"/>
        </w:rPr>
      </w:pPr>
      <w:r>
        <w:rPr>
          <w:rFonts w:ascii="Times New Roman;serif" w:hAnsi="Times New Roman;serif"/>
          <w:b/>
          <w:sz w:val="20"/>
        </w:rPr>
        <w:t>Risk Factors Summary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incurred significant net losses since our inception, and we expect to continue to incur significant net losses for the foreseeable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a limited operating history, have no products approved for commercial sale, and have not generated any revenue from product sales, licenses or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product candidates may cause significant adverse events or other undesirable side effects when used alone or in combination with other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rely on third-party manufacturers for clinical supplies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levels of our debt and compliance with the terms of our loan agreement could restrict our ability to operate our business;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COVID-19 pandemic and geopolitical unrest related to Russia’s war with Ukraine could adversely impact our business including our ongoing and planned clinical trials and preclinical research;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price of our stock may be volatile, and you could lose all or part of your investment;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Financial Position and Need for Additional Capital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have incurred significant net losses since our inception, and we expect to continue to incur significant net losses for the foreseeable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$34.2 million and $32.9 million for the three months ended June 30, 2023 and 2022, respectively, and $64.3 million and $57.5 million for the six months ended June 30, 2023 and 2022, respectively. As of June 30, 2023, we had an accumulated deficit of $389.8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cash equivalents and investments of $224.5 million. Based on our current operating plan, we believe that our existing cash, cash equivalents, investments and funds available from our term loan, will be sufficient to fund our operations through the middle of 2025.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While we expect SVB-First Citizens to continue to fulfill SVB’s obligations under the Loan Agreement, there can be no assurance that the full credit facility under the Loan Agreement, of which SVB was committed to fund 50%, will continue to be available to us.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0"/>
        <w:jc w:val="left"/>
        <w:rPr>
          <w:rFonts w:ascii="Times New Roman" w:hAnsi="Times New Roman"/>
          <w:sz w:val="20"/>
        </w:rPr>
      </w:pPr>
      <w:r>
        <w:rPr>
          <w:rFonts w:ascii="Times New Roman;serif" w:hAnsi="Times New Roman;serif"/>
          <w:b/>
          <w:i/>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and timely completion of preclinical and clinical development of our lead product candidate, evorpacept, and our other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timely receipt of marketing approvals from applicable regulatory authorities for any product candidates for which we successfully complete clinical development;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of any required post-marketing approval commitments to applicable regulatory authorities;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continued acceptable safety profile following any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commercial acceptance of evorpacept and any future product candidates as viable treatment options by patients, the medical community and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favorable coverage and adequate reimbursement by third-party payors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addressing any competing therapies and technological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assessing, acquiring and developing new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and expanding patent protection, trade secret protection and regulatory exclusivity, both in the United States and internationally;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protecting our rights in our intellectual property portfolio, including our licensed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defending against third-party interference or infringement claims,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terms of our Loan Agreement require us to meet certain operating and financial covenants, place restrictions on our operating and financial flexibility, and may subject us to default.</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we entered into the Loan Agreement, under which we have borrowed $10.0 million and we have access to draw an additional $40.0 million through the end of 2023.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 On May 31, 2023, we entered into a second amendment to the Loan Agreement. The primary purpose of the second amendment was to reduce the percentage of the amount required to be held in our collateral account with SVB from 100% to not less than 50% of the aggregate dollar value of all our collateral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One of the Lenders, SVB was closed in March 2023, and the FDIC was appointed as receiver to SVB. The FDIC created SVBB as successor to SVB, which was acquired by First Citizens Bank and currently operates as SVB-First Citizens. While we expect SVB-First Citizens to continue to fulfill SVB’s obligations under the Loan Agreement, there can be no assurance that the full credit facility under the Loan Agreement, of which SVB was committed to fund 50%, will continue to be available to us.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We are also obligated to pay other customary fees for a loan facility of this type and size.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the Discovery, Development and Commercialization of Our Product Candidates</w:t>
      </w:r>
    </w:p>
    <w:p>
      <w:pPr>
        <w:pStyle w:val="TextBody"/>
        <w:bidi w:val="0"/>
        <w:spacing w:before="120" w:after="0"/>
        <w:jc w:val="left"/>
        <w:rPr>
          <w:rFonts w:ascii="Times New Roman" w:hAnsi="Times New Roman"/>
          <w:sz w:val="20"/>
        </w:rPr>
      </w:pPr>
      <w:r>
        <w:rPr>
          <w:rFonts w:ascii="Times New Roman;serif" w:hAnsi="Times New Roman;serif"/>
          <w:b/>
          <w:i/>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myelodysplastic syndromes, or MDS, acute myeloid leukemia, or AML, head and neck squamous cell carcinoma, or HNSCC, gastric/gastroesophageal junction, or GEJ, carcinoma, bladder cancer,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know whether our future clinical trials will begin or enroll subjects on time or whether our ongoing and/or future clinical trials will be completed on schedule or at all. Clinical trials can be delayed for a variety of reasons, including delays related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approval to commence a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reaching agreement on acceptable terms with prospective CROs and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institutional review board approval at each clinical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adding necessary new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recruiting suitable subjects to participate in a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noncompliance with clinical trial protocols;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investigational site or trial subjects withdrawing or dropping out of clinical trials at a higher rate than anticipated;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manufacturing sufficient quantities of product candidate for use in clinical trials. </w:t>
      </w:r>
    </w:p>
    <w:p>
      <w:pPr>
        <w:pStyle w:val="TextBody"/>
        <w:bidi w:val="0"/>
        <w:spacing w:before="120" w:after="0"/>
        <w:jc w:val="left"/>
        <w:rPr>
          <w:rFonts w:ascii="Times New Roman" w:hAnsi="Times New Roman"/>
          <w:sz w:val="20"/>
        </w:rPr>
      </w:pPr>
      <w:r>
        <w:rPr>
          <w:rFonts w:ascii="Times New Roman;serif" w:hAnsi="Times New Roman;serif"/>
          <w:b w:val="false"/>
          <w:sz w:val="20"/>
        </w:rPr>
        <w:t>We may experience numerous unforeseen events during, or as a result of, clinical trials that could delay or prevent receipt of marketing approval or our ability to commercialize our product candidates,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receipt of feedback from regulatory authorities that requires us to modify the design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third-party contractors failing to comply with regulatory requirements or meet their contractual obligations to us in a timely manner,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clinical trials of our product candidates are greater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supply or quality of our product candidates or other materials necessary to conduct clinical trials of our product candidates being insufficient or inadequate;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regulators revising the requirements for approving our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removed the partial clinical hold and patient cap on our two ongoing Phase 2 studies in patients with HNSCC. No impact was incurred on patient enrollment or study timelines as a result of the partial clinical hold.</w:t>
      </w:r>
    </w:p>
    <w:p>
      <w:pPr>
        <w:pStyle w:val="TextBody"/>
        <w:bidi w:val="0"/>
        <w:spacing w:before="120" w:after="0"/>
        <w:jc w:val="left"/>
        <w:rPr>
          <w:rFonts w:ascii="Times New Roman" w:hAnsi="Times New Roman"/>
          <w:sz w:val="20"/>
        </w:rPr>
      </w:pPr>
      <w:r>
        <w:rPr>
          <w:rFonts w:ascii="Times New Roman;serif" w:hAnsi="Times New Roman;serif"/>
          <w:b/>
          <w:i/>
          <w:sz w:val="20"/>
        </w:rPr>
        <w:t>If we experience delays or difficulties in the enrollment of subjects in clinical trials and/or retention of subjects in clinical trials, our regulatory submissions or receipt of necessary marketing approvals could be delayed or prevented.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size and nature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severity of the disease under investigation;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 eligibility criteria for the trial in question;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perceived risks and benefits of the product candidate under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efforts to facilitate timely enrollment in clinical trials by us and the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 referral practices of physicians;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monitor subjects adequately during and after the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proximity of clinical trial sites to prospective subjects;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 of subjects enrolled in clinical trials dropping out before completion;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or delay in enrollment of subjects due to a variety of reasons, including outbreaks and public health crises, such as the COVID-19 pandemic;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inability to appropriately enroll an ethnically and racially diverse patient population representative of the target patient population.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0"/>
        <w:jc w:val="left"/>
        <w:rPr>
          <w:rFonts w:ascii="Times New Roman" w:hAnsi="Times New Roman"/>
          <w:sz w:val="20"/>
        </w:rPr>
      </w:pPr>
      <w:r>
        <w:rPr>
          <w:rFonts w:ascii="Times New Roman;serif" w:hAnsi="Times New Roman;serif"/>
          <w:b/>
          <w:i/>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0"/>
        <w:jc w:val="left"/>
        <w:rPr>
          <w:rFonts w:ascii="Times New Roman" w:hAnsi="Times New Roman"/>
          <w:sz w:val="20"/>
        </w:rPr>
      </w:pPr>
      <w:r>
        <w:rPr>
          <w:rFonts w:ascii="Times New Roman;serif" w:hAnsi="Times New Roman;serif"/>
          <w:b/>
          <w:i/>
          <w:sz w:val="20"/>
        </w:rPr>
        <w:t>We face substantial competition which may result in others discovering, developing or commercializing products before or more successfully than we do.</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these competitive products and therapies are based on scientific approaches that are the same as or similar to our approach, including with respect to the targeting of the CD47 pathway and others are based on entirely different approaches. We are aware that AbbVie (through its licensing agreement with I-Mab), Adagene, Akesobio, Apexigen, Bio-Thera Solutions, Boehringer Ingelheim, Bristol Myers Squibb, Byondis, Centessa, Conjupro Biotherapeutics, CTTQ (SinoBiological), GenSci, Gilead Sciences (through its acquisition of Forty Seven), Hisun, Hutchmed, I-Mab, Ichnos, ImmuneOncia Therapeutics, ImmunceOnco Biopharma, Innovent, Kahr, LaNova, Mabwell Therapeutics, Mabworks, Novimmune, OSE Immunotherapeutics, Pfizer (through its acquisition of Trillium Therapeutics), Phanes, Shandong New Time, Shattuck Labs, Sorrento Therapeutics, Sumgen, SunHo Pharmaceutical,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i/>
          <w:sz w:val="20"/>
        </w:rPr>
        <w:t>Even if our product candidates receive regulatory approval, they will be subject to significant post-marketing regulatory requirements and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serif" w:hAnsi="Times New Roman;serif"/>
          <w:b w:val="false"/>
          <w:i/>
          <w:sz w:val="20"/>
        </w:rPr>
        <w:t>e.g.</w:t>
      </w:r>
      <w:r>
        <w:rPr>
          <w:rFonts w:ascii="Times New Roman;serif" w:hAnsi="Times New Roman;serif"/>
          <w:b w:val="false"/>
          <w:sz w:val="20"/>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the rejection of product approvals;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restrictions on our ability to conduct clinical trials, including full or partial clinical holds on ongoing or planned trials;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products, manufacturers or manufacturing process;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warning or untitled letters;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civil and criminal penalties;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withdrawal of regulatory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seizures, detentions or import bans;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voluntary or mandatory product recalls and publicity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total or partial suspension of production;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imposition of restrictions on operations, including costly new manufacturing requirements.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0"/>
        <w:jc w:val="left"/>
        <w:rPr>
          <w:rFonts w:ascii="Times New Roman" w:hAnsi="Times New Roman"/>
          <w:sz w:val="20"/>
        </w:rPr>
      </w:pPr>
      <w:r>
        <w:rPr>
          <w:rFonts w:ascii="Times New Roman;serif" w:hAnsi="Times New Roman;serif"/>
          <w:b/>
          <w:i/>
          <w:sz w:val="20"/>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Material modifications in the methods of product candidate manufacturing or formulation may result in additional costs or delay.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pStyle w:val="TextBody"/>
        <w:bidi w:val="0"/>
        <w:spacing w:before="120" w:after="0"/>
        <w:jc w:val="left"/>
        <w:rPr>
          <w:rFonts w:ascii="Times New Roman" w:hAnsi="Times New Roman"/>
          <w:sz w:val="20"/>
        </w:rPr>
      </w:pPr>
      <w:r>
        <w:rPr>
          <w:rFonts w:ascii="Times New Roman;serif" w:hAnsi="Times New Roman;serif"/>
          <w:b w:val="false"/>
          <w:sz w:val="20"/>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also may be implicated if any of our CROs violates fraud and abuse or false claims laws and regulations or healthcare privacy and security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the product candidate as well as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a product candidate is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approval of other new therapies for the same indications;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prevalence and severity of any adverse side effects associated with evorpacept and our other product candidates;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contained in the labeling approved for evorpacept or our other product candidates by the FDA or foreign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alternative treatments and the potential and perceived advantages of our product candidates over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of the target patient population and the willingness of the target patient population to try new therapies and of physicians to prescribe these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and effectiveness of marketing and distribution support and timing of market introduction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publicity for our product candidates and competing products and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pricing and cost-effectiveness in relation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relative convenience and ease of administration;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sufficient third-party coverage or reimbursement, and the willingness of patients to pay out-of-pocket in the absence of third-party coverage;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is approved but does not achieve an adequate level of acceptance by patients, physicians and third-party payors, we may not generate sufficient revenue to become or remain profitable and our business may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The market opportunities for the product candidates we develop, if approved, may be limited to certain smaller patient subsets.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any of our product candidates receive marketing approval, if we or others later identify undesirable or unacceptable side effects caused by such products: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us to take our approved product off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specific warnings, contraindication, precaution or field alerts to physicians and pharmacies;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limitations on how we may promote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the product may decrease significantly;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litigation or product liability claims;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any products for which we may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set a price that we believe is fair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coverage and adequate reimbursement for a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w:t>
      </w:r>
    </w:p>
    <w:p>
      <w:pPr>
        <w:pStyle w:val="TextBody"/>
        <w:bidi w:val="0"/>
        <w:spacing w:before="120" w:after="0"/>
        <w:jc w:val="left"/>
        <w:rPr>
          <w:rFonts w:ascii="Times New Roman" w:hAnsi="Times New Roman"/>
          <w:sz w:val="20"/>
        </w:rPr>
      </w:pPr>
      <w:r>
        <w:rPr>
          <w:rFonts w:ascii="Times New Roman;serif" w:hAnsi="Times New Roman;serif"/>
          <w:b/>
          <w:i/>
          <w:sz w:val="20"/>
        </w:rPr>
        <w:t>The FDA and other regulatory agencies actively enforce the laws and regulations prohibiting the promotion of off-label uses.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120" w:after="0"/>
        <w:jc w:val="left"/>
        <w:rPr>
          <w:rFonts w:ascii="Times New Roman" w:hAnsi="Times New Roman"/>
          <w:sz w:val="20"/>
        </w:rPr>
      </w:pPr>
      <w:r>
        <w:rPr>
          <w:rFonts w:ascii="Times New Roman;serif" w:hAnsi="Times New Roman;serif"/>
          <w:b/>
          <w:i/>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or manufacturing of the drug;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the drug from the market or voluntary or mandatory product recalls;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publicity, fines, warning letters or holds on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drug product seizure or detention, or refusal to permit the import or export of product candidates;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Applications for our product candidates could fail to receive regulatory approval for many reasons, including but not limited to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disagree with the design, implementation or results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disagree with our interpretation of data from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and in June 2022, we were granted ODD to evorpacept for the treatment of patients with AML.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2023, the European Commission granted ODD to evorpacept for the treatment of patients with gastric/GEJ cancer. In the European Union, or EU,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our drugs, if we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receive or set a price that we believe is fair for our drugs;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availability of capital. </w:t>
      </w:r>
    </w:p>
    <w:p>
      <w:pPr>
        <w:pStyle w:val="TextBody"/>
        <w:bidi w:val="0"/>
        <w:spacing w:before="120" w:after="0"/>
        <w:jc w:val="left"/>
        <w:rPr>
          <w:rFonts w:ascii="Times New Roman" w:hAnsi="Times New Roman"/>
          <w:sz w:val="20"/>
        </w:rPr>
      </w:pPr>
      <w:r>
        <w:rPr>
          <w:rFonts w:ascii="Times New Roman;serif" w:hAnsi="Times New Roman;serif"/>
          <w:b w:val="false"/>
          <w:sz w:val="20"/>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The Consolidated Appropriations Act, 2023, extends the 2% Medicare sequester for the first six months of FY 2032 and revises the sequester percentage up to 2% for FY 2030 and 2031.</w:t>
      </w:r>
    </w:p>
    <w:p>
      <w:pPr>
        <w:pStyle w:val="TextBody"/>
        <w:bidi w:val="0"/>
        <w:spacing w:before="120" w:after="0"/>
        <w:jc w:val="left"/>
        <w:rPr>
          <w:rFonts w:ascii="Times New Roman" w:hAnsi="Times New Roman"/>
          <w:sz w:val="20"/>
        </w:rPr>
      </w:pPr>
      <w:r>
        <w:rPr>
          <w:rFonts w:ascii="Times New Roman;serif" w:hAnsi="Times New Roman;serif"/>
          <w:b w:val="false"/>
          <w:sz w:val="20"/>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serif" w:hAnsi="Times New Roman;serif"/>
          <w:b w:val="false"/>
          <w:i/>
          <w:sz w:val="20"/>
        </w:rPr>
        <w:t>i.e.</w:t>
      </w:r>
      <w:r>
        <w:rPr>
          <w:rFonts w:ascii="Times New Roman;serif" w:hAnsi="Times New Roman;serif"/>
          <w:b w:val="false"/>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U.S. Federal Food, Drug and Cosmetic Act prohibits, among other things, the adulteration or misbranding of drugs, biologics and medical devices.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do not comply with laws regulating the protection of the environment and health and human safety, our business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Disruptions at the FDA,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COVD-19 pandemic, the FDA has postponed certain inspections. While the FDA has largely caught up with domestic preapproval inspections, it continues to work through its backlog of foreign inspections. On May 11, 2023, the federal government ended the COVID-19 public health emergency, which ended a number of temporary changes made to federally funded programs while some continue to be in effect. The full impact of this termination of the national emergency and the wind-down of the public health emergency on FDA and other regulatory policies and operations are unclear.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120" w:after="0"/>
        <w:jc w:val="left"/>
        <w:rPr>
          <w:rFonts w:ascii="Times New Roman" w:hAnsi="Times New Roman"/>
          <w:sz w:val="20"/>
        </w:rPr>
      </w:pPr>
      <w:r>
        <w:rPr>
          <w:rFonts w:ascii="Times New Roman;serif" w:hAnsi="Times New Roman;serif"/>
          <w:b/>
          <w:i/>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0"/>
        <w:jc w:val="left"/>
        <w:rPr>
          <w:rFonts w:ascii="Times New Roman" w:hAnsi="Times New Roman"/>
          <w:sz w:val="20"/>
        </w:rPr>
      </w:pPr>
      <w:r>
        <w:rPr>
          <w:rFonts w:ascii="Times New Roman;serif" w:hAnsi="Times New Roman;serif"/>
          <w:b w:val="false"/>
          <w:sz w:val="20"/>
        </w:rPr>
        <w:t>We may collect, process, use or transfer personal information from individuals located in the European Economic Area, or EEA, Switzerland and the United Kingdom in connection with our business, including in connection with conducting clinical trials in these regions.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The GDPR, UK GDPR and FADP also restrict the transfer of personal information outside of the EEA, United Kingdom and Switzerland respectively, unless appropriate safeguards are in place.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One of the primary safeguards, the Standard Contractual Clauses adopted by the European Commission, has been recently updated. With regard to the data transfers outside of the EEA to the United States, in March 2022, the European Union and United States announced a political agreement on a new framework for personal information transfers, the EU-U.S. Data Privacy Framework, or the EU-U.S. DPF. On July 10, 2023, the European Commission adopted an adequacy decision relating to the EU-U.S. DPF. We are evaluating whether to make use of the EU-U.S. DPF to transfer personal information from the EEA to the United States.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Draft regulations to the CPRA are currently under review but we will not have clarity regarding our compliance obligations until the regulations are finalized. Other states are beginning to consider and pass similar laws, such as Colorado, Connecticut, Florida, Indiana, Iowa, Montana,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maintain and enforce patent protection for our product candidates and related technology, our business could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opposition or derivation proceedings challenging our patent rights or the patent rights of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or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granted patent in Eurasia, and one pending application in Eurasia.</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Changes in patent laws or patent jurisprudence could diminish the value of patents in general, thereby impairing our ability to protect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0"/>
        <w:jc w:val="left"/>
        <w:rPr>
          <w:rFonts w:ascii="Times New Roman" w:hAnsi="Times New Roman"/>
          <w:sz w:val="20"/>
        </w:rPr>
      </w:pPr>
      <w:r>
        <w:rPr>
          <w:rFonts w:ascii="Times New Roman;serif" w:hAnsi="Times New Roman;serif"/>
          <w:b w:val="false"/>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serif" w:hAnsi="Times New Roman;serif"/>
          <w:b w:val="false"/>
          <w:i/>
          <w:sz w:val="20"/>
        </w:rPr>
        <w:t>e.g.</w:t>
      </w:r>
      <w:r>
        <w:rPr>
          <w:rFonts w:ascii="Times New Roman;serif" w:hAnsi="Times New Roman;serif"/>
          <w:b w:val="false"/>
          <w:sz w:val="20"/>
        </w:rPr>
        <w:t xml:space="preserve">, via post-grant reviews or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patents covering one or more of our product candidates could be found invalid or unenforceable if challenged.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Patent protection, prosecution, assertion and defense for some of our product candidates may be dependent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become involved in lawsuits to protect or enforce our patents and trade secrets,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are examples of litigation and other adversarial proceedings or disputes that we could become a party to involving our patents or patents licensed to us: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initiate litigation or other proceedings against third parties to enforce our patent and trade secret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commercial success depends in part on our ability to operate without infringing the patents and other proprietary rights of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On October 18, 2022, a hearing was held before the Board of Appeal of the European Patent Office, or Board of Appeal, at the conclusion of which the Board of Appeal ruled in favor of UHN with respect to the matter on appeal but remanded the case back to Opposition Division of the European Patent Office, or Opposition Division, for consideration of a separate issue bearing on the validity of European patent (EP 2 429 574). The hearing before the Opposition Division has been scheduled for November 27, 2023. The patent claims under review, if upheld by the Opposition Division, could potentially limit our ability to pursue evorpacept in certain indications in certain geographies in the future. The U.S. counterpart was recently granted as U.S. patent 10,907,209. However,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intellectual property rights will not necessarily provide us with competitive advantages.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without infringing our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fail to develop additional proprietary technologies that are patentable;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 aforementioned threats to our competitive advantage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will need to obtain FDA approval for any proposed product candidate names, and any failure or delay associated with product candidate name approval may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rights to develop and commercialize our product candidates may be subject, in part, to the terms and conditions of agreements with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disputes may arise regarding intellectual property subject to a collaboration agreement,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the option or license rights granted under the agreement and other interpretation-related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sublicensing of patent and other rights under our collaborative development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diligence obligations under the agreement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priority of invention of patented technology.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Operations</w:t>
      </w:r>
    </w:p>
    <w:p>
      <w:pPr>
        <w:pStyle w:val="TextBody"/>
        <w:bidi w:val="0"/>
        <w:spacing w:before="120" w:after="0"/>
        <w:jc w:val="left"/>
        <w:rPr>
          <w:rFonts w:ascii="Times New Roman" w:hAnsi="Times New Roman"/>
          <w:sz w:val="20"/>
        </w:rPr>
      </w:pPr>
      <w:r>
        <w:rPr>
          <w:rFonts w:ascii="Times New Roman;serif" w:hAnsi="Times New Roman;serif"/>
          <w:b/>
          <w:i/>
          <w:sz w:val="20"/>
        </w:rPr>
        <w:t>In order to successfully implement our plans and strategies, we will need to grow the size of our organization, and we may experience difficulties in managing this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72 employees, including 56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recruiting, integrating, retaining and motivating additional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maintaining and updating our operational, financial and management controls, reporting systems and procedures.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0"/>
        <w:jc w:val="left"/>
        <w:rPr>
          <w:rFonts w:ascii="Times New Roman" w:hAnsi="Times New Roman"/>
          <w:sz w:val="20"/>
        </w:rPr>
      </w:pPr>
      <w:r>
        <w:rPr>
          <w:rFonts w:ascii="Times New Roman;serif" w:hAnsi="Times New Roman;serif"/>
          <w:b/>
          <w:i/>
          <w:sz w:val="20"/>
        </w:rPr>
        <w:t>Our product candidates are based on a novel technology, which makes it difficult to predict the time and cost of product candidate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Additionally, layoffs or furloughs, pausing recruiting efforts, or employee attrition could also create delays in the development of our product candidates and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international operations may expose us to business, regulatory, political, operational, financial, pricing and reimbursement risks associated with doing business outside of the United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obtain and maintain regulatory approvals for the use of our products in various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rejection or qualification of foreign clinical trial data by the competent authorities of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staffing and managing foreign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complexities associated with managing multiple payor reimbursement regimes, government payors or patient self-pay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limits in our ability to penetrate international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exposure to foreign currency exchange rate fluctuations;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political and economic instability, such as the geopolitical tensions and regional economic disruptions caused by Russia’s war with Ukraine, and including wars, terrorism and political unrest, boycotts, curtailment of trade and other business restrictions;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natural disasters, such as a fire, an earthquake or a flood, or outbreaks or public health crises, such as the COVID-19 pandemic;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cybersecurity breach or incident or a related breach of our information systems or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certain expenses including, among others, expenses for travel, translation and insurance;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factors could harm our future international expansion and operations and, consequently,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0"/>
        <w:jc w:val="left"/>
        <w:rPr>
          <w:rFonts w:ascii="Times New Roman" w:hAnsi="Times New Roman"/>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COVID-19 pandemic could adversely impact our business including our ongoing and planned clinical trials and preclinical research.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May 11, 2023, the federal government ended the COVID-19 public health emergency, which ended a number of temporary changes made to federally funded programs while some continue to be in effect. The full impact of this termination of the national emergency and the wind-down of the public health emergency on the FDA and other regulatory policies and operations is unclear. To the extent the COVID-19 pandemic continues to pose a threat on our ability to conduct our business operations as planned, there can be no assurance that we will be able to avoid a material impact on our business from the pandemic or its consequences, including downturns in business sentiment generally or in our industry. Currently our employees are following a hybrid work model in our South San Francisco and Palo Alto offices with flexibility to work from home, as needed. We continue to closely monitor the pandemic and may adjust our current policies as appropriate based on relevant public health guidance and local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we experience any ongoing pandemic-related disruptions, including a resurgence of COVID-19 cases, or other public health emergency, potential disruptions or impacts to our business may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delays or difficulties in enrolling and retaining subjects, particularly elderly subjects, who are at a higher risk of complications from COVID-19 or other public health outbreaks, in our ongoing clinical trials of evorpacept and our future clinical trials;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or difficulties in clinical site initiation, including difficulties in recruiting clinical site investigators and clinical site staff;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interpreting data from our clinical trials due to the possible effects of COVID-19 or other public health outbreaks on subjects;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healthcare resources away from the conduct of clinical trials, including the diversion of hospitals serving as our clinical trial sites and hospital staff supporting the conduct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of key clinical trial activities, such as clinical trial site monitoring, due to limitations on travel imposed or recommended by federal or state governments, employers and others;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in resources, including our employees, that would otherwise be focused on the conduct of our business or our current or planned clinical trials or preclinical research, including because of sickness, the desire to avoid contact with large groups of people, or travel restrictions as a result of government-imposed or local regulation that may impact access to our facilities;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difficulties or delays arising in our existing operations and company culture as a result of our hybrid working model;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receiving approval from regulatory authorities to initiate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in preclinical studies due to restricted or limited operations at the CROs conducting such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or delays in the operations of the FDA or other domestic or foreign regulatory authorities, which may impact review and approval timelines;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receiving the supplies, materials and services needed to conduct clinical trials and preclinical research;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regulations as part of a response to the COVID-19 pandemic or other public health emergencies, which may require us to change the ways in which our clinical trials are conducted and result in unexpected costs or require us to discontinue the clinical trial altogether;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or delays to our development pipeline;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necessary interactions with regulators, ethics committees and other important agencies and contractors due to limitations in employee resources or forced furlough of government or contractor personnel;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refusal of the FDA to accept data from clinical trials in affected geographies outside of the United States.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2020 and 2021, the FDA issued a number of COVID-19 related guidance documents for manufacturers and clinical trial sponsors, many of which have expired or were withdrawn with the expiration of the COVID-19 public health emergency declaration on May 11, 2023, although some COVID-19 related guidance documents continue in effect. Should the FDA issue additional guidance that mandate material changes to our clinical trials in response to a pandemic or other public health outbreak, the costs of such clinical trials may increase. To the extent another pandemic or other public health outbreak adversely affects our business, operations and financial condition in the future, it may also have the effect of heightening many of the risks described in this “Risk Factors” section.</w:t>
      </w:r>
    </w:p>
    <w:p>
      <w:pPr>
        <w:pStyle w:val="TextBody"/>
        <w:bidi w:val="0"/>
        <w:spacing w:before="120" w:after="0"/>
        <w:jc w:val="left"/>
        <w:rPr>
          <w:rFonts w:ascii="Times New Roman" w:hAnsi="Times New Roman"/>
          <w:sz w:val="20"/>
        </w:rPr>
      </w:pPr>
      <w:r>
        <w:rPr>
          <w:rFonts w:ascii="Times New Roman;serif" w:hAnsi="Times New Roman;serif"/>
          <w:b/>
          <w:i/>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acquire businesses or assets and we may not realize the benefits of such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acquire businesses or assets or create joint ventures with third parties that we believe may complement our existing product candidates. For example, in October 2021, we acquired ScalmiBio, Inc., or ScalmiBio, with plans to develop new anti-cancer drug candidates based on ScalmiBio’s platform and to enhance our internal research and development capabilities. In order to realize the benefits of the ScalmiBio acquisition, we [will need to make][have made, and may continue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ability to utilize our net operating loss carryforwards and certain other tax attributes may be limited.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2022, we had net operating loss carryforwards of approximately $46.8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Irish net operating loss carryforwards of approximately $4.6 million. These Irish net operating loss carryforwards do not expire but may not be fully utilized unless we generate sufficient income in Ireland. Under Irish law, where a company makes a loss in its trade, it can offset that loss against other income of the same accounting period or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0"/>
        <w:jc w:val="left"/>
        <w:rPr>
          <w:rFonts w:ascii="Times New Roman" w:hAnsi="Times New Roman"/>
          <w:sz w:val="20"/>
        </w:rPr>
      </w:pPr>
      <w:r>
        <w:rPr>
          <w:rFonts w:ascii="Times New Roman;serif" w:hAnsi="Times New Roman;serif"/>
          <w:b/>
          <w:i/>
          <w:sz w:val="20"/>
        </w:rPr>
        <w:t>Changes in tax laws</w:t>
      </w:r>
      <w:r>
        <w:rPr>
          <w:rFonts w:ascii="Times New Roman" w:hAnsi="Times New Roman"/>
          <w:sz w:val="20"/>
        </w:rPr>
        <w:t xml:space="preserve"> </w:t>
      </w:r>
      <w:r>
        <w:rPr>
          <w:rFonts w:ascii="Times New Roman;serif" w:hAnsi="Times New Roman;serif"/>
          <w:b/>
          <w:i/>
          <w:sz w:val="20"/>
        </w:rPr>
        <w:t>or in their implementation or interpretation may adversely affect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United States has also recently enacted the Inflation Reduction Act, which introduced, among other provisions, a 15% minimum tax on book income and a 1% excise tax on certain stock buybacks by U.S. publicly-traded corporations on or after January 1, 2023. The Organization for Economic Cooperation and Development has proposed implementing a global minimum tax of 15%, which has been agreed to by over 136 countries, and is expected to be implemented in EU member countries by the end of 2023.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bidi w:val="0"/>
        <w:spacing w:before="120" w:after="0"/>
        <w:jc w:val="left"/>
        <w:rPr>
          <w:rFonts w:ascii="Times New Roman" w:hAnsi="Times New Roman"/>
          <w:sz w:val="20"/>
        </w:rPr>
      </w:pPr>
      <w:r>
        <w:rPr>
          <w:rFonts w:ascii="Times New Roman;serif" w:hAnsi="Times New Roman;serif"/>
          <w:b/>
          <w:i/>
          <w:sz w:val="20"/>
        </w:rPr>
        <w:t>We do not know whether an active, liquid and orderly trading market will be sustained for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sell shares of our common stock in future financings, stockholders may experience immediate dilution and, as a result, our stock price may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If we issue common stock or securities convertible into common stock, our stockholders will experience additional dilution and our stock price may decline.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price of our stock may be volatile, and you could lose all or part of your investment.</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and timing of our preclinical studies and clinical trials and studies and trials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or discontinuation of any of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issues in manufacturing our product candidates or any future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developments or enforcement in the United States and foreign countries with respect to our product candidates or our competitors’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competition from existing products or new products that may emerge;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our growth and development relative to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or disputes concerning patents or other proprietary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introduction of new product candidates or technological innovations by us or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our future strategic partners or our competitors of significant acquisitions, strategic partnerships, joint ventures or capital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estimates or recommendations by securities analysts, if any cover our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the valuation of companies perceived by investors to be comparable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 concern over our product candidates or any future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future sales of our common stock by us, our insiders or our other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expiration of market stand-off or lock-up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share price and volume fluctuations attributable to inconsistent trading volume levels of our shares;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 care payment systems in the United States or overseas;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of any of our product candidates, if approved, to achieve commercial success;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macroeconomic conditions, such as inflation, economic downturns, disasters, and medical or public health crises, including the impact of recent bank failures and the ongoing geopolitical unrest related to Russia’s war with Ukraine;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or expectations of additional financing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overall fluctuations in U.S. equity markets, general market conditions and market conditions for biotechnology stocks;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factors that may be unanticipated or out of our control.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our guidance.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our operating results may fluctuate due to a variety of other factors, many of which are outside of our control and may be difficult to predict,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enroll subjects in clinical trials and the timing of enrollment;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expenditures that we will or may incur to acquire or develop additional product candidates and technologies or other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outcomes of clinical trials for evorpacept, and any of our other product candidates, or competing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need to conduct unanticipated clinical trials or trials that are larger or more complex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delays in regulatory review or approval of evorpacept or any of our other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demand for evorpacept and any of our other product candidates, if approved, which may fluctuate significantly and be difficult to predict;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collaborations, licensing or other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adequately support future growth;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increase in interest expense due to an increase in the floating rate under the Loan Agreement as described elsewhere in this Quarterly Report on Form 10-Q;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unforeseen business disruptions that increase our costs or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future accounting pronouncements or changes in our accounting policies;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geopolitical unrest related to Russia’s conflict with Ukraine, and bank failures or instability in the financial services sector on the global economy.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0"/>
        <w:jc w:val="left"/>
        <w:rPr>
          <w:rFonts w:ascii="Times New Roman" w:hAnsi="Times New Roman"/>
          <w:sz w:val="20"/>
        </w:rPr>
      </w:pPr>
      <w:r>
        <w:rPr>
          <w:rFonts w:ascii="Times New Roman;serif" w:hAnsi="Times New Roman;serif"/>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0"/>
        <w:jc w:val="left"/>
        <w:rPr>
          <w:rFonts w:ascii="Times New Roman" w:hAnsi="Times New Roman"/>
          <w:sz w:val="20"/>
        </w:rPr>
      </w:pPr>
      <w:r>
        <w:rPr>
          <w:rFonts w:ascii="Times New Roman;serif" w:hAnsi="Times New Roman;serif"/>
          <w:b/>
          <w:i/>
          <w:sz w:val="20"/>
        </w:rPr>
        <w:t>If securities or industry analysts do not publish research or publish inaccurate or unfavorable research about our business, our share price and trading volume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and will continue to incur significant increased costs and management resources as a result of operating as a public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While we were a large accelerated filer for fiscal year 2022, we are a “non-accelerated filer” for fiscal year 2023 and this status could make our common stock less attractive to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Each year, we re-evaluate our SEC filing status. Accordingly, due to our public float as of June 30, 2022, we became a non-accelerated filer for fiscal year 2023.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0"/>
        <w:jc w:val="left"/>
        <w:rPr>
          <w:rFonts w:ascii="Times New Roman" w:hAnsi="Times New Roman"/>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our executive officers, directors, holders of 5% or more of our capital stock and their respective affiliates beneficially owned approximately 76.6% of our outstanding voting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 conditions and changing circumstances could impair our ability to access our existing cash, cash equivalents and investments and to timely pay key vendors and others.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0"/>
        <w:jc w:val="left"/>
        <w:rPr>
          <w:rFonts w:ascii="Times New Roman" w:hAnsi="Times New Roman"/>
          <w:sz w:val="20"/>
        </w:rPr>
      </w:pPr>
      <w:r>
        <w:rPr>
          <w:rFonts w:ascii="Times New Roman;serif" w:hAnsi="Times New Roman;serif"/>
          <w:b/>
          <w:i/>
          <w:sz w:val="20"/>
        </w:rPr>
        <w:t>We do not anticipate paying cash dividends and, accordingly, stockholders must rely on share appreciation for any return on their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substantial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described therein.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that our board of directors is divided into three classes, with each class serving staggered three-year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vacancies on our board of directors may be filled only by a majority of directors then in office, even though less than a quorum;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our directors may only be removed for cause;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eliminate cumulative voting in the election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our board of directors with the exclusive right to elect a director to fill a vacancy or newly created directorship;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permit stockholders to only take actions at a duly called annual or special meeting and not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prohibit stockholders from calling a special meeting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stockholders give advance notice to nominate directors or submit proposals for consideration at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amend the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affirmative vote of at least 66 2/3% or more of the outstanding shares of common stock to amend many of the provisions described above.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derivative action or proceeding brought on behalf of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of breach of a fiduciary duty;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action asserting a claim against us that is governed by the internal affairs doctrine. </w:t>
      </w:r>
    </w:p>
    <w:p>
      <w:pPr>
        <w:pStyle w:val="TextBody"/>
        <w:bidi w:val="0"/>
        <w:spacing w:before="120" w:after="0"/>
        <w:jc w:val="left"/>
        <w:rPr>
          <w:rFonts w:ascii="Times New Roman" w:hAnsi="Times New Roman"/>
          <w:sz w:val="20"/>
        </w:rPr>
      </w:pPr>
      <w:r>
        <w:rPr>
          <w:rFonts w:ascii="Times New Roman;serif" w:hAnsi="Times New Roman;serif"/>
          <w:b w:val="false"/>
          <w:sz w:val="20"/>
        </w:rPr>
        <w:t>This provision would not apply to suits brought to enforce a duty or liability created by the Securities Exchange Act of 1934, as amended, or Exchange Act, or any other claim for which the U.S. federal courts have exclusive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bylaws further provide that the federal district courts of the United States will be the exclusive forum for resolving any complaint asserting a cause of action arising under the Securities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2022 and 2021.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failure to maintain effective internal control over financial reporting could have a material adverse effect on our business, financial condition and results of operations and the trading price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0"/>
        <w:jc w:val="left"/>
        <w:rPr>
          <w:rFonts w:ascii="Times New Roman" w:hAnsi="Times New Roman"/>
          <w:sz w:val="20"/>
        </w:rPr>
      </w:pPr>
      <w:r>
        <w:rPr>
          <w:rFonts w:ascii="Times New Roman;serif" w:hAnsi="Times New Roman;serif"/>
          <w:b/>
          <w:i/>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General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experience disruptions and delays or incur financial damages as a result of system failures or security breaches or incidents.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COVID-19 pandemic, because we and our service providers have less capability to implement, monitor and enforce our information security and data protection policies for those employees. Also,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securities litigation, which is expensive and could divert management attention.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7" w:name="part2_item2_unreg"/>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Use of Proceeds from Initial Public Offering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offer and sale of the shares in our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pStyle w:val="TextBody"/>
        <w:bidi w:val="0"/>
        <w:spacing w:before="120" w:after="0"/>
        <w:jc w:val="left"/>
        <w:rPr>
          <w:rFonts w:ascii="Times New Roman" w:hAnsi="Times New Roman"/>
          <w:sz w:val="20"/>
        </w:rPr>
      </w:pPr>
      <w:r>
        <w:rPr>
          <w:rFonts w:ascii="Times New Roman;serif" w:hAnsi="Times New Roman;serif"/>
          <w:b w:val="false"/>
          <w:sz w:val="20"/>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Unregistered Sales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8" w:name="part2_item3_default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9" w:name="part2_item4_mine"/>
      <w:bookmarkEnd w:id="19"/>
      <w:r>
        <w:rPr>
          <w:rFonts w:ascii="Times New Roman;serif" w:hAnsi="Times New Roman;serif"/>
          <w:b/>
          <w:sz w:val="20"/>
        </w:rPr>
        <w:t>Item 4. Mine Safety Disclosures</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20" w:name="part2_item5_other"/>
      <w:bookmarkEnd w:id="20"/>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21" w:name="part2_item6_exhibits"/>
      <w:bookmarkEnd w:id="21"/>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847"/>
        <w:gridCol w:w="146"/>
        <w:gridCol w:w="4739"/>
        <w:gridCol w:w="146"/>
        <w:gridCol w:w="616"/>
        <w:gridCol w:w="146"/>
        <w:gridCol w:w="557"/>
        <w:gridCol w:w="146"/>
        <w:gridCol w:w="796"/>
        <w:gridCol w:w="146"/>
        <w:gridCol w:w="691"/>
        <w:gridCol w:w="146"/>
        <w:gridCol w:w="1083"/>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73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w:t>
              <w:br/>
              <w:t>DATE</w:t>
            </w:r>
          </w:p>
        </w:tc>
        <w:tc>
          <w:tcPr>
            <w:tcW w:w="146" w:type="dxa"/>
            <w:tcBorders/>
            <w:vAlign w:val="center"/>
          </w:tcPr>
          <w:p>
            <w:pPr>
              <w:pStyle w:val="TableContents"/>
              <w:bidi w:val="0"/>
              <w:spacing w:before="0" w:after="0"/>
              <w:ind w:left="0" w:right="0" w:hanging="0"/>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br/>
              <w:t>HEREWITH</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10_1.htm">
              <w:r>
                <w:rPr>
                  <w:rStyle w:val="InternetLink"/>
                  <w:rFonts w:ascii="Times New Roman;serif" w:hAnsi="Times New Roman;serif"/>
                  <w:b w:val="false"/>
                  <w:sz w:val="20"/>
                  <w:u w:val="single"/>
                </w:rPr>
                <w:t>Second Amendment to Loan and Security Agreement, dated as of May 31, 2023.</w:t>
              </w:r>
            </w:hyperlink>
            <w:hyperlink w:anchor="alxo-ex10_1.htm">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included in exhibit 101)</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this report has been signed below by the following persons on behalf of the registrant and in the capacities and on the dates indicated</w:t>
      </w:r>
      <w:r>
        <w:rPr>
          <w:rFonts w:ascii="Times New Roman;serif" w:hAnsi="Times New Roman;serif"/>
          <w:b/>
          <w:sz w:val="20"/>
        </w:rPr>
        <w:t>.</w:t>
      </w:r>
    </w:p>
    <w:p>
      <w:pPr>
        <w:pStyle w:val="TextBody"/>
        <w:bidi w:val="0"/>
        <w:spacing w:before="0" w:after="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ALX ONCOLOGY HOLDINGS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tbl>
      <w:tblPr>
        <w:tblW w:w="7702" w:type="dxa"/>
        <w:jc w:val="left"/>
        <w:tblInd w:w="0" w:type="dxa"/>
        <w:tblLayout w:type="fixed"/>
        <w:tblCellMar>
          <w:top w:w="28" w:type="dxa"/>
          <w:left w:w="28" w:type="dxa"/>
          <w:bottom w:w="28" w:type="dxa"/>
          <w:right w:w="28" w:type="dxa"/>
        </w:tblCellMar>
      </w:tblPr>
      <w:tblGrid>
        <w:gridCol w:w="1951"/>
        <w:gridCol w:w="109"/>
        <w:gridCol w:w="406"/>
        <w:gridCol w:w="52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2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2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Shelly Pinto</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2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Shelly Pinto</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2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Senior Vice President, Finance and Chief Accounting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Accounting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alxo-ex10_1.htm"/>
      <w:bookmarkStart w:id="24" w:name="ksalxoex10_1"/>
      <w:bookmarkEnd w:id="23"/>
      <w:bookmarkEnd w:id="24"/>
      <w:r>
        <w:rPr>
          <w:rFonts w:ascii="Times New Roman;serif" w:hAnsi="Times New Roman;serif"/>
          <w:b/>
          <w:sz w:val="20"/>
        </w:rPr>
        <w:t>Exhibit 10.1</w:t>
      </w:r>
      <w:r>
        <w:br w:type="page"/>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 = Pursuant to Item 601(b)(10) of Regulation S-K, certain information contained in this document, marked by brackets, has been omitted because it is both not material and is the type of information that the registrant treats as private or confidential.</w:t>
      </w:r>
    </w:p>
    <w:p>
      <w:pPr>
        <w:pStyle w:val="TextBody"/>
        <w:bidi w:val="0"/>
        <w:spacing w:before="200" w:after="0"/>
        <w:jc w:val="center"/>
        <w:rPr>
          <w:rFonts w:ascii="Times New Roman;serif" w:hAnsi="Times New Roman;serif"/>
          <w:b/>
          <w:sz w:val="20"/>
        </w:rPr>
      </w:pPr>
      <w:r>
        <w:rPr>
          <w:rFonts w:ascii="Times New Roman;serif" w:hAnsi="Times New Roman;serif"/>
          <w:b/>
          <w:sz w:val="20"/>
        </w:rPr>
        <w:t>SECOND AMENDMENT TO LOAN AND SECURITY AGREEMENT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THIS SECOND AMENDMENT TO LOAN AND SECURITY AGREEMENT (this “</w:t>
      </w:r>
      <w:r>
        <w:rPr>
          <w:rFonts w:ascii="Times New Roman;serif" w:hAnsi="Times New Roman;serif"/>
          <w:b/>
          <w:sz w:val="20"/>
        </w:rPr>
        <w:t>Amendment</w:t>
      </w:r>
      <w:r>
        <w:rPr>
          <w:rFonts w:ascii="Times New Roman" w:hAnsi="Times New Roman"/>
          <w:sz w:val="20"/>
        </w:rPr>
        <w:t>”</w:t>
      </w:r>
      <w:r>
        <w:rPr>
          <w:rFonts w:ascii="Times New Roman;serif" w:hAnsi="Times New Roman;serif"/>
          <w:b w:val="false"/>
          <w:sz w:val="20"/>
        </w:rPr>
        <w:t>) is entered into as of May 31, 2023, by and among OXFORD FINANCE LLC, a Delaware limited liability company with an office located at 115 South Union Street, Suite 300, Alexandria, VA 22314 (“</w:t>
      </w:r>
      <w:r>
        <w:rPr>
          <w:rFonts w:ascii="Times New Roman;serif" w:hAnsi="Times New Roman;serif"/>
          <w:b/>
          <w:sz w:val="20"/>
        </w:rPr>
        <w:t>Oxford</w:t>
      </w:r>
      <w:r>
        <w:rPr>
          <w:rFonts w:ascii="Times New Roman" w:hAnsi="Times New Roman"/>
          <w:sz w:val="20"/>
        </w:rPr>
        <w:t>”</w:t>
      </w:r>
      <w:r>
        <w:rPr>
          <w:rFonts w:ascii="Times New Roman;serif" w:hAnsi="Times New Roman;serif"/>
          <w:b w:val="false"/>
          <w:sz w:val="20"/>
        </w:rPr>
        <w:t>), as collateral agent (in such capacity, “</w:t>
      </w:r>
      <w:r>
        <w:rPr>
          <w:rFonts w:ascii="Times New Roman;serif" w:hAnsi="Times New Roman;serif"/>
          <w:b/>
          <w:sz w:val="20"/>
        </w:rPr>
        <w:t>Collateral Agent</w:t>
      </w:r>
      <w:r>
        <w:rPr>
          <w:rFonts w:ascii="Times New Roman" w:hAnsi="Times New Roman"/>
          <w:sz w:val="20"/>
        </w:rPr>
        <w:t>”</w:t>
      </w:r>
      <w:r>
        <w:rPr>
          <w:rFonts w:ascii="Times New Roman;serif" w:hAnsi="Times New Roman;serif"/>
          <w:b w:val="false"/>
          <w:sz w:val="20"/>
        </w:rPr>
        <w:t>), the Lenders party hereto including Oxford in its capacity as a Lender, OXFORD FINANCE CREDIT FUND II LP, by its manager Oxford Finance Advisors, LLC with an office located at 115 South Union Street, Suite 300, Alexandria, VA 22314, and SILICON VALLEY BANK, a division of First-Citizens Bank &amp; Trust Company (successor by purchase to the Federal Deposit Insurance Corporation as Receiver for Silicon Valley Bridge Bank, N.A. (as successor to Silicon Valley Bank)) with an office located at 3003 Tasman Drive, Santa Clara, CA 95054 (“</w:t>
      </w:r>
      <w:r>
        <w:rPr>
          <w:rFonts w:ascii="Times New Roman;serif" w:hAnsi="Times New Roman;serif"/>
          <w:b/>
          <w:sz w:val="20"/>
        </w:rPr>
        <w:t>Bank</w:t>
      </w:r>
      <w:r>
        <w:rPr>
          <w:rFonts w:ascii="Times New Roman" w:hAnsi="Times New Roman"/>
          <w:sz w:val="20"/>
        </w:rPr>
        <w:t xml:space="preserve">” </w:t>
      </w:r>
      <w:r>
        <w:rPr>
          <w:rFonts w:ascii="Times New Roman;serif" w:hAnsi="Times New Roman;serif"/>
          <w:b w:val="false"/>
          <w:sz w:val="20"/>
        </w:rPr>
        <w:t>or “</w:t>
      </w:r>
      <w:r>
        <w:rPr>
          <w:rFonts w:ascii="Times New Roman;serif" w:hAnsi="Times New Roman;serif"/>
          <w:b/>
          <w:sz w:val="20"/>
        </w:rPr>
        <w:t>SVB</w:t>
      </w:r>
      <w:r>
        <w:rPr>
          <w:rFonts w:ascii="Times New Roman" w:hAnsi="Times New Roman"/>
          <w:sz w:val="20"/>
        </w:rPr>
        <w:t>”</w:t>
      </w:r>
      <w:r>
        <w:rPr>
          <w:rFonts w:ascii="Times New Roman;serif" w:hAnsi="Times New Roman;serif"/>
          <w:b w:val="false"/>
          <w:sz w:val="20"/>
        </w:rPr>
        <w:t>) (each a “</w:t>
      </w:r>
      <w:r>
        <w:rPr>
          <w:rFonts w:ascii="Times New Roman;serif" w:hAnsi="Times New Roman;serif"/>
          <w:b/>
          <w:sz w:val="20"/>
        </w:rPr>
        <w:t>Lender</w:t>
      </w:r>
      <w:r>
        <w:rPr>
          <w:rFonts w:ascii="Times New Roman" w:hAnsi="Times New Roman"/>
          <w:sz w:val="20"/>
        </w:rPr>
        <w:t xml:space="preserve">” </w:t>
      </w:r>
      <w:r>
        <w:rPr>
          <w:rFonts w:ascii="Times New Roman;serif" w:hAnsi="Times New Roman;serif"/>
          <w:b w:val="false"/>
          <w:sz w:val="20"/>
        </w:rPr>
        <w:t>and collectively, the “</w:t>
      </w:r>
      <w:r>
        <w:rPr>
          <w:rFonts w:ascii="Times New Roman;serif" w:hAnsi="Times New Roman;serif"/>
          <w:b/>
          <w:sz w:val="20"/>
        </w:rPr>
        <w:t>Lenders</w:t>
      </w:r>
      <w:r>
        <w:rPr>
          <w:rFonts w:ascii="Times New Roman" w:hAnsi="Times New Roman"/>
          <w:sz w:val="20"/>
        </w:rPr>
        <w:t>”</w:t>
      </w:r>
      <w:r>
        <w:rPr>
          <w:rFonts w:ascii="Times New Roman;serif" w:hAnsi="Times New Roman;serif"/>
          <w:b w:val="false"/>
          <w:sz w:val="20"/>
        </w:rPr>
        <w:t>), ALX ONCOLOGY INC., a Delaware corporation with offices located at 323 Allerton Avenue, South San Francisco, CA 94080, (“</w:t>
      </w:r>
      <w:r>
        <w:rPr>
          <w:rFonts w:ascii="Times New Roman;serif" w:hAnsi="Times New Roman;serif"/>
          <w:b/>
          <w:sz w:val="20"/>
        </w:rPr>
        <w:t>Borrower</w:t>
      </w:r>
      <w:r>
        <w:rPr>
          <w:rFonts w:ascii="Times New Roman" w:hAnsi="Times New Roman"/>
          <w:sz w:val="20"/>
        </w:rPr>
        <w:t>”</w:t>
      </w:r>
      <w:r>
        <w:rPr>
          <w:rFonts w:ascii="Times New Roman;serif" w:hAnsi="Times New Roman;serif"/>
          <w:b w:val="false"/>
          <w:sz w:val="20"/>
        </w:rPr>
        <w:t>), and ALX ONCOLOGY HOLDINGS INC., a Delaware corporation with offices located at 323 Allerton Avenue, South San Francisco, CA 94080 (together with each other Person party hereto as a Guarantor, individually and collectively, jointly and severally, “</w:t>
      </w:r>
      <w:r>
        <w:rPr>
          <w:rFonts w:ascii="Times New Roman;serif" w:hAnsi="Times New Roman;serif"/>
          <w:b/>
          <w:sz w:val="20"/>
        </w:rPr>
        <w:t>Guarantor</w:t>
      </w:r>
      <w:r>
        <w:rPr>
          <w:rFonts w:ascii="Times New Roman" w:hAnsi="Times New Roman"/>
          <w:sz w:val="20"/>
        </w:rPr>
        <w:t>”</w:t>
      </w:r>
      <w:r>
        <w:rPr>
          <w:rFonts w:ascii="Times New Roman;serif" w:hAnsi="Times New Roman;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 Collateral Agent, Credit Parties and Lenders have entered into that certain Loan and Security Agreement dated as of October 27, 2022, as amended by that certain Consent and First Amendment to Loan and Security Agreement dated as of December 22, 2022, and as amended herein (as further amended, supplemented or otherwise modified from time to time, the “</w:t>
      </w:r>
      <w:r>
        <w:rPr>
          <w:rFonts w:ascii="Times New Roman;serif" w:hAnsi="Times New Roman;serif"/>
          <w:b/>
          <w:sz w:val="20"/>
        </w:rPr>
        <w:t>Loan Agreement</w:t>
      </w:r>
      <w:r>
        <w:rPr>
          <w:rFonts w:ascii="Times New Roman" w:hAnsi="Times New Roman"/>
          <w:sz w:val="20"/>
        </w:rPr>
        <w:t>”</w:t>
      </w:r>
      <w:r>
        <w:rPr>
          <w:rFonts w:ascii="Times New Roman;serif" w:hAnsi="Times New Roman;serif"/>
          <w:b w:val="false"/>
          <w:sz w:val="20"/>
        </w:rPr>
        <w:t>), pursuant to which Lenders have provided to Borrower certain loans in accordance with the terms and conditions thereof.</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B. Credit Parties have opened new Collateral Accounts at Wells Fargo Bank, National Association ending in [***], [***] and [***] (the “</w:t>
      </w:r>
      <w:r>
        <w:rPr>
          <w:rFonts w:ascii="Times New Roman;serif" w:hAnsi="Times New Roman;serif"/>
          <w:b/>
          <w:sz w:val="20"/>
        </w:rPr>
        <w:t>New Collateral Accounts</w:t>
      </w:r>
      <w:r>
        <w:rPr>
          <w:rFonts w:ascii="Times New Roman" w:hAnsi="Times New Roman"/>
          <w:sz w:val="20"/>
        </w:rPr>
        <w:t>”</w:t>
      </w:r>
      <w:r>
        <w:rPr>
          <w:rFonts w:ascii="Times New Roman;serif" w:hAnsi="Times New Roman;serif"/>
          <w:b w:val="false"/>
          <w:sz w:val="20"/>
        </w:rPr>
        <w:t>), and Borrower has been in prior discussions with Lenders and Collateral Agent regarding the opening of such New Collateral Accounts.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 Credit Parties, Collateral Agent and the Required Lenders desire to amend certain provisions of the Loan Agreement as provided herein and subject to the terms and conditions set forth herein.</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AGREEMENT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NOW, THEREFORE, in consideration of the promises, covenants and agreements contained herein, and other good and valuable consideration, the receipt and adequacy of which are hereby acknowledged, Credit Parties, the Required Lenders and Collateral Agent hereby agree as follows: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5" w:name="x__definitions___capitalized_terms_used_"/>
      <w:bookmarkEnd w:id="25"/>
      <w:r>
        <w:rPr>
          <w:rFonts w:ascii="Times New Roman;serif" w:hAnsi="Times New Roman;serif"/>
          <w:b/>
          <w:sz w:val="20"/>
        </w:rPr>
        <w:t xml:space="preserve">1. Definitions. </w:t>
      </w:r>
      <w:r>
        <w:rPr>
          <w:rFonts w:ascii="Times New Roman;serif" w:hAnsi="Times New Roman;serif"/>
          <w:b w:val="false"/>
          <w:sz w:val="20"/>
        </w:rPr>
        <w:t>Capitalized terms used but not defined in this Amendment shall have the meanings given to them in the Loan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6" w:name="x__acknowledgement___collateral_agent_an"/>
      <w:bookmarkEnd w:id="26"/>
      <w:r>
        <w:rPr>
          <w:rFonts w:ascii="Times New Roman;serif" w:hAnsi="Times New Roman;serif"/>
          <w:b/>
          <w:sz w:val="20"/>
        </w:rPr>
        <w:t>2. Acknowledgement</w:t>
      </w:r>
      <w:r>
        <w:rPr>
          <w:rFonts w:ascii="Times New Roman;serif" w:hAnsi="Times New Roman;serif"/>
          <w:b w:val="false"/>
          <w:sz w:val="20"/>
        </w:rPr>
        <w:t>. Collateral Agent and Required Lenders hereby acknowledge that they each received sufficient notice from Borrower under the Loan Agreement of the opening by Borrower of the New Collateral Accounts. Borrower represents and warrants that as of the date hereof the New Collateral Accounts have not been funded. Therefore, the parties agree that Borrower is not in violation of Section 6.6(b) of the Loan Agreement as a result of Borrower opening the New Collateral Accounts.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bookmarkStart w:id="27" w:name="x__amendment_to_loan_agreement_"/>
      <w:bookmarkEnd w:id="27"/>
      <w:r>
        <w:rPr>
          <w:rFonts w:ascii="Times New Roman;serif" w:hAnsi="Times New Roman;serif"/>
          <w:b/>
          <w:sz w:val="20"/>
        </w:rPr>
        <w:t>3. Amendment to Loan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8" w:name="x_1_section_6_6__operating_accounts____s"/>
      <w:bookmarkEnd w:id="28"/>
      <w:r>
        <w:rPr>
          <w:rFonts w:ascii="Times New Roman;serif" w:hAnsi="Times New Roman;serif"/>
          <w:b/>
          <w:sz w:val="20"/>
        </w:rPr>
        <w:t>3.1 Section 6.6 (Operating Accounts)</w:t>
      </w:r>
      <w:r>
        <w:rPr>
          <w:rFonts w:ascii="Times New Roman;serif" w:hAnsi="Times New Roman;serif"/>
          <w:b w:val="false"/>
          <w:sz w:val="20"/>
        </w:rPr>
        <w:t>. Section 6.6(a) of the Loan Agreement is hereby amended and restated as follows:</w:t>
      </w:r>
    </w:p>
    <w:p>
      <w:pPr>
        <w:pStyle w:val="TextBody"/>
        <w:bidi w:val="0"/>
        <w:spacing w:before="0" w:after="0"/>
        <w:jc w:val="both"/>
        <w:rPr/>
      </w:pPr>
      <w:r>
        <w:rPr/>
        <w:t> </w:t>
      </w:r>
    </w:p>
    <w:p>
      <w:pPr>
        <w:pStyle w:val="TextBody"/>
        <w:bidi w:val="0"/>
        <w:spacing w:before="0" w:after="0"/>
        <w:jc w:val="both"/>
        <w:rPr/>
      </w:pPr>
      <w:r>
        <w:rPr/>
        <w:t>“</w:t>
      </w:r>
      <w:r>
        <w:rPr>
          <w:rFonts w:ascii="Times New Roman;serif" w:hAnsi="Times New Roman;serif"/>
          <w:b w:val="false"/>
          <w:sz w:val="20"/>
        </w:rPr>
        <w:t>(a) Maintain account balances in the Collateral Accounts of Credit Party and its Subsidiaries with Bank or its Affiliates in an aggregate amount of not less than fifty percent (50%) of the Dollar value of all Collateral Accounts of Borrower and its Subsidiaries at all financial institutions; provided, however, that all Collateral Accounts of Credit Party (other than Excluded Accounts) shall be maintained in accounts which are subject to a Control Agreement in favor of Collateral Agent.”</w:t>
      </w:r>
    </w:p>
    <w:p>
      <w:pPr>
        <w:pStyle w:val="TextBody"/>
        <w:bidi w:val="0"/>
        <w:spacing w:before="200" w:after="0"/>
        <w:jc w:val="both"/>
        <w:rPr>
          <w:rFonts w:ascii="Times New Roman" w:hAnsi="Times New Roman"/>
          <w:sz w:val="20"/>
        </w:rPr>
      </w:pPr>
      <w:bookmarkStart w:id="29" w:name="x_2_silicon_valley_bank___the_references"/>
      <w:bookmarkEnd w:id="29"/>
      <w:r>
        <w:rPr>
          <w:rFonts w:ascii="Times New Roman;serif" w:hAnsi="Times New Roman;serif"/>
          <w:b/>
          <w:sz w:val="20"/>
        </w:rPr>
        <w:t>3.2 Silicon Valley Bank</w:t>
      </w:r>
      <w:r>
        <w:rPr>
          <w:rFonts w:ascii="Times New Roman;serif" w:hAnsi="Times New Roman;serif"/>
          <w:b w:val="false"/>
          <w:sz w:val="20"/>
        </w:rPr>
        <w:t>. The references in the Loan Agreement to “Silicon Valley Bank” in the Introduction, Section 10, Section 12.12, Section 14.1 and Schedule 1.1 are hereby replaced with Silicon Valley Bank, a division of First-Citizens Bank &amp; Trust Company (successor by purchase to the Federal Deposit Insurance Corporation as Receiver for Silicon Valley Bridge Bank, N.A. (as successor to Silicon Valley Bank)).</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serif" w:hAnsi="Times New Roman;serif"/>
          <w:b/>
          <w:sz w:val="20"/>
        </w:rPr>
      </w:pPr>
      <w:bookmarkStart w:id="30" w:name="x__limitation_of_amendment_"/>
      <w:bookmarkEnd w:id="30"/>
      <w:r>
        <w:rPr>
          <w:rFonts w:ascii="Times New Roman;serif" w:hAnsi="Times New Roman;serif"/>
          <w:b/>
          <w:sz w:val="20"/>
        </w:rPr>
        <w:t>4. Limitation of Amendment.</w:t>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31" w:name="x_1_the_amendments_set_forth_in_section_"/>
      <w:bookmarkEnd w:id="31"/>
      <w:r>
        <w:rPr>
          <w:rFonts w:ascii="Times New Roman;serif" w:hAnsi="Times New Roman;serif"/>
          <w:b/>
          <w:sz w:val="20"/>
        </w:rPr>
        <w:t xml:space="preserve">4.1 </w:t>
      </w:r>
      <w:r>
        <w:rPr>
          <w:rFonts w:ascii="Times New Roman;serif" w:hAnsi="Times New Roman;serif"/>
          <w:b w:val="false"/>
          <w:sz w:val="20"/>
        </w:rPr>
        <w:t xml:space="preserve">The amendments set forth in </w:t>
      </w:r>
      <w:r>
        <w:rPr>
          <w:rFonts w:ascii="Times New Roman;serif" w:hAnsi="Times New Roman;serif"/>
          <w:b/>
          <w:sz w:val="20"/>
        </w:rPr>
        <w:t xml:space="preserve">Section 3 </w:t>
      </w:r>
      <w:r>
        <w:rPr>
          <w:rFonts w:ascii="Times New Roman;serif" w:hAnsi="Times New Roman;serif"/>
          <w:b w:val="false"/>
          <w:sz w:val="20"/>
        </w:rPr>
        <w:t>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any Credit Party may now have or may have in the future under or in connection with any Loan Document, as amended hereby.</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2" w:name="x_2_this_amendment_shall_be_construed_in"/>
      <w:bookmarkEnd w:id="32"/>
      <w:r>
        <w:rPr>
          <w:rFonts w:ascii="Times New Roman;serif" w:hAnsi="Times New Roman;serif"/>
          <w:b/>
          <w:sz w:val="20"/>
        </w:rPr>
        <w:t xml:space="preserve">4.2 </w:t>
      </w:r>
      <w:r>
        <w:rPr>
          <w:rFonts w:ascii="Times New Roman;serif" w:hAnsi="Times New Roman;serif"/>
          <w:b w:val="false"/>
          <w:sz w:val="20"/>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3" w:name="x__representations_and_warranties___to_i"/>
      <w:bookmarkEnd w:id="33"/>
      <w:r>
        <w:rPr>
          <w:rFonts w:ascii="Times New Roman;serif" w:hAnsi="Times New Roman;serif"/>
          <w:b/>
          <w:sz w:val="20"/>
        </w:rPr>
        <w:t xml:space="preserve">5. Representations and Warranties. </w:t>
      </w:r>
      <w:r>
        <w:rPr>
          <w:rFonts w:ascii="Times New Roman;serif" w:hAnsi="Times New Roman;serif"/>
          <w:b w:val="false"/>
          <w:sz w:val="20"/>
        </w:rPr>
        <w:t>To induce Collateral Agent and the Required Lenders to enter into this Amendment, each Credit Party hereby represents and warrants to Collateral Agent and the Required Lenders on the date hereof as follows: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4" w:name="x_1_immediately_after_giving_effect_to_t"/>
      <w:bookmarkEnd w:id="34"/>
      <w:r>
        <w:rPr>
          <w:rFonts w:ascii="Times New Roman;serif" w:hAnsi="Times New Roman;serif"/>
          <w:b/>
          <w:sz w:val="20"/>
        </w:rPr>
        <w:t xml:space="preserve">5.1 </w:t>
      </w:r>
      <w:r>
        <w:rPr>
          <w:rFonts w:ascii="Times New Roman;serif" w:hAnsi="Times New Roman;serif"/>
          <w:b w:val="false"/>
          <w:sz w:val="20"/>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5" w:name="x_2_such_credit_party_has_the_corporate_"/>
      <w:bookmarkEnd w:id="35"/>
      <w:r>
        <w:rPr>
          <w:rFonts w:ascii="Times New Roman;serif" w:hAnsi="Times New Roman;serif"/>
          <w:b/>
          <w:sz w:val="20"/>
        </w:rPr>
        <w:t xml:space="preserve">5.2 </w:t>
      </w:r>
      <w:r>
        <w:rPr>
          <w:rFonts w:ascii="Times New Roman;serif" w:hAnsi="Times New Roman;serif"/>
          <w:b w:val="false"/>
          <w:sz w:val="20"/>
        </w:rPr>
        <w:t>Such Credit Party has the corporate power and authority to execute and deliver this Amendment and to perform its obligations under the Loan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6" w:name="x_3_the_organizational_documents_of_such"/>
      <w:bookmarkEnd w:id="36"/>
      <w:r>
        <w:rPr>
          <w:rFonts w:ascii="Times New Roman;serif" w:hAnsi="Times New Roman;serif"/>
          <w:b/>
          <w:sz w:val="20"/>
        </w:rPr>
        <w:t xml:space="preserve">5.3 </w:t>
      </w:r>
      <w:r>
        <w:rPr>
          <w:rFonts w:ascii="Times New Roman;serif" w:hAnsi="Times New Roman;serif"/>
          <w:b w:val="false"/>
          <w:sz w:val="20"/>
        </w:rPr>
        <w:t>The organizational documents of such Credit Party delivered to Collateral Agent on the Effective Date, and updated pursuant to subsequent deliveries by or on behalf of such Credit Party to the Collateral Agent, remain true, accurate and complete and have not been amended, supplemented or restated and are and continue to be in full force and effect;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7" w:name="x_4_the_execution_and_delivery_by_such_c"/>
      <w:bookmarkEnd w:id="37"/>
      <w:r>
        <w:rPr>
          <w:rFonts w:ascii="Times New Roman;serif" w:hAnsi="Times New Roman;serif"/>
          <w:b/>
          <w:sz w:val="20"/>
        </w:rPr>
        <w:t xml:space="preserve">5.4 </w:t>
      </w:r>
      <w:r>
        <w:rPr>
          <w:rFonts w:ascii="Times New Roman;serif" w:hAnsi="Times New Roman;serif"/>
          <w:b w:val="false"/>
          <w:sz w:val="20"/>
        </w:rPr>
        <w:t>The execution and delivery by such Credit Party of this Amendment and the performance by such Credit Party of its obligations under the Loan Agreement, do not contravene (i) any material law or regulation binding on or affecting such Credit Party, (ii) any material contractual restriction with a Person binding on such Credit Party, (iii) any order, judgment or decree of any court or other governmental or public body or authority, or subdivision thereof, binding on such Credit Party, or (iv) the organizational documents of such Credit Party;</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8" w:name="x_5_the_execution_and_delivery_by_such_c"/>
      <w:bookmarkEnd w:id="38"/>
      <w:r>
        <w:rPr>
          <w:rFonts w:ascii="Times New Roman;serif" w:hAnsi="Times New Roman;serif"/>
          <w:b/>
          <w:sz w:val="20"/>
        </w:rPr>
        <w:t xml:space="preserve">5.5 </w:t>
      </w:r>
      <w:r>
        <w:rPr>
          <w:rFonts w:ascii="Times New Roman;serif" w:hAnsi="Times New Roman;serif"/>
          <w:b w:val="false"/>
          <w:sz w:val="20"/>
        </w:rPr>
        <w:t>The execution and delivery by such Credit Party of this Amendment and the performance by such Credit Party of its obligations under the Loan Agreement, do not require any order, consent, approval, license, authorization or validation of, or filing, recording or registration with, or exemption by any governmental or public body or authority, or subdivision thereof, binding on such Credit Party, except as already has been obtained or made;</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39" w:name="x_6_this_amendment_has_been_duly_execute"/>
      <w:bookmarkEnd w:id="39"/>
      <w:r>
        <w:rPr>
          <w:rFonts w:ascii="Times New Roman;serif" w:hAnsi="Times New Roman;serif"/>
          <w:b/>
          <w:sz w:val="20"/>
        </w:rPr>
        <w:t xml:space="preserve">5.6 </w:t>
      </w:r>
      <w:r>
        <w:rPr>
          <w:rFonts w:ascii="Times New Roman;serif" w:hAnsi="Times New Roman;serif"/>
          <w:b w:val="false"/>
          <w:sz w:val="20"/>
        </w:rPr>
        <w:t>This Amendment has been duly executed and delivered by such Credit Party and is the binding obligation of such Credit Party, enforceable against such Credit Party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serif" w:hAnsi="Times New Roman;serif"/>
          <w:b/>
          <w:sz w:val="20"/>
        </w:rPr>
      </w:pPr>
      <w:bookmarkStart w:id="40" w:name="x__release_by_credit_parties_"/>
      <w:bookmarkEnd w:id="40"/>
      <w:r>
        <w:rPr>
          <w:rFonts w:ascii="Times New Roman;serif" w:hAnsi="Times New Roman;serif"/>
          <w:b/>
          <w:sz w:val="20"/>
        </w:rPr>
        <w:t>6. Release by Credit Parties.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1" w:name="x_1_for_good_and_valuable_consideration_"/>
      <w:bookmarkEnd w:id="41"/>
      <w:r>
        <w:rPr>
          <w:rFonts w:ascii="Times New Roman;serif" w:hAnsi="Times New Roman;serif"/>
          <w:b/>
          <w:sz w:val="20"/>
        </w:rPr>
        <w:t>6.1 FOR GOOD AND VALUABLE CONSIDERATION</w:t>
      </w:r>
      <w:r>
        <w:rPr>
          <w:rFonts w:ascii="Times New Roman;serif" w:hAnsi="Times New Roman;serif"/>
          <w:b w:val="false"/>
          <w:sz w:val="20"/>
        </w:rPr>
        <w:t>, each Credit Party hereby forever relieves, releases, and discharges Collateral Agent and 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serif" w:hAnsi="Times New Roman;serif"/>
          <w:b/>
          <w:sz w:val="20"/>
        </w:rPr>
        <w:t>Released Claims</w:t>
      </w:r>
      <w:r>
        <w:rPr>
          <w:rFonts w:ascii="Times New Roman" w:hAnsi="Times New Roman"/>
          <w:sz w:val="20"/>
        </w:rPr>
        <w:t>”</w:t>
      </w:r>
      <w:r>
        <w:rPr>
          <w:rFonts w:ascii="Times New Roman;serif" w:hAnsi="Times New Roman;serif"/>
          <w:b w:val="false"/>
          <w:sz w:val="20"/>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2" w:name="x_2_in_furtherance_of_this_release__each"/>
      <w:bookmarkEnd w:id="42"/>
      <w:r>
        <w:rPr>
          <w:rFonts w:ascii="Times New Roman;serif" w:hAnsi="Times New Roman;serif"/>
          <w:b/>
          <w:sz w:val="20"/>
        </w:rPr>
        <w:t xml:space="preserve">6.2 </w:t>
      </w:r>
      <w:r>
        <w:rPr>
          <w:rFonts w:ascii="Times New Roman;serif" w:hAnsi="Times New Roman;serif"/>
          <w:b w:val="false"/>
          <w:sz w:val="20"/>
        </w:rPr>
        <w:t>In furtherance of this release, each Credit Party expressly acknowledges and waives the provisions of California Civil Code Section 1542 (and any similar provision under the laws of any state), which states:</w:t>
      </w:r>
    </w:p>
    <w:p>
      <w:pPr>
        <w:pStyle w:val="TextBody"/>
        <w:bidi w:val="0"/>
        <w:spacing w:before="0" w:after="0"/>
        <w:jc w:val="both"/>
        <w:rPr/>
      </w:pPr>
      <w:r>
        <w:rPr/>
        <w:t> </w:t>
      </w:r>
    </w:p>
    <w:p>
      <w:pPr>
        <w:pStyle w:val="TextBody"/>
        <w:bidi w:val="0"/>
        <w:spacing w:before="0" w:after="0"/>
        <w:jc w:val="both"/>
        <w:rPr/>
      </w:pPr>
      <w:bookmarkStart w:id="43" w:name="xa_general_release_does_not_extend_to_cl"/>
      <w:bookmarkEnd w:id="43"/>
      <w:r>
        <w:rPr/>
        <w:t>“</w:t>
      </w:r>
      <w:r>
        <w:rPr>
          <w:rFonts w:ascii="Times New Roman;serif" w:hAnsi="Times New Roman;serif"/>
          <w:b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44" w:name="x_3_by_entering_into_this_release__each_"/>
      <w:bookmarkEnd w:id="44"/>
      <w:r>
        <w:rPr>
          <w:rFonts w:ascii="Times New Roman;serif" w:hAnsi="Times New Roman;serif"/>
          <w:b/>
          <w:sz w:val="20"/>
        </w:rPr>
        <w:t xml:space="preserve">6.3 </w:t>
      </w:r>
      <w:r>
        <w:rPr>
          <w:rFonts w:ascii="Times New Roman;serif" w:hAnsi="Times New Roman;serif"/>
          <w:b w:val="false"/>
          <w:sz w:val="20"/>
        </w:rPr>
        <w:t>By entering into this release, each Credit Party recognizes that no facts or representations are ever absolutely certain and it may hereafter discover facts in addition to or different from those which it presently knows or believes to be true, but that it is the intention of such Credit Party hereby to fully, finally and forever settle and release all matters, disputes and differences, known or unknown, suspected or unsuspected in relation to the Released Claims; accordingly, if such Credit Party should subsequently discover that any fact that it relied upon in entering into this release was untrue, or that any understanding of the facts was incorrect, such Credit Party shall not be entitled to set aside this release by reason thereof, regardless of any claim of mistake of fact or law or any other circumstances whatsoever. Each Credit Party acknowledges that it is not relying upon and has not relied upon any representation or statement made by Collateral Agent or Lenders with respect to the facts underlying this release or with regard to any of such party’s rights or asserted rights.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5" w:name="x_4_this_release_may_be_pleaded_as_a_ful"/>
      <w:bookmarkEnd w:id="45"/>
      <w:r>
        <w:rPr>
          <w:rFonts w:ascii="Times New Roman;serif" w:hAnsi="Times New Roman;serif"/>
          <w:b/>
          <w:sz w:val="20"/>
        </w:rPr>
        <w:t xml:space="preserve">6.4 </w:t>
      </w:r>
      <w:r>
        <w:rPr>
          <w:rFonts w:ascii="Times New Roman;serif" w:hAnsi="Times New Roman;serif"/>
          <w:b w:val="false"/>
          <w:sz w:val="20"/>
        </w:rPr>
        <w:t>This release may be pleaded as a full and complete defense and/or as a cross-complaint or counterclaim against any action, suit, or other proceeding that may be instituted, prosecuted or attempted in breach of this release. Each Credit Party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6" w:name="x__loan_document___credit_parties__lende"/>
      <w:bookmarkEnd w:id="46"/>
      <w:r>
        <w:rPr>
          <w:rFonts w:ascii="Times New Roman;serif" w:hAnsi="Times New Roman;serif"/>
          <w:b/>
          <w:sz w:val="20"/>
        </w:rPr>
        <w:t xml:space="preserve">7. Loan Document. </w:t>
      </w:r>
      <w:r>
        <w:rPr>
          <w:rFonts w:ascii="Times New Roman;serif" w:hAnsi="Times New Roman;serif"/>
          <w:b w:val="false"/>
          <w:sz w:val="20"/>
        </w:rPr>
        <w:t>Credit Parties, Lenders and Collateral Agent agree that this Amendment shall be a Loan Document. Except as expressly set forth 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7" w:name="x__post_closing___notwithstanding_anythi"/>
      <w:bookmarkEnd w:id="47"/>
      <w:r>
        <w:rPr>
          <w:rFonts w:ascii="Times New Roman;serif" w:hAnsi="Times New Roman;serif"/>
          <w:b/>
          <w:sz w:val="20"/>
        </w:rPr>
        <w:t>8. Post-Closing</w:t>
      </w:r>
      <w:r>
        <w:rPr>
          <w:rFonts w:ascii="Times New Roman;serif" w:hAnsi="Times New Roman;serif"/>
          <w:b w:val="false"/>
          <w:sz w:val="20"/>
        </w:rPr>
        <w:t>. Notwithstanding anything in the Loan Agreement to the contrary, Collateral Agent and Required Lenders hereby agree that Credit Parties shall have thirty (30) days from the date hereof (or such later date as agreed to by Collateral Agent in its sole discretion) to deliver a fully-executed Control Agreement with respect to the New Collateral Accounts.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8" w:name="x__effectiveness__this_amendment_shall_b"/>
      <w:bookmarkEnd w:id="48"/>
      <w:r>
        <w:rPr>
          <w:rFonts w:ascii="Times New Roman;serif" w:hAnsi="Times New Roman;serif"/>
          <w:b/>
          <w:sz w:val="20"/>
        </w:rPr>
        <w:t>9. Effectiveness</w:t>
      </w:r>
      <w:r>
        <w:rPr>
          <w:rFonts w:ascii="Times New Roman;serif" w:hAnsi="Times New Roman;serif"/>
          <w:b w:val="false"/>
          <w:sz w:val="20"/>
        </w:rPr>
        <w:t>. This Amendment shall be deemed effective upon the due execution and delivery to Collateral Agent and Lenders of this Amendment by each party hereto.</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49" w:name="x0__counterparts___this_amendment_may_be"/>
      <w:bookmarkEnd w:id="49"/>
      <w:r>
        <w:rPr>
          <w:rFonts w:ascii="Times New Roman;serif" w:hAnsi="Times New Roman;serif"/>
          <w:b/>
          <w:sz w:val="20"/>
        </w:rPr>
        <w:t xml:space="preserve">10. Counterparts. </w:t>
      </w:r>
      <w:r>
        <w:rPr>
          <w:rFonts w:ascii="Times New Roman;serif" w:hAnsi="Times New Roman;serif"/>
          <w:b w:val="false"/>
          <w:sz w:val="20"/>
        </w:rPr>
        <w:t>This Amendment may be executed in any number of counterparts, each of which shall be deemed an original, and all of which, taken together, shall constitute one and the same instrument. Delivery by electronic transmission (e.g. “.pdf”) of an executed counterpart of this Amendment shall be effective as a manually executed counterpart signature thereof.</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50" w:name="x1__governing_law___this_amendment_and_t"/>
      <w:bookmarkEnd w:id="50"/>
      <w:r>
        <w:rPr>
          <w:rFonts w:ascii="Times New Roman;serif" w:hAnsi="Times New Roman;serif"/>
          <w:b/>
          <w:sz w:val="20"/>
        </w:rPr>
        <w:t xml:space="preserve">11. Governing Law. </w:t>
      </w:r>
      <w:r>
        <w:rPr>
          <w:rFonts w:ascii="Times New Roman;serif" w:hAnsi="Times New Roman;serif"/>
          <w:b w:val="false"/>
          <w:sz w:val="20"/>
        </w:rPr>
        <w:t>This Amendment and the rights and obligations of the parties hereto shall be governed by and construed in accordance with the laws of the State of California.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w:t>
      </w:r>
      <w:r>
        <w:rPr>
          <w:rFonts w:ascii="Times New Roman;serif" w:hAnsi="Times New Roman;serif"/>
          <w:b/>
          <w:i/>
          <w:sz w:val="20"/>
        </w:rPr>
        <w:t>Balance of Page Intentionally Left Blank</w:t>
      </w:r>
      <w:r>
        <w:rPr>
          <w:rFonts w:ascii="Times New Roman;serif" w:hAnsi="Times New Roman;serif"/>
          <w:b/>
          <w:sz w:val="20"/>
        </w:rPr>
        <w: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IN WITNESS WHEREOF</w:t>
      </w:r>
      <w:r>
        <w:rPr>
          <w:rFonts w:ascii="Times New Roman;serif" w:hAnsi="Times New Roman;serif"/>
          <w:b w:val="false"/>
          <w:sz w:val="20"/>
        </w:rPr>
        <w:t>, the parties hereto have caused this Second Amendment to Loan and Security Agreement to be executed as of the date first set forth above.</w:t>
      </w:r>
    </w:p>
    <w:p>
      <w:pPr>
        <w:pStyle w:val="TextBody"/>
        <w:bidi w:val="0"/>
        <w:spacing w:before="0" w:after="0"/>
        <w:jc w:val="left"/>
        <w:rPr/>
      </w:pPr>
      <w:r>
        <w:rPr/>
        <w:t> </w:t>
      </w:r>
    </w:p>
    <w:tbl>
      <w:tblPr>
        <w:tblW w:w="3962" w:type="dxa"/>
        <w:jc w:val="left"/>
        <w:tblInd w:w="0" w:type="dxa"/>
        <w:tblLayout w:type="fixed"/>
        <w:tblCellMar>
          <w:top w:w="28" w:type="dxa"/>
          <w:left w:w="28" w:type="dxa"/>
          <w:bottom w:w="28" w:type="dxa"/>
          <w:right w:w="28" w:type="dxa"/>
        </w:tblCellMar>
      </w:tblPr>
      <w:tblGrid>
        <w:gridCol w:w="691"/>
        <w:gridCol w:w="3271"/>
      </w:tblGrid>
      <w:tr>
        <w:trPr/>
        <w:tc>
          <w:tcPr>
            <w:tcW w:w="69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BORROWER:</w:t>
            </w:r>
          </w:p>
        </w:tc>
      </w:tr>
      <w:tr>
        <w:trPr/>
        <w:tc>
          <w:tcPr>
            <w:tcW w:w="3962" w:type="dxa"/>
            <w:gridSpan w:val="2"/>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ALX ONCOLOGY INC.</w:t>
            </w:r>
          </w:p>
        </w:tc>
      </w:tr>
      <w:tr>
        <w:trPr/>
        <w:tc>
          <w:tcPr>
            <w:tcW w:w="3962" w:type="dxa"/>
            <w:gridSpan w:val="2"/>
            <w:tcBorders/>
            <w:vAlign w:val="center"/>
          </w:tcPr>
          <w:p>
            <w:pPr>
              <w:pStyle w:val="TableContents"/>
              <w:bidi w:val="0"/>
              <w:spacing w:before="0" w:after="0"/>
              <w:ind w:left="0" w:right="0" w:hanging="0"/>
              <w:jc w:val="left"/>
              <w:rPr/>
            </w:pPr>
            <w:r>
              <w:rPr/>
              <w:t> </w:t>
            </w:r>
          </w:p>
        </w:tc>
      </w:tr>
      <w:tr>
        <w:trPr/>
        <w:tc>
          <w:tcPr>
            <w:tcW w:w="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Jaume Pons</w:t>
            </w:r>
          </w:p>
        </w:tc>
      </w:tr>
      <w:tr>
        <w:trPr/>
        <w:tc>
          <w:tcPr>
            <w:tcW w:w="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Name:</w:t>
            </w:r>
            <w:r>
              <w:rPr>
                <w:rFonts w:ascii="Times New Roman" w:hAnsi="Times New Roman"/>
                <w:sz w:val="20"/>
              </w:rPr>
              <w:t xml:space="preserve"> </w:t>
            </w:r>
          </w:p>
        </w:tc>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Jaume Pons</w:t>
            </w:r>
          </w:p>
        </w:tc>
      </w:tr>
      <w:tr>
        <w:trPr/>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President and Chief Executive Officer</w:t>
            </w:r>
          </w:p>
        </w:tc>
      </w:tr>
      <w:tr>
        <w:trPr/>
        <w:tc>
          <w:tcPr>
            <w:tcW w:w="691"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GUARANTOR:</w:t>
            </w:r>
          </w:p>
        </w:tc>
      </w:tr>
      <w:tr>
        <w:trPr/>
        <w:tc>
          <w:tcPr>
            <w:tcW w:w="3962" w:type="dxa"/>
            <w:gridSpan w:val="2"/>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ALX ONCOLOGY HOLDINGS INC.</w:t>
            </w:r>
          </w:p>
        </w:tc>
      </w:tr>
      <w:tr>
        <w:trPr/>
        <w:tc>
          <w:tcPr>
            <w:tcW w:w="691"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left"/>
              <w:rPr/>
            </w:pPr>
            <w:r>
              <w:rPr/>
              <w:t> </w:t>
            </w:r>
          </w:p>
        </w:tc>
      </w:tr>
      <w:tr>
        <w:trPr/>
        <w:tc>
          <w:tcPr>
            <w:tcW w:w="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Jaume Pons</w:t>
            </w:r>
          </w:p>
        </w:tc>
      </w:tr>
      <w:tr>
        <w:trPr/>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Jaume Pons</w:t>
            </w:r>
          </w:p>
        </w:tc>
      </w:tr>
      <w:tr>
        <w:trPr/>
        <w:tc>
          <w:tcPr>
            <w:tcW w:w="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Title:</w:t>
            </w:r>
            <w:r>
              <w:rPr>
                <w:rFonts w:ascii="Times New Roman" w:hAnsi="Times New Roman"/>
                <w:sz w:val="20"/>
              </w:rPr>
              <w:t xml:space="preserve"> </w:t>
            </w:r>
          </w:p>
        </w:tc>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691"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COLLATERAL AGENT AND LENDER:</w:t>
            </w:r>
          </w:p>
        </w:tc>
      </w:tr>
      <w:tr>
        <w:trPr/>
        <w:tc>
          <w:tcPr>
            <w:tcW w:w="3962" w:type="dxa"/>
            <w:gridSpan w:val="2"/>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OXFORD FINANCE LLC</w:t>
            </w:r>
          </w:p>
        </w:tc>
      </w:tr>
      <w:tr>
        <w:trPr/>
        <w:tc>
          <w:tcPr>
            <w:tcW w:w="691"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left"/>
              <w:rPr/>
            </w:pPr>
            <w:r>
              <w:rPr/>
              <w:t> </w:t>
            </w:r>
          </w:p>
        </w:tc>
      </w:tr>
      <w:tr>
        <w:trPr/>
        <w:tc>
          <w:tcPr>
            <w:tcW w:w="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Colette H. Featherly</w:t>
            </w:r>
          </w:p>
        </w:tc>
      </w:tr>
      <w:tr>
        <w:trPr/>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Colette H. Featherly</w:t>
            </w:r>
          </w:p>
        </w:tc>
      </w:tr>
      <w:tr>
        <w:trPr/>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Senior Vice President</w:t>
            </w:r>
          </w:p>
        </w:tc>
      </w:tr>
      <w:tr>
        <w:trPr/>
        <w:tc>
          <w:tcPr>
            <w:tcW w:w="691"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left"/>
              <w:rPr/>
            </w:pPr>
            <w:r>
              <w:rPr/>
              <w:t> </w:t>
            </w:r>
          </w:p>
        </w:tc>
      </w:tr>
      <w:tr>
        <w:trPr/>
        <w:tc>
          <w:tcPr>
            <w:tcW w:w="3962" w:type="dxa"/>
            <w:gridSpan w:val="2"/>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00" w:after="0"/>
        <w:jc w:val="center"/>
        <w:rPr>
          <w:rFonts w:ascii="Times New Roman" w:hAnsi="Times New Roman"/>
          <w:sz w:val="20"/>
        </w:rPr>
      </w:pPr>
      <w:r>
        <w:rPr>
          <w:rFonts w:ascii="Times New Roman;serif" w:hAnsi="Times New Roman;serif"/>
          <w:b/>
          <w:sz w:val="20"/>
        </w:rPr>
        <w:t>[</w:t>
      </w:r>
      <w:r>
        <w:rPr>
          <w:rFonts w:ascii="Times New Roman;serif" w:hAnsi="Times New Roman;serif"/>
          <w:b/>
          <w:i/>
          <w:sz w:val="20"/>
        </w:rPr>
        <w:t>Signature Page to Second Amendment to Loan and Security Agreement</w:t>
      </w:r>
      <w:r>
        <w:rPr>
          <w:rFonts w:ascii="Times New Roman;serif" w:hAnsi="Times New Roman;serif"/>
          <w:b/>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517"/>
        <w:gridCol w:w="7688"/>
      </w:tblGrid>
      <w:tr>
        <w:trPr/>
        <w:tc>
          <w:tcPr>
            <w:tcW w:w="2517" w:type="dxa"/>
            <w:tcBorders/>
            <w:vAlign w:val="center"/>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LENDER:</w:t>
            </w:r>
          </w:p>
        </w:tc>
      </w:tr>
      <w:tr>
        <w:trPr/>
        <w:tc>
          <w:tcPr>
            <w:tcW w:w="10205" w:type="dxa"/>
            <w:gridSpan w:val="2"/>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OXFORD FINANCE CREDIT FUND II LP</w:t>
            </w:r>
          </w:p>
        </w:tc>
      </w:tr>
      <w:tr>
        <w:trPr/>
        <w:tc>
          <w:tcPr>
            <w:tcW w:w="10205" w:type="dxa"/>
            <w:gridSpan w:val="2"/>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0"/>
              </w:rPr>
              <w:t xml:space="preserve">By: </w:t>
            </w:r>
            <w:r>
              <w:rPr>
                <w:rFonts w:ascii="Times New Roman;serif" w:hAnsi="Times New Roman;serif"/>
                <w:b w:val="false"/>
                <w:sz w:val="22"/>
              </w:rPr>
              <w:t>Oxford Finance Advisors, LLC, its manager</w:t>
            </w:r>
          </w:p>
        </w:tc>
      </w:tr>
      <w:tr>
        <w:trPr/>
        <w:tc>
          <w:tcPr>
            <w:tcW w:w="2517" w:type="dxa"/>
            <w:tcBorders/>
            <w:vAlign w:val="center"/>
          </w:tcPr>
          <w:p>
            <w:pPr>
              <w:pStyle w:val="TableContents"/>
              <w:bidi w:val="0"/>
              <w:spacing w:before="0" w:after="0"/>
              <w:ind w:left="0" w:right="0" w:hanging="0"/>
              <w:jc w:val="left"/>
              <w:rPr/>
            </w:pPr>
            <w:r>
              <w:rPr/>
              <w:t> </w:t>
            </w:r>
          </w:p>
        </w:tc>
        <w:tc>
          <w:tcPr>
            <w:tcW w:w="7688" w:type="dxa"/>
            <w:tcBorders/>
            <w:vAlign w:val="center"/>
          </w:tcPr>
          <w:p>
            <w:pPr>
              <w:pStyle w:val="TableContents"/>
              <w:bidi w:val="0"/>
              <w:spacing w:before="0" w:after="0"/>
              <w:ind w:left="0" w:right="0" w:hanging="0"/>
              <w:jc w:val="left"/>
              <w:rPr/>
            </w:pPr>
            <w:r>
              <w:rPr/>
              <w:t> </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76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Colette H. Featherly</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Colette H. Featherly</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Its:</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w:t>
            </w:r>
          </w:p>
        </w:tc>
      </w:tr>
      <w:tr>
        <w:trPr/>
        <w:tc>
          <w:tcPr>
            <w:tcW w:w="2517" w:type="dxa"/>
            <w:tcBorders/>
            <w:vAlign w:val="center"/>
          </w:tcPr>
          <w:p>
            <w:pPr>
              <w:pStyle w:val="TableContents"/>
              <w:bidi w:val="0"/>
              <w:spacing w:before="0" w:after="0"/>
              <w:ind w:left="0" w:right="0" w:hanging="0"/>
              <w:jc w:val="left"/>
              <w:rPr/>
            </w:pPr>
            <w:r>
              <w:rPr/>
              <w:t> </w:t>
            </w:r>
          </w:p>
        </w:tc>
        <w:tc>
          <w:tcPr>
            <w:tcW w:w="7688" w:type="dxa"/>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LENDER:</w:t>
            </w:r>
          </w:p>
        </w:tc>
      </w:tr>
      <w:tr>
        <w:trPr/>
        <w:tc>
          <w:tcPr>
            <w:tcW w:w="10205" w:type="dxa"/>
            <w:gridSpan w:val="2"/>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OXFORD FINANCE FUNDING 2023-1 LLC</w:t>
            </w:r>
          </w:p>
        </w:tc>
      </w:tr>
      <w:tr>
        <w:trPr/>
        <w:tc>
          <w:tcPr>
            <w:tcW w:w="2517" w:type="dxa"/>
            <w:tcBorders/>
            <w:vAlign w:val="center"/>
          </w:tcPr>
          <w:p>
            <w:pPr>
              <w:pStyle w:val="TableContents"/>
              <w:bidi w:val="0"/>
              <w:spacing w:before="0" w:after="0"/>
              <w:ind w:left="0" w:right="0" w:hanging="0"/>
              <w:jc w:val="left"/>
              <w:rPr/>
            </w:pPr>
            <w:r>
              <w:rPr/>
              <w:t> </w:t>
            </w:r>
          </w:p>
        </w:tc>
        <w:tc>
          <w:tcPr>
            <w:tcW w:w="7688" w:type="dxa"/>
            <w:tcBorders/>
            <w:vAlign w:val="center"/>
          </w:tcPr>
          <w:p>
            <w:pPr>
              <w:pStyle w:val="TableContents"/>
              <w:bidi w:val="0"/>
              <w:spacing w:before="0" w:after="0"/>
              <w:ind w:left="0" w:right="0" w:hanging="0"/>
              <w:jc w:val="left"/>
              <w:rPr/>
            </w:pPr>
            <w:r>
              <w:rPr/>
              <w:t> </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76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Colette H. Featherly</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Colette H. Featherly</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Secretary</w:t>
            </w:r>
          </w:p>
        </w:tc>
      </w:tr>
      <w:tr>
        <w:trPr/>
        <w:tc>
          <w:tcPr>
            <w:tcW w:w="2517" w:type="dxa"/>
            <w:tcBorders/>
            <w:vAlign w:val="center"/>
          </w:tcPr>
          <w:p>
            <w:pPr>
              <w:pStyle w:val="TableContents"/>
              <w:bidi w:val="0"/>
              <w:spacing w:before="0" w:after="0"/>
              <w:ind w:left="0" w:right="0" w:hanging="0"/>
              <w:jc w:val="left"/>
              <w:rPr/>
            </w:pPr>
            <w:r>
              <w:rPr/>
              <w:t> </w:t>
            </w:r>
          </w:p>
        </w:tc>
        <w:tc>
          <w:tcPr>
            <w:tcW w:w="7688" w:type="dxa"/>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LENDER:</w:t>
            </w:r>
          </w:p>
        </w:tc>
      </w:tr>
      <w:tr>
        <w:trPr/>
        <w:tc>
          <w:tcPr>
            <w:tcW w:w="10205" w:type="dxa"/>
            <w:gridSpan w:val="2"/>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FIRST-CITIZENS BANK &amp; TRUST COMPANY</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(successor by purchase to the Federal Deposit Insurance Corporation as Receiver for Silicon Valley Bridge Bank, N.A. (as successor to Silicon Valley Bank))</w:t>
            </w:r>
          </w:p>
        </w:tc>
      </w:tr>
      <w:tr>
        <w:trPr/>
        <w:tc>
          <w:tcPr>
            <w:tcW w:w="2517" w:type="dxa"/>
            <w:tcBorders/>
            <w:vAlign w:val="center"/>
          </w:tcPr>
          <w:p>
            <w:pPr>
              <w:pStyle w:val="TableContents"/>
              <w:bidi w:val="0"/>
              <w:spacing w:before="0" w:after="0"/>
              <w:ind w:left="0" w:right="0" w:hanging="0"/>
              <w:jc w:val="left"/>
              <w:rPr/>
            </w:pPr>
            <w:r>
              <w:rPr/>
              <w:t> </w:t>
            </w:r>
          </w:p>
        </w:tc>
        <w:tc>
          <w:tcPr>
            <w:tcW w:w="7688" w:type="dxa"/>
            <w:tcBorders/>
            <w:vAlign w:val="center"/>
          </w:tcPr>
          <w:p>
            <w:pPr>
              <w:pStyle w:val="TableContents"/>
              <w:bidi w:val="0"/>
              <w:spacing w:before="0" w:after="0"/>
              <w:ind w:left="0" w:right="0" w:hanging="0"/>
              <w:jc w:val="left"/>
              <w:rPr/>
            </w:pPr>
            <w:r>
              <w:rPr/>
              <w:t> </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76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Peter Sletteland</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Peter Sletteland</w:t>
            </w:r>
          </w:p>
        </w:tc>
      </w:tr>
      <w:tr>
        <w:trPr/>
        <w:tc>
          <w:tcPr>
            <w:tcW w:w="25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76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Managing Director</w:t>
            </w:r>
          </w:p>
        </w:tc>
      </w:tr>
    </w:tbl>
    <w:p>
      <w:pPr>
        <w:pStyle w:val="TextBody"/>
        <w:bidi w:val="0"/>
        <w:spacing w:before="0" w:after="0"/>
        <w:jc w:val="left"/>
        <w:rPr/>
      </w:pPr>
      <w:r>
        <w:rPr/>
        <w:t> </w:t>
      </w:r>
    </w:p>
    <w:p>
      <w:pPr>
        <w:pStyle w:val="TextBody"/>
        <w:bidi w:val="0"/>
        <w:spacing w:before="200" w:after="0"/>
        <w:jc w:val="center"/>
        <w:rPr>
          <w:rFonts w:ascii="Times New Roman" w:hAnsi="Times New Roman"/>
          <w:sz w:val="20"/>
        </w:rPr>
      </w:pPr>
      <w:r>
        <w:rPr>
          <w:rFonts w:ascii="Times New Roman;serif" w:hAnsi="Times New Roman;serif"/>
          <w:b/>
          <w:sz w:val="20"/>
        </w:rPr>
        <w:t>[</w:t>
      </w:r>
      <w:r>
        <w:rPr>
          <w:rFonts w:ascii="Times New Roman;serif" w:hAnsi="Times New Roman;serif"/>
          <w:b/>
          <w:i/>
          <w:sz w:val="20"/>
        </w:rPr>
        <w:t>Signature Page to Second Amendment to Loan and Security Agreement</w:t>
      </w:r>
      <w:r>
        <w:rPr>
          <w:rFonts w:ascii="Times New Roman;serif" w:hAnsi="Times New Roman;serif"/>
          <w:b/>
          <w:sz w:val="20"/>
        </w:rPr>
        <w:t>]</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51" w:name="alxo-ex31_1.htm"/>
      <w:bookmarkStart w:id="52" w:name="ksalxoex31_1"/>
      <w:bookmarkEnd w:id="51"/>
      <w:bookmarkEnd w:id="52"/>
      <w:r>
        <w:rPr>
          <w:rFonts w:ascii="Times New Roman;serif" w:hAnsi="Times New Roman;serif"/>
          <w:b/>
          <w:sz w:val="20"/>
        </w:rPr>
        <w:t>Exhibit 31.1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Jaume Pons, Ph.D.,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ALX Oncology Holdings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607" w:type="dxa"/>
        <w:jc w:val="left"/>
        <w:tblInd w:w="0" w:type="dxa"/>
        <w:tblLayout w:type="fixed"/>
        <w:tblCellMar>
          <w:top w:w="28" w:type="dxa"/>
          <w:left w:w="28" w:type="dxa"/>
          <w:bottom w:w="28" w:type="dxa"/>
          <w:right w:w="28" w:type="dxa"/>
        </w:tblCellMar>
      </w:tblPr>
      <w:tblGrid>
        <w:gridCol w:w="1951"/>
        <w:gridCol w:w="109"/>
        <w:gridCol w:w="406"/>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53" w:name="alxo-ex31_2.htm"/>
      <w:bookmarkStart w:id="54" w:name="ksalxoex31_2"/>
      <w:bookmarkEnd w:id="53"/>
      <w:bookmarkEnd w:id="54"/>
      <w:r>
        <w:rPr>
          <w:rFonts w:ascii="Times New Roman;serif" w:hAnsi="Times New Roman;serif"/>
          <w:b/>
          <w:sz w:val="20"/>
        </w:rPr>
        <w:t>Exhibit 31.2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Peter Garcia,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ALX Oncology Holdings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55" w:name="alxo-ex32_1.htm"/>
      <w:bookmarkStart w:id="56" w:name="ksalxoex32_1"/>
      <w:bookmarkEnd w:id="55"/>
      <w:bookmarkEnd w:id="56"/>
      <w:r>
        <w:rPr>
          <w:rFonts w:ascii="Times New Roman;serif" w:hAnsi="Times New Roman;serif"/>
          <w:b/>
          <w:sz w:val="20"/>
        </w:rPr>
        <w:t>Exhibit 32.1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ALX Oncology Holdings Inc. (the “Company”), on Form 10-Q for the period ended June 30, 2023, as filed with the Securities and Exchange Commission on the date hereof (the “Report”), I certify, pursuant to 18 U.S.C.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607" w:type="dxa"/>
        <w:jc w:val="left"/>
        <w:tblInd w:w="0" w:type="dxa"/>
        <w:tblLayout w:type="fixed"/>
        <w:tblCellMar>
          <w:top w:w="28" w:type="dxa"/>
          <w:left w:w="28" w:type="dxa"/>
          <w:bottom w:w="28" w:type="dxa"/>
          <w:right w:w="28" w:type="dxa"/>
        </w:tblCellMar>
      </w:tblPr>
      <w:tblGrid>
        <w:gridCol w:w="1951"/>
        <w:gridCol w:w="109"/>
        <w:gridCol w:w="406"/>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57" w:name="alxo-ex32_2.htm"/>
      <w:bookmarkStart w:id="58" w:name="ksalxoex32_2"/>
      <w:bookmarkEnd w:id="57"/>
      <w:bookmarkEnd w:id="58"/>
      <w:r>
        <w:rPr>
          <w:rFonts w:ascii="Times New Roman;serif" w:hAnsi="Times New Roman;serif"/>
          <w:b/>
          <w:sz w:val="20"/>
        </w:rPr>
        <w:t>Exhibit 32.2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ALX Oncology Holdings Inc. (the “Company”), on Form 10-Q for the period ended June 30, 2023, as filed with the Securities and Exchange Commission on the date hereof (the “Report”), I certify, pursuant to 18 U.S.C.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60456</Words>
  <Characters>335670</Characters>
  <CharactersWithSpaces>396657</CharactersWithSpaces>
  <Paragraphs>6178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