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Effective January 21, 2026, the Board of Directors (the “Board”) of ALX Oncology Holdings Inc. (the “Company”) amended the 2025 Inducement Equity Incentive Plan (the “Inducement Plan”) to increase the number of shares reserved for issuance under the Inducement Plan. Subject to the adjustment provisions of the Inducement Plan, the Board reserved an additional 1,300,000 shares of the Company’s common stock, or 2,800,000 shares of common stock in the aggregate, for issuance pursuant to equity awards granted under the Inducement Plan.</w:t>
      </w:r>
    </w:p>
    <w:p>
      <w:pPr>
        <w:spacing w:after="0" w:line="7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Inducement Plan, originally approved by the Board in January 2025, and the increase in shares was adopted without stockholder approval pursuant to the applicable Nasdaq Stock Market LLC’s (“Nasdaq”) Listing Rules. The Inducement Plan provides for the grant of equity-based awards, including nonstatutory stock options, stock appreciation rights, restricted stock, restricted stock units, performance units and performance shares, and its terms are substantially similar to the Company’s Amended and Restated 2020 Equity Incentive Plan, including with respect to treatment of equity awards in the event of a “merger” or “change in control” as defined under the Inducement Plan, but with such other terms and conditions intended to comply with the Nasdaq inducement award exception.</w:t>
      </w:r>
    </w:p>
    <w:p>
      <w:pPr>
        <w:spacing w:after="0" w:line="7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68"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 copy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10280" w:type="dxa"/>
            <w:vAlign w:val="bottom"/>
            <w:gridSpan w:val="2"/>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02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2025 Inducement Equity Incentive Plan, as amended on January 21, 2026, and form agreements thereunder</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70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21,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Jason Lettmann</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Lettmann</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6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spacing w:after="0" w:line="200" w:lineRule="exact"/>
        <w:rPr>
          <w:sz w:val="20"/>
          <w:szCs w:val="20"/>
          <w:color w:val="auto"/>
        </w:rPr>
      </w:pPr>
    </w:p>
    <w:p>
      <w:pPr>
        <w:spacing w:after="0" w:line="226" w:lineRule="exact"/>
        <w:rPr>
          <w:sz w:val="20"/>
          <w:szCs w:val="20"/>
          <w:color w:val="auto"/>
        </w:rPr>
      </w:pPr>
    </w:p>
    <w:p>
      <w:pPr>
        <w:ind w:firstLine="757"/>
        <w:spacing w:after="0" w:line="258"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of the Plan</w:t>
      </w:r>
      <w:r>
        <w:rPr>
          <w:rFonts w:ascii="Times New Roman" w:cs="Times New Roman" w:eastAsia="Times New Roman" w:hAnsi="Times New Roman"/>
          <w:sz w:val="22"/>
          <w:szCs w:val="22"/>
          <w:color w:val="auto"/>
        </w:rPr>
        <w:t>. The purpose of this Plan is to attract and retain the best available personnel by providing an inducement material to individuals’ entering into employment with the Company or any Parent or Subsidiary of the Company.</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Plan permits the grant of Nonstatutory Stock Options, Stock Appreciation Rights, Restricted Stock, Restricted Stock Units, Performance Units and Performance Shares. Each Award under the Plan is intended to qualify as an employment inducement award under Nasdaq Listing Rule 5635(c)(4), the official regulations and other official interpretive material and guidance issued under such rule (together, the “</w:t>
      </w:r>
      <w:r>
        <w:rPr>
          <w:rFonts w:ascii="Times New Roman" w:cs="Times New Roman" w:eastAsia="Times New Roman" w:hAnsi="Times New Roman"/>
          <w:sz w:val="22"/>
          <w:szCs w:val="22"/>
          <w:u w:val="single" w:color="auto"/>
          <w:color w:val="auto"/>
        </w:rPr>
        <w:t>Inducement Listing Rules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Performance Units or Performance Shares.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definition of such term contained in Participant’s employment agreement with the Company (and any of its Parent or Subsidiaries) or, if none, a termination of Participant’s employment with the Company (and any of its Parent or Subsidiaries) because of (a) Participant’s unauthorized misuse of any the trade secrets or proprietary information of the Company (or any of its Parent or Subsidiaries), (b) Participant’s conviction of or plea of nolo contendere to a felony or a crime involving moral turpitude (or equivalent under Applicable Laws), (c) Participant’s committing an act of fraud against the Company (or any of its Parent or Subsidiaries) or (d) Participant’s gross negligence or willful misconduct in the performance of his or her duties that has had or will have a material adverse effect on the reputation or business of the Company (or any of its Parent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line="185" w:lineRule="exact"/>
        <w:rPr>
          <w:sz w:val="20"/>
          <w:szCs w:val="20"/>
          <w:color w:val="auto"/>
        </w:rPr>
      </w:pPr>
    </w:p>
    <w:p>
      <w:pPr>
        <w:ind w:left="2040" w:hanging="535"/>
        <w:spacing w:after="0"/>
        <w:tabs>
          <w:tab w:leader="none" w:pos="20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06" w:lineRule="exact"/>
        <w:rPr>
          <w:rFonts w:ascii="Times New Roman" w:cs="Times New Roman" w:eastAsia="Times New Roman" w:hAnsi="Times New Roman"/>
          <w:sz w:val="22"/>
          <w:szCs w:val="22"/>
          <w:color w:val="auto"/>
        </w:rPr>
      </w:pPr>
    </w:p>
    <w:p>
      <w:pPr>
        <w:jc w:val="both"/>
        <w:ind w:firstLine="2744"/>
        <w:spacing w:after="0" w:line="244" w:lineRule="auto"/>
        <w:tabs>
          <w:tab w:leader="none" w:pos="3055"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the Company</w:t>
      </w:r>
      <w:r>
        <w:rPr>
          <w:rFonts w:ascii="Times New Roman" w:cs="Times New Roman" w:eastAsia="Times New Roman" w:hAnsi="Times New Roman"/>
          <w:sz w:val="21"/>
          <w:szCs w:val="21"/>
          <w:color w:val="auto"/>
        </w:rPr>
        <w:t>. A change in the ownership of the Company which occurs on the date that any one person, or more than one person acting as a group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1" w:lineRule="exact"/>
        <w:rPr>
          <w:sz w:val="20"/>
          <w:szCs w:val="20"/>
          <w:color w:val="auto"/>
        </w:rPr>
      </w:pPr>
    </w:p>
    <w:p>
      <w:pPr>
        <w:jc w:val="both"/>
        <w:ind w:firstLine="2714"/>
        <w:spacing w:after="0" w:line="236" w:lineRule="auto"/>
        <w:tabs>
          <w:tab w:leader="none" w:pos="30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1" w:lineRule="exact"/>
        <w:rPr>
          <w:sz w:val="20"/>
          <w:szCs w:val="20"/>
          <w:color w:val="auto"/>
        </w:rPr>
      </w:pPr>
    </w:p>
    <w:p>
      <w:pPr>
        <w:jc w:val="both"/>
        <w:ind w:firstLine="2684"/>
        <w:spacing w:after="0" w:line="245" w:lineRule="auto"/>
        <w:tabs>
          <w:tab w:leader="none" w:pos="305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37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the value of the assets being disposed of, determined without regard to any liabilities associated with such assets.</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80"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firstLine="1505"/>
        <w:spacing w:after="0" w:line="239"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ALX Oncology Holdings Inc., a Delaware corporation, or any successor thereto.</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5" w:lineRule="exact"/>
        <w:rPr>
          <w:sz w:val="20"/>
          <w:szCs w:val="20"/>
          <w:color w:val="auto"/>
        </w:rPr>
      </w:pPr>
    </w:p>
    <w:p>
      <w:pPr>
        <w:jc w:val="both"/>
        <w:ind w:firstLine="1505"/>
        <w:spacing w:after="0" w:line="235" w:lineRule="auto"/>
        <w:tabs>
          <w:tab w:leader="none" w:pos="20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 However, for purposes of clarity, a person who already is serving as a Director prior to becoming an Employee will not be eligible to be granted an Award under the Plan unless permitted under the Inducement Listing Rules. The Company will determine in good faith and in the exercise of its discretion whether an individual has become or has ceased to be an Employee and the effective date of such individual’s employment or termination of employment, as the case may be.</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Program</w:t>
      </w:r>
      <w:r>
        <w:rPr>
          <w:rFonts w:ascii="Times New Roman" w:cs="Times New Roman" w:eastAsia="Times New Roman" w:hAnsi="Times New Roman"/>
          <w:sz w:val="22"/>
          <w:szCs w:val="22"/>
          <w:color w:val="auto"/>
        </w:rPr>
        <w:t>” means a program under which (i) outstanding Awards are surrendered or cancelled in exchange for awards of the same type, awards of a different type, and/or cash, (ii) Participants would have the opportunity to transfer any outstanding Awards to a financial institution or other person or entity selected by the Administrator, and/or (iii) the exercise price of an outstanding Award is reduced. Pursuant to the provisions of Section 4(c) of the Plan, the Company may not institute an Exchange Program.</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206" w:lineRule="exact"/>
        <w:rPr>
          <w:rFonts w:ascii="Times New Roman" w:cs="Times New Roman" w:eastAsia="Times New Roman" w:hAnsi="Times New Roman"/>
          <w:sz w:val="22"/>
          <w:szCs w:val="22"/>
          <w:color w:val="auto"/>
        </w:rPr>
      </w:pPr>
    </w:p>
    <w:p>
      <w:pPr>
        <w:jc w:val="both"/>
        <w:ind w:firstLine="2744"/>
        <w:spacing w:after="0" w:line="236" w:lineRule="auto"/>
        <w:tabs>
          <w:tab w:leader="none" w:pos="3055"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sz w:val="20"/>
          <w:szCs w:val="20"/>
          <w:color w:val="auto"/>
        </w:rPr>
      </w:pPr>
    </w:p>
    <w:p>
      <w:pPr>
        <w:jc w:val="both"/>
        <w:ind w:firstLine="2714"/>
        <w:spacing w:after="0" w:line="255" w:lineRule="auto"/>
        <w:tabs>
          <w:tab w:leader="none" w:pos="305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62" w:lineRule="exact"/>
        <w:rPr>
          <w:sz w:val="20"/>
          <w:szCs w:val="20"/>
          <w:color w:val="auto"/>
        </w:rPr>
      </w:pPr>
    </w:p>
    <w:p>
      <w:pPr>
        <w:ind w:firstLine="2684"/>
        <w:spacing w:after="0" w:line="258" w:lineRule="auto"/>
        <w:tabs>
          <w:tab w:leader="none" w:pos="305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that is an incentive stock option within the meaning of Code Section 422 and the regulations promulgated thereunder.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that is not an Incentive Stock Option.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ind w:firstLine="1505"/>
        <w:spacing w:after="0" w:line="25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 stock option granted pursuant to the Plan. All Options granted under the Plan will constitute Nonstatutory Stock Options.</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424(e).</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Share</w:t>
      </w:r>
      <w:r>
        <w:rPr>
          <w:rFonts w:ascii="Times New Roman" w:cs="Times New Roman" w:eastAsia="Times New Roman" w:hAnsi="Times New Roman"/>
          <w:sz w:val="22"/>
          <w:szCs w:val="22"/>
          <w:color w:val="auto"/>
        </w:rPr>
        <w:t>” means an Award denominated in Shares which may be earned in whole or in part upon attainment of performance goals or other vesting criteria as the Administrator may determine pursuant to Section 10.</w:t>
      </w:r>
    </w:p>
    <w:p>
      <w:pPr>
        <w:spacing w:after="0" w:line="158" w:lineRule="exact"/>
        <w:rPr>
          <w:sz w:val="20"/>
          <w:szCs w:val="20"/>
          <w:color w:val="auto"/>
        </w:rPr>
      </w:pPr>
    </w:p>
    <w:p>
      <w:pPr>
        <w:jc w:val="both"/>
        <w:ind w:right="20" w:firstLine="1505"/>
        <w:spacing w:after="0" w:line="24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Unit</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2025 Inducement Equity Incentive Plan, as may be amended from time to time.</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8" w:lineRule="exact"/>
        <w:rPr>
          <w:rFonts w:ascii="Times New Roman" w:cs="Times New Roman" w:eastAsia="Times New Roman" w:hAnsi="Times New Roman"/>
          <w:sz w:val="22"/>
          <w:szCs w:val="22"/>
          <w:color w:val="auto"/>
        </w:rPr>
      </w:pPr>
    </w:p>
    <w:p>
      <w:pPr>
        <w:ind w:firstLine="1505"/>
        <w:spacing w:after="0" w:line="287" w:lineRule="exact"/>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 Employee, Director or Consultant.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ind w:left="2040" w:hanging="535"/>
        <w:spacing w:after="0"/>
        <w:tabs>
          <w:tab w:leader="none" w:pos="20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13 of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  ing, as defined in Code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424(f).</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 Subject to the provisions of Section 14 of the Plan, the maximum aggregate number of Shares that may be subject to Awards and sold under the Plan is 2,800,000 Shares. In addition, Shares may become available for issuance under Section 3(b) of the Plan. The Shares may be authorized but unissued, or reacquired Common Stock.</w:t>
      </w:r>
    </w:p>
    <w:p>
      <w:pPr>
        <w:spacing w:after="0" w:line="157"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Lapsed Awards</w:t>
      </w:r>
      <w:r>
        <w:rPr>
          <w:rFonts w:ascii="Times New Roman" w:cs="Times New Roman" w:eastAsia="Times New Roman" w:hAnsi="Times New Roman"/>
          <w:sz w:val="22"/>
          <w:szCs w:val="22"/>
          <w:color w:val="auto"/>
        </w:rPr>
        <w:t>. If an Award expires or becomes unexercisable without having been exercised in full,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79"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2744"/>
        <w:spacing w:after="0" w:line="258" w:lineRule="auto"/>
        <w:tabs>
          <w:tab w:leader="none" w:pos="3055"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Administrative Bodies</w:t>
      </w:r>
      <w:r>
        <w:rPr>
          <w:rFonts w:ascii="Times New Roman" w:cs="Times New Roman" w:eastAsia="Times New Roman" w:hAnsi="Times New Roman"/>
          <w:sz w:val="22"/>
          <w:szCs w:val="22"/>
          <w:color w:val="auto"/>
        </w:rPr>
        <w:t>. Different Committees with respect to different groups of Employees or Participants may administer the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ind w:right="20" w:firstLine="2714"/>
        <w:spacing w:after="0" w:line="258" w:lineRule="auto"/>
        <w:tabs>
          <w:tab w:leader="none" w:pos="30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sz w:val="20"/>
          <w:szCs w:val="20"/>
          <w:color w:val="auto"/>
        </w:rPr>
      </w:pPr>
    </w:p>
    <w:p>
      <w:pPr>
        <w:jc w:val="both"/>
        <w:ind w:firstLine="2684"/>
        <w:spacing w:after="0" w:line="244" w:lineRule="auto"/>
        <w:tabs>
          <w:tab w:leader="none" w:pos="305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satisfy Applicable Laws. Unless and until determined otherwise by the Board, the Compensation Committee of the Board will have full authority to act as Administrator.</w:t>
      </w:r>
    </w:p>
    <w:p>
      <w:pPr>
        <w:spacing w:after="0" w:line="173" w:lineRule="exact"/>
        <w:rPr>
          <w:rFonts w:ascii="Times New Roman" w:cs="Times New Roman" w:eastAsia="Times New Roman" w:hAnsi="Times New Roman"/>
          <w:sz w:val="22"/>
          <w:szCs w:val="22"/>
          <w:color w:val="auto"/>
        </w:rPr>
      </w:pPr>
    </w:p>
    <w:p>
      <w:pPr>
        <w:jc w:val="both"/>
        <w:ind w:firstLine="2690"/>
        <w:spacing w:after="0" w:line="244" w:lineRule="auto"/>
        <w:tabs>
          <w:tab w:leader="none" w:pos="305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w:t>
      </w:r>
      <w:r>
        <w:rPr>
          <w:rFonts w:ascii="Times New Roman" w:cs="Times New Roman" w:eastAsia="Times New Roman" w:hAnsi="Times New Roman"/>
          <w:sz w:val="22"/>
          <w:szCs w:val="22"/>
          <w:color w:val="auto"/>
        </w:rPr>
        <w:t>. Awards granted under the Plan must be approved by a majority of the Company’s “Independent Directors” within the meaning of the Inducement Listing Rules, or the independent Compensation Committee of the Board, in each case acting as the Administrator.</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17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(i) to determine the Fair Market Value;</w:t>
      </w:r>
    </w:p>
    <w:p>
      <w:pPr>
        <w:spacing w:after="0" w:line="206" w:lineRule="exact"/>
        <w:rPr>
          <w:sz w:val="20"/>
          <w:szCs w:val="20"/>
          <w:color w:val="auto"/>
        </w:rPr>
      </w:pPr>
    </w:p>
    <w:p>
      <w:pPr>
        <w:ind w:firstLine="2714"/>
        <w:spacing w:after="0" w:line="258" w:lineRule="auto"/>
        <w:tabs>
          <w:tab w:leader="none" w:pos="305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individuals to whom Awards may be granted hereunder, subject to Section 5 of the Plan (which Awards will be intended as a material inducement to the individual becoming an Employee);</w:t>
      </w:r>
    </w:p>
    <w:p>
      <w:pPr>
        <w:spacing w:after="0" w:line="158" w:lineRule="exact"/>
        <w:rPr>
          <w:sz w:val="20"/>
          <w:szCs w:val="20"/>
          <w:color w:val="auto"/>
        </w:rPr>
      </w:pPr>
    </w:p>
    <w:p>
      <w:pPr>
        <w:ind w:left="3060" w:hanging="376"/>
        <w:spacing w:after="0"/>
        <w:tabs>
          <w:tab w:leader="none" w:pos="30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206" w:lineRule="exact"/>
        <w:rPr>
          <w:rFonts w:ascii="Times New Roman" w:cs="Times New Roman" w:eastAsia="Times New Roman" w:hAnsi="Times New Roman"/>
          <w:sz w:val="22"/>
          <w:szCs w:val="22"/>
          <w:color w:val="auto"/>
        </w:rPr>
      </w:pPr>
    </w:p>
    <w:p>
      <w:pPr>
        <w:ind w:left="3060" w:hanging="370"/>
        <w:spacing w:after="0"/>
        <w:tabs>
          <w:tab w:leader="none" w:pos="30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sz w:val="20"/>
          <w:szCs w:val="20"/>
          <w:color w:val="auto"/>
        </w:rPr>
      </w:pPr>
    </w:p>
    <w:p>
      <w:pPr>
        <w:jc w:val="both"/>
        <w:ind w:firstLine="2720"/>
        <w:spacing w:after="0" w:line="235" w:lineRule="auto"/>
        <w:tabs>
          <w:tab w:leader="none" w:pos="30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7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(vi) to construe and interpret the terms of the Plan and Awards granted pursuant to the Plan;</w:t>
      </w:r>
    </w:p>
    <w:p>
      <w:pPr>
        <w:spacing w:after="0" w:line="206" w:lineRule="exact"/>
        <w:rPr>
          <w:sz w:val="20"/>
          <w:szCs w:val="20"/>
          <w:color w:val="auto"/>
        </w:rPr>
      </w:pPr>
    </w:p>
    <w:p>
      <w:pPr>
        <w:jc w:val="both"/>
        <w:ind w:firstLine="2660"/>
        <w:spacing w:after="0" w:line="276" w:lineRule="exact"/>
        <w:tabs>
          <w:tab w:leader="none" w:pos="30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jc w:val="both"/>
        <w:ind w:firstLine="2622"/>
        <w:spacing w:after="0" w:line="244" w:lineRule="auto"/>
        <w:rPr>
          <w:sz w:val="20"/>
          <w:szCs w:val="20"/>
          <w:color w:val="auto"/>
        </w:rPr>
      </w:pPr>
      <w:r>
        <w:rPr>
          <w:rFonts w:ascii="Times New Roman" w:cs="Times New Roman" w:eastAsia="Times New Roman" w:hAnsi="Times New Roman"/>
          <w:sz w:val="22"/>
          <w:szCs w:val="22"/>
          <w:color w:val="auto"/>
        </w:rPr>
        <w:t>(viii)to modify or amend each Award (subject to Section 19(c) of the Plan), including but not limited to the discretionary authority to extend the post-termination exercisability period of Awards and to extend the maximum term of an Option or Stock Appreciation Right (subject to Sections 6(c) and 7(e));</w:t>
      </w:r>
    </w:p>
    <w:p>
      <w:pPr>
        <w:spacing w:after="0" w:line="17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(ix) to allow Participants to satisfy withholding tax obligations in a manner prescribed in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182" w:lineRule="exact"/>
        <w:rPr>
          <w:sz w:val="20"/>
          <w:szCs w:val="20"/>
          <w:color w:val="auto"/>
        </w:rPr>
      </w:pPr>
    </w:p>
    <w:p>
      <w:pPr>
        <w:ind w:right="20" w:firstLine="2720"/>
        <w:spacing w:after="0" w:line="258" w:lineRule="auto"/>
        <w:tabs>
          <w:tab w:leader="none" w:pos="305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sz w:val="20"/>
          <w:szCs w:val="20"/>
          <w:color w:val="auto"/>
        </w:rPr>
      </w:pPr>
    </w:p>
    <w:p>
      <w:pPr>
        <w:ind w:right="20" w:firstLine="2690"/>
        <w:spacing w:after="0" w:line="258" w:lineRule="auto"/>
        <w:tabs>
          <w:tab w:leader="none" w:pos="305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 and</w:t>
      </w:r>
    </w:p>
    <w:p>
      <w:pPr>
        <w:spacing w:after="0" w:line="158" w:lineRule="exact"/>
        <w:rPr>
          <w:sz w:val="20"/>
          <w:szCs w:val="20"/>
          <w:color w:val="auto"/>
        </w:rPr>
      </w:pPr>
    </w:p>
    <w:p>
      <w:pPr>
        <w:ind w:left="3060" w:hanging="400"/>
        <w:spacing w:after="0"/>
        <w:tabs>
          <w:tab w:leader="none" w:pos="306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Exchange Program</w:t>
      </w:r>
      <w:r>
        <w:rPr>
          <w:rFonts w:ascii="Times New Roman" w:cs="Times New Roman" w:eastAsia="Times New Roman" w:hAnsi="Times New Roman"/>
          <w:sz w:val="22"/>
          <w:szCs w:val="22"/>
          <w:color w:val="auto"/>
        </w:rPr>
        <w:t>. Notwithstanding any terms herein to the contrary, the Administrator may not institute an Exchange Program.</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Performance Shares and Performance Units may be granted to Employees, so long as the following requirements are met:</w:t>
      </w:r>
    </w:p>
    <w:p>
      <w:pPr>
        <w:spacing w:after="0" w:line="158" w:lineRule="exact"/>
        <w:rPr>
          <w:rFonts w:ascii="Times New Roman" w:cs="Times New Roman" w:eastAsia="Times New Roman" w:hAnsi="Times New Roman"/>
          <w:sz w:val="22"/>
          <w:szCs w:val="22"/>
          <w:color w:val="auto"/>
        </w:rPr>
      </w:pPr>
    </w:p>
    <w:p>
      <w:pPr>
        <w:jc w:val="both"/>
        <w:ind w:firstLine="1505"/>
        <w:spacing w:after="0" w:line="261" w:lineRule="exact"/>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was not previously an Employee or Director, or the Employee is to become employed by the Company or any of its Parent or Subsidiaries following a bona-fide period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employment (within the meaning of the Inducement Listing Rules); and</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Award or Awards to the Employee is an inducement material to such Employee’s entering into employment with the Company (or any of its Parents or Subsidiaries, as applicable) in accordance with the Inducement Listing Rules.</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Options</w:t>
      </w:r>
      <w:r>
        <w:rPr>
          <w:rFonts w:ascii="Times New Roman" w:cs="Times New Roman" w:eastAsia="Times New Roman" w:hAnsi="Times New Roman"/>
          <w:sz w:val="22"/>
          <w:szCs w:val="22"/>
          <w:color w:val="auto"/>
        </w:rPr>
        <w:t>. Subject to the terms and conditions of the Plan (including without limitation the eligibility requirements of Section 5 of the Plan),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ind w:firstLine="1505"/>
        <w:spacing w:after="0" w:line="258" w:lineRule="auto"/>
        <w:tabs>
          <w:tab w:leader="none" w:pos="203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Exercise Price and Consideration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744"/>
        <w:spacing w:after="0" w:line="244" w:lineRule="auto"/>
        <w:tabs>
          <w:tab w:leader="none" w:pos="30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w:t>
      </w:r>
    </w:p>
    <w:p>
      <w:pPr>
        <w:spacing w:after="0" w:line="173" w:lineRule="exact"/>
        <w:rPr>
          <w:sz w:val="20"/>
          <w:szCs w:val="20"/>
          <w:color w:val="auto"/>
        </w:rPr>
      </w:pPr>
    </w:p>
    <w:p>
      <w:pPr>
        <w:jc w:val="both"/>
        <w:ind w:firstLine="2714"/>
        <w:spacing w:after="0" w:line="244" w:lineRule="auto"/>
        <w:tabs>
          <w:tab w:leader="none" w:pos="30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3" w:lineRule="exact"/>
        <w:rPr>
          <w:sz w:val="20"/>
          <w:szCs w:val="20"/>
          <w:color w:val="auto"/>
        </w:rPr>
      </w:pPr>
    </w:p>
    <w:p>
      <w:pPr>
        <w:jc w:val="both"/>
        <w:ind w:firstLine="2684"/>
        <w:spacing w:after="0" w:line="233" w:lineRule="auto"/>
        <w:tabs>
          <w:tab w:leader="none" w:pos="305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Such consideration may consist entirely of: (1) cash (including cash equivalents);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a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744"/>
        <w:spacing w:after="0" w:line="244" w:lineRule="auto"/>
        <w:tabs>
          <w:tab w:leader="none" w:pos="305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3" w:lineRule="exact"/>
        <w:rPr>
          <w:sz w:val="20"/>
          <w:szCs w:val="20"/>
          <w:color w:val="auto"/>
        </w:rPr>
      </w:pPr>
    </w:p>
    <w:p>
      <w:pPr>
        <w:jc w:val="both"/>
        <w:ind w:firstLine="2995"/>
        <w:spacing w:after="0" w:line="234"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exercised. No adjustment will be made for a dividend or other right for which the record date is prior to the date the Shares are issued, except as provided in Section 14 of the Plan.</w:t>
      </w:r>
    </w:p>
    <w:p>
      <w:pPr>
        <w:spacing w:after="0" w:line="158" w:lineRule="exact"/>
        <w:rPr>
          <w:sz w:val="20"/>
          <w:szCs w:val="20"/>
          <w:color w:val="auto"/>
        </w:rPr>
      </w:pPr>
    </w:p>
    <w:p>
      <w:pPr>
        <w:ind w:firstLine="2995"/>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jc w:val="both"/>
        <w:ind w:firstLine="2714"/>
        <w:spacing w:after="0" w:line="234" w:lineRule="auto"/>
        <w:tabs>
          <w:tab w:leader="none" w:pos="30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but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3" w:lineRule="exact"/>
        <w:rPr>
          <w:sz w:val="20"/>
          <w:szCs w:val="20"/>
          <w:color w:val="auto"/>
        </w:rPr>
      </w:pPr>
    </w:p>
    <w:p>
      <w:pPr>
        <w:jc w:val="both"/>
        <w:ind w:firstLine="2684"/>
        <w:spacing w:after="0" w:line="235"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8" w:lineRule="exact"/>
        <w:rPr>
          <w:rFonts w:ascii="Times New Roman" w:cs="Times New Roman" w:eastAsia="Times New Roman" w:hAnsi="Times New Roman"/>
          <w:sz w:val="22"/>
          <w:szCs w:val="22"/>
          <w:color w:val="auto"/>
        </w:rPr>
      </w:pPr>
    </w:p>
    <w:p>
      <w:pPr>
        <w:jc w:val="both"/>
        <w:ind w:firstLine="2690"/>
        <w:spacing w:after="0" w:line="233"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u w:val="single" w:color="auto"/>
          <w:color w:val="auto"/>
        </w:rPr>
        <w:t>Legal Representative</w:t>
      </w:r>
      <w:r>
        <w:rPr>
          <w:rFonts w:ascii="Times New Roman" w:cs="Times New Roman" w:eastAsia="Times New Roman" w:hAnsi="Times New Roman"/>
          <w:sz w:val="22"/>
          <w:szCs w:val="22"/>
          <w:color w:val="auto"/>
        </w:rPr>
        <w:t>”). If the Option is exercised pursuant to this Section 6(e)(iv),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ind w:left="3060" w:hanging="340"/>
        <w:spacing w:after="0"/>
        <w:tabs>
          <w:tab w:leader="none" w:pos="306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06" w:lineRule="exact"/>
        <w:rPr>
          <w:rFonts w:ascii="Times New Roman" w:cs="Times New Roman" w:eastAsia="Times New Roman" w:hAnsi="Times New Roman"/>
          <w:sz w:val="22"/>
          <w:szCs w:val="22"/>
          <w:color w:val="auto"/>
        </w:rPr>
      </w:pPr>
    </w:p>
    <w:p>
      <w:pPr>
        <w:jc w:val="both"/>
        <w:ind w:firstLine="3003"/>
        <w:spacing w:after="0" w:line="239" w:lineRule="auto"/>
        <w:tabs>
          <w:tab w:leader="none" w:pos="3564"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0" w:lineRule="exact"/>
        <w:rPr>
          <w:rFonts w:ascii="Times New Roman" w:cs="Times New Roman" w:eastAsia="Times New Roman" w:hAnsi="Times New Roman"/>
          <w:sz w:val="22"/>
          <w:szCs w:val="22"/>
          <w:color w:val="auto"/>
        </w:rPr>
      </w:pPr>
    </w:p>
    <w:p>
      <w:pPr>
        <w:jc w:val="both"/>
        <w:ind w:firstLine="3003"/>
        <w:spacing w:after="0" w:line="236" w:lineRule="auto"/>
        <w:tabs>
          <w:tab w:leader="none" w:pos="3564"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w:t>
      </w:r>
    </w:p>
    <w:p>
      <w:pPr>
        <w:spacing w:after="0" w:line="18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Stock Appreciation Rights</w:t>
      </w:r>
      <w:r>
        <w:rPr>
          <w:rFonts w:ascii="Times New Roman" w:cs="Times New Roman" w:eastAsia="Times New Roman" w:hAnsi="Times New Roman"/>
          <w:sz w:val="21"/>
          <w:szCs w:val="21"/>
          <w:color w:val="auto"/>
        </w:rPr>
        <w:t>. Subject to the terms and conditions of the Plan (including without limitation the eligibility requirements of Section 5 of the Plan),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w:t>
      </w:r>
    </w:p>
    <w:p>
      <w:pPr>
        <w:spacing w:after="0" w:line="161"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6(c) relating to the maximum term and Section 6(e) relating to exercise also will apply to Stock Appreciation Rights.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ind w:right="20" w:firstLine="1505"/>
        <w:spacing w:after="0" w:line="258" w:lineRule="auto"/>
        <w:tabs>
          <w:tab w:leader="none" w:pos="20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Stock Appreciation Right Amount</w:t>
      </w:r>
      <w:r>
        <w:rPr>
          <w:rFonts w:ascii="Times New Roman" w:cs="Times New Roman" w:eastAsia="Times New Roman" w:hAnsi="Times New Roman"/>
          <w:sz w:val="22"/>
          <w:szCs w:val="22"/>
          <w:color w:val="auto"/>
        </w:rPr>
        <w:t>. Upon exercise of a Stock Appreciation Right, a Participant will be entitled to receive payment from the Company in an amount determined by multiplying:</w:t>
      </w:r>
    </w:p>
    <w:p>
      <w:pPr>
        <w:spacing w:after="0" w:line="158" w:lineRule="exact"/>
        <w:rPr>
          <w:rFonts w:ascii="Times New Roman" w:cs="Times New Roman" w:eastAsia="Times New Roman" w:hAnsi="Times New Roman"/>
          <w:sz w:val="22"/>
          <w:szCs w:val="22"/>
          <w:color w:val="auto"/>
        </w:rPr>
      </w:pPr>
    </w:p>
    <w:p>
      <w:pPr>
        <w:ind w:left="3060" w:hanging="316"/>
        <w:spacing w:after="0"/>
        <w:tabs>
          <w:tab w:leader="none" w:pos="3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the Fair Market Value of a Share on the date of exercise over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 times</w:t>
      </w:r>
    </w:p>
    <w:p>
      <w:pPr>
        <w:spacing w:after="0" w:line="18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(ii) The number of Shares with respect to which the Stock Appreciation Right is exercised.</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w:t>
      </w:r>
      <w:r>
        <w:rPr>
          <w:rFonts w:ascii="Times New Roman" w:cs="Times New Roman" w:eastAsia="Times New Roman" w:hAnsi="Times New Roman"/>
          <w:sz w:val="22"/>
          <w:szCs w:val="22"/>
          <w:color w:val="auto"/>
        </w:rPr>
        <w:t>. Subject to the terms and conditions of the Plan, the Administrator (including without limitation the eligibility requirements of Section 5 of the Plan),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During the Period of Restriction, Participants holding Shares of Restricted Stock granted hereunder may exercise full voting rights with respect to those Shares, unless the Administrator determines otherwise.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Other Distributions</w:t>
      </w:r>
      <w:r>
        <w:rPr>
          <w:rFonts w:ascii="Times New Roman" w:cs="Times New Roman" w:eastAsia="Times New Roman" w:hAnsi="Times New Roman"/>
          <w:sz w:val="22"/>
          <w:szCs w:val="22"/>
          <w:color w:val="auto"/>
        </w:rPr>
        <w:t>. During the Period of Restriction, Participants holding Shares of Restricted Stock will be entitled to receive all dividends and other distributions paid with respect to such Shares, unless the Administrator provides otherwise. If any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such dividends or distributions are paid in Shares, the Shares will be subject to the same restrictions on transferability and forfeitability as the Shares of Restricted Stock with respect to which they were paid.</w:t>
      </w:r>
    </w:p>
    <w:p>
      <w:pPr>
        <w:spacing w:after="0" w:line="158" w:lineRule="exact"/>
        <w:rPr>
          <w:sz w:val="20"/>
          <w:szCs w:val="20"/>
          <w:color w:val="auto"/>
        </w:rPr>
      </w:pPr>
    </w:p>
    <w:p>
      <w:pPr>
        <w:jc w:val="both"/>
        <w:ind w:firstLine="1505"/>
        <w:spacing w:after="0" w:line="282" w:lineRule="auto"/>
        <w:tabs>
          <w:tab w:leader="none" w:pos="203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34"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Subject to the terms and conditions of the Plan (including without limitation the eligibility requirements of Section 5 of the Plan), Restricted Stock Units may be granted to any individual as a material inducement to the individual becoming an Employee, which grant shall become effective only if the individual actually becomes an Employee,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Performance Units and Performance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Performance Units/Shares</w:t>
      </w:r>
      <w:r>
        <w:rPr>
          <w:rFonts w:ascii="Times New Roman" w:cs="Times New Roman" w:eastAsia="Times New Roman" w:hAnsi="Times New Roman"/>
          <w:sz w:val="22"/>
          <w:szCs w:val="22"/>
          <w:color w:val="auto"/>
        </w:rPr>
        <w:t>. Subject to the terms and conditions of the Plan (including without limitation the eligibility requirements of Section 5 of the Plan), Performance Units and Performance Shares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ind w:firstLine="1505"/>
        <w:spacing w:after="0" w:line="244"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Performance Units/Shares</w:t>
      </w:r>
      <w:r>
        <w:rPr>
          <w:rFonts w:ascii="Times New Roman" w:cs="Times New Roman" w:eastAsia="Times New Roman" w:hAnsi="Times New Roman"/>
          <w:sz w:val="22"/>
          <w:szCs w:val="22"/>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Objectives and Other Terms</w:t>
      </w:r>
      <w:r>
        <w:rPr>
          <w:rFonts w:ascii="Times New Roman" w:cs="Times New Roman" w:eastAsia="Times New Roman" w:hAnsi="Times New Roman"/>
          <w:sz w:val="22"/>
          <w:szCs w:val="22"/>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Participants. The time period during which the performance objectives or other vesting provisions must be met will be called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of Performance Units/Shares</w:t>
      </w:r>
      <w:r>
        <w:rPr>
          <w:rFonts w:ascii="Times New Roman" w:cs="Times New Roman" w:eastAsia="Times New Roman" w:hAnsi="Times New Roman"/>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68"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 of Performance Units/Shares</w:t>
      </w:r>
      <w:r>
        <w:rPr>
          <w:rFonts w:ascii="Times New Roman" w:cs="Times New Roman" w:eastAsia="Times New Roman" w:hAnsi="Times New Roman"/>
          <w:sz w:val="22"/>
          <w:szCs w:val="22"/>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Performance Units/Shares</w:t>
      </w:r>
      <w:r>
        <w:rPr>
          <w:rFonts w:ascii="Times New Roman" w:cs="Times New Roman" w:eastAsia="Times New Roman" w:hAnsi="Times New Roman"/>
          <w:sz w:val="22"/>
          <w:szCs w:val="22"/>
          <w:color w:val="auto"/>
        </w:rPr>
        <w:t>. On the date set forth in the Award Agreement, all unearned or unvested Performance Units/Shares will be forfeited to the Company, and again will be available for grant under the Plan.</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Limited Transferability of Awards</w:t>
      </w:r>
      <w:r>
        <w:rPr>
          <w:rFonts w:ascii="Times New Roman" w:cs="Times New Roman" w:eastAsia="Times New Roman" w:hAnsi="Times New Roman"/>
          <w:sz w:val="22"/>
          <w:szCs w:val="22"/>
          <w:color w:val="auto"/>
        </w:rPr>
        <w:t>. Unless determined otherwise by the Administrator (and subject to Section 4(c) of the Plan),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6(e)), and may be exercised, during the lifetime of the Participant, only by the Participant. If the Administrator makes an Award transferable, such Award will contain such additional terms and conditions as the Administrator deems appropriate.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8" w:lineRule="auto"/>
        <w:tabs>
          <w:tab w:leader="none" w:pos="203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 in Section 3.</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2" w:lineRule="exact"/>
        <w:rPr>
          <w:rFonts w:ascii="Times New Roman" w:cs="Times New Roman" w:eastAsia="Times New Roman" w:hAnsi="Times New Roman"/>
          <w:sz w:val="21"/>
          <w:szCs w:val="21"/>
          <w:color w:val="auto"/>
        </w:rPr>
      </w:pPr>
    </w:p>
    <w:p>
      <w:pPr>
        <w:jc w:val="both"/>
        <w:ind w:firstLine="8"/>
        <w:spacing w:after="0" w:line="234" w:lineRule="auto"/>
        <w:tabs>
          <w:tab w:leader="none" w:pos="40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14(c)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51" w:lineRule="exact"/>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obligation) required to be withheld or paid with respect to such Award (or exercise thereof).</w:t>
      </w:r>
    </w:p>
    <w:p>
      <w:pPr>
        <w:spacing w:after="0" w:line="182"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(i) paying cash,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paid, (v) such other consideration and method of payment for the meeting of tax liabilities or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to be withheld or delivered will be determined as of the date that the taxes are required to be withheld.</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58"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Plan became effective January 16, 2025, upon its adoption by the Board (such date of adoption,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subsequently was amended and restated on January 21, 2026.</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Unless sooner terminated under Section 19, the Plan will continue in effect for ten (10) years from the Effective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Administrator may at any time amend, alter, suspend or terminate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both"/>
        <w:ind w:firstLine="1505"/>
        <w:spacing w:after="0" w:line="244"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that the Administrator (in its discretion) determines such approval is necessary and desirable to comply with Applicable Laws.</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505"/>
        <w:spacing w:after="0" w:line="244" w:lineRule="auto"/>
        <w:tabs>
          <w:tab w:leader="none" w:pos="203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will not be issued pursuant to the exercise or vesting of an Award unless the exercise or vesting of such Award and the issuance and delivery of such Shares will comply with Applicable Laws and will be further subject to the approval of counsel for the Company with respect to such compliance.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jc w:val="both"/>
        <w:ind w:firstLine="1505"/>
        <w:spacing w:after="0" w:line="239" w:lineRule="auto"/>
        <w:tabs>
          <w:tab w:leader="none" w:pos="20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80"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2"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that may be in effect at grant, and any clawback policy that the Company may establish (and/or amend)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(collectively,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78"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left="3740"/>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STOCK OPTION GRANT</w:t>
      </w:r>
    </w:p>
    <w:p>
      <w:pPr>
        <w:spacing w:after="0" w:line="182"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color w:val="auto"/>
        </w:rPr>
        <w:t>Unless otherwise defined herein, the terms defined in the ALX Oncology Holdings Inc. 2025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same defined meanings in this Stock Option Agreement, which includes the Notice of Stock Option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Stock Option Grant,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and all other exhibits, appendices, and addenda attached hereto (together,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Option to purchase Common Stock of the Company, subject to the terms and conditions of the Plan and this Option Agreement, as follows: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Grant Number:</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Date of Grant: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Commencement Date: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Exercise Price per Share: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Total Number of Shares Subject to Option:</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Total Exercise Price:</w:t>
      </w:r>
    </w:p>
    <w:p>
      <w:pPr>
        <w:spacing w:after="0" w:line="206" w:lineRule="exact"/>
        <w:rPr>
          <w:sz w:val="20"/>
          <w:szCs w:val="20"/>
          <w:color w:val="auto"/>
        </w:rPr>
      </w:pPr>
    </w:p>
    <w:p>
      <w:pPr>
        <w:ind w:left="740"/>
        <w:spacing w:after="0"/>
        <w:tabs>
          <w:tab w:leader="none" w:pos="3740" w:val="left"/>
        </w:tabs>
        <w:rPr>
          <w:sz w:val="20"/>
          <w:szCs w:val="20"/>
          <w:color w:val="auto"/>
        </w:rPr>
      </w:pPr>
      <w:r>
        <w:rPr>
          <w:rFonts w:ascii="Times New Roman" w:cs="Times New Roman" w:eastAsia="Times New Roman" w:hAnsi="Times New Roman"/>
          <w:sz w:val="22"/>
          <w:szCs w:val="22"/>
          <w:color w:val="auto"/>
        </w:rPr>
        <w:t>Type of Option:</w:t>
      </w:r>
      <w:r>
        <w:rPr>
          <w:sz w:val="20"/>
          <w:szCs w:val="20"/>
          <w:color w:val="auto"/>
        </w:rPr>
        <w:tab/>
      </w:r>
      <w:r>
        <w:rPr>
          <w:rFonts w:ascii="Times New Roman" w:cs="Times New Roman" w:eastAsia="Times New Roman" w:hAnsi="Times New Roman"/>
          <w:sz w:val="20"/>
          <w:szCs w:val="20"/>
          <w:color w:val="auto"/>
        </w:rPr>
        <w:t>Nonstatutory Stock Option</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Term/Expiration Date: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Option Agreement or any other written agreement authorized by the Administrator between Participant and the Company (or any Parent or Subsidiary of the Company, as applicable) governing the terms of this Option, this Option shall vest and be exercisable, in whole or in part, according to the following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668020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48" w:right="459" w:bottom="1440" w:gutter="0" w:footer="0" w:header="0"/>
        </w:sectPr>
      </w:pPr>
    </w:p>
    <w:bookmarkStart w:id="23" w:name="page24"/>
    <w:bookmarkEnd w:id="23"/>
    <w:p>
      <w:pPr>
        <w:ind w:left="740"/>
        <w:spacing w:after="0"/>
        <w:rPr>
          <w:sz w:val="20"/>
          <w:szCs w:val="20"/>
          <w:color w:val="auto"/>
        </w:rPr>
      </w:pPr>
      <w:r>
        <w:rPr>
          <w:rFonts w:ascii="Times New Roman" w:cs="Times New Roman" w:eastAsia="Times New Roman" w:hAnsi="Times New Roman"/>
          <w:sz w:val="22"/>
          <w:szCs w:val="22"/>
          <w:color w:val="auto"/>
        </w:rPr>
        <w:t>[INSERT VESTING SCHEDULE]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Termination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color w:val="auto"/>
        </w:rPr>
        <w:t>This Option shall be exercisable, to the extent vested, for three (3) months after Participant ceases to be a Service Provider, unless such cessation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77"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1"/>
          <w:szCs w:val="21"/>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Exercise Notice,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22"/>
          <w:szCs w:val="22"/>
          <w:b w:val="1"/>
          <w:bCs w:val="1"/>
          <w:color w:val="auto"/>
        </w:rPr>
        <w:t>Participant</w:t>
      </w:r>
      <w:r>
        <w:rPr>
          <w:sz w:val="20"/>
          <w:szCs w:val="20"/>
          <w:color w:val="auto"/>
        </w:rPr>
        <w:tab/>
      </w:r>
      <w:r>
        <w:rPr>
          <w:rFonts w:ascii="Times New Roman" w:cs="Times New Roman" w:eastAsia="Times New Roman" w:hAnsi="Times New Roman"/>
          <w:sz w:val="22"/>
          <w:szCs w:val="22"/>
          <w:b w:val="1"/>
          <w:bCs w:val="1"/>
          <w:color w:val="auto"/>
        </w:rPr>
        <w:t>ALX ONCOLOGY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2540</wp:posOffset>
            </wp:positionV>
            <wp:extent cx="6703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8" w:lineRule="exact"/>
        <w:rPr>
          <w:sz w:val="20"/>
          <w:szCs w:val="20"/>
          <w:color w:val="auto"/>
        </w:rPr>
      </w:pPr>
    </w:p>
    <w:p>
      <w:pPr>
        <w:ind w:left="140"/>
        <w:spacing w:after="0"/>
        <w:tabs>
          <w:tab w:leader="none" w:pos="5620" w:val="left"/>
        </w:tabs>
        <w:rPr>
          <w:sz w:val="20"/>
          <w:szCs w:val="20"/>
          <w:color w:val="auto"/>
        </w:rPr>
      </w:pPr>
      <w:r>
        <w:rPr>
          <w:rFonts w:ascii="Times New Roman" w:cs="Times New Roman" w:eastAsia="Times New Roman" w:hAnsi="Times New Roman"/>
          <w:sz w:val="22"/>
          <w:szCs w:val="22"/>
          <w:color w:val="auto"/>
        </w:rPr>
        <w:t>Print Name</w:t>
      </w:r>
      <w:r>
        <w:rPr>
          <w:sz w:val="20"/>
          <w:szCs w:val="20"/>
          <w:color w:val="auto"/>
        </w:rPr>
        <w:tab/>
      </w: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10795</wp:posOffset>
            </wp:positionV>
            <wp:extent cx="228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10795</wp:posOffset>
            </wp:positionV>
            <wp:extent cx="228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24" w:name="page25"/>
    <w:bookmarkEnd w:id="24"/>
    <w:p>
      <w:pPr>
        <w:ind w:left="49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STOCK OPTION GRANT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Stock Option Grant of this Option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constituting a Nonstatutory Stock Option, to purchase the number of Shares set forth in the Notice of Grant, at the exercise price per Share set forth in the Notice of Grant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the Option awarded by this Option Agreement will vest in accordance with the vesting provisions set forth in the Notice of Grant. Unless specifically provided otherwise in this Option Agreement or other written agreement authorized by the Administrator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3" w:lineRule="exact"/>
        <w:rPr>
          <w:sz w:val="20"/>
          <w:szCs w:val="20"/>
          <w:color w:val="auto"/>
        </w:rPr>
      </w:pPr>
    </w:p>
    <w:p>
      <w:pPr>
        <w:ind w:left="1120" w:hanging="378"/>
        <w:spacing w:after="0"/>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490"/>
        <w:spacing w:after="0" w:line="258" w:lineRule="auto"/>
        <w:tabs>
          <w:tab w:leader="none" w:pos="192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shall be exercisable during its term in accordance with the Vesting Schedule set out in the Notice of Grant and with the applicable provisions of the Plan and this Option Agreement.</w:t>
      </w:r>
    </w:p>
    <w:p>
      <w:pPr>
        <w:spacing w:after="0" w:line="158" w:lineRule="exact"/>
        <w:rPr>
          <w:rFonts w:ascii="Times New Roman" w:cs="Times New Roman" w:eastAsia="Times New Roman" w:hAnsi="Times New Roman"/>
          <w:sz w:val="22"/>
          <w:szCs w:val="22"/>
          <w:color w:val="auto"/>
        </w:rPr>
      </w:pPr>
    </w:p>
    <w:p>
      <w:pPr>
        <w:jc w:val="both"/>
        <w:ind w:firstLine="1490"/>
        <w:spacing w:after="0" w:line="247" w:lineRule="auto"/>
        <w:tabs>
          <w:tab w:leader="none" w:pos="1927"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This Option shall be exercisable by delivery of an exercise notice (the “</w:t>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cs="Times New Roman" w:eastAsia="Times New Roman" w:hAnsi="Times New Roman"/>
          <w:sz w:val="21"/>
          <w:szCs w:val="21"/>
          <w:u w:val="single" w:color="auto"/>
          <w:color w:val="auto"/>
        </w:rPr>
        <w:t>Exercised Shares</w:t>
      </w:r>
      <w:r>
        <w:rPr>
          <w:rFonts w:ascii="Times New Roman" w:cs="Times New Roman" w:eastAsia="Times New Roman" w:hAnsi="Times New Roman"/>
          <w:sz w:val="21"/>
          <w:szCs w:val="21"/>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Withholding Obligations (as defined below). This Option shall be deemed to be exercised upon receipt by the Company of such fully executed Exercise Notice accompanied by the aggregate Exercise Price, together with any applicable Withholding Obligations.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296" w:right="459" w:bottom="1440" w:gutter="0" w:footer="0" w:header="0"/>
        </w:sectPr>
      </w:pPr>
    </w:p>
    <w:bookmarkStart w:id="25" w:name="page26"/>
    <w:bookmarkEnd w:id="25"/>
    <w:p>
      <w:pPr>
        <w:jc w:val="both"/>
        <w:ind w:firstLine="1496"/>
        <w:spacing w:after="0" w:line="244" w:lineRule="auto"/>
        <w:rPr>
          <w:sz w:val="20"/>
          <w:szCs w:val="20"/>
          <w:color w:val="auto"/>
        </w:rPr>
      </w:pPr>
      <w:r>
        <w:rPr>
          <w:rFonts w:ascii="Times New Roman" w:cs="Times New Roman" w:eastAsia="Times New Roman" w:hAnsi="Times New Roman"/>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5. </w:t>
      </w: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Participant:</w:t>
      </w:r>
    </w:p>
    <w:p>
      <w:pPr>
        <w:spacing w:after="0" w:line="158" w:lineRule="exact"/>
        <w:rPr>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06" w:lineRule="exact"/>
        <w:rPr>
          <w:rFonts w:ascii="Times New Roman" w:cs="Times New Roman" w:eastAsia="Times New Roman" w:hAnsi="Times New Roman"/>
          <w:sz w:val="22"/>
          <w:szCs w:val="22"/>
          <w:color w:val="auto"/>
        </w:rPr>
      </w:pPr>
    </w:p>
    <w:p>
      <w:pPr>
        <w:ind w:left="1860" w:hanging="370"/>
        <w:spacing w:after="0"/>
        <w:tabs>
          <w:tab w:leader="none" w:pos="18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w:t>
      </w:r>
    </w:p>
    <w:p>
      <w:pPr>
        <w:spacing w:after="0" w:line="206" w:lineRule="exact"/>
        <w:rPr>
          <w:rFonts w:ascii="Times New Roman" w:cs="Times New Roman" w:eastAsia="Times New Roman" w:hAnsi="Times New Roman"/>
          <w:sz w:val="22"/>
          <w:szCs w:val="22"/>
          <w:color w:val="auto"/>
        </w:rPr>
      </w:pPr>
    </w:p>
    <w:p>
      <w:pPr>
        <w:ind w:right="20" w:firstLine="1490"/>
        <w:spacing w:after="0" w:line="258" w:lineRule="auto"/>
        <w:tabs>
          <w:tab w:leader="none" w:pos="192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formal cashless exercise program adopted by the Company in connection with the Plan; or</w:t>
      </w:r>
    </w:p>
    <w:p>
      <w:pPr>
        <w:spacing w:after="0" w:line="158" w:lineRule="exact"/>
        <w:rPr>
          <w:rFonts w:ascii="Times New Roman" w:cs="Times New Roman" w:eastAsia="Times New Roman" w:hAnsi="Times New Roman"/>
          <w:sz w:val="22"/>
          <w:szCs w:val="22"/>
          <w:color w:val="auto"/>
        </w:rPr>
      </w:pPr>
    </w:p>
    <w:p>
      <w:pPr>
        <w:jc w:val="both"/>
        <w:ind w:firstLine="1490"/>
        <w:spacing w:after="0" w:line="239" w:lineRule="auto"/>
        <w:tabs>
          <w:tab w:leader="none" w:pos="192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0" w:lineRule="exact"/>
        <w:rPr>
          <w:sz w:val="20"/>
          <w:szCs w:val="20"/>
          <w:color w:val="auto"/>
        </w:rPr>
      </w:pPr>
    </w:p>
    <w:p>
      <w:pPr>
        <w:ind w:right="20" w:firstLine="747"/>
        <w:spacing w:after="0" w:line="258"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conditions of any appendix to this Agreement for Participant’s country (including the Country Addendum, as defined below).</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This Option may not be transferred in any manner otherwise than by will or by the laws of descent or distribution and may be exercised during the lifetime of Participant only by Participant.</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This Option may be exercised only within the term set out in the Notice of Grant, and may be exercised during such term only in accordance with the Plan and the terms of this Option Agreement.</w:t>
      </w:r>
    </w:p>
    <w:p>
      <w:pPr>
        <w:spacing w:after="0" w:line="158" w:lineRule="exact"/>
        <w:rPr>
          <w:sz w:val="20"/>
          <w:szCs w:val="20"/>
          <w:color w:val="auto"/>
        </w:rPr>
      </w:pPr>
    </w:p>
    <w:p>
      <w:pPr>
        <w:ind w:left="1120" w:hanging="378"/>
        <w:spacing w:after="0"/>
        <w:tabs>
          <w:tab w:leader="none" w:pos="11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490"/>
        <w:spacing w:after="0" w:line="233" w:lineRule="auto"/>
        <w:tabs>
          <w:tab w:leader="none" w:pos="192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xml:space="preserve">. Participant acknowledges that, regardless of any action taken by the Company or, if different, Participant’s employer or any Parent or Subsidiary </w:t>
      </w:r>
      <w:r>
        <w:rPr>
          <w:rFonts w:ascii="Times New Roman" w:cs="Times New Roman" w:eastAsia="Times New Roman" w:hAnsi="Times New Roman"/>
          <w:sz w:val="19"/>
          <w:szCs w:val="19"/>
          <w:color w:val="auto"/>
        </w:rPr>
        <w:t>of the Company</w:t>
      </w:r>
      <w:r>
        <w:rPr>
          <w:rFonts w:ascii="Times New Roman" w:cs="Times New Roman" w:eastAsia="Times New Roman" w:hAnsi="Times New Roman"/>
          <w:sz w:val="22"/>
          <w:szCs w:val="22"/>
          <w:color w:val="auto"/>
        </w:rPr>
        <w:t xml:space="preserve">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26" w:name="page27"/>
    <w:bookmarkEnd w:id="26"/>
    <w:p>
      <w:pPr>
        <w:jc w:val="both"/>
        <w:spacing w:after="0" w:line="235" w:lineRule="auto"/>
        <w:rPr>
          <w:sz w:val="20"/>
          <w:szCs w:val="20"/>
          <w:color w:val="auto"/>
        </w:rPr>
      </w:pPr>
      <w:r>
        <w:rPr>
          <w:rFonts w:ascii="Times New Roman" w:cs="Times New Roman" w:eastAsia="Times New Roman" w:hAnsi="Times New Roman"/>
          <w:sz w:val="22"/>
          <w:szCs w:val="22"/>
          <w:color w:val="auto"/>
        </w:rPr>
        <w:t>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78" w:lineRule="exact"/>
        <w:rPr>
          <w:sz w:val="20"/>
          <w:szCs w:val="20"/>
          <w:color w:val="auto"/>
        </w:rPr>
      </w:pPr>
    </w:p>
    <w:p>
      <w:pPr>
        <w:jc w:val="both"/>
        <w:ind w:firstLine="1490"/>
        <w:spacing w:after="0" w:line="231" w:lineRule="auto"/>
        <w:tabs>
          <w:tab w:leader="none" w:pos="192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Pursuant to such procedures as the Administrator may specify from time to time, the applicable Service Recipient(s) will withhold the amount required to be withheld for the payment of Tax Obligations (the “</w:t>
      </w: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u w:val="single" w:color="auto"/>
          <w:color w:val="auto"/>
        </w:rPr>
        <w:t>Net Share Withholding</w:t>
      </w:r>
      <w:r>
        <w:rPr>
          <w:rFonts w:ascii="Times New Roman" w:cs="Times New Roman" w:eastAsia="Times New Roman" w:hAnsi="Times New Roman"/>
          <w:sz w:val="22"/>
          <w:szCs w:val="22"/>
          <w:color w:val="auto"/>
        </w:rPr>
        <w:t>”), (iii) withholding the amount of such Withholding Obligations from Participant’s wages or other cash compensation paid to Participant by the applicable Service Recipient(s), (iv) delivering to the Company Shares that Participant owns and that have vested with a fair market value equal to the Withholding Obligations (or such greater amount as Participant may elect if permitted by the Administrator, if such greater amount would not result in adverse financial accounting consequences),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u w:val="single" w:color="auto"/>
          <w:color w:val="auto"/>
        </w:rPr>
        <w:t>Sell to Cover</w:t>
      </w:r>
      <w:r>
        <w:rPr>
          <w:rFonts w:ascii="Times New Roman" w:cs="Times New Roman" w:eastAsia="Times New Roman" w:hAnsi="Times New Roman"/>
          <w:sz w:val="22"/>
          <w:szCs w:val="22"/>
          <w:color w:val="auto"/>
        </w:rPr>
        <w:t>”). To the extent determined appropriate by the Administrator in its discretion, the Administrator will have the right (but not the obligation) to satisfy any Withholding Obligations by reducing the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203" w:lineRule="exact"/>
        <w:rPr>
          <w:rFonts w:ascii="Times New Roman" w:cs="Times New Roman" w:eastAsia="Times New Roman" w:hAnsi="Times New Roman"/>
          <w:sz w:val="22"/>
          <w:szCs w:val="22"/>
          <w:color w:val="auto"/>
        </w:rPr>
      </w:pPr>
    </w:p>
    <w:p>
      <w:pPr>
        <w:jc w:val="both"/>
        <w:ind w:firstLine="1490"/>
        <w:spacing w:after="0" w:line="238" w:lineRule="auto"/>
        <w:tabs>
          <w:tab w:leader="none" w:pos="192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to be less than the fair market value of an underlying share on the date of grant (a “</w:t>
      </w:r>
      <w:r>
        <w:rPr>
          <w:rFonts w:ascii="Times New Roman" w:cs="Times New Roman" w:eastAsia="Times New Roman" w:hAnsi="Times New Roman"/>
          <w:sz w:val="22"/>
          <w:szCs w:val="22"/>
          <w:u w:val="single" w:color="auto"/>
          <w:color w:val="auto"/>
        </w:rPr>
        <w:t>discount option</w:t>
      </w:r>
      <w:r>
        <w:rPr>
          <w:rFonts w:ascii="Times New Roman" w:cs="Times New Roman" w:eastAsia="Times New Roman" w:hAnsi="Times New Roman"/>
          <w:sz w:val="22"/>
          <w:szCs w:val="22"/>
          <w:color w:val="auto"/>
        </w:rPr>
        <w:t>”) may be considered “deferred compensation.” A stock right that is a “discount option” may result in (i) income recognition by the recipient of the stock right prior to the exercise of</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27" w:name="page28"/>
    <w:bookmarkEnd w:id="27"/>
    <w:p>
      <w:pPr>
        <w:jc w:val="both"/>
        <w:spacing w:after="0" w:line="234" w:lineRule="auto"/>
        <w:rPr>
          <w:sz w:val="20"/>
          <w:szCs w:val="20"/>
          <w:color w:val="auto"/>
        </w:rPr>
      </w:pPr>
      <w:r>
        <w:rPr>
          <w:rFonts w:ascii="Times New Roman" w:cs="Times New Roman" w:eastAsia="Times New Roman" w:hAnsi="Times New Roman"/>
          <w:sz w:val="22"/>
          <w:szCs w:val="22"/>
          <w:color w:val="auto"/>
        </w:rPr>
        <w:t>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SHARES PURSUANT TO THE VESTING SCHEDULE HEREOF IS EARNED ONLY BY CONTINUING AS A SERVICE PROVIDER THROUGH THE APPLICABLE VESTING DATE(S), WHICH UNLESS PROVIDED OTHERWISE UNDER APPLICABLE LAWS IS AT THE WILL OF THE APPLICABLE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Option, Participant acknowledges, understands and agrees that:</w:t>
      </w:r>
    </w:p>
    <w:p>
      <w:pPr>
        <w:spacing w:after="0" w:line="206" w:lineRule="exact"/>
        <w:rPr>
          <w:sz w:val="20"/>
          <w:szCs w:val="20"/>
          <w:color w:val="auto"/>
        </w:rPr>
      </w:pPr>
    </w:p>
    <w:p>
      <w:pPr>
        <w:ind w:firstLine="1490"/>
        <w:spacing w:after="0" w:line="258" w:lineRule="auto"/>
        <w:tabs>
          <w:tab w:leader="none" w:pos="192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28" w:name="page29"/>
    <w:bookmarkEnd w:id="28"/>
    <w:p>
      <w:pPr>
        <w:ind w:left="1500"/>
        <w:spacing w:after="0"/>
        <w:tabs>
          <w:tab w:leader="none" w:pos="1900" w:val="left"/>
        </w:tabs>
        <w:rPr>
          <w:sz w:val="20"/>
          <w:szCs w:val="20"/>
          <w:color w:val="auto"/>
        </w:rPr>
      </w:pPr>
      <w:r>
        <w:rPr>
          <w:rFonts w:ascii="Times New Roman" w:cs="Times New Roman" w:eastAsia="Times New Roman" w:hAnsi="Times New Roman"/>
          <w:sz w:val="22"/>
          <w:szCs w:val="22"/>
          <w:color w:val="auto"/>
        </w:rPr>
        <w:t>(b)</w:t>
        <w:tab/>
        <w:t>all decisions with respect to future option or other grants, if any, will be at the sole discretion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ind w:left="1920" w:hanging="430"/>
        <w:spacing w:after="0"/>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any Shares acquired under the Plan are not intended to replace any pension rights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w:t>
      </w:r>
    </w:p>
    <w:p>
      <w:pPr>
        <w:spacing w:after="0" w:line="182" w:lineRule="exact"/>
        <w:rPr>
          <w:sz w:val="20"/>
          <w:szCs w:val="20"/>
          <w:color w:val="auto"/>
        </w:rPr>
      </w:pPr>
    </w:p>
    <w:p>
      <w:pPr>
        <w:jc w:val="both"/>
        <w:ind w:firstLine="1490"/>
        <w:spacing w:after="0" w:line="261" w:lineRule="auto"/>
        <w:tabs>
          <w:tab w:leader="none" w:pos="192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7" w:lineRule="exact"/>
        <w:rPr>
          <w:rFonts w:ascii="Times New Roman" w:cs="Times New Roman" w:eastAsia="Times New Roman" w:hAnsi="Times New Roman"/>
          <w:sz w:val="21"/>
          <w:szCs w:val="21"/>
          <w:color w:val="auto"/>
        </w:rPr>
      </w:pPr>
    </w:p>
    <w:p>
      <w:pPr>
        <w:ind w:firstLine="1490"/>
        <w:spacing w:after="0" w:line="258" w:lineRule="auto"/>
        <w:tabs>
          <w:tab w:leader="none" w:pos="192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Option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Shares do not increase in value, the Option will have no value;</w:t>
      </w:r>
    </w:p>
    <w:p>
      <w:pPr>
        <w:spacing w:after="0" w:line="206" w:lineRule="exact"/>
        <w:rPr>
          <w:rFonts w:ascii="Times New Roman" w:cs="Times New Roman" w:eastAsia="Times New Roman" w:hAnsi="Times New Roman"/>
          <w:sz w:val="22"/>
          <w:szCs w:val="22"/>
          <w:color w:val="auto"/>
        </w:rPr>
      </w:pPr>
    </w:p>
    <w:p>
      <w:pPr>
        <w:ind w:right="20" w:firstLine="1490"/>
        <w:spacing w:after="0" w:line="258" w:lineRule="auto"/>
        <w:tabs>
          <w:tab w:leader="none" w:pos="192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158" w:lineRule="exact"/>
        <w:rPr>
          <w:rFonts w:ascii="Times New Roman" w:cs="Times New Roman" w:eastAsia="Times New Roman" w:hAnsi="Times New Roman"/>
          <w:sz w:val="22"/>
          <w:szCs w:val="22"/>
          <w:color w:val="auto"/>
        </w:rPr>
      </w:pPr>
    </w:p>
    <w:p>
      <w:pPr>
        <w:jc w:val="both"/>
        <w:ind w:firstLine="1487"/>
        <w:spacing w:after="0" w:line="232" w:lineRule="auto"/>
        <w:tabs>
          <w:tab w:leader="none" w:pos="176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Option,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 Further, for the avoidance of doubt, Participant shall not be entitled to any pro rata vesting of any Shares subject to the Option should Participant’s status as a Service Provider cease before the Option has fully vested (e.g., if the Option vests monthly on the 10th of each month and Participant ceases providing services on March 1 before the Option has become fully vested, Participant shall not be entitled to any vesting of the Shares subject to the Option that were scheduled to vest on the immediately following vesting date of March 10);</w:t>
      </w:r>
    </w:p>
    <w:p>
      <w:pPr>
        <w:spacing w:after="0" w:line="185" w:lineRule="exact"/>
        <w:rPr>
          <w:rFonts w:ascii="Times New Roman" w:cs="Times New Roman" w:eastAsia="Times New Roman" w:hAnsi="Times New Roman"/>
          <w:sz w:val="22"/>
          <w:szCs w:val="22"/>
          <w:color w:val="auto"/>
        </w:rPr>
      </w:pPr>
    </w:p>
    <w:p>
      <w:pPr>
        <w:jc w:val="both"/>
        <w:ind w:firstLine="1490"/>
        <w:spacing w:after="0" w:line="239" w:lineRule="auto"/>
        <w:tabs>
          <w:tab w:leader="none" w:pos="192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29" w:name="page30"/>
    <w:bookmarkEnd w:id="29"/>
    <w:p>
      <w:pPr>
        <w:ind w:left="1500"/>
        <w:spacing w:after="0"/>
        <w:tabs>
          <w:tab w:leader="none" w:pos="1900"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rFonts w:ascii="Times New Roman" w:cs="Times New Roman" w:eastAsia="Times New Roman" w:hAnsi="Times New Roman"/>
          <w:sz w:val="21"/>
          <w:szCs w:val="21"/>
          <w:color w:val="auto"/>
        </w:rPr>
        <w:t>the following provisions apply only if Participant is providing services outside the United States:</w:t>
      </w:r>
    </w:p>
    <w:p>
      <w:pPr>
        <w:spacing w:after="0" w:line="2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(i)the Option and the Shares subject to the Option are not part of normal or expected compensation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salary for any purpose;</w:t>
      </w:r>
    </w:p>
    <w:p>
      <w:pPr>
        <w:spacing w:after="0" w:line="182"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(ii)Participant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0"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7"/>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747"/>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30" w:name="page31"/>
    <w:bookmarkEnd w:id="30"/>
    <w:p>
      <w:pPr>
        <w:jc w:val="both"/>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Option Agreement will be addressed to the Company at ALX Oncology Holdings Inc., 323 Allerton Avenue, South San Francisco, California 94080, or at such other address as the Company may hereafter designate in writing.</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Participant and Participant’s executors, administrators, heirs, successors and assigns. The rights and obligations of Participant under this Option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Option Agreement or any other document related to the Plan translated into a language other than English and if the meaning of the translated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294"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version is different than the English version, the English version will control.</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Option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Option Agreement Severable</w:t>
      </w:r>
      <w:r>
        <w:rPr>
          <w:rFonts w:ascii="Times New Roman" w:cs="Times New Roman" w:eastAsia="Times New Roman" w:hAnsi="Times New Roman"/>
          <w:sz w:val="22"/>
          <w:szCs w:val="22"/>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22"/>
          <w:szCs w:val="22"/>
          <w:u w:val="single" w:color="auto"/>
          <w:color w:val="auto"/>
        </w:rPr>
        <w:t>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Modifications to the Option Agreement</w:t>
      </w:r>
      <w:r>
        <w:rPr>
          <w:rFonts w:ascii="Times New Roman" w:cs="Times New Roman" w:eastAsia="Times New Roman" w:hAnsi="Times New Roman"/>
          <w:sz w:val="22"/>
          <w:szCs w:val="22"/>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Section 409A or to otherwise avoid imposition of any additional tax or income recognition under Section 409A in connection with the Option.</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32" w:name="page33"/>
    <w:bookmarkEnd w:id="32"/>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27.</w:t>
      </w: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68" w:lineRule="exact"/>
        <w:rPr>
          <w:sz w:val="20"/>
          <w:szCs w:val="20"/>
          <w:color w:val="auto"/>
        </w:rPr>
      </w:pPr>
    </w:p>
    <w:p>
      <w:pPr>
        <w:jc w:val="center"/>
        <w:spacing w:after="0"/>
        <w:tabs>
          <w:tab w:leader="none" w:pos="300" w:val="left"/>
          <w:tab w:leader="none" w:pos="3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33" w:name="page34"/>
    <w:bookmarkEnd w:id="33"/>
    <w:p>
      <w:pPr>
        <w:ind w:left="494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EXERCISE NOTICE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 Allerton Avenue</w:t>
      </w:r>
    </w:p>
    <w:p>
      <w:pPr>
        <w:spacing w:after="0" w:line="230" w:lineRule="auto"/>
        <w:rPr>
          <w:sz w:val="20"/>
          <w:szCs w:val="20"/>
          <w:color w:val="auto"/>
        </w:rPr>
      </w:pPr>
      <w:r>
        <w:rPr>
          <w:rFonts w:ascii="Times New Roman" w:cs="Times New Roman" w:eastAsia="Times New Roman" w:hAnsi="Times New Roman"/>
          <w:sz w:val="22"/>
          <w:szCs w:val="22"/>
          <w:color w:val="auto"/>
        </w:rPr>
        <w:t>South San Francisco, California 94080 Attention:</w:t>
      </w:r>
    </w:p>
    <w:p>
      <w:pPr>
        <w:spacing w:after="0" w:line="231" w:lineRule="auto"/>
        <w:rPr>
          <w:sz w:val="20"/>
          <w:szCs w:val="20"/>
          <w:color w:val="auto"/>
        </w:rPr>
      </w:pPr>
      <w:r>
        <w:rPr>
          <w:rFonts w:ascii="Times New Roman" w:cs="Times New Roman" w:eastAsia="Times New Roman" w:hAnsi="Times New Roman"/>
          <w:sz w:val="22"/>
          <w:szCs w:val="22"/>
          <w:color w:val="auto"/>
        </w:rPr>
        <w:t>Stock Administration</w:t>
      </w:r>
    </w:p>
    <w:p>
      <w:pPr>
        <w:ind w:left="1500" w:hanging="758"/>
        <w:spacing w:after="0" w:line="230"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xml:space="preserve">. Effective as of today,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rPr>
        <w:t xml:space="preserve">  ,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-22225</wp:posOffset>
            </wp:positionV>
            <wp:extent cx="13252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line="206" w:lineRule="exact"/>
              <w:rPr>
                <w:sz w:val="20"/>
                <w:szCs w:val="20"/>
                <w:color w:val="auto"/>
              </w:rPr>
            </w:pPr>
            <w:r>
              <w:rPr>
                <w:rFonts w:ascii="Times New Roman" w:cs="Times New Roman" w:eastAsia="Times New Roman" w:hAnsi="Times New Roman"/>
                <w:sz w:val="22"/>
                <w:szCs w:val="22"/>
                <w:color w:val="auto"/>
              </w:rPr>
              <w:t>(“Participant”)</w:t>
            </w:r>
          </w:p>
        </w:tc>
        <w:tc>
          <w:tcPr>
            <w:tcW w:w="9640" w:type="dxa"/>
            <w:vAlign w:val="bottom"/>
            <w:gridSpan w:val="8"/>
          </w:tcPr>
          <w:p>
            <w:pPr>
              <w:ind w:left="20"/>
              <w:spacing w:after="0" w:line="206" w:lineRule="exact"/>
              <w:rPr>
                <w:sz w:val="20"/>
                <w:szCs w:val="20"/>
                <w:color w:val="auto"/>
              </w:rPr>
            </w:pPr>
            <w:r>
              <w:rPr>
                <w:rFonts w:ascii="Times New Roman" w:cs="Times New Roman" w:eastAsia="Times New Roman" w:hAnsi="Times New Roman"/>
                <w:sz w:val="22"/>
                <w:szCs w:val="22"/>
                <w:color w:val="auto"/>
              </w:rPr>
              <w:t>hereby elects to exercise Participant’s option (the “Option”) to purchase</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w w:val="73"/>
              </w:rPr>
              <w:t> </w:t>
            </w: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60" w:type="dxa"/>
            <w:vAlign w:val="bottom"/>
            <w:gridSpan w:val="3"/>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shares of the Common Stock (the “Shares”) of ALX</w:t>
            </w:r>
          </w:p>
        </w:tc>
        <w:tc>
          <w:tcPr>
            <w:tcW w:w="6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vMerge w:val="continue"/>
          </w:tcPr>
          <w:p>
            <w:pPr>
              <w:spacing w:after="0"/>
              <w:rPr>
                <w:sz w:val="19"/>
                <w:szCs w:val="19"/>
                <w:color w:val="auto"/>
              </w:rPr>
            </w:pPr>
          </w:p>
        </w:tc>
        <w:tc>
          <w:tcPr>
            <w:tcW w:w="120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140" w:type="dxa"/>
            <w:vAlign w:val="bottom"/>
            <w:vMerge w:val="continue"/>
          </w:tcPr>
          <w:p>
            <w:pPr>
              <w:spacing w:after="0"/>
              <w:rPr>
                <w:sz w:val="19"/>
                <w:szCs w:val="19"/>
                <w:color w:val="auto"/>
              </w:rPr>
            </w:pPr>
          </w:p>
        </w:tc>
        <w:tc>
          <w:tcPr>
            <w:tcW w:w="4660" w:type="dxa"/>
            <w:vAlign w:val="bottom"/>
            <w:gridSpan w:val="3"/>
            <w:vMerge w:val="continue"/>
          </w:tcPr>
          <w:p>
            <w:pPr>
              <w:spacing w:after="0"/>
              <w:rPr>
                <w:sz w:val="19"/>
                <w:szCs w:val="19"/>
                <w:color w:val="auto"/>
              </w:rPr>
            </w:pPr>
          </w:p>
        </w:tc>
        <w:tc>
          <w:tcPr>
            <w:tcW w:w="4840" w:type="dxa"/>
            <w:vAlign w:val="bottom"/>
            <w:gridSpan w:val="4"/>
          </w:tcPr>
          <w:p>
            <w:pPr>
              <w:ind w:left="160"/>
              <w:spacing w:after="0" w:line="223" w:lineRule="exact"/>
              <w:rPr>
                <w:sz w:val="20"/>
                <w:szCs w:val="20"/>
                <w:color w:val="auto"/>
              </w:rPr>
            </w:pPr>
            <w:r>
              <w:rPr>
                <w:rFonts w:ascii="Times New Roman" w:cs="Times New Roman" w:eastAsia="Times New Roman" w:hAnsi="Times New Roman"/>
                <w:sz w:val="22"/>
                <w:szCs w:val="22"/>
                <w:color w:val="auto"/>
              </w:rPr>
              <w:t>Oncology Holdings Inc. (the “Company”) under and</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80"/>
        <w:spacing w:after="0" w:line="237" w:lineRule="auto"/>
        <w:rPr>
          <w:sz w:val="20"/>
          <w:szCs w:val="20"/>
          <w:color w:val="auto"/>
        </w:rPr>
      </w:pPr>
      <w:r>
        <w:rPr>
          <w:rFonts w:ascii="Times New Roman" w:cs="Times New Roman" w:eastAsia="Times New Roman" w:hAnsi="Times New Roman"/>
          <w:sz w:val="22"/>
          <w:szCs w:val="22"/>
          <w:color w:val="auto"/>
        </w:rPr>
        <w:t>pursuant to the 2025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and the Stock Option Agreement dated               , including the Notice of Stock Option Grant, and the Terms and Conditions of Stock Option Grant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and other exhibits, appendices and addenda attached thereto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-647065</wp:posOffset>
            </wp:positionV>
            <wp:extent cx="9601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61"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Participant herewith delivers to the Company the full purchase price of the Shares, as set forth in the Option Agreement, and any Withholding Obligations to be paid in connection with the exercise of the Option.</w:t>
      </w:r>
    </w:p>
    <w:p>
      <w:pPr>
        <w:spacing w:after="0" w:line="158"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Representations of Participant</w:t>
      </w:r>
      <w:r>
        <w:rPr>
          <w:rFonts w:ascii="Times New Roman" w:cs="Times New Roman" w:eastAsia="Times New Roman" w:hAnsi="Times New Roman"/>
          <w:sz w:val="22"/>
          <w:szCs w:val="22"/>
          <w:color w:val="auto"/>
        </w:rPr>
        <w:t>. Participant acknowledges that Participant has received, read and understood the Plan and the Option Agreement and agrees to abide by and be bound by their terms and conditions.</w:t>
      </w:r>
    </w:p>
    <w:p>
      <w:pPr>
        <w:spacing w:after="0" w:line="158" w:lineRule="exact"/>
        <w:rPr>
          <w:sz w:val="20"/>
          <w:szCs w:val="20"/>
          <w:color w:val="auto"/>
        </w:rPr>
      </w:pPr>
    </w:p>
    <w:p>
      <w:pPr>
        <w:jc w:val="both"/>
        <w:ind w:right="80" w:firstLine="749"/>
        <w:spacing w:after="0" w:line="236"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668020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148" w:right="379" w:bottom="1440" w:gutter="0" w:footer="0" w:header="0"/>
        </w:sectPr>
      </w:pPr>
    </w:p>
    <w:bookmarkStart w:id="34" w:name="page35"/>
    <w:bookmarkEnd w:id="34"/>
    <w:p>
      <w:pPr>
        <w:jc w:val="both"/>
        <w:ind w:left="120" w:right="120" w:firstLine="749"/>
        <w:spacing w:after="0" w:line="244"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73" w:lineRule="exact"/>
        <w:rPr>
          <w:sz w:val="20"/>
          <w:szCs w:val="20"/>
          <w:color w:val="auto"/>
        </w:rPr>
      </w:pPr>
    </w:p>
    <w:p>
      <w:pPr>
        <w:jc w:val="both"/>
        <w:ind w:left="120" w:right="120" w:firstLine="749"/>
        <w:spacing w:after="0" w:line="244"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shall continue in full force and effect.</w:t>
      </w:r>
    </w:p>
    <w:p>
      <w:pPr>
        <w:spacing w:after="0" w:line="173" w:lineRule="exact"/>
        <w:rPr>
          <w:sz w:val="20"/>
          <w:szCs w:val="20"/>
          <w:color w:val="auto"/>
        </w:rPr>
      </w:pPr>
    </w:p>
    <w:p>
      <w:pPr>
        <w:jc w:val="both"/>
        <w:ind w:left="120" w:right="120" w:firstLine="749"/>
        <w:spacing w:after="0" w:line="236"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Submitted by: Accepted by: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PARTICIPANT</w:t>
            </w:r>
          </w:p>
        </w:tc>
        <w:tc>
          <w:tcPr>
            <w:tcW w:w="95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ALX ONCOLOGY HOLDINGS INC.</w:t>
            </w:r>
          </w:p>
        </w:tc>
      </w:tr>
      <w:tr>
        <w:trPr>
          <w:trHeight w:val="909"/>
        </w:trPr>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Submitted by:</w:t>
            </w: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Accepted by:</w:t>
            </w:r>
          </w:p>
        </w:tc>
      </w:tr>
      <w:tr>
        <w:trPr>
          <w:trHeight w:val="282"/>
        </w:trPr>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PARTICIPANT</w:t>
            </w: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ALX ONCOLOGY HOLDINGS INC.</w:t>
            </w:r>
          </w:p>
        </w:tc>
      </w:tr>
      <w:tr>
        <w:trPr>
          <w:trHeight w:val="690"/>
        </w:trPr>
        <w:tc>
          <w:tcPr>
            <w:tcW w:w="1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9"/>
                <w:szCs w:val="19"/>
                <w:color w:val="auto"/>
              </w:rPr>
            </w:pPr>
          </w:p>
        </w:tc>
      </w:tr>
      <w:tr>
        <w:trPr>
          <w:trHeight w:val="346"/>
        </w:trPr>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gridSpan w:val="3"/>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36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100" w:type="dxa"/>
            <w:vAlign w:val="bottom"/>
          </w:tcPr>
          <w:p>
            <w:pPr>
              <w:spacing w:after="0"/>
              <w:rPr>
                <w:sz w:val="19"/>
                <w:szCs w:val="19"/>
                <w:color w:val="auto"/>
              </w:rPr>
            </w:pPr>
          </w:p>
        </w:tc>
      </w:tr>
      <w:tr>
        <w:trPr>
          <w:trHeight w:val="346"/>
        </w:trPr>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gridSpan w:val="3"/>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19"/>
                <w:szCs w:val="19"/>
                <w:color w:val="auto"/>
              </w:rPr>
            </w:pPr>
          </w:p>
        </w:tc>
      </w:tr>
      <w:tr>
        <w:trPr>
          <w:trHeight w:val="601"/>
        </w:trPr>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w:t>
            </w:r>
          </w:p>
        </w:tc>
      </w:tr>
      <w:tr>
        <w:trPr>
          <w:trHeight w:val="339"/>
        </w:trPr>
        <w:tc>
          <w:tcPr>
            <w:tcW w:w="1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1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gridSpan w:val="3"/>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Received</w:t>
            </w:r>
          </w:p>
        </w:tc>
        <w:tc>
          <w:tcPr>
            <w:tcW w:w="100" w:type="dxa"/>
            <w:vAlign w:val="bottom"/>
          </w:tcPr>
          <w:p>
            <w:pPr>
              <w:spacing w:after="0"/>
              <w:rPr>
                <w:sz w:val="19"/>
                <w:szCs w:val="19"/>
                <w:color w:val="auto"/>
              </w:rPr>
            </w:pPr>
          </w:p>
        </w:tc>
      </w:tr>
      <w:tr>
        <w:trPr>
          <w:trHeight w:val="655"/>
        </w:trPr>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10" w:lineRule="exact"/>
        <w:rPr>
          <w:sz w:val="20"/>
          <w:szCs w:val="20"/>
          <w:color w:val="auto"/>
        </w:rPr>
      </w:pPr>
    </w:p>
    <w:p>
      <w:pPr>
        <w:jc w:val="both"/>
        <w:ind w:right="60" w:firstLine="747"/>
        <w:spacing w:after="0" w:line="238" w:lineRule="auto"/>
        <w:rPr>
          <w:sz w:val="20"/>
          <w:szCs w:val="20"/>
          <w:color w:val="auto"/>
        </w:rPr>
      </w:pPr>
      <w:r>
        <w:rPr>
          <w:rFonts w:ascii="Times New Roman" w:cs="Times New Roman" w:eastAsia="Times New Roman" w:hAnsi="Times New Roman"/>
          <w:sz w:val="22"/>
          <w:szCs w:val="22"/>
          <w:color w:val="auto"/>
        </w:rPr>
        <w:t>Unless otherwise defined herein, the terms defined in the ALX Oncology Holdings Inc. 2025 Inducement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jc w:val="both"/>
        <w:ind w:right="80" w:firstLine="747"/>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Grant Number:</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Date of Grant:</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Total Number of</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Restricted Stock Units: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[INSERT VESTING SCHEDULE]</w:t>
      </w:r>
    </w:p>
    <w:p>
      <w:pPr>
        <w:spacing w:after="0" w:line="206" w:lineRule="exact"/>
        <w:rPr>
          <w:sz w:val="20"/>
          <w:szCs w:val="20"/>
          <w:color w:val="auto"/>
        </w:rPr>
      </w:pPr>
    </w:p>
    <w:p>
      <w:pPr>
        <w:jc w:val="both"/>
        <w:ind w:right="40" w:firstLine="749"/>
        <w:spacing w:after="0" w:line="234"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667385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40" w:top="1148" w:right="7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21"/>
          <w:szCs w:val="21"/>
          <w:b w:val="1"/>
          <w:bCs w:val="1"/>
          <w:color w:val="auto"/>
        </w:rPr>
        <w:t>Participant</w:t>
      </w:r>
      <w:r>
        <w:rPr>
          <w:sz w:val="20"/>
          <w:szCs w:val="20"/>
          <w:color w:val="auto"/>
        </w:rPr>
        <w:tab/>
      </w:r>
      <w:r>
        <w:rPr>
          <w:rFonts w:ascii="Times New Roman" w:cs="Times New Roman" w:eastAsia="Times New Roman" w:hAnsi="Times New Roman"/>
          <w:sz w:val="21"/>
          <w:szCs w:val="21"/>
          <w:b w:val="1"/>
          <w:bCs w:val="1"/>
          <w:color w:val="auto"/>
        </w:rPr>
        <w:t>ALX ONCOLOGY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2540</wp:posOffset>
            </wp:positionV>
            <wp:extent cx="67036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78" w:lineRule="exact"/>
        <w:rPr>
          <w:sz w:val="20"/>
          <w:szCs w:val="20"/>
          <w:color w:val="auto"/>
        </w:rPr>
      </w:pPr>
    </w:p>
    <w:p>
      <w:pPr>
        <w:ind w:left="140"/>
        <w:spacing w:after="0"/>
        <w:tabs>
          <w:tab w:leader="none" w:pos="5620" w:val="left"/>
        </w:tabs>
        <w:rPr>
          <w:sz w:val="20"/>
          <w:szCs w:val="20"/>
          <w:color w:val="auto"/>
        </w:rPr>
      </w:pPr>
      <w:r>
        <w:rPr>
          <w:rFonts w:ascii="Times New Roman" w:cs="Times New Roman" w:eastAsia="Times New Roman" w:hAnsi="Times New Roman"/>
          <w:sz w:val="22"/>
          <w:szCs w:val="22"/>
          <w:color w:val="auto"/>
        </w:rPr>
        <w:t>Print Name</w:t>
      </w:r>
      <w:r>
        <w:rPr>
          <w:sz w:val="20"/>
          <w:szCs w:val="20"/>
          <w:color w:val="auto"/>
        </w:rPr>
        <w:tab/>
      </w: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10795</wp:posOffset>
            </wp:positionV>
            <wp:extent cx="2280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10795</wp:posOffset>
            </wp:positionV>
            <wp:extent cx="2280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300"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Restricted Stock Units, and subject to the terms and conditions of this Award Agreement and the Plan, which is incorporated herein by reference. Subject to Section 19 of the Plan, in the event of a conflict between the terms and conditions of the Plan and this Award Agreement, the terms and conditions of the Plan shall prevail.</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3" w:lineRule="exact"/>
        <w:rPr>
          <w:sz w:val="20"/>
          <w:szCs w:val="20"/>
          <w:color w:val="auto"/>
        </w:rPr>
      </w:pPr>
    </w:p>
    <w:p>
      <w:pPr>
        <w:ind w:left="1500" w:hanging="758"/>
        <w:spacing w:after="0"/>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490"/>
        <w:spacing w:after="0" w:line="236" w:lineRule="auto"/>
        <w:tabs>
          <w:tab w:leader="none" w:pos="192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1" w:lineRule="exact"/>
        <w:rPr>
          <w:rFonts w:ascii="Times New Roman" w:cs="Times New Roman" w:eastAsia="Times New Roman" w:hAnsi="Times New Roman"/>
          <w:sz w:val="22"/>
          <w:szCs w:val="22"/>
          <w:color w:val="auto"/>
        </w:rPr>
      </w:pPr>
    </w:p>
    <w:p>
      <w:pPr>
        <w:jc w:val="both"/>
        <w:ind w:firstLine="1490"/>
        <w:spacing w:after="0" w:line="239" w:lineRule="auto"/>
        <w:tabs>
          <w:tab w:leader="none" w:pos="192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80" w:lineRule="exact"/>
        <w:rPr>
          <w:rFonts w:ascii="Times New Roman" w:cs="Times New Roman" w:eastAsia="Times New Roman" w:hAnsi="Times New Roman"/>
          <w:sz w:val="22"/>
          <w:szCs w:val="22"/>
          <w:color w:val="auto"/>
        </w:rPr>
      </w:pPr>
    </w:p>
    <w:p>
      <w:pPr>
        <w:ind w:left="2240" w:hanging="750"/>
        <w:spacing w:after="0"/>
        <w:tabs>
          <w:tab w:leader="none" w:pos="22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(i)If Participant is a U.S. taxpayer, the payment of Shares vesting pursuant to this Award Agreement (including any discretionary acceleration under Section 4(b)) shall in all cases be paid at a time or in a manner that is exempt from, or complies with, Section 409A. The prior sentence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296" w:right="45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22"/>
          <w:szCs w:val="22"/>
          <w:color w:val="auto"/>
        </w:rPr>
        <w:t>may be superseded in a future agreement or amendment to this Award Agreement only by direct and specific reference to such sentence.</w:t>
      </w:r>
    </w:p>
    <w:p>
      <w:pPr>
        <w:spacing w:after="0" w:line="158"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1"/>
          <w:szCs w:val="21"/>
          <w:color w:val="auto"/>
        </w:rPr>
        <w:t>(ii)Notwithstanding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77"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1"/>
          <w:szCs w:val="21"/>
          <w:color w:val="auto"/>
        </w:rPr>
        <w:t>(iii)It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7" w:lineRule="exact"/>
        <w:rPr>
          <w:sz w:val="20"/>
          <w:szCs w:val="20"/>
          <w:color w:val="auto"/>
        </w:rPr>
      </w:pPr>
    </w:p>
    <w:p>
      <w:pPr>
        <w:ind w:left="1500" w:hanging="758"/>
        <w:spacing w:after="0"/>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06" w:lineRule="exact"/>
        <w:rPr>
          <w:rFonts w:ascii="Times New Roman" w:cs="Times New Roman" w:eastAsia="Times New Roman" w:hAnsi="Times New Roman"/>
          <w:sz w:val="22"/>
          <w:szCs w:val="22"/>
          <w:color w:val="auto"/>
        </w:rPr>
      </w:pPr>
    </w:p>
    <w:p>
      <w:pPr>
        <w:ind w:firstLine="1490"/>
        <w:spacing w:after="0" w:line="258" w:lineRule="auto"/>
        <w:tabs>
          <w:tab w:leader="none" w:pos="192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of the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39" w:name="page40"/>
    <w:bookmarkEnd w:id="39"/>
    <w:p>
      <w:pPr>
        <w:jc w:val="both"/>
        <w:spacing w:after="0" w:line="243" w:lineRule="auto"/>
        <w:rPr>
          <w:sz w:val="20"/>
          <w:szCs w:val="20"/>
          <w:color w:val="auto"/>
        </w:rPr>
      </w:pPr>
      <w:r>
        <w:rPr>
          <w:rFonts w:ascii="Times New Roman" w:cs="Times New Roman" w:eastAsia="Times New Roman" w:hAnsi="Times New Roman"/>
          <w:sz w:val="21"/>
          <w:szCs w:val="21"/>
          <w:color w:val="auto"/>
        </w:rPr>
        <w:t>Company to which Participant is providing services (together, the “</w:t>
      </w:r>
      <w:r>
        <w:rPr>
          <w:rFonts w:ascii="Times New Roman" w:cs="Times New Roman" w:eastAsia="Times New Roman" w:hAnsi="Times New Roman"/>
          <w:sz w:val="21"/>
          <w:szCs w:val="21"/>
          <w:u w:val="single" w:color="auto"/>
          <w:color w:val="auto"/>
        </w:rPr>
        <w:t>Service Recipients</w:t>
      </w:r>
      <w:r>
        <w:rPr>
          <w:rFonts w:ascii="Times New Roman" w:cs="Times New Roman" w:eastAsia="Times New Roman" w:hAnsi="Times New Roman"/>
          <w:sz w:val="21"/>
          <w:szCs w:val="21"/>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w:t>
      </w:r>
    </w:p>
    <w:p>
      <w:pPr>
        <w:spacing w:after="0" w:line="189" w:lineRule="exact"/>
        <w:rPr>
          <w:sz w:val="20"/>
          <w:szCs w:val="20"/>
          <w:color w:val="auto"/>
        </w:rPr>
      </w:pPr>
    </w:p>
    <w:p>
      <w:pPr>
        <w:jc w:val="both"/>
        <w:ind w:firstLine="1490"/>
        <w:spacing w:after="0" w:line="232" w:lineRule="auto"/>
        <w:tabs>
          <w:tab w:leader="none" w:pos="192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Pursuant to such procedures as the Administrator may specify from time to time, the applicable Service Recipient(s) will withhold the amount required to be withheld for the payment of Tax Obligations (the “</w:t>
      </w: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u w:val="single" w:color="auto"/>
          <w:color w:val="auto"/>
        </w:rPr>
        <w:t>Net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u w:val="single" w:color="auto"/>
          <w:color w:val="auto"/>
        </w:rPr>
        <w:t>Sell to Cover</w:t>
      </w:r>
      <w:r>
        <w:rPr>
          <w:rFonts w:ascii="Times New Roman" w:cs="Times New Roman" w:eastAsia="Times New Roman" w:hAnsi="Times New Roman"/>
          <w:sz w:val="22"/>
          <w:szCs w:val="22"/>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0" w:name="page41"/>
    <w:bookmarkEnd w:id="40"/>
    <w:p>
      <w:pPr>
        <w:jc w:val="both"/>
        <w:spacing w:after="0" w:line="235" w:lineRule="auto"/>
        <w:rPr>
          <w:sz w:val="20"/>
          <w:szCs w:val="20"/>
          <w:color w:val="auto"/>
        </w:rPr>
      </w:pPr>
      <w:r>
        <w:rPr>
          <w:rFonts w:ascii="Times New Roman" w:cs="Times New Roman" w:eastAsia="Times New Roman" w:hAnsi="Times New Roman"/>
          <w:sz w:val="22"/>
          <w:szCs w:val="22"/>
          <w:color w:val="auto"/>
        </w:rPr>
        <w:t>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78" w:lineRule="exact"/>
        <w:rPr>
          <w:sz w:val="20"/>
          <w:szCs w:val="20"/>
          <w:color w:val="auto"/>
        </w:rPr>
      </w:pPr>
    </w:p>
    <w:p>
      <w:pPr>
        <w:jc w:val="both"/>
        <w:ind w:firstLine="1490"/>
        <w:spacing w:after="0" w:line="236" w:lineRule="auto"/>
        <w:tabs>
          <w:tab w:leader="none" w:pos="192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1" w:lineRule="exact"/>
        <w:rPr>
          <w:rFonts w:ascii="Times New Roman" w:cs="Times New Roman" w:eastAsia="Times New Roman" w:hAnsi="Times New Roman"/>
          <w:sz w:val="22"/>
          <w:szCs w:val="22"/>
          <w:color w:val="auto"/>
        </w:rPr>
      </w:pPr>
    </w:p>
    <w:p>
      <w:pPr>
        <w:jc w:val="both"/>
        <w:ind w:firstLine="1490"/>
        <w:spacing w:after="0" w:line="234" w:lineRule="auto"/>
        <w:tabs>
          <w:tab w:leader="none" w:pos="192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1" w:name="page42"/>
    <w:bookmarkEnd w:id="41"/>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CONTINUING AS A SERVICE PROVIDER THROUGH THE APPLICABLE VESTING DATE(S),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8" w:lineRule="exact"/>
        <w:rPr>
          <w:sz w:val="20"/>
          <w:szCs w:val="20"/>
          <w:color w:val="auto"/>
        </w:rPr>
      </w:pPr>
    </w:p>
    <w:p>
      <w:pPr>
        <w:jc w:val="both"/>
        <w:ind w:firstLine="1490"/>
        <w:spacing w:after="0" w:line="244" w:lineRule="auto"/>
        <w:tabs>
          <w:tab w:leader="none" w:pos="19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490"/>
        <w:spacing w:after="0" w:line="258" w:lineRule="auto"/>
        <w:tabs>
          <w:tab w:leader="none" w:pos="19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240" w:hanging="750"/>
        <w:spacing w:after="0"/>
        <w:tabs>
          <w:tab w:leader="none" w:pos="22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firstLine="1490"/>
        <w:spacing w:after="0" w:line="258" w:lineRule="auto"/>
        <w:tabs>
          <w:tab w:leader="none" w:pos="19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490"/>
        <w:spacing w:after="0" w:line="239" w:lineRule="auto"/>
        <w:tabs>
          <w:tab w:leader="none" w:pos="19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firstLine="1490"/>
        <w:spacing w:after="0" w:line="258" w:lineRule="auto"/>
        <w:tabs>
          <w:tab w:leader="none" w:pos="19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2" w:name="page43"/>
    <w:bookmarkEnd w:id="42"/>
    <w:p>
      <w:pPr>
        <w:jc w:val="both"/>
        <w:ind w:firstLine="1490"/>
        <w:spacing w:after="0" w:line="232" w:lineRule="auto"/>
        <w:tabs>
          <w:tab w:leader="none" w:pos="19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Further, for the avoidance of doubt, Participant shall not be entitled to any pro rata vesting of any Restricted Stock Units should Participant’s status as a Service Provider cease before the Restricted Stock Units have fully vested (e.g., if Participant’s status as a Service Provider ceases on March 1 before all of the Restricted Stock Units have vested, Participant shall not be entitled to any vesting of the Restricted Stock Units that were scheduled to vest on the immediately following vesting date of March 10);</w:t>
      </w:r>
    </w:p>
    <w:p>
      <w:pPr>
        <w:spacing w:after="0" w:line="189" w:lineRule="exact"/>
        <w:rPr>
          <w:rFonts w:ascii="Times New Roman" w:cs="Times New Roman" w:eastAsia="Times New Roman" w:hAnsi="Times New Roman"/>
          <w:sz w:val="22"/>
          <w:szCs w:val="22"/>
          <w:color w:val="auto"/>
        </w:rPr>
      </w:pPr>
    </w:p>
    <w:p>
      <w:pPr>
        <w:jc w:val="both"/>
        <w:ind w:firstLine="1490"/>
        <w:spacing w:after="0" w:line="239" w:lineRule="auto"/>
        <w:tabs>
          <w:tab w:leader="none" w:pos="19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(i)the Restricted Stock Units and the Shares subject to the Restricted Stock Units are not part of normal or expected compensation or salary for any purpose;</w:t>
      </w:r>
    </w:p>
    <w:p>
      <w:pPr>
        <w:spacing w:after="0" w:line="15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(ii)Participant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3" w:name="page44"/>
    <w:bookmarkEnd w:id="43"/>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7"/>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5" w:lineRule="exact"/>
        <w:rPr>
          <w:sz w:val="20"/>
          <w:szCs w:val="20"/>
          <w:color w:val="auto"/>
        </w:rPr>
      </w:pPr>
    </w:p>
    <w:p>
      <w:pPr>
        <w:jc w:val="both"/>
        <w:ind w:firstLine="747"/>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ALX Oncology Holdings Inc., 323 Allerton Avenue,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South San Francisco, California 94080, or at such other address as the Company may hereafter designate in writing.</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5" w:name="page46"/>
    <w:bookmarkEnd w:id="45"/>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xml:space="preserve">. By accepting this Award, Participant expressly warrants that he or she has received an Award of Restricted Stock Units under </w:t>
      </w:r>
      <w:r>
        <w:rPr>
          <w:rFonts w:ascii="Times New Roman" w:cs="Times New Roman" w:eastAsia="Times New Roman" w:hAnsi="Times New Roman"/>
          <w:sz w:val="19"/>
          <w:szCs w:val="19"/>
          <w:color w:val="auto"/>
        </w:rPr>
        <w:t>the Plan, and has received, read and understood a description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Plan. Participant understands that the Plan is discretionary in nature and may be amended, suspended or terminated by the Administrator at any time.</w:t>
      </w:r>
    </w:p>
    <w:p>
      <w:pPr>
        <w:spacing w:after="0" w:line="18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7" w:lineRule="exact"/>
        <w:rPr>
          <w:sz w:val="20"/>
          <w:szCs w:val="20"/>
          <w:color w:val="auto"/>
        </w:rPr>
      </w:pPr>
    </w:p>
    <w:p>
      <w:pPr>
        <w:jc w:val="center"/>
        <w:spacing w:after="0"/>
        <w:tabs>
          <w:tab w:leader="none" w:pos="300" w:val="left"/>
          <w:tab w:leader="none" w:pos="3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00" w:right="45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2"/>
    </w:lvl>
    <w:lvl w:ilvl="1">
      <w:lvlJc w:val="left"/>
      <w:lvlText w:val="(%2)"/>
      <w:numFmt w:val="lowerLetter"/>
      <w:start w:val="1"/>
    </w:lvl>
  </w:abstractNum>
  <w:abstractNum w:abstractNumId="3">
    <w:nsid w:val="5577F8E1"/>
    <w:multiLevelType w:val="hybridMultilevel"/>
    <w:lvl w:ilvl="0">
      <w:lvlJc w:val="left"/>
      <w:lvlText w:val="(%1)"/>
      <w:numFmt w:val="lowerLetter"/>
      <w:start w:val="7"/>
    </w:lvl>
    <w:lvl w:ilvl="1">
      <w:lvlJc w:val="left"/>
      <w:lvlText w:val="(%2)"/>
      <w:numFmt w:val="lowerLetter"/>
      <w:start w:val="9"/>
    </w:lvl>
  </w:abstractNum>
  <w:abstractNum w:abstractNumId="4">
    <w:nsid w:val="440BADFC"/>
    <w:multiLevelType w:val="hybridMultilevel"/>
    <w:lvl w:ilvl="0">
      <w:lvlJc w:val="left"/>
      <w:lvlText w:val="(%1)"/>
      <w:numFmt w:val="lowerRoman"/>
      <w:start w:val="2"/>
    </w:lvl>
  </w:abstractNum>
  <w:abstractNum w:abstractNumId="5">
    <w:nsid w:val="5072367"/>
    <w:multiLevelType w:val="hybridMultilevel"/>
    <w:lvl w:ilvl="0">
      <w:lvlJc w:val="left"/>
      <w:lvlText w:val="%1"/>
      <w:numFmt w:val="upperLetter"/>
      <w:start w:val="1"/>
    </w:lvl>
    <w:lvl w:ilvl="1">
      <w:lvlJc w:val="left"/>
      <w:lvlText w:val="(%2)"/>
      <w:numFmt w:val="lowerRoman"/>
      <w:start w:val="3"/>
    </w:lvl>
  </w:abstractNum>
  <w:abstractNum w:abstractNumId="6">
    <w:nsid w:val="3804823E"/>
    <w:multiLevelType w:val="hybridMultilevel"/>
    <w:lvl w:ilvl="0">
      <w:lvlJc w:val="left"/>
      <w:lvlText w:val="(%1)"/>
      <w:numFmt w:val="upperLetter"/>
      <w:start w:val="1"/>
    </w:lvl>
    <w:lvl w:ilvl="1">
      <w:lvlJc w:val="left"/>
      <w:lvlText w:val="%2"/>
      <w:numFmt w:val="lowerRoman"/>
      <w:start w:val="1"/>
    </w:lvl>
  </w:abstractNum>
  <w:abstractNum w:abstractNumId="7">
    <w:nsid w:val="77465F01"/>
    <w:multiLevelType w:val="hybridMultilevel"/>
    <w:lvl w:ilvl="0">
      <w:lvlJc w:val="left"/>
      <w:lvlText w:val="(%1)"/>
      <w:numFmt w:val="lowerLetter"/>
      <w:start w:val="8"/>
    </w:lvl>
  </w:abstractNum>
  <w:abstractNum w:abstractNumId="8">
    <w:nsid w:val="7724C67E"/>
    <w:multiLevelType w:val="hybridMultilevel"/>
    <w:lvl w:ilvl="0">
      <w:lvlJc w:val="left"/>
      <w:lvlText w:val="(%1)"/>
      <w:numFmt w:val="lowerLetter"/>
      <w:start w:val="15"/>
    </w:lvl>
    <w:lvl w:ilvl="1">
      <w:lvlJc w:val="left"/>
      <w:lvlText w:val="(%2)"/>
      <w:numFmt w:val="lowerLetter"/>
      <w:start w:val="9"/>
    </w:lvl>
  </w:abstractNum>
  <w:abstractNum w:abstractNumId="9">
    <w:nsid w:val="5C482A97"/>
    <w:multiLevelType w:val="hybridMultilevel"/>
    <w:lvl w:ilvl="0">
      <w:lvlJc w:val="left"/>
      <w:lvlText w:val="(%1)"/>
      <w:numFmt w:val="lowerRoman"/>
      <w:start w:val="2"/>
    </w:lvl>
  </w:abstractNum>
  <w:abstractNum w:abstractNumId="10">
    <w:nsid w:val="2463B9EA"/>
    <w:multiLevelType w:val="hybridMultilevel"/>
    <w:lvl w:ilvl="0">
      <w:lvlJc w:val="left"/>
      <w:lvlText w:val="%1"/>
      <w:numFmt w:val="lowerLetter"/>
      <w:start w:val="1"/>
    </w:lvl>
    <w:lvl w:ilvl="1">
      <w:lvlJc w:val="left"/>
      <w:lvlText w:val="(%2)"/>
      <w:numFmt w:val="lowerLetter"/>
      <w:start w:val="61"/>
    </w:lvl>
  </w:abstractNum>
  <w:abstractNum w:abstractNumId="11">
    <w:nsid w:val="5E884ADC"/>
    <w:multiLevelType w:val="hybridMultilevel"/>
    <w:lvl w:ilvl="0">
      <w:lvlJc w:val="left"/>
      <w:lvlText w:val="(%1)"/>
      <w:numFmt w:val="lowerLetter"/>
      <w:start w:val="19"/>
    </w:lvl>
    <w:lvl w:ilvl="1">
      <w:lvlJc w:val="left"/>
      <w:lvlText w:val="%2"/>
      <w:numFmt w:val="lowerLetter"/>
      <w:start w:val="1"/>
    </w:lvl>
  </w:abstractNum>
  <w:abstractNum w:abstractNumId="12">
    <w:nsid w:val="51EAD36B"/>
    <w:multiLevelType w:val="hybridMultilevel"/>
    <w:lvl w:ilvl="0">
      <w:lvlJc w:val="left"/>
      <w:lvlText w:val="(%1)"/>
      <w:numFmt w:val="lowerLetter"/>
      <w:start w:val="22"/>
    </w:lvl>
  </w:abstractNum>
  <w:abstractNum w:abstractNumId="13">
    <w:nsid w:val="2D517796"/>
    <w:multiLevelType w:val="hybridMultilevel"/>
    <w:lvl w:ilvl="0">
      <w:lvlJc w:val="left"/>
      <w:lvlText w:val="(%1)"/>
      <w:numFmt w:val="lowerLetter"/>
      <w:start w:val="27"/>
    </w:lvl>
  </w:abstractNum>
  <w:abstractNum w:abstractNumId="14">
    <w:nsid w:val="580BD78F"/>
    <w:multiLevelType w:val="hybridMultilevel"/>
    <w:lvl w:ilvl="0">
      <w:lvlJc w:val="left"/>
      <w:lvlText w:val="%1"/>
      <w:numFmt w:val="decimal"/>
      <w:start w:val="1"/>
    </w:lvl>
    <w:lvl w:ilvl="1">
      <w:lvlJc w:val="left"/>
      <w:lvlText w:val="(%2)"/>
      <w:numFmt w:val="lowerLetter"/>
      <w:start w:val="37"/>
    </w:lvl>
    <w:lvl w:ilvl="2">
      <w:lvlJc w:val="left"/>
      <w:lvlText w:val="%3"/>
      <w:numFmt w:val="lowerLetter"/>
      <w:start w:val="1"/>
    </w:lvl>
  </w:abstractNum>
  <w:abstractNum w:abstractNumId="15">
    <w:nsid w:val="153EA43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6">
    <w:nsid w:val="3855585C"/>
    <w:multiLevelType w:val="hybridMultilevel"/>
    <w:lvl w:ilvl="0">
      <w:lvlJc w:val="left"/>
      <w:lvlText w:val="(%1)"/>
      <w:numFmt w:val="lowerRoman"/>
      <w:start w:val="2"/>
    </w:lvl>
  </w:abstractNum>
  <w:abstractNum w:abstractNumId="17">
    <w:nsid w:val="70A64E2A"/>
    <w:multiLevelType w:val="hybridMultilevel"/>
    <w:lvl w:ilvl="0">
      <w:lvlJc w:val="left"/>
      <w:lvlText w:val="%1"/>
      <w:numFmt w:val="lowerLetter"/>
      <w:start w:val="1"/>
    </w:lvl>
    <w:lvl w:ilvl="1">
      <w:lvlJc w:val="left"/>
      <w:lvlText w:val="(%2)"/>
      <w:numFmt w:val="lowerRoman"/>
      <w:start w:val="3"/>
    </w:lvl>
  </w:abstractNum>
  <w:abstractNum w:abstractNumId="18">
    <w:nsid w:val="6A2342EC"/>
    <w:multiLevelType w:val="hybridMultilevel"/>
    <w:lvl w:ilvl="0">
      <w:lvlJc w:val="left"/>
      <w:lvlText w:val="(%1)"/>
      <w:numFmt w:val="lowerLetter"/>
      <w:start w:val="2"/>
    </w:lvl>
    <w:lvl w:ilvl="1">
      <w:lvlJc w:val="left"/>
      <w:lvlText w:val="%2"/>
      <w:numFmt w:val="lowerRoman"/>
      <w:start w:val="1"/>
    </w:lvl>
  </w:abstractNum>
  <w:abstractNum w:abstractNumId="19">
    <w:nsid w:val="2A487CB0"/>
    <w:multiLevelType w:val="hybridMultilevel"/>
    <w:lvl w:ilvl="0">
      <w:lvlJc w:val="left"/>
      <w:lvlText w:val="(%1)"/>
      <w:numFmt w:val="lowerRoman"/>
      <w:start w:val="2"/>
    </w:lvl>
  </w:abstractNum>
  <w:abstractNum w:abstractNumId="20">
    <w:nsid w:val="1D4ED43B"/>
    <w:multiLevelType w:val="hybridMultilevel"/>
    <w:lvl w:ilvl="0">
      <w:lvlJc w:val="left"/>
      <w:lvlText w:val="(%1)"/>
      <w:numFmt w:val="lowerRoman"/>
      <w:start w:val="3"/>
    </w:lvl>
  </w:abstractNum>
  <w:abstractNum w:abstractNumId="21">
    <w:nsid w:val="725A06FB"/>
    <w:multiLevelType w:val="hybridMultilevel"/>
    <w:lvl w:ilvl="0">
      <w:lvlJc w:val="left"/>
      <w:lvlText w:val="(%1)"/>
      <w:numFmt w:val="lowerRoman"/>
      <w:start w:val="5"/>
    </w:lvl>
  </w:abstractNum>
  <w:abstractNum w:abstractNumId="22">
    <w:nsid w:val="2CD89A32"/>
    <w:multiLevelType w:val="hybridMultilevel"/>
    <w:lvl w:ilvl="0">
      <w:lvlJc w:val="left"/>
      <w:lvlText w:val="(%1)"/>
      <w:numFmt w:val="lowerRoman"/>
      <w:start w:val="7"/>
    </w:lvl>
  </w:abstractNum>
  <w:abstractNum w:abstractNumId="23">
    <w:nsid w:val="57E4CCAF"/>
    <w:multiLevelType w:val="hybridMultilevel"/>
    <w:lvl w:ilvl="0">
      <w:lvlJc w:val="left"/>
      <w:lvlText w:val="(%1)"/>
      <w:numFmt w:val="lowerRoman"/>
      <w:start w:val="10"/>
    </w:lvl>
  </w:abstractNum>
  <w:abstractNum w:abstractNumId="24">
    <w:nsid w:val="7A6D8D3C"/>
    <w:multiLevelType w:val="hybridMultilevel"/>
    <w:lvl w:ilvl="0">
      <w:lvlJc w:val="left"/>
      <w:lvlText w:val="(%1)"/>
      <w:numFmt w:val="lowerRoman"/>
      <w:start w:val="11"/>
    </w:lvl>
  </w:abstractNum>
  <w:abstractNum w:abstractNumId="25">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26">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
    <w:nsid w:val="38437FDB"/>
    <w:multiLevelType w:val="hybridMultilevel"/>
    <w:lvl w:ilvl="0">
      <w:lvlJc w:val="left"/>
      <w:lvlText w:val="(%1)"/>
      <w:numFmt w:val="lowerLetter"/>
      <w:start w:val="3"/>
    </w:lvl>
  </w:abstractNum>
  <w:abstractNum w:abstractNumId="29">
    <w:nsid w:val="7644A45C"/>
    <w:multiLevelType w:val="hybridMultilevel"/>
    <w:lvl w:ilvl="0">
      <w:lvlJc w:val="left"/>
      <w:lvlText w:val="(%1)"/>
      <w:numFmt w:val="lowerRoman"/>
      <w:start w:val="1"/>
    </w:lvl>
  </w:abstractNum>
  <w:abstractNum w:abstractNumId="30">
    <w:nsid w:val="32FFF902"/>
    <w:multiLevelType w:val="hybridMultilevel"/>
    <w:lvl w:ilvl="0">
      <w:lvlJc w:val="left"/>
      <w:lvlText w:val="(%1)"/>
      <w:numFmt w:val="lowerRoman"/>
      <w:start w:val="2"/>
    </w:lvl>
  </w:abstractNum>
  <w:abstractNum w:abstractNumId="31">
    <w:nsid w:val="684A481A"/>
    <w:multiLevelType w:val="hybridMultilevel"/>
    <w:lvl w:ilvl="0">
      <w:lvlJc w:val="left"/>
      <w:lvlText w:val="%1"/>
      <w:numFmt w:val="lowerLetter"/>
      <w:start w:val="1"/>
    </w:lvl>
    <w:lvl w:ilvl="1">
      <w:lvlJc w:val="left"/>
      <w:lvlText w:val="(%2)"/>
      <w:numFmt w:val="lowerLetter"/>
      <w:start w:val="61"/>
    </w:lvl>
  </w:abstractNum>
  <w:abstractNum w:abstractNumId="32">
    <w:nsid w:val="579478FE"/>
    <w:multiLevelType w:val="hybridMultilevel"/>
    <w:lvl w:ilvl="0">
      <w:lvlJc w:val="left"/>
      <w:lvlText w:val="(%1)"/>
      <w:numFmt w:val="lowerLetter"/>
      <w:start w:val="5"/>
    </w:lvl>
    <w:lvl w:ilvl="1">
      <w:lvlJc w:val="left"/>
      <w:lvlText w:val="%2"/>
      <w:numFmt w:val="lowerLetter"/>
      <w:start w:val="1"/>
    </w:lvl>
  </w:abstractNum>
  <w:abstractNum w:abstractNumId="33">
    <w:nsid w:val="749ABB43"/>
    <w:multiLevelType w:val="hybridMultilevel"/>
    <w:lvl w:ilvl="0">
      <w:lvlJc w:val="left"/>
      <w:lvlText w:val="(%1)"/>
      <w:numFmt w:val="lowerRoman"/>
      <w:start w:val="1"/>
    </w:lvl>
  </w:abstractNum>
  <w:abstractNum w:abstractNumId="34">
    <w:nsid w:val="3DC240FB"/>
    <w:multiLevelType w:val="hybridMultilevel"/>
    <w:lvl w:ilvl="0">
      <w:lvlJc w:val="left"/>
      <w:lvlText w:val="(%1)"/>
      <w:numFmt w:val="lowerRoman"/>
      <w:start w:val="2"/>
    </w:lvl>
  </w:abstractNum>
  <w:abstractNum w:abstractNumId="35">
    <w:nsid w:val="1BA026FA"/>
    <w:multiLevelType w:val="hybridMultilevel"/>
    <w:lvl w:ilvl="0">
      <w:lvlJc w:val="left"/>
      <w:lvlText w:val="(%1)"/>
      <w:numFmt w:val="lowerRoman"/>
      <w:start w:val="3"/>
    </w:lvl>
  </w:abstractNum>
  <w:abstractNum w:abstractNumId="36">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decimal"/>
      <w:start w:val="1"/>
    </w:lvl>
  </w:abstractNum>
  <w:abstractNum w:abstractNumId="37">
    <w:nsid w:val="75C6C33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38">
    <w:nsid w:val="12E685FB"/>
    <w:multiLevelType w:val="hybridMultilevel"/>
    <w:lvl w:ilvl="0">
      <w:lvlJc w:val="left"/>
      <w:lvlText w:val="(%1)"/>
      <w:numFmt w:val="lowerLetter"/>
      <w:start w:val="6"/>
    </w:lvl>
    <w:lvl w:ilvl="1">
      <w:lvlJc w:val="left"/>
      <w:lvlText w:val="(%2)"/>
      <w:numFmt w:val="lowerLetter"/>
      <w:start w:val="9"/>
    </w:lvl>
  </w:abstractNum>
  <w:abstractNum w:abstractNumId="39">
    <w:nsid w:val="70C6A529"/>
    <w:multiLevelType w:val="hybridMultilevel"/>
    <w:lvl w:ilvl="0">
      <w:lvlJc w:val="left"/>
      <w:lvlText w:val="%1."/>
      <w:numFmt w:val="decimal"/>
      <w:start w:val="8"/>
    </w:lvl>
    <w:lvl w:ilvl="1">
      <w:lvlJc w:val="left"/>
      <w:lvlText w:val="(%2)"/>
      <w:numFmt w:val="lowerLetter"/>
      <w:start w:val="1"/>
    </w:lvl>
  </w:abstractNum>
  <w:abstractNum w:abstractNumId="40">
    <w:nsid w:val="520EEDD1"/>
    <w:multiLevelType w:val="hybridMultilevel"/>
    <w:lvl w:ilvl="0">
      <w:lvlJc w:val="left"/>
      <w:lvlText w:val="%1"/>
      <w:numFmt w:val="decimal"/>
      <w:start w:val="1"/>
    </w:lvl>
    <w:lvl w:ilvl="1">
      <w:lvlJc w:val="left"/>
      <w:lvlText w:val="(%2)"/>
      <w:numFmt w:val="lowerLetter"/>
      <w:start w:val="8"/>
    </w:lvl>
  </w:abstractNum>
  <w:abstractNum w:abstractNumId="41">
    <w:nsid w:val="374A3FE6"/>
    <w:multiLevelType w:val="hybridMultilevel"/>
    <w:lvl w:ilvl="0">
      <w:lvlJc w:val="left"/>
      <w:lvlText w:val="%1."/>
      <w:numFmt w:val="decimal"/>
      <w:start w:val="9"/>
    </w:lvl>
    <w:lvl w:ilvl="1">
      <w:lvlJc w:val="left"/>
      <w:lvlText w:val="(%2)"/>
      <w:numFmt w:val="lowerLetter"/>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2"/>
    </w:lvl>
  </w:abstractNum>
  <w:abstractNum w:abstractNumId="44">
    <w:nsid w:val="649BB77C"/>
    <w:multiLevelType w:val="hybridMultilevel"/>
    <w:lvl w:ilvl="0">
      <w:lvlJc w:val="left"/>
      <w:lvlText w:val="%1"/>
      <w:numFmt w:val="lowerLetter"/>
      <w:start w:val="1"/>
    </w:lvl>
    <w:lvl w:ilvl="1">
      <w:lvlJc w:val="left"/>
      <w:lvlText w:val="(%2)"/>
      <w:numFmt w:val="lowerLetter"/>
      <w:start w:val="1"/>
    </w:lvl>
  </w:abstractNum>
  <w:abstractNum w:abstractNumId="45">
    <w:nsid w:val="275AC794"/>
    <w:multiLevelType w:val="hybridMultilevel"/>
    <w:lvl w:ilvl="0">
      <w:lvlJc w:val="left"/>
      <w:lvlText w:val="(%1)"/>
      <w:numFmt w:val="lowerLetter"/>
      <w:start w:val="61"/>
    </w:lvl>
    <w:lvl w:ilvl="1">
      <w:lvlJc w:val="left"/>
      <w:lvlText w:val="%2"/>
      <w:numFmt w:val="lowerLetter"/>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2"/>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2"/>
    </w:lvl>
  </w:abstractNum>
  <w:abstractNum w:abstractNumId="52">
    <w:nsid w:val="15B5AF5C"/>
    <w:multiLevelType w:val="hybridMultilevel"/>
    <w:lvl w:ilvl="0">
      <w:lvlJc w:val="left"/>
      <w:lvlText w:val="%1."/>
      <w:numFmt w:val="decimal"/>
      <w:start w:val="4"/>
    </w:lvl>
    <w:lvl w:ilvl="1">
      <w:lvlJc w:val="left"/>
      <w:lvlText w:val="(%2)"/>
      <w:numFmt w:val="lowerLetter"/>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decimal"/>
      <w:start w:val="8"/>
    </w:lvl>
    <w:lvl w:ilvl="1">
      <w:lvlJc w:val="left"/>
      <w:lvlText w:val="(%2)"/>
      <w:numFmt w:val="lowerLetter"/>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Letter"/>
      <w:start w:val="3"/>
    </w:lvl>
  </w:abstractNum>
  <w:abstractNum w:abstractNumId="58">
    <w:nsid w:val="7E0C57B1"/>
    <w:multiLevelType w:val="hybridMultilevel"/>
    <w:lvl w:ilvl="0">
      <w:lvlJc w:val="left"/>
      <w:lvlText w:val="(%1)"/>
      <w:numFmt w:val="lowerLetter"/>
      <w:start w:val="5"/>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4"/>
    </w:lvl>
    <w:lvl w:ilvl="1">
      <w:lvlJc w:val="left"/>
      <w:lvlText w:val="(%2)"/>
      <w:numFmt w:val="lowerLetter"/>
      <w:start w:val="1"/>
    </w:lvl>
  </w:abstractNum>
  <w:abstractNum w:abstractNumId="61">
    <w:nsid w:val="310C50B3"/>
    <w:multiLevelType w:val="hybridMultilevel"/>
    <w:lvl w:ilvl="0">
      <w:lvlJc w:val="left"/>
      <w:lvlText w:val="%1."/>
      <w:numFmt w:val="decimal"/>
      <w:start w:val="7"/>
    </w:lvl>
    <w:lvl w:ilvl="1">
      <w:lvlJc w:val="left"/>
      <w:lvlText w:val="(%2)"/>
      <w:numFmt w:val="lowerLetter"/>
      <w:start w:val="1"/>
    </w:lvl>
  </w:abstractNum>
  <w:abstractNum w:abstractNumId="62">
    <w:nsid w:val="5FF87E05"/>
    <w:multiLevelType w:val="hybridMultilevel"/>
    <w:lvl w:ilvl="0">
      <w:lvlJc w:val="left"/>
      <w:lvlText w:val="(%1)"/>
      <w:numFmt w:val="lowerLetter"/>
      <w:start w:val="2"/>
    </w:lvl>
  </w:abstractNum>
  <w:abstractNum w:abstractNumId="63">
    <w:nsid w:val="2F305DEF"/>
    <w:multiLevelType w:val="hybridMultilevel"/>
    <w:lvl w:ilvl="0">
      <w:lvlJc w:val="left"/>
      <w:lvlText w:val="(%1)"/>
      <w:numFmt w:val="lowerLetter"/>
      <w:start w:val="3"/>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2026-01-21T16:18:46Z</dcterms:created>
  <dcterms:modified xsi:type="dcterms:W3CDTF">2026-01-21T16:18:46Z</dcterms:modified>
</cp:coreProperties>
</file>