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Lettmann Jason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ALX ONCOLOGY HOLDINGS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323 ALLERTON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line="250" w:lineRule="auto"/>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ALX ONCOLOGY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 xml:space="preserve">ALXO </w:t>
      </w:r>
      <w:r>
        <w:rPr>
          <w:rFonts w:ascii="Times New Roman" w:cs="Times New Roman" w:eastAsia="Times New Roman" w:hAnsi="Times New Roman"/>
          <w:sz w:val="21"/>
          <w:szCs w:val="21"/>
          <w:color w:val="000000"/>
        </w:rPr>
        <w:t>]</w:t>
      </w:r>
    </w:p>
    <w:p>
      <w:pPr>
        <w:spacing w:after="0" w:line="35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02/19/2025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4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546" w:lineRule="exact"/>
        <w:rPr>
          <w:sz w:val="24"/>
          <w:szCs w:val="24"/>
          <w:color w:val="auto"/>
        </w:rPr>
      </w:pPr>
    </w:p>
    <w:p>
      <w:pPr>
        <w:sectPr>
          <w:pgSz w:w="11900" w:h="16838" w:orient="portrait"/>
          <w:cols w:equalWidth="0" w:num="3">
            <w:col w:w="3200" w:space="720"/>
            <w:col w:w="3360" w:space="455"/>
            <w:col w:w="3345"/>
          </w:cols>
          <w:pgMar w:left="460" w:top="219" w:right="359" w:bottom="1440" w:gutter="0" w:footer="0" w:header="0"/>
          <w:type w:val="continuous"/>
        </w:sectPr>
      </w:pPr>
    </w:p>
    <w:p>
      <w:pPr>
        <w:spacing w:after="0" w:line="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SOUTH SAN</w:t>
            </w: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94080</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1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94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76"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2"/>
                <w:szCs w:val="12"/>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ind w:left="520"/>
              <w:spacing w:after="0"/>
              <w:rPr>
                <w:sz w:val="20"/>
                <w:szCs w:val="20"/>
                <w:color w:val="auto"/>
              </w:rPr>
            </w:pPr>
            <w:r>
              <w:rPr>
                <w:rFonts w:ascii="Times New Roman" w:cs="Times New Roman" w:eastAsia="Times New Roman" w:hAnsi="Times New Roman"/>
                <w:sz w:val="17"/>
                <w:szCs w:val="17"/>
                <w:color w:val="0000FF"/>
              </w:rPr>
              <w:t>02/19/2025</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2,159</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1.1502</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170,270</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were sold to satisfy the reporting person's tax liability in connection with the vesting of restricted stock units.</w:t>
      </w:r>
    </w:p>
    <w:p>
      <w:pPr>
        <w:spacing w:after="0" w:line="50" w:lineRule="exact"/>
        <w:rPr>
          <w:rFonts w:ascii="Times New Roman" w:cs="Times New Roman" w:eastAsia="Times New Roman" w:hAnsi="Times New Roman"/>
          <w:sz w:val="13"/>
          <w:szCs w:val="13"/>
          <w:color w:val="008000"/>
        </w:rPr>
      </w:pPr>
    </w:p>
    <w:p>
      <w:pPr>
        <w:ind w:left="40" w:right="2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$1.15 to $1.16, inclusive. The reporting person undertakes to provide to the Issuer, any security holder of the Issuer, or the staff of the Securities and Exchange Commission, upon request, full information regarding the number of shares sold at each separate price.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3,000 shares acquired under the Issuer's employee stock purchase plan on December 31, 2024.</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Shelly Pinto, by power of</w:t>
            </w:r>
          </w:p>
        </w:tc>
        <w:tc>
          <w:tcPr>
            <w:tcW w:w="100" w:type="dxa"/>
            <w:vAlign w:val="bottom"/>
          </w:tcPr>
          <w:p>
            <w:pPr>
              <w:spacing w:after="0"/>
              <w:rPr>
                <w:sz w:val="17"/>
                <w:szCs w:val="17"/>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02/21/2025</w:t>
            </w:r>
          </w:p>
        </w:tc>
        <w:tc>
          <w:tcPr>
            <w:tcW w:w="0" w:type="dxa"/>
            <w:vAlign w:val="bottom"/>
          </w:tcPr>
          <w:p>
            <w:pPr>
              <w:spacing w:after="0"/>
              <w:rPr>
                <w:sz w:val="1"/>
                <w:szCs w:val="1"/>
                <w:color w:val="auto"/>
              </w:rPr>
            </w:pPr>
          </w:p>
        </w:tc>
      </w:tr>
      <w:tr>
        <w:trPr>
          <w:trHeight w:val="87"/>
        </w:trPr>
        <w:tc>
          <w:tcPr>
            <w:tcW w:w="5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w:t>
            </w:r>
          </w:p>
        </w:tc>
        <w:tc>
          <w:tcPr>
            <w:tcW w:w="152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580" w:type="dxa"/>
            <w:vAlign w:val="bottom"/>
            <w:tcBorders>
              <w:bottom w:val="single" w:sz="8" w:color="auto"/>
            </w:tcBorders>
            <w:vMerge w:val="continue"/>
          </w:tcPr>
          <w:p>
            <w:pPr>
              <w:spacing w:after="0"/>
              <w:rPr>
                <w:sz w:val="7"/>
                <w:szCs w:val="7"/>
                <w:color w:val="auto"/>
              </w:rPr>
            </w:pPr>
          </w:p>
        </w:tc>
        <w:tc>
          <w:tcPr>
            <w:tcW w:w="15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88269" TargetMode="External"/><Relationship Id="rId14" Type="http://schemas.openxmlformats.org/officeDocument/2006/relationships/hyperlink" Target="http://www.sec.gov/cgi-bin/browse-edgar?action=getcompany&amp;CIK=00018101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2025-02-21T15:30:42Z</dcterms:created>
  <dcterms:modified xsi:type="dcterms:W3CDTF">2025-02-21T15:30:42Z</dcterms:modified>
</cp:coreProperties>
</file>