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293656ds3a.htm"/>
        <w:bookmarkStart w:id="1" w:name="ksd293656ds3a"/>
        <w:bookmarkEnd w:id="0"/>
        <w:bookmarkEnd w:id="1"/>
        <w:r>
          <w:rPr>
            <w:rStyle w:val="InternetLink"/>
          </w:rPr>
          <w:t>Table of Contents</w:t>
        </w:r>
      </w:hyperlink>
    </w:p>
    <w:p>
      <w:pPr>
        <w:pStyle w:val="TextBody"/>
        <w:spacing w:before="0" w:after="0"/>
        <w:jc w:val="center"/>
        <w:rPr>
          <w:rFonts w:ascii="Times New Roman" w:hAnsi="Times New Roman"/>
          <w:b/>
          <w:sz w:val="18"/>
        </w:rPr>
      </w:pPr>
      <w:r>
        <w:rPr>
          <w:rFonts w:ascii="Times New Roman" w:hAnsi="Times New Roman"/>
          <w:b/>
          <w:sz w:val="18"/>
        </w:rPr>
        <w:t xml:space="preserve">As filed with the Securities and Exchange Commission on May 13, 2022 </w:t>
      </w:r>
    </w:p>
    <w:p>
      <w:pPr>
        <w:pStyle w:val="TextBody"/>
        <w:spacing w:before="0" w:after="0"/>
        <w:jc w:val="right"/>
        <w:rPr>
          <w:rFonts w:ascii="Times New Roman" w:hAnsi="Times New Roman"/>
          <w:b/>
          <w:sz w:val="18"/>
        </w:rPr>
      </w:pPr>
      <w:r>
        <w:rPr>
          <w:rFonts w:ascii="Times New Roman" w:hAnsi="Times New Roman"/>
          <w:b/>
          <w:sz w:val="18"/>
        </w:rPr>
        <w:t xml:space="preserve">Registration No. 333-263863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center"/>
        <w:rPr>
          <w:rFonts w:ascii="Times New Roman" w:hAnsi="Times New Roman"/>
          <w:b/>
          <w:sz w:val="36"/>
        </w:rPr>
      </w:pPr>
      <w:r>
        <w:rPr>
          <w:rFonts w:ascii="Times New Roman" w:hAnsi="Times New Roman"/>
          <w:b/>
          <w:sz w:val="36"/>
        </w:rPr>
        <w:t xml:space="preserve">Amendment No. 1 </w:t>
      </w:r>
    </w:p>
    <w:p>
      <w:pPr>
        <w:pStyle w:val="TextBody"/>
        <w:spacing w:before="0" w:after="0"/>
        <w:jc w:val="center"/>
        <w:rPr>
          <w:rFonts w:ascii="Times New Roman" w:hAnsi="Times New Roman"/>
          <w:b/>
          <w:sz w:val="36"/>
        </w:rPr>
      </w:pPr>
      <w:r>
        <w:rPr>
          <w:rFonts w:ascii="Times New Roman" w:hAnsi="Times New Roman"/>
          <w:b/>
          <w:sz w:val="36"/>
        </w:rPr>
        <w:t xml:space="preserve">to </w:t>
      </w:r>
    </w:p>
    <w:p>
      <w:pPr>
        <w:pStyle w:val="TextBody"/>
        <w:spacing w:before="0" w:after="0"/>
        <w:jc w:val="center"/>
        <w:rPr>
          <w:rFonts w:ascii="Times New Roman" w:hAnsi="Times New Roman"/>
          <w:b/>
          <w:sz w:val="36"/>
        </w:rPr>
      </w:pPr>
      <w:r>
        <w:rPr>
          <w:rFonts w:ascii="Times New Roman" w:hAnsi="Times New Roman"/>
          <w:b/>
          <w:sz w:val="36"/>
        </w:rPr>
        <w:t xml:space="preserve">FORM S-3 </w:t>
      </w:r>
    </w:p>
    <w:p>
      <w:pPr>
        <w:pStyle w:val="TextBody"/>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spacing w:before="0" w:after="0"/>
        <w:jc w:val="center"/>
        <w:rPr>
          <w:rFonts w:ascii="Times New Roman" w:hAnsi="Times New Roman"/>
          <w:b/>
          <w:i/>
          <w:sz w:val="24"/>
        </w:rPr>
      </w:pPr>
      <w:r>
        <w:rPr>
          <w:rFonts w:ascii="Times New Roman" w:hAnsi="Times New Roman"/>
          <w:b/>
          <w:i/>
          <w:sz w:val="24"/>
        </w:rPr>
        <w:t xml:space="preserve">Under </w:t>
      </w:r>
    </w:p>
    <w:p>
      <w:pPr>
        <w:pStyle w:val="TextBody"/>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center"/>
        <w:rPr>
          <w:rFonts w:ascii="Times New Roman" w:hAnsi="Times New Roman"/>
          <w:b/>
          <w:sz w:val="48"/>
        </w:rPr>
      </w:pPr>
      <w:r>
        <w:rPr>
          <w:rFonts w:ascii="Times New Roman" w:hAnsi="Times New Roman"/>
          <w:b/>
          <w:sz w:val="48"/>
        </w:rPr>
        <w:t xml:space="preserve">ALX ONCOLOGY HOLDINGS INC. </w:t>
      </w:r>
    </w:p>
    <w:p>
      <w:pPr>
        <w:pStyle w:val="TextBody"/>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54"/>
        <w:gridCol w:w="102"/>
        <w:gridCol w:w="4949"/>
      </w:tblGrid>
      <w:tr>
        <w:trPr/>
        <w:tc>
          <w:tcPr>
            <w:tcW w:w="5154"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949" w:type="dxa"/>
            <w:tcBorders/>
            <w:shd w:fill="auto" w:val="clear"/>
            <w:vAlign w:val="center"/>
          </w:tcPr>
          <w:p>
            <w:pPr>
              <w:pStyle w:val="TableContents"/>
              <w:spacing w:before="0" w:after="283"/>
              <w:rPr>
                <w:sz w:val="4"/>
                <w:szCs w:val="4"/>
              </w:rPr>
            </w:pPr>
            <w:r>
              <w:rPr>
                <w:sz w:val="4"/>
                <w:szCs w:val="4"/>
              </w:rPr>
            </w:r>
          </w:p>
        </w:tc>
      </w:tr>
      <w:tr>
        <w:trPr/>
        <w:tc>
          <w:tcPr>
            <w:tcW w:w="5154" w:type="dxa"/>
            <w:tcBorders/>
            <w:shd w:fill="auto" w:val="clear"/>
          </w:tcPr>
          <w:p>
            <w:pPr>
              <w:pStyle w:val="TableContents"/>
              <w:spacing w:before="0" w:after="283"/>
              <w:jc w:val="center"/>
              <w:rPr>
                <w:b/>
              </w:rPr>
            </w:pPr>
            <w:r>
              <w:rPr>
                <w:b/>
              </w:rPr>
              <w:t>Delaware</w:t>
            </w:r>
          </w:p>
        </w:tc>
        <w:tc>
          <w:tcPr>
            <w:tcW w:w="102"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b/>
              </w:rPr>
            </w:pPr>
            <w:r>
              <w:rPr>
                <w:b/>
              </w:rPr>
              <w:t>85-0642577</w:t>
            </w:r>
          </w:p>
        </w:tc>
      </w:tr>
      <w:tr>
        <w:trPr/>
        <w:tc>
          <w:tcPr>
            <w:tcW w:w="5154" w:type="dxa"/>
            <w:tcBorders/>
            <w:shd w:fill="auto" w:val="clear"/>
          </w:tcPr>
          <w:p>
            <w:pPr>
              <w:pStyle w:val="TableContents"/>
              <w:spacing w:before="0" w:after="283"/>
              <w:jc w:val="center"/>
              <w:rPr>
                <w:b/>
              </w:rPr>
            </w:pPr>
            <w:r>
              <w:rPr>
                <w:b/>
              </w:rPr>
              <w:t>(State or other jurisdiction of</w:t>
              <w:br/>
              <w:t>incorporation or organization)</w:t>
            </w:r>
          </w:p>
        </w:tc>
        <w:tc>
          <w:tcPr>
            <w:tcW w:w="102"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b/>
              </w:rPr>
            </w:pPr>
            <w:r>
              <w:rPr>
                <w:b/>
              </w:rPr>
              <w:t>(I.R.S. Employer</w:t>
              <w:br/>
              <w:t>Identification Number)</w:t>
            </w:r>
          </w:p>
        </w:tc>
      </w:tr>
    </w:tbl>
    <w:p>
      <w:pPr>
        <w:pStyle w:val="TextBody"/>
        <w:spacing w:before="0" w:after="0"/>
        <w:jc w:val="center"/>
        <w:rPr>
          <w:rFonts w:ascii="Times New Roman" w:hAnsi="Times New Roman"/>
          <w:b/>
          <w:sz w:val="18"/>
        </w:rPr>
      </w:pPr>
      <w:r>
        <w:rPr>
          <w:rFonts w:ascii="Times New Roman" w:hAnsi="Times New Roman"/>
          <w:b/>
          <w:sz w:val="18"/>
        </w:rPr>
        <w:t xml:space="preserve">323 Allerton Avenue </w:t>
      </w:r>
    </w:p>
    <w:p>
      <w:pPr>
        <w:pStyle w:val="TextBody"/>
        <w:spacing w:before="0" w:after="0"/>
        <w:jc w:val="center"/>
        <w:rPr>
          <w:rFonts w:ascii="Times New Roman" w:hAnsi="Times New Roman"/>
          <w:b/>
          <w:sz w:val="18"/>
        </w:rPr>
      </w:pPr>
      <w:r>
        <w:rPr>
          <w:rFonts w:ascii="Times New Roman" w:hAnsi="Times New Roman"/>
          <w:b/>
          <w:sz w:val="18"/>
        </w:rPr>
        <w:t xml:space="preserve">South San Francisco, CA 94080 </w:t>
      </w:r>
    </w:p>
    <w:p>
      <w:pPr>
        <w:pStyle w:val="TextBody"/>
        <w:spacing w:before="0" w:after="0"/>
        <w:jc w:val="center"/>
        <w:rPr>
          <w:rFonts w:ascii="Times New Roman" w:hAnsi="Times New Roman"/>
          <w:b/>
          <w:sz w:val="18"/>
        </w:rPr>
      </w:pPr>
      <w:r>
        <w:rPr>
          <w:rFonts w:ascii="Times New Roman" w:hAnsi="Times New Roman"/>
          <w:b/>
          <w:sz w:val="18"/>
        </w:rPr>
        <w:t xml:space="preserve">650-466-7125 </w:t>
      </w:r>
    </w:p>
    <w:p>
      <w:pPr>
        <w:pStyle w:val="TextBody"/>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center"/>
        <w:rPr>
          <w:rFonts w:ascii="Times New Roman" w:hAnsi="Times New Roman"/>
          <w:b/>
          <w:sz w:val="18"/>
        </w:rPr>
      </w:pPr>
      <w:r>
        <w:rPr>
          <w:rFonts w:ascii="Times New Roman" w:hAnsi="Times New Roman"/>
          <w:b/>
          <w:sz w:val="18"/>
        </w:rPr>
        <w:t xml:space="preserve">Jaume Pons, Ph.D. </w:t>
      </w:r>
    </w:p>
    <w:p>
      <w:pPr>
        <w:pStyle w:val="TextBody"/>
        <w:spacing w:before="0" w:after="0"/>
        <w:jc w:val="center"/>
        <w:rPr>
          <w:rFonts w:ascii="Times New Roman" w:hAnsi="Times New Roman"/>
          <w:b/>
          <w:sz w:val="18"/>
        </w:rPr>
      </w:pPr>
      <w:r>
        <w:rPr>
          <w:rFonts w:ascii="Times New Roman" w:hAnsi="Times New Roman"/>
          <w:b/>
          <w:sz w:val="18"/>
        </w:rPr>
        <w:t xml:space="preserve">Chief Executive Officer </w:t>
      </w:r>
    </w:p>
    <w:p>
      <w:pPr>
        <w:pStyle w:val="TextBody"/>
        <w:spacing w:before="0" w:after="0"/>
        <w:jc w:val="center"/>
        <w:rPr>
          <w:rFonts w:ascii="Times New Roman" w:hAnsi="Times New Roman"/>
          <w:b/>
          <w:sz w:val="18"/>
        </w:rPr>
      </w:pPr>
      <w:r>
        <w:rPr>
          <w:rFonts w:ascii="Times New Roman" w:hAnsi="Times New Roman"/>
          <w:b/>
          <w:sz w:val="18"/>
        </w:rPr>
        <w:t xml:space="preserve">ALX Oncology Holdings Inc. </w:t>
      </w:r>
    </w:p>
    <w:p>
      <w:pPr>
        <w:pStyle w:val="TextBody"/>
        <w:spacing w:before="0" w:after="0"/>
        <w:jc w:val="center"/>
        <w:rPr>
          <w:rFonts w:ascii="Times New Roman" w:hAnsi="Times New Roman"/>
          <w:b/>
          <w:sz w:val="18"/>
        </w:rPr>
      </w:pPr>
      <w:r>
        <w:rPr>
          <w:rFonts w:ascii="Times New Roman" w:hAnsi="Times New Roman"/>
          <w:b/>
          <w:sz w:val="18"/>
        </w:rPr>
        <w:t xml:space="preserve">323 Allerton Avenue </w:t>
      </w:r>
    </w:p>
    <w:p>
      <w:pPr>
        <w:pStyle w:val="TextBody"/>
        <w:spacing w:before="0" w:after="0"/>
        <w:jc w:val="center"/>
        <w:rPr>
          <w:rFonts w:ascii="Times New Roman" w:hAnsi="Times New Roman"/>
          <w:b/>
          <w:sz w:val="18"/>
        </w:rPr>
      </w:pPr>
      <w:r>
        <w:rPr>
          <w:rFonts w:ascii="Times New Roman" w:hAnsi="Times New Roman"/>
          <w:b/>
          <w:sz w:val="18"/>
        </w:rPr>
        <w:t xml:space="preserve">South San Francisco, CA 94080 </w:t>
      </w:r>
    </w:p>
    <w:p>
      <w:pPr>
        <w:pStyle w:val="TextBody"/>
        <w:spacing w:before="0" w:after="0"/>
        <w:jc w:val="center"/>
        <w:rPr>
          <w:rFonts w:ascii="Times New Roman" w:hAnsi="Times New Roman"/>
          <w:b/>
          <w:sz w:val="18"/>
        </w:rPr>
      </w:pPr>
      <w:r>
        <w:rPr>
          <w:rFonts w:ascii="Times New Roman" w:hAnsi="Times New Roman"/>
          <w:b/>
          <w:sz w:val="18"/>
        </w:rPr>
        <w:t xml:space="preserve">650-466-7125 </w:t>
      </w:r>
    </w:p>
    <w:p>
      <w:pPr>
        <w:pStyle w:val="TextBody"/>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center"/>
        <w:rPr>
          <w:rFonts w:ascii="Times New Roman" w:hAnsi="Times New Roman"/>
          <w:b/>
          <w:i/>
          <w:sz w:val="18"/>
        </w:rPr>
      </w:pPr>
      <w:r>
        <w:rPr>
          <w:rFonts w:ascii="Times New Roman" w:hAnsi="Times New Roman"/>
          <w:b/>
          <w:i/>
          <w:sz w:val="18"/>
        </w:rPr>
        <w:t xml:space="preserve">Copies to: </w:t>
      </w:r>
    </w:p>
    <w:p>
      <w:pPr>
        <w:pStyle w:val="TextBody"/>
        <w:spacing w:before="0" w:after="0"/>
        <w:jc w:val="center"/>
        <w:rPr>
          <w:rFonts w:ascii="Times New Roman" w:hAnsi="Times New Roman"/>
          <w:b/>
          <w:sz w:val="18"/>
        </w:rPr>
      </w:pPr>
      <w:r>
        <w:rPr>
          <w:rFonts w:ascii="Times New Roman" w:hAnsi="Times New Roman"/>
          <w:b/>
          <w:sz w:val="18"/>
        </w:rPr>
        <w:t xml:space="preserve">Kenneth A. Clark </w:t>
      </w:r>
    </w:p>
    <w:p>
      <w:pPr>
        <w:pStyle w:val="TextBody"/>
        <w:spacing w:before="0" w:after="0"/>
        <w:jc w:val="center"/>
        <w:rPr>
          <w:rFonts w:ascii="Times New Roman" w:hAnsi="Times New Roman"/>
          <w:b/>
          <w:sz w:val="18"/>
        </w:rPr>
      </w:pPr>
      <w:r>
        <w:rPr>
          <w:rFonts w:ascii="Times New Roman" w:hAnsi="Times New Roman"/>
          <w:b/>
          <w:sz w:val="18"/>
        </w:rPr>
        <w:t xml:space="preserve">Michael E. Coke </w:t>
      </w:r>
    </w:p>
    <w:p>
      <w:pPr>
        <w:pStyle w:val="TextBody"/>
        <w:spacing w:before="0" w:after="0"/>
        <w:jc w:val="center"/>
        <w:rPr>
          <w:rFonts w:ascii="Times New Roman" w:hAnsi="Times New Roman"/>
          <w:b/>
          <w:sz w:val="18"/>
        </w:rPr>
      </w:pPr>
      <w:r>
        <w:rPr>
          <w:rFonts w:ascii="Times New Roman" w:hAnsi="Times New Roman"/>
          <w:b/>
          <w:sz w:val="18"/>
        </w:rPr>
        <w:t xml:space="preserve">Christina L. Poulsen </w:t>
      </w:r>
    </w:p>
    <w:p>
      <w:pPr>
        <w:pStyle w:val="TextBody"/>
        <w:spacing w:before="0" w:after="0"/>
        <w:jc w:val="center"/>
        <w:rPr>
          <w:rFonts w:ascii="Times New Roman" w:hAnsi="Times New Roman"/>
          <w:b/>
          <w:sz w:val="18"/>
        </w:rPr>
      </w:pPr>
      <w:r>
        <w:rPr>
          <w:rFonts w:ascii="Times New Roman" w:hAnsi="Times New Roman"/>
          <w:b/>
          <w:sz w:val="18"/>
        </w:rPr>
        <w:t xml:space="preserve">Wilson Sonsini Goodrich &amp; Rosati, P.C. </w:t>
      </w:r>
    </w:p>
    <w:p>
      <w:pPr>
        <w:pStyle w:val="TextBody"/>
        <w:spacing w:before="0" w:after="0"/>
        <w:jc w:val="center"/>
        <w:rPr>
          <w:rFonts w:ascii="Times New Roman" w:hAnsi="Times New Roman"/>
          <w:b/>
          <w:sz w:val="18"/>
        </w:rPr>
      </w:pPr>
      <w:r>
        <w:rPr>
          <w:rFonts w:ascii="Times New Roman" w:hAnsi="Times New Roman"/>
          <w:b/>
          <w:sz w:val="18"/>
        </w:rPr>
        <w:t xml:space="preserve">650 Page Mill Road </w:t>
      </w:r>
    </w:p>
    <w:p>
      <w:pPr>
        <w:pStyle w:val="TextBody"/>
        <w:spacing w:before="0" w:after="0"/>
        <w:jc w:val="center"/>
        <w:rPr>
          <w:rFonts w:ascii="Times New Roman" w:hAnsi="Times New Roman"/>
          <w:b/>
          <w:sz w:val="18"/>
        </w:rPr>
      </w:pPr>
      <w:r>
        <w:rPr>
          <w:rFonts w:ascii="Times New Roman" w:hAnsi="Times New Roman"/>
          <w:b/>
          <w:sz w:val="18"/>
        </w:rPr>
        <w:t xml:space="preserve">Palo Alto, California 94304 </w:t>
      </w:r>
    </w:p>
    <w:p>
      <w:pPr>
        <w:pStyle w:val="TextBody"/>
        <w:spacing w:before="0" w:after="0"/>
        <w:jc w:val="center"/>
        <w:rPr>
          <w:rFonts w:ascii="Times New Roman" w:hAnsi="Times New Roman"/>
          <w:b/>
          <w:sz w:val="18"/>
        </w:rPr>
      </w:pPr>
      <w:r>
        <w:rPr>
          <w:rFonts w:ascii="Times New Roman" w:hAnsi="Times New Roman"/>
          <w:b/>
          <w:sz w:val="18"/>
        </w:rPr>
        <w:t xml:space="preserve">650-493-9300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left"/>
        <w:rPr>
          <w:rFonts w:ascii="Times New Roman" w:hAnsi="Times New Roman"/>
          <w:b/>
          <w:sz w:val="18"/>
        </w:rPr>
      </w:pPr>
      <w:r>
        <w:rPr>
          <w:rFonts w:ascii="Times New Roman" w:hAnsi="Times New Roman"/>
          <w:b/>
          <w:sz w:val="18"/>
        </w:rPr>
        <w:t xml:space="preserve">APPROXIMATE DATE OF COMMENCEMENT OF PROPOSED SALE TO THE PUBLIC: From time to time after the effective date of this Registration Statement. </w:t>
      </w:r>
    </w:p>
    <w:p>
      <w:pPr>
        <w:pStyle w:val="TextBody"/>
        <w:spacing w:before="120" w:after="0"/>
        <w:jc w:val="left"/>
        <w:rPr>
          <w:rFonts w:ascii="Times New Roman" w:hAnsi="Times New Roman"/>
          <w:sz w:val="18"/>
        </w:rPr>
      </w:pPr>
      <w:r>
        <w:rPr>
          <w:rFonts w:ascii="Times New Roman" w:hAnsi="Times New Roman"/>
          <w:sz w:val="18"/>
        </w:rPr>
        <w:t xml:space="preserve">If the only securities being registered on this Form are being offered pursuant to dividend or interest reinvestment plans, please check the following box.  ☐ </w:t>
      </w:r>
    </w:p>
    <w:p>
      <w:pPr>
        <w:pStyle w:val="TextBody"/>
        <w:spacing w:before="120" w:after="0"/>
        <w:jc w:val="left"/>
        <w:rPr>
          <w:rFonts w:ascii="Times New Roman" w:hAnsi="Times New Roman"/>
          <w:sz w:val="18"/>
        </w:rPr>
      </w:pPr>
      <w:r>
        <w:rPr>
          <w:rFonts w:ascii="Times New Roman" w:hAnsi="Times New Roman"/>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spacing w:before="12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spacing w:before="120" w:after="0"/>
        <w:jc w:val="left"/>
        <w:rPr>
          <w:rFonts w:ascii="Times New Roman" w:hAnsi="Times New Roman"/>
          <w:sz w:val="18"/>
        </w:rPr>
      </w:pPr>
      <w:r>
        <w:rPr>
          <w:rFonts w:ascii="Times New Roman" w:hAnsi="Times New Roman"/>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spacing w:before="120" w:after="0"/>
        <w:jc w:val="left"/>
        <w:rPr>
          <w:rFonts w:ascii="Times New Roman" w:hAnsi="Times New Roman"/>
          <w:sz w:val="18"/>
        </w:rPr>
      </w:pPr>
      <w:r>
        <w:rPr>
          <w:rFonts w:ascii="Times New Roman" w:hAnsi="Times New Roman"/>
          <w:sz w:val="18"/>
        </w:rPr>
        <w:t xml:space="preserve">If this Form is a registration statement pursuant to General Instruction I.D. or a post-effective amendment thereto that shall become effective on filing with the Commission pursuant to Rule 462(e) under the Securities Act, check the following box.  ☐ </w:t>
      </w:r>
    </w:p>
    <w:p>
      <w:pPr>
        <w:pStyle w:val="TextBody"/>
        <w:spacing w:before="120" w:after="0"/>
        <w:jc w:val="left"/>
        <w:rPr>
          <w:rFonts w:ascii="Times New Roman" w:hAnsi="Times New Roman"/>
          <w:sz w:val="18"/>
        </w:rPr>
      </w:pPr>
      <w:r>
        <w:rPr>
          <w:rFonts w:ascii="Times New Roman" w:hAnsi="Times New Roman"/>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spacing w:before="12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156"/>
        <w:gridCol w:w="104"/>
        <w:gridCol w:w="4834"/>
        <w:gridCol w:w="133"/>
        <w:gridCol w:w="2607"/>
        <w:gridCol w:w="104"/>
        <w:gridCol w:w="267"/>
      </w:tblGrid>
      <w:tr>
        <w:trPr/>
        <w:tc>
          <w:tcPr>
            <w:tcW w:w="2156"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sz w:val="4"/>
                <w:szCs w:val="4"/>
              </w:rPr>
            </w:pPr>
            <w:r>
              <w:rPr>
                <w:sz w:val="4"/>
                <w:szCs w:val="4"/>
              </w:rPr>
            </w:r>
          </w:p>
        </w:tc>
        <w:tc>
          <w:tcPr>
            <w:tcW w:w="4834"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2607"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r>
      <w:tr>
        <w:trPr/>
        <w:tc>
          <w:tcPr>
            <w:tcW w:w="2156" w:type="dxa"/>
            <w:tcBorders/>
            <w:shd w:fill="auto" w:val="clear"/>
            <w:vAlign w:val="bottom"/>
          </w:tcPr>
          <w:p>
            <w:pPr>
              <w:pStyle w:val="TableContents"/>
              <w:spacing w:before="0" w:after="283"/>
              <w:rPr/>
            </w:pPr>
            <w:r>
              <w:rPr/>
              <w:t>Large accelerated filer</w:t>
            </w:r>
          </w:p>
        </w:tc>
        <w:tc>
          <w:tcPr>
            <w:tcW w:w="104" w:type="dxa"/>
            <w:tcBorders/>
            <w:shd w:fill="auto" w:val="clear"/>
            <w:vAlign w:val="bottom"/>
          </w:tcPr>
          <w:p>
            <w:pPr>
              <w:pStyle w:val="TableContents"/>
              <w:spacing w:before="0" w:after="283"/>
              <w:rPr/>
            </w:pPr>
            <w:r>
              <w:rPr/>
              <w:t> </w:t>
            </w:r>
          </w:p>
        </w:tc>
        <w:tc>
          <w:tcPr>
            <w:tcW w:w="4834" w:type="dxa"/>
            <w:tcBorders/>
            <w:shd w:fill="auto" w:val="clear"/>
            <w:vAlign w:val="bottom"/>
          </w:tcPr>
          <w:p>
            <w:pPr>
              <w:pStyle w:val="TableContents"/>
              <w:spacing w:before="0" w:after="283"/>
              <w:rPr/>
            </w:pPr>
            <w:r>
              <w:rPr/>
              <w:t>☒</w:t>
            </w:r>
          </w:p>
        </w:tc>
        <w:tc>
          <w:tcPr>
            <w:tcW w:w="133" w:type="dxa"/>
            <w:tcBorders/>
            <w:shd w:fill="auto" w:val="clear"/>
            <w:vAlign w:val="bottom"/>
          </w:tcPr>
          <w:p>
            <w:pPr>
              <w:pStyle w:val="TableContents"/>
              <w:spacing w:before="0" w:after="283"/>
              <w:rPr/>
            </w:pPr>
            <w:r>
              <w:rPr/>
              <w:t>  </w:t>
            </w:r>
          </w:p>
        </w:tc>
        <w:tc>
          <w:tcPr>
            <w:tcW w:w="2607" w:type="dxa"/>
            <w:tcBorders/>
            <w:shd w:fill="auto" w:val="clear"/>
            <w:vAlign w:val="bottom"/>
          </w:tcPr>
          <w:p>
            <w:pPr>
              <w:pStyle w:val="TableContents"/>
              <w:spacing w:before="0" w:after="283"/>
              <w:rPr/>
            </w:pPr>
            <w:r>
              <w:rPr/>
              <w:t>Accelerated filer</w:t>
            </w:r>
          </w:p>
        </w:tc>
        <w:tc>
          <w:tcPr>
            <w:tcW w:w="104"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w:t>
            </w:r>
          </w:p>
        </w:tc>
      </w:tr>
      <w:tr>
        <w:trPr>
          <w:trHeight w:val="30" w:hRule="atLeast"/>
        </w:trPr>
        <w:tc>
          <w:tcPr>
            <w:tcW w:w="2156" w:type="dxa"/>
            <w:tcBorders/>
            <w:shd w:fill="auto" w:val="clear"/>
            <w:vAlign w:val="center"/>
          </w:tcPr>
          <w:p>
            <w:pPr>
              <w:pStyle w:val="TableContents"/>
              <w:spacing w:before="0" w:after="283"/>
              <w:rPr>
                <w:sz w:val="4"/>
                <w:szCs w:val="4"/>
              </w:rPr>
            </w:pPr>
            <w:r>
              <w:rPr>
                <w:sz w:val="4"/>
                <w:szCs w:val="4"/>
              </w:rPr>
            </w:r>
          </w:p>
        </w:tc>
        <w:tc>
          <w:tcPr>
            <w:tcW w:w="4938" w:type="dxa"/>
            <w:gridSpan w:val="2"/>
            <w:tcBorders/>
            <w:shd w:fill="auto" w:val="clear"/>
            <w:vAlign w:val="center"/>
          </w:tcPr>
          <w:p>
            <w:pPr>
              <w:pStyle w:val="TableContents"/>
              <w:spacing w:before="0" w:after="283"/>
              <w:rPr>
                <w:sz w:val="4"/>
                <w:szCs w:val="4"/>
              </w:rPr>
            </w:pPr>
            <w:r>
              <w:rPr>
                <w:sz w:val="4"/>
                <w:szCs w:val="4"/>
              </w:rPr>
            </w:r>
          </w:p>
        </w:tc>
        <w:tc>
          <w:tcPr>
            <w:tcW w:w="2740" w:type="dxa"/>
            <w:gridSpan w:val="2"/>
            <w:tcBorders/>
            <w:shd w:fill="auto" w:val="clear"/>
            <w:vAlign w:val="center"/>
          </w:tcPr>
          <w:p>
            <w:pPr>
              <w:pStyle w:val="TableContents"/>
              <w:spacing w:before="0" w:after="283"/>
              <w:rPr>
                <w:sz w:val="4"/>
                <w:szCs w:val="4"/>
              </w:rPr>
            </w:pPr>
            <w:r>
              <w:rPr>
                <w:sz w:val="4"/>
                <w:szCs w:val="4"/>
              </w:rPr>
            </w:r>
          </w:p>
        </w:tc>
        <w:tc>
          <w:tcPr>
            <w:tcW w:w="371" w:type="dxa"/>
            <w:gridSpan w:val="2"/>
            <w:tcBorders/>
            <w:shd w:fill="auto" w:val="clear"/>
            <w:vAlign w:val="center"/>
          </w:tcPr>
          <w:p>
            <w:pPr>
              <w:pStyle w:val="TableContents"/>
              <w:spacing w:before="0" w:after="283"/>
              <w:rPr>
                <w:sz w:val="4"/>
                <w:szCs w:val="4"/>
              </w:rPr>
            </w:pPr>
            <w:r>
              <w:rPr>
                <w:sz w:val="4"/>
                <w:szCs w:val="4"/>
              </w:rPr>
            </w:r>
          </w:p>
        </w:tc>
      </w:tr>
      <w:tr>
        <w:trPr/>
        <w:tc>
          <w:tcPr>
            <w:tcW w:w="2156" w:type="dxa"/>
            <w:tcBorders/>
            <w:shd w:fill="auto" w:val="clear"/>
            <w:vAlign w:val="bottom"/>
          </w:tcPr>
          <w:p>
            <w:pPr>
              <w:pStyle w:val="TableContents"/>
              <w:spacing w:before="0" w:after="283"/>
              <w:rPr/>
            </w:pPr>
            <w:r>
              <w:rPr/>
              <w:t>Non-accelerated filer</w:t>
            </w:r>
          </w:p>
        </w:tc>
        <w:tc>
          <w:tcPr>
            <w:tcW w:w="104" w:type="dxa"/>
            <w:tcBorders/>
            <w:shd w:fill="auto" w:val="clear"/>
            <w:vAlign w:val="bottom"/>
          </w:tcPr>
          <w:p>
            <w:pPr>
              <w:pStyle w:val="TableContents"/>
              <w:spacing w:before="0" w:after="283"/>
              <w:rPr/>
            </w:pPr>
            <w:r>
              <w:rPr/>
              <w:t> </w:t>
            </w:r>
          </w:p>
        </w:tc>
        <w:tc>
          <w:tcPr>
            <w:tcW w:w="4834" w:type="dxa"/>
            <w:tcBorders/>
            <w:shd w:fill="auto" w:val="clear"/>
            <w:vAlign w:val="bottom"/>
          </w:tcPr>
          <w:p>
            <w:pPr>
              <w:pStyle w:val="TableContents"/>
              <w:spacing w:before="0" w:after="283"/>
              <w:rPr/>
            </w:pPr>
            <w:r>
              <w:rPr/>
              <w:t>☐</w:t>
            </w:r>
          </w:p>
        </w:tc>
        <w:tc>
          <w:tcPr>
            <w:tcW w:w="133" w:type="dxa"/>
            <w:tcBorders/>
            <w:shd w:fill="auto" w:val="clear"/>
            <w:vAlign w:val="bottom"/>
          </w:tcPr>
          <w:p>
            <w:pPr>
              <w:pStyle w:val="TableContents"/>
              <w:spacing w:before="0" w:after="283"/>
              <w:rPr/>
            </w:pPr>
            <w:r>
              <w:rPr/>
              <w:t>  </w:t>
            </w:r>
          </w:p>
        </w:tc>
        <w:tc>
          <w:tcPr>
            <w:tcW w:w="2607" w:type="dxa"/>
            <w:tcBorders/>
            <w:shd w:fill="auto" w:val="clear"/>
            <w:vAlign w:val="bottom"/>
          </w:tcPr>
          <w:p>
            <w:pPr>
              <w:pStyle w:val="TableContents"/>
              <w:spacing w:before="0" w:after="283"/>
              <w:rPr/>
            </w:pPr>
            <w:r>
              <w:rPr/>
              <w:t>Smaller reporting company</w:t>
            </w:r>
          </w:p>
        </w:tc>
        <w:tc>
          <w:tcPr>
            <w:tcW w:w="104"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w:t>
            </w:r>
          </w:p>
        </w:tc>
      </w:tr>
      <w:tr>
        <w:trPr>
          <w:trHeight w:val="30" w:hRule="atLeast"/>
        </w:trPr>
        <w:tc>
          <w:tcPr>
            <w:tcW w:w="2156" w:type="dxa"/>
            <w:tcBorders/>
            <w:shd w:fill="auto" w:val="clear"/>
            <w:vAlign w:val="center"/>
          </w:tcPr>
          <w:p>
            <w:pPr>
              <w:pStyle w:val="TableContents"/>
              <w:spacing w:before="0" w:after="283"/>
              <w:rPr>
                <w:sz w:val="4"/>
                <w:szCs w:val="4"/>
              </w:rPr>
            </w:pPr>
            <w:r>
              <w:rPr>
                <w:sz w:val="4"/>
                <w:szCs w:val="4"/>
              </w:rPr>
            </w:r>
          </w:p>
        </w:tc>
        <w:tc>
          <w:tcPr>
            <w:tcW w:w="4938" w:type="dxa"/>
            <w:gridSpan w:val="2"/>
            <w:tcBorders/>
            <w:shd w:fill="auto" w:val="clear"/>
            <w:vAlign w:val="center"/>
          </w:tcPr>
          <w:p>
            <w:pPr>
              <w:pStyle w:val="TableContents"/>
              <w:spacing w:before="0" w:after="283"/>
              <w:rPr>
                <w:sz w:val="4"/>
                <w:szCs w:val="4"/>
              </w:rPr>
            </w:pPr>
            <w:r>
              <w:rPr>
                <w:sz w:val="4"/>
                <w:szCs w:val="4"/>
              </w:rPr>
            </w:r>
          </w:p>
        </w:tc>
        <w:tc>
          <w:tcPr>
            <w:tcW w:w="2740" w:type="dxa"/>
            <w:gridSpan w:val="2"/>
            <w:tcBorders/>
            <w:shd w:fill="auto" w:val="clear"/>
            <w:vAlign w:val="center"/>
          </w:tcPr>
          <w:p>
            <w:pPr>
              <w:pStyle w:val="TableContents"/>
              <w:spacing w:before="0" w:after="283"/>
              <w:rPr>
                <w:sz w:val="4"/>
                <w:szCs w:val="4"/>
              </w:rPr>
            </w:pPr>
            <w:r>
              <w:rPr>
                <w:sz w:val="4"/>
                <w:szCs w:val="4"/>
              </w:rPr>
            </w:r>
          </w:p>
        </w:tc>
        <w:tc>
          <w:tcPr>
            <w:tcW w:w="371" w:type="dxa"/>
            <w:gridSpan w:val="2"/>
            <w:tcBorders/>
            <w:shd w:fill="auto" w:val="clear"/>
            <w:vAlign w:val="center"/>
          </w:tcPr>
          <w:p>
            <w:pPr>
              <w:pStyle w:val="TableContents"/>
              <w:spacing w:before="0" w:after="283"/>
              <w:rPr>
                <w:sz w:val="4"/>
                <w:szCs w:val="4"/>
              </w:rPr>
            </w:pPr>
            <w:r>
              <w:rPr>
                <w:sz w:val="4"/>
                <w:szCs w:val="4"/>
              </w:rPr>
            </w:r>
          </w:p>
        </w:tc>
      </w:tr>
      <w:tr>
        <w:trPr/>
        <w:tc>
          <w:tcPr>
            <w:tcW w:w="2156" w:type="dxa"/>
            <w:tcBorders/>
            <w:shd w:fill="auto" w:val="clear"/>
            <w:vAlign w:val="bottom"/>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pPr>
            <w:r>
              <w:rPr/>
              <w:t> </w:t>
            </w:r>
          </w:p>
        </w:tc>
        <w:tc>
          <w:tcPr>
            <w:tcW w:w="4834"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2607" w:type="dxa"/>
            <w:tcBorders/>
            <w:shd w:fill="auto" w:val="clear"/>
            <w:vAlign w:val="bottom"/>
          </w:tcPr>
          <w:p>
            <w:pPr>
              <w:pStyle w:val="TableContents"/>
              <w:spacing w:before="0" w:after="283"/>
              <w:rPr/>
            </w:pPr>
            <w:r>
              <w:rPr/>
              <w:t>Emerging growth company</w:t>
            </w:r>
          </w:p>
        </w:tc>
        <w:tc>
          <w:tcPr>
            <w:tcW w:w="104"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w:t>
            </w:r>
          </w:p>
        </w:tc>
      </w:tr>
    </w:tbl>
    <w:p>
      <w:pPr>
        <w:pStyle w:val="TextBody"/>
        <w:spacing w:before="12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spacing w:before="120" w:after="0"/>
        <w:jc w:val="left"/>
        <w:rPr>
          <w:rFonts w:ascii="Times New Roman" w:hAnsi="Times New Roman"/>
          <w:b/>
          <w:sz w:val="18"/>
        </w:rPr>
      </w:pPr>
      <w:r>
        <w:rPr>
          <w:rFonts w:ascii="Times New Roman" w:hAnsi="Times New Roman"/>
          <w:b/>
          <w:sz w:val="18"/>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Narrow" w:hAnsi="Arial Narrow"/>
          <w:b/>
          <w:color w:val="EB0029"/>
          <w:sz w:val="20"/>
        </w:rPr>
      </w:pPr>
      <w:r>
        <w:rPr>
          <w:rFonts w:ascii="Arial Narrow" w:hAnsi="Arial Narrow"/>
          <w:b/>
          <w:color w:val="EB0029"/>
          <w:sz w:val="20"/>
        </w:rPr>
        <w:t xml:space="preserve">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 </w:t>
      </w:r>
    </w:p>
    <w:p>
      <w:pPr>
        <w:pStyle w:val="TextBody"/>
        <w:spacing w:before="0" w:after="0"/>
        <w:jc w:val="left"/>
        <w:rPr/>
      </w:pPr>
      <w:r>
        <w:rPr/>
        <w:t> </w:t>
      </w:r>
    </w:p>
    <w:p>
      <w:pPr>
        <w:pStyle w:val="TextBody"/>
        <w:spacing w:before="0" w:after="0"/>
        <w:jc w:val="center"/>
        <w:rPr>
          <w:rFonts w:ascii="Times New Roman" w:hAnsi="Times New Roman"/>
          <w:b/>
          <w:color w:val="EB0029"/>
          <w:sz w:val="20"/>
        </w:rPr>
      </w:pPr>
      <w:r>
        <w:rPr>
          <w:rFonts w:ascii="Times New Roman" w:hAnsi="Times New Roman"/>
          <w:b/>
          <w:color w:val="EB0029"/>
          <w:sz w:val="20"/>
        </w:rPr>
        <w:t xml:space="preserve">SUBJECT TO COMPLETION, DATED MAY 13, 2022 </w:t>
      </w:r>
    </w:p>
    <w:p>
      <w:pPr>
        <w:pStyle w:val="TextBody"/>
        <w:spacing w:before="360" w:after="0"/>
        <w:jc w:val="left"/>
        <w:rPr>
          <w:rFonts w:ascii="Times New Roman" w:hAnsi="Times New Roman"/>
          <w:b/>
          <w:sz w:val="20"/>
        </w:rPr>
      </w:pPr>
      <w:r>
        <w:rPr>
          <w:rFonts w:ascii="Times New Roman" w:hAnsi="Times New Roman"/>
          <w:b/>
          <w:sz w:val="20"/>
        </w:rPr>
        <w:t xml:space="preserve">PROSPECTUS </w:t>
      </w:r>
    </w:p>
    <w:p>
      <w:pPr>
        <w:pStyle w:val="TextBody"/>
        <w:spacing w:before="240" w:after="0"/>
        <w:jc w:val="center"/>
        <w:rPr>
          <w:rFonts w:ascii="Times New Roman" w:hAnsi="Times New Roman"/>
          <w:b/>
          <w:sz w:val="48"/>
        </w:rPr>
      </w:pPr>
      <w:r>
        <w:rPr>
          <w:rFonts w:ascii="Times New Roman" w:hAnsi="Times New Roman"/>
          <w:b/>
          <w:sz w:val="48"/>
        </w:rPr>
        <w:t xml:space="preserve">ALX Oncology Holdings, Inc.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217805" cy="787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7805" cy="78740"/>
                    </a:xfrm>
                    <a:prstGeom prst="rect">
                      <a:avLst/>
                    </a:prstGeom>
                  </pic:spPr>
                </pic:pic>
              </a:graphicData>
            </a:graphic>
          </wp:inline>
        </w:drawing>
      </w:r>
      <w:r>
        <w:rPr/>
        <w:t xml:space="preserve"> </w:t>
      </w:r>
    </w:p>
    <w:p>
      <w:pPr>
        <w:pStyle w:val="TextBody"/>
        <w:spacing w:before="240" w:after="0"/>
        <w:jc w:val="center"/>
        <w:rPr>
          <w:rFonts w:ascii="Times New Roman" w:hAnsi="Times New Roman"/>
          <w:b/>
          <w:sz w:val="36"/>
        </w:rPr>
      </w:pPr>
      <w:r>
        <w:rPr>
          <w:rFonts w:ascii="Times New Roman" w:hAnsi="Times New Roman"/>
          <w:b/>
          <w:sz w:val="36"/>
        </w:rPr>
        <w:t xml:space="preserve">Up to $450,000,000 </w:t>
      </w:r>
    </w:p>
    <w:p>
      <w:pPr>
        <w:pStyle w:val="TextBody"/>
        <w:spacing w:before="240" w:after="0"/>
        <w:jc w:val="center"/>
        <w:rPr>
          <w:rFonts w:ascii="Times New Roman" w:hAnsi="Times New Roman"/>
          <w:b/>
          <w:sz w:val="28"/>
        </w:rPr>
      </w:pPr>
      <w:r>
        <w:rPr>
          <w:rFonts w:ascii="Times New Roman" w:hAnsi="Times New Roman"/>
          <w:b/>
          <w:sz w:val="28"/>
        </w:rPr>
        <w:t xml:space="preserve">Common Stock </w:t>
      </w:r>
    </w:p>
    <w:p>
      <w:pPr>
        <w:pStyle w:val="TextBody"/>
        <w:spacing w:before="0" w:after="0"/>
        <w:jc w:val="center"/>
        <w:rPr>
          <w:rFonts w:ascii="Times New Roman" w:hAnsi="Times New Roman"/>
          <w:b/>
          <w:sz w:val="28"/>
        </w:rPr>
      </w:pPr>
      <w:r>
        <w:rPr>
          <w:rFonts w:ascii="Times New Roman" w:hAnsi="Times New Roman"/>
          <w:b/>
          <w:sz w:val="28"/>
        </w:rPr>
        <w:t xml:space="preserve">Preferred Stock </w:t>
      </w:r>
    </w:p>
    <w:p>
      <w:pPr>
        <w:pStyle w:val="TextBody"/>
        <w:spacing w:before="0" w:after="0"/>
        <w:jc w:val="center"/>
        <w:rPr>
          <w:rFonts w:ascii="Times New Roman" w:hAnsi="Times New Roman"/>
          <w:b/>
          <w:sz w:val="28"/>
        </w:rPr>
      </w:pPr>
      <w:r>
        <w:rPr>
          <w:rFonts w:ascii="Times New Roman" w:hAnsi="Times New Roman"/>
          <w:b/>
          <w:sz w:val="28"/>
        </w:rPr>
        <w:t xml:space="preserve">Warrants </w:t>
      </w:r>
    </w:p>
    <w:p>
      <w:pPr>
        <w:pStyle w:val="TextBody"/>
        <w:spacing w:before="0" w:after="0"/>
        <w:jc w:val="center"/>
        <w:rPr>
          <w:rFonts w:ascii="Times New Roman" w:hAnsi="Times New Roman"/>
          <w:b/>
          <w:sz w:val="28"/>
        </w:rPr>
      </w:pPr>
      <w:r>
        <w:rPr>
          <w:rFonts w:ascii="Times New Roman" w:hAnsi="Times New Roman"/>
          <w:b/>
          <w:sz w:val="28"/>
        </w:rPr>
        <w:t xml:space="preserve">Purchase Contracts </w:t>
      </w:r>
    </w:p>
    <w:p>
      <w:pPr>
        <w:pStyle w:val="TextBody"/>
        <w:spacing w:before="0" w:after="0"/>
        <w:jc w:val="center"/>
        <w:rPr>
          <w:rFonts w:ascii="Times New Roman" w:hAnsi="Times New Roman"/>
          <w:b/>
          <w:sz w:val="28"/>
        </w:rPr>
      </w:pPr>
      <w:r>
        <w:rPr>
          <w:rFonts w:ascii="Times New Roman" w:hAnsi="Times New Roman"/>
          <w:b/>
          <w:sz w:val="28"/>
        </w:rPr>
        <w:t xml:space="preserve">Units </w:t>
      </w:r>
    </w:p>
    <w:p>
      <w:pPr>
        <w:pStyle w:val="TextBody"/>
        <w:spacing w:before="360" w:after="0"/>
        <w:jc w:val="left"/>
        <w:rPr>
          <w:rFonts w:ascii="Times New Roman" w:hAnsi="Times New Roman"/>
          <w:sz w:val="20"/>
        </w:rPr>
      </w:pPr>
      <w:r>
        <w:rPr>
          <w:rFonts w:ascii="Times New Roman" w:hAnsi="Times New Roman"/>
          <w:sz w:val="20"/>
        </w:rPr>
        <w:t xml:space="preserve">We may offer and sell the securities identified above from time to time in one or more offerings. This prospectus provides you with a general description of the securities. </w:t>
      </w:r>
    </w:p>
    <w:p>
      <w:pPr>
        <w:pStyle w:val="TextBody"/>
        <w:spacing w:before="360" w:after="0"/>
        <w:jc w:val="left"/>
        <w:rPr>
          <w:rFonts w:ascii="Times New Roman" w:hAnsi="Times New Roman"/>
          <w:sz w:val="20"/>
        </w:rPr>
      </w:pPr>
      <w:r>
        <w:rPr>
          <w:rFonts w:ascii="Times New Roman" w:hAnsi="Times New Roman"/>
          <w:sz w:val="20"/>
        </w:rPr>
        <w:t xml:space="preserve">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any documents we incorporated by reference, before you invest in any of our securities. </w:t>
      </w:r>
    </w:p>
    <w:p>
      <w:pPr>
        <w:pStyle w:val="TextBody"/>
        <w:spacing w:before="360" w:after="0"/>
        <w:jc w:val="left"/>
        <w:rPr>
          <w:rFonts w:ascii="Times New Roman" w:hAnsi="Times New Roman"/>
          <w:sz w:val="20"/>
        </w:rPr>
      </w:pPr>
      <w:r>
        <w:rPr>
          <w:rFonts w:ascii="Times New Roman" w:hAnsi="Times New Roman"/>
          <w:sz w:val="20"/>
        </w:rPr>
        <w:t xml:space="preserve">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 </w:t>
      </w:r>
    </w:p>
    <w:p>
      <w:pPr>
        <w:pStyle w:val="TextBody"/>
        <w:spacing w:before="360" w:after="0"/>
        <w:jc w:val="left"/>
        <w:rPr/>
      </w:pPr>
      <w:r>
        <w:rPr>
          <w:rFonts w:ascii="Times New Roman" w:hAnsi="Times New Roman"/>
          <w:b/>
          <w:sz w:val="24"/>
        </w:rPr>
        <w:t>INVESTING IN OUR SECURITIES INVOLVES RISKS. SEE </w:t>
      </w:r>
      <w:hyperlink w:anchor="toc293656_3">
        <w:r>
          <w:rPr>
            <w:rStyle w:val="InternetLink"/>
            <w:rFonts w:ascii="Times New Roman" w:hAnsi="Times New Roman"/>
            <w:b/>
            <w:sz w:val="24"/>
          </w:rPr>
          <w:t>RISK FACTORS</w:t>
        </w:r>
      </w:hyperlink>
      <w:r>
        <w:rPr>
          <w:rFonts w:ascii="Times New Roman" w:hAnsi="Times New Roman"/>
          <w:b/>
          <w:sz w:val="24"/>
        </w:rPr>
        <w:t xml:space="preserve"> BEGINNING ON PAGE 2 OF THIS PROSPECTUS AND IN ANY SIMILAR SECTION CONTAINED IN OR INCORPORATED BY REFERENCE HEREIN OR IN THE APPLICABLE PROSPECTUS SUPPLEMENT CONCERNING FACTORS YOU SHOULD CONSIDER BEFORE INVESTING IN OUR SECURITIES. </w:t>
      </w:r>
    </w:p>
    <w:p>
      <w:pPr>
        <w:pStyle w:val="TextBody"/>
        <w:spacing w:before="360" w:after="0"/>
        <w:jc w:val="left"/>
        <w:rPr>
          <w:rFonts w:ascii="Times New Roman" w:hAnsi="Times New Roman"/>
          <w:sz w:val="20"/>
        </w:rPr>
      </w:pPr>
      <w:r>
        <w:rPr>
          <w:rFonts w:ascii="Times New Roman" w:hAnsi="Times New Roman"/>
          <w:sz w:val="20"/>
        </w:rPr>
        <w:t xml:space="preserve">Our common stock is listed on The Nasdaq Global Select Market under the symbol ALXO. On May 12, 2022, the last reported sale price of our common stock on The Nasdaq Global Select Market was $9.00 per share. </w:t>
      </w:r>
    </w:p>
    <w:p>
      <w:pPr>
        <w:pStyle w:val="TextBody"/>
        <w:spacing w:before="36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spacing w:before="360" w:after="0"/>
        <w:jc w:val="center"/>
        <w:rPr>
          <w:rFonts w:ascii="Times New Roman" w:hAnsi="Times New Roman"/>
          <w:b/>
          <w:sz w:val="20"/>
        </w:rPr>
      </w:pPr>
      <w:r>
        <w:rPr>
          <w:rFonts w:ascii="Times New Roman" w:hAnsi="Times New Roman"/>
          <w:b/>
          <w:sz w:val="20"/>
        </w:rPr>
        <w:t xml:space="preserve">The date of this prospectus is                 , 2022.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272"/>
        <w:gridCol w:w="349"/>
        <w:gridCol w:w="96"/>
        <w:gridCol w:w="425"/>
        <w:gridCol w:w="63"/>
      </w:tblGrid>
      <w:tr>
        <w:trPr/>
        <w:tc>
          <w:tcPr>
            <w:tcW w:w="9272"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bottom"/>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9272" w:type="dxa"/>
            <w:tcBorders/>
            <w:shd w:fill="auto" w:val="clear"/>
            <w:vAlign w:val="bottom"/>
          </w:tcPr>
          <w:p>
            <w:pPr>
              <w:pStyle w:val="TableContents"/>
              <w:spacing w:before="0" w:after="283"/>
              <w:rPr/>
            </w:pPr>
            <w:r>
              <w:rPr/>
              <w:t> </w:t>
            </w:r>
          </w:p>
        </w:tc>
        <w:tc>
          <w:tcPr>
            <w:tcW w:w="349" w:type="dxa"/>
            <w:tcBorders/>
            <w:shd w:fill="auto" w:val="clear"/>
            <w:vAlign w:val="bottom"/>
          </w:tcPr>
          <w:p>
            <w:pPr>
              <w:pStyle w:val="TableContents"/>
              <w:spacing w:before="0" w:after="283"/>
              <w:rPr/>
            </w:pPr>
            <w:r>
              <w:rPr/>
              <w:t>  </w:t>
            </w:r>
          </w:p>
        </w:tc>
        <w:tc>
          <w:tcPr>
            <w:tcW w:w="52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Page</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vAlign w:val="bottom"/>
          </w:tcPr>
          <w:p>
            <w:pPr>
              <w:pStyle w:val="TableContents"/>
              <w:spacing w:before="0" w:after="0"/>
              <w:rPr/>
            </w:pPr>
            <w:hyperlink w:anchor="toc293656_1">
              <w:r>
                <w:rPr>
                  <w:rStyle w:val="InternetLink"/>
                  <w:rFonts w:ascii="Times New Roman" w:hAnsi="Times New Roman"/>
                  <w:sz w:val="20"/>
                </w:rPr>
                <w:t>ABOUT THIS PROSPECTUS</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ii</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vAlign w:val="bottom"/>
          </w:tcPr>
          <w:p>
            <w:pPr>
              <w:pStyle w:val="TableContents"/>
              <w:spacing w:before="0" w:after="0"/>
              <w:rPr/>
            </w:pPr>
            <w:hyperlink w:anchor="toc293656_2">
              <w:r>
                <w:rPr>
                  <w:rStyle w:val="InternetLink"/>
                  <w:rFonts w:ascii="Times New Roman" w:hAnsi="Times New Roman"/>
                  <w:sz w:val="20"/>
                </w:rPr>
                <w:t>THE COMPANY</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1</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vAlign w:val="bottom"/>
          </w:tcPr>
          <w:p>
            <w:pPr>
              <w:pStyle w:val="TableContents"/>
              <w:spacing w:before="0" w:after="0"/>
              <w:rPr/>
            </w:pPr>
            <w:hyperlink w:anchor="toc293656_3">
              <w:r>
                <w:rPr>
                  <w:rStyle w:val="InternetLink"/>
                  <w:rFonts w:ascii="Times New Roman" w:hAnsi="Times New Roman"/>
                  <w:sz w:val="20"/>
                </w:rPr>
                <w:t>RISK FACTORS</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2</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vAlign w:val="bottom"/>
          </w:tcPr>
          <w:p>
            <w:pPr>
              <w:pStyle w:val="TableContents"/>
              <w:spacing w:before="0" w:after="0"/>
              <w:rPr/>
            </w:pPr>
            <w:hyperlink w:anchor="toc293656_4">
              <w:r>
                <w:rPr>
                  <w:rStyle w:val="InternetLink"/>
                  <w:rFonts w:ascii="Times New Roman" w:hAnsi="Times New Roman"/>
                  <w:sz w:val="20"/>
                </w:rPr>
                <w:t>SPECIAL NOTE REGARDING FORWARD LOOKING STATEMENTS</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3</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vAlign w:val="bottom"/>
          </w:tcPr>
          <w:p>
            <w:pPr>
              <w:pStyle w:val="TableContents"/>
              <w:spacing w:before="0" w:after="0"/>
              <w:rPr/>
            </w:pPr>
            <w:hyperlink w:anchor="toc293656_5">
              <w:r>
                <w:rPr>
                  <w:rStyle w:val="InternetLink"/>
                  <w:rFonts w:ascii="Times New Roman" w:hAnsi="Times New Roman"/>
                  <w:sz w:val="20"/>
                </w:rPr>
                <w:t>USE OF PROCEEDS</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5</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vAlign w:val="bottom"/>
          </w:tcPr>
          <w:p>
            <w:pPr>
              <w:pStyle w:val="TableContents"/>
              <w:spacing w:before="0" w:after="0"/>
              <w:rPr/>
            </w:pPr>
            <w:hyperlink w:anchor="toc293656_6">
              <w:r>
                <w:rPr>
                  <w:rStyle w:val="InternetLink"/>
                  <w:rFonts w:ascii="Times New Roman" w:hAnsi="Times New Roman"/>
                  <w:sz w:val="20"/>
                </w:rPr>
                <w:t>DESCRIPTION OF SECURITIES</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6</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vAlign w:val="bottom"/>
          </w:tcPr>
          <w:p>
            <w:pPr>
              <w:pStyle w:val="TableContents"/>
              <w:spacing w:before="0" w:after="0"/>
              <w:rPr/>
            </w:pPr>
            <w:hyperlink w:anchor="toc293656_7">
              <w:r>
                <w:rPr>
                  <w:rStyle w:val="InternetLink"/>
                  <w:rFonts w:ascii="Times New Roman" w:hAnsi="Times New Roman"/>
                  <w:sz w:val="20"/>
                </w:rPr>
                <w:t>DESCRIPTION OF CAPITAL STOCK</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7</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vAlign w:val="bottom"/>
          </w:tcPr>
          <w:p>
            <w:pPr>
              <w:pStyle w:val="TableContents"/>
              <w:spacing w:before="0" w:after="0"/>
              <w:rPr/>
            </w:pPr>
            <w:hyperlink w:anchor="toc293656_8">
              <w:r>
                <w:rPr>
                  <w:rStyle w:val="InternetLink"/>
                  <w:rFonts w:ascii="Times New Roman" w:hAnsi="Times New Roman"/>
                  <w:sz w:val="20"/>
                </w:rPr>
                <w:t>DESCRIPTION OF WARRANTS</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13</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vAlign w:val="bottom"/>
          </w:tcPr>
          <w:p>
            <w:pPr>
              <w:pStyle w:val="TableContents"/>
              <w:spacing w:before="0" w:after="0"/>
              <w:rPr/>
            </w:pPr>
            <w:hyperlink w:anchor="toc293656_9">
              <w:r>
                <w:rPr>
                  <w:rStyle w:val="InternetLink"/>
                  <w:rFonts w:ascii="Times New Roman" w:hAnsi="Times New Roman"/>
                  <w:sz w:val="20"/>
                </w:rPr>
                <w:t>DESCRIPTION OF PURCHASE CONTRACTS</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14</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vAlign w:val="bottom"/>
          </w:tcPr>
          <w:p>
            <w:pPr>
              <w:pStyle w:val="TableContents"/>
              <w:spacing w:before="0" w:after="0"/>
              <w:rPr/>
            </w:pPr>
            <w:hyperlink w:anchor="toc293656_10">
              <w:r>
                <w:rPr>
                  <w:rStyle w:val="InternetLink"/>
                  <w:rFonts w:ascii="Times New Roman" w:hAnsi="Times New Roman"/>
                  <w:sz w:val="20"/>
                </w:rPr>
                <w:t>DESCRIPTION OF UNITS</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15</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vAlign w:val="bottom"/>
          </w:tcPr>
          <w:p>
            <w:pPr>
              <w:pStyle w:val="TableContents"/>
              <w:spacing w:before="0" w:after="0"/>
              <w:rPr/>
            </w:pPr>
            <w:hyperlink w:anchor="toc293656_11">
              <w:r>
                <w:rPr>
                  <w:rStyle w:val="InternetLink"/>
                  <w:rFonts w:ascii="Times New Roman" w:hAnsi="Times New Roman"/>
                  <w:sz w:val="20"/>
                </w:rPr>
                <w:t>PLAN OF DISTRIBUTION</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16</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vAlign w:val="bottom"/>
          </w:tcPr>
          <w:p>
            <w:pPr>
              <w:pStyle w:val="TableContents"/>
              <w:spacing w:before="0" w:after="0"/>
              <w:rPr/>
            </w:pPr>
            <w:hyperlink w:anchor="toc293656_12">
              <w:r>
                <w:rPr>
                  <w:rStyle w:val="InternetLink"/>
                  <w:rFonts w:ascii="Times New Roman" w:hAnsi="Times New Roman"/>
                  <w:sz w:val="20"/>
                </w:rPr>
                <w:t>LEGAL MATTERS</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17</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vAlign w:val="bottom"/>
          </w:tcPr>
          <w:p>
            <w:pPr>
              <w:pStyle w:val="TableContents"/>
              <w:spacing w:before="0" w:after="0"/>
              <w:rPr/>
            </w:pPr>
            <w:hyperlink w:anchor="toc293656_13">
              <w:r>
                <w:rPr>
                  <w:rStyle w:val="InternetLink"/>
                  <w:rFonts w:ascii="Times New Roman" w:hAnsi="Times New Roman"/>
                  <w:sz w:val="20"/>
                </w:rPr>
                <w:t>EXPERTS</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17</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vAlign w:val="bottom"/>
          </w:tcPr>
          <w:p>
            <w:pPr>
              <w:pStyle w:val="TableContents"/>
              <w:spacing w:before="0" w:after="0"/>
              <w:rPr/>
            </w:pPr>
            <w:hyperlink w:anchor="toc293656_14">
              <w:r>
                <w:rPr>
                  <w:rStyle w:val="InternetLink"/>
                  <w:rFonts w:ascii="Times New Roman" w:hAnsi="Times New Roman"/>
                  <w:sz w:val="20"/>
                </w:rPr>
                <w:t>WHERE YOU CAN FIND MORE INFORMATION</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17</w:t>
            </w:r>
          </w:p>
        </w:tc>
        <w:tc>
          <w:tcPr>
            <w:tcW w:w="63" w:type="dxa"/>
            <w:tcBorders/>
            <w:shd w:fill="auto" w:val="clear"/>
            <w:vAlign w:val="bottom"/>
          </w:tcPr>
          <w:p>
            <w:pPr>
              <w:pStyle w:val="TableContents"/>
              <w:spacing w:before="0" w:after="283"/>
              <w:rPr/>
            </w:pPr>
            <w:r>
              <w:rPr/>
              <w:t> </w:t>
            </w:r>
          </w:p>
        </w:tc>
      </w:tr>
      <w:tr>
        <w:trPr/>
        <w:tc>
          <w:tcPr>
            <w:tcW w:w="9272" w:type="dxa"/>
            <w:tcBorders/>
            <w:shd w:fill="auto" w:val="clear"/>
            <w:vAlign w:val="bottom"/>
          </w:tcPr>
          <w:p>
            <w:pPr>
              <w:pStyle w:val="TableContents"/>
              <w:spacing w:before="0" w:after="0"/>
              <w:rPr/>
            </w:pPr>
            <w:hyperlink w:anchor="toc293656_15">
              <w:r>
                <w:rPr>
                  <w:rStyle w:val="InternetLink"/>
                  <w:rFonts w:ascii="Times New Roman" w:hAnsi="Times New Roman"/>
                  <w:sz w:val="20"/>
                </w:rPr>
                <w:t>INCORPORATION OF CERTAIN INFORMATION BY REFERENCE</w:t>
              </w:r>
            </w:hyperlink>
          </w:p>
        </w:tc>
        <w:tc>
          <w:tcPr>
            <w:tcW w:w="349" w:type="dxa"/>
            <w:tcBorders/>
            <w:shd w:fill="auto" w:val="clear"/>
            <w:vAlign w:val="bottom"/>
          </w:tcPr>
          <w:p>
            <w:pPr>
              <w:pStyle w:val="TableContents"/>
              <w:spacing w:before="0" w:after="283"/>
              <w:rPr/>
            </w:pPr>
            <w:r>
              <w:rPr/>
              <w:t>  </w:t>
            </w:r>
          </w:p>
        </w:tc>
        <w:tc>
          <w:tcPr>
            <w:tcW w:w="96"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jc w:val="right"/>
              <w:rPr/>
            </w:pPr>
            <w:r>
              <w:rPr/>
              <w:t>18</w:t>
            </w:r>
          </w:p>
        </w:tc>
        <w:tc>
          <w:tcPr>
            <w:tcW w:w="63"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 w:name="toc293656_1"/>
      <w:bookmarkEnd w:id="3"/>
      <w:r>
        <w:rPr>
          <w:rFonts w:ascii="Times New Roman" w:hAnsi="Times New Roman"/>
          <w:b/>
          <w:sz w:val="20"/>
        </w:rPr>
        <w:t xml:space="preserve">ABOUT THIS PROSPECTUS </w:t>
      </w:r>
    </w:p>
    <w:p>
      <w:pPr>
        <w:pStyle w:val="TextBody"/>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U.S. Securities and Exchange Commission (the SEC)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and, to the extent appropriate, any updates to the information about us contained in this prospectus.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headings Where You Can Find More Information and Incorporation of Certain Information by Reference. </w:t>
      </w:r>
    </w:p>
    <w:p>
      <w:pPr>
        <w:pStyle w:val="TextBody"/>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or incorporated by reference in this prospectus, the applicable prospectus supplement and any related free writing prospectus and under similar headings in other documents that are incorporated by reference into this prospectus. Accordingly, investors should not place undue reliance on this information. </w:t>
      </w:r>
    </w:p>
    <w:p>
      <w:pPr>
        <w:pStyle w:val="TextBody"/>
        <w:spacing w:before="240" w:after="0"/>
        <w:jc w:val="left"/>
        <w:rPr>
          <w:rFonts w:ascii="Times New Roman" w:hAnsi="Times New Roman"/>
          <w:sz w:val="20"/>
        </w:rPr>
      </w:pPr>
      <w:r>
        <w:rPr>
          <w:rFonts w:ascii="Times New Roman" w:hAnsi="Times New Roman"/>
          <w:sz w:val="20"/>
        </w:rPr>
        <w:t xml:space="preserve">When we refer to ALX Oncology Holdings, we, our, us and the Company in this prospectus, we mean ALX Oncology Holdings Inc., unless the context indicates otherwise or unless otherwise specified. When we refer to you, we mean the holders of the applicable series of securities.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4" w:name="toc293656_2"/>
      <w:bookmarkEnd w:id="4"/>
      <w:r>
        <w:rPr>
          <w:rFonts w:ascii="Times New Roman" w:hAnsi="Times New Roman"/>
          <w:b/>
          <w:sz w:val="20"/>
        </w:rPr>
        <w:t xml:space="preserve">THE COMPANY </w:t>
      </w:r>
    </w:p>
    <w:p>
      <w:pPr>
        <w:pStyle w:val="TextBody"/>
        <w:spacing w:before="240" w:after="0"/>
        <w:jc w:val="left"/>
        <w:rPr>
          <w:rFonts w:ascii="Times New Roman" w:hAnsi="Times New Roman"/>
          <w:sz w:val="20"/>
        </w:rPr>
      </w:pPr>
      <w:r>
        <w:rPr>
          <w:rFonts w:ascii="Times New Roman" w:hAnsi="Times New Roman"/>
          <w:sz w:val="20"/>
        </w:rPr>
        <w:t xml:space="preserve">We are a clinical-stage immuno-oncology company focused on helping patients fight cancer by developing a pipeline of product candidates based on expertise in protein engineering and oncology led by the CD47 blocker, evorpacept (evorpacept is the recommended United States Adopted Name (USAN); this product is also known as ALX148), currently in phase 1 and 2 clinical trials.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evorpacept will have a wide therapeutic window to block the dont eat me signal on cancer cells, and will leverage the immune activation of broadly used anti-cancer agents through combination strategies. As of March 31, 2022, we had dosed over 200 subjects with evorpacept across a range of hematologic and solid malignancies in combination with a number of leading anti-cancer agents. We plan to initiate additional studies in combination with leading anti-cancer agents. In solid tumors, we are conducting two ongoing randomized Phase 2 trials of evorpacept for the treatment of first-line advanced head and neck squamous cell carcinoma, or HNSCC, with the first subject enrolled in the first trial in May 2021 and the first subject enrolled in the second trial in July 2021. We also initiated a randomized Phase 2/3 trial of evorpacept in combination with trastuzumab, ramucirumab and paclitaxel for the treatment of second line advanced HER2-overexpressing gastric/gastroesophageal junction, or GEJ, cancer and dosed the first patient in March 2022. Our collaborator, Zymeworks, is also conducting an ongoing Phase 1 trial for the treatment of advanced HER2-expressing breast cancer and other solid tumors and enrolled the first subject in October 2021. In hematologic malignancies, we have initiated two Phase 1 trials of evorpacept for the treatment of myelodysplastic syndromes, or MDS, and acute myeloid leukemia, or AML, and are enrolling patients in both trials. Based on our early clinical results to date in multiple oncology indications showing encouraging anti-tumor activity and tolerability and our clinical development plans, our strategy is to pursue evorpacept as a potentially critical component of future oncology combination treatments. Our second program, which is a collaboration between us and Tallac Therapeutics, Inc. (Tallac), combines our companys SIRPα antibodies with Tallacs toll-like receptor 9 (TRL9) agonist antibody conjugate to deliver ALTA-002, a potent immune activator to myeloid cells in the tumor to promote innate and adaptive anti-cancer immune responses. This novel Toll-like receptor agonist antibody conjugation platform (TRAAC) enables systemic delivery of targeted TLR9 activation. An IND for ALTA-002 is planned for 2023. Additionally, with our acquisition of ScalmiBio, Inc. (ScalmiBio) in the fourth quarter of 2021, we seek to expand our pipeline of drug candidates to antibody drug conjugates based on expertise in protein engineering and oncology. </w:t>
      </w:r>
    </w:p>
    <w:p>
      <w:pPr>
        <w:pStyle w:val="TextBody"/>
        <w:spacing w:before="240" w:after="0"/>
        <w:jc w:val="left"/>
        <w:rPr>
          <w:rFonts w:ascii="Times New Roman" w:hAnsi="Times New Roman"/>
          <w:sz w:val="20"/>
        </w:rPr>
      </w:pPr>
      <w:r>
        <w:rPr>
          <w:rFonts w:ascii="Times New Roman" w:hAnsi="Times New Roman"/>
          <w:sz w:val="20"/>
        </w:rPr>
        <w:t xml:space="preserve">Our office is located at 323 Allerton Avenue, South San Francisco, CA 94080. Our telephone number is 650-466-7125. Our website address is https://www.alxoncology.com. Information contained on, or that can be accessed through, our website is not incorporated by reference into this prospectus and should not be considered to be part of this 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5" w:name="toc293656_3"/>
      <w:bookmarkEnd w:id="5"/>
      <w:r>
        <w:rPr>
          <w:rFonts w:ascii="Times New Roman" w:hAnsi="Times New Roman"/>
          <w:b/>
          <w:sz w:val="20"/>
        </w:rPr>
        <w:t xml:space="preserve">RISK FACTORS </w:t>
      </w:r>
    </w:p>
    <w:p>
      <w:pPr>
        <w:pStyle w:val="TextBody"/>
        <w:spacing w:before="240" w:after="0"/>
        <w:jc w:val="left"/>
        <w:rPr>
          <w:rFonts w:ascii="Times New Roman" w:hAnsi="Times New Roman"/>
          <w:sz w:val="20"/>
        </w:rPr>
      </w:pPr>
      <w:r>
        <w:rPr>
          <w:rFonts w:ascii="Times New Roman" w:hAnsi="Times New Roman"/>
          <w:sz w:val="20"/>
        </w:rPr>
        <w:t xml:space="preserve">Investing in our securities involves a high degree of risk. Before making a decision to invest in our securities, in addition to carefully considering the other information contained in this prospectus, in any accompanying prospectus supplement and incorporated by reference herein or therein, you should carefully consider the risks described under the caption Risk Factors contained in the applicable prospectus supplement, and any related free writing prospectus, and the risks discussed under the caption Risk Factors contained in our most recent Annual Report on Form 10-K and our most recently Quarterly Report on Form 10-Q, as well as any amendments thereto, which are incorporated by reference into this prospectus in their entirety, together with other information in this prospectus, the documents incorporated by reference, and any free writing prospectus that we may authorize for use in connection with a specific offering. See Where You Can Find More Information and Incorporation of Certain Information by Reference.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 w:name="toc293656_4"/>
      <w:bookmarkEnd w:id="6"/>
      <w:r>
        <w:rPr>
          <w:rFonts w:ascii="Times New Roman" w:hAnsi="Times New Roman"/>
          <w:b/>
          <w:sz w:val="20"/>
        </w:rPr>
        <w:t xml:space="preserve">SPECIAL NOTE REGARDING FORWARD-LOOKING STATEMENTS </w:t>
      </w:r>
    </w:p>
    <w:p>
      <w:pPr>
        <w:pStyle w:val="TextBody"/>
        <w:spacing w:before="240" w:after="0"/>
        <w:jc w:val="left"/>
        <w:rPr>
          <w:rFonts w:ascii="Times New Roman" w:hAnsi="Times New Roman"/>
          <w:sz w:val="20"/>
        </w:rPr>
      </w:pPr>
      <w:r>
        <w:rPr>
          <w:rFonts w:ascii="Times New Roman" w:hAnsi="Times New Roman"/>
          <w:sz w:val="20"/>
        </w:rPr>
        <w:t xml:space="preserve">This prospectus, each prospectus supplement and the information incorporated by reference in this prospectus and each prospectus supplement contain forward-looking statements. All statements other than statements of historical facts contained in this prospectus,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 </w:t>
      </w:r>
    </w:p>
    <w:p>
      <w:pPr>
        <w:pStyle w:val="TextBody"/>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include, but are not limited to, statements about: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sufficiency of our existing cash to fund our future operating expenses and capital expenditure requirements;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accuracy of our estimates regarding expenses, future revenue, capital requirements, and needs for additional financing;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plans relating to commercializing our product candidates, if approved, including the geographic areas of focus and our ability to grow a sales team;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implementation of our strategic plans for our business and product candidates;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reliance on third parties to conduct preclinical research activities, and for the manufacture of our product candidates;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beneficial characteristics, safety, efficacy and therapeutic effects of our product candidates;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progress and focus of our current and future clinical trials, and the reporting of data from those trials;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advance product candidates into and successfully complete clinical trials;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ability of our clinical trials to demonstrate the safety and efficacy of our product candidates, and other positive results;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success of competing therapies that are or may become available;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developments relating to our competitors and our industry, including competing product candidates and therapies;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plans relating to the further development and manufacturing of our product candidates, including additional indications that we may pursue;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existing regulations and regulatory developments in the United States and other jurisdictions;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potential and ability to successfully manufacture and supply our product candidates for clinical trials and for commercial use, if approved;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continued reliance on third parties to conduct additional clinical trials of our product candidates, and for the manufacture of our product candidates;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plans and ability to obtain or protect intellectual property rights, including extensions of existing patent terms where available;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scope of protection we are able to establish and maintain for intellectual property rights, including our technology platform and product candidates;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retain the continued service of our key personnel and to identify, hire, and then retain additional qualified personnel;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expectations regarding the impact of the ongoing COVID-19 pandemic or geopolitical risks on our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plans for and prospects of our acquisitions and other business development activities, and our ability to successfully capitalize on these opportunities;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and our anticipated use of our existing cash, cash equivalents and investments. </w:t>
            </w:r>
          </w:p>
        </w:tc>
      </w:tr>
    </w:tbl>
    <w:p>
      <w:pPr>
        <w:pStyle w:val="TextBody"/>
        <w:spacing w:before="240" w:after="0"/>
        <w:jc w:val="left"/>
        <w:rPr>
          <w:rFonts w:ascii="Times New Roman" w:hAnsi="Times New Roman"/>
          <w:sz w:val="20"/>
        </w:rPr>
      </w:pPr>
      <w:r>
        <w:rPr>
          <w:rFonts w:ascii="Times New Roman" w:hAnsi="Times New Roman"/>
          <w:sz w:val="20"/>
        </w:rPr>
        <w:t xml:space="preserve">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 </w:t>
      </w:r>
    </w:p>
    <w:p>
      <w:pPr>
        <w:pStyle w:val="TextBody"/>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7" w:name="toc293656_5"/>
      <w:bookmarkEnd w:id="7"/>
      <w:r>
        <w:rPr>
          <w:rFonts w:ascii="Times New Roman" w:hAnsi="Times New Roman"/>
          <w:b/>
          <w:sz w:val="20"/>
        </w:rPr>
        <w:t xml:space="preserve">USE OF PROCEEDS </w:t>
      </w:r>
    </w:p>
    <w:p>
      <w:pPr>
        <w:pStyle w:val="TextBody"/>
        <w:spacing w:before="240" w:after="0"/>
        <w:jc w:val="left"/>
        <w:rPr>
          <w:rFonts w:ascii="Times New Roman" w:hAnsi="Times New Roman"/>
          <w:sz w:val="20"/>
        </w:rPr>
      </w:pPr>
      <w:r>
        <w:rPr>
          <w:rFonts w:ascii="Times New Roman" w:hAnsi="Times New Roman"/>
          <w:sz w:val="20"/>
        </w:rPr>
        <w:t xml:space="preserve">We intend to use the net proceeds from the sale of the securities as set forth in the applicable prospectus supplement.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 w:name="toc293656_6"/>
      <w:bookmarkEnd w:id="8"/>
      <w:r>
        <w:rPr>
          <w:rFonts w:ascii="Times New Roman" w:hAnsi="Times New Roman"/>
          <w:b/>
          <w:sz w:val="20"/>
        </w:rPr>
        <w:t xml:space="preserve">DESCRIPTION OF SECURITIES </w:t>
      </w:r>
    </w:p>
    <w:p>
      <w:pPr>
        <w:pStyle w:val="TextBody"/>
        <w:spacing w:before="240" w:after="0"/>
        <w:jc w:val="left"/>
        <w:rPr>
          <w:rFonts w:ascii="Times New Roman" w:hAnsi="Times New Roman"/>
          <w:sz w:val="20"/>
        </w:rPr>
      </w:pPr>
      <w:r>
        <w:rPr>
          <w:rFonts w:ascii="Times New Roman" w:hAnsi="Times New Roman"/>
          <w:sz w:val="20"/>
        </w:rPr>
        <w:t xml:space="preserve">We may issue from time to time, in one or more offerings, the following securities: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shares of common stock, par value $0.001 per share, of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shares of preferred stock, par value $0.001 per share, of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warrants to purchase shares of our common stock or preferred stock or other securities from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purchase contracts;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units representing two or more of the foregoing securities. </w:t>
            </w:r>
          </w:p>
        </w:tc>
      </w:tr>
    </w:tbl>
    <w:p>
      <w:pPr>
        <w:pStyle w:val="TextBody"/>
        <w:spacing w:before="240" w:after="0"/>
        <w:jc w:val="left"/>
        <w:rPr>
          <w:rFonts w:ascii="Times New Roman" w:hAnsi="Times New Roman"/>
          <w:sz w:val="20"/>
        </w:rPr>
      </w:pPr>
      <w:r>
        <w:rPr>
          <w:rFonts w:ascii="Times New Roman" w:hAnsi="Times New Roman"/>
          <w:sz w:val="20"/>
        </w:rPr>
        <w:t xml:space="preserve">We will set forth in the applicable prospectus supplement and/or free writing prospectus a description of any warrants, purchase contracts or units issued by us that may be offered or sold pursuant to this prospectus. The terms of the offering of securities, the initial offering price and the net proceeds to us will be contained in the prospectus supplement, and other offering material, relating to such offer.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 w:name="toc293656_7"/>
      <w:bookmarkEnd w:id="9"/>
      <w:r>
        <w:rPr>
          <w:rFonts w:ascii="Times New Roman" w:hAnsi="Times New Roman"/>
          <w:b/>
          <w:sz w:val="20"/>
        </w:rPr>
        <w:t xml:space="preserve">DESCRIPTION OF CAPITAL STOCK </w:t>
      </w:r>
    </w:p>
    <w:p>
      <w:pPr>
        <w:pStyle w:val="TextBody"/>
        <w:spacing w:before="240" w:after="0"/>
        <w:jc w:val="left"/>
        <w:rPr>
          <w:rFonts w:ascii="Times New Roman" w:hAnsi="Times New Roman"/>
          <w:sz w:val="20"/>
        </w:rPr>
      </w:pPr>
      <w:r>
        <w:rPr>
          <w:rFonts w:ascii="Times New Roman" w:hAnsi="Times New Roman"/>
          <w:sz w:val="20"/>
        </w:rPr>
        <w:t xml:space="preserve">The following descriptions of our capital stock and certain provisions of our amended and restated certificate of incorporation and amended and restated bylaws are summaries and are qualified by reference to our amended and restated certificate of incorporation and the amended and restated bylaws, copies of which are filed with the SEC as exhibits to our registration statement, of which this prospectus forms a part. </w:t>
      </w:r>
    </w:p>
    <w:p>
      <w:pPr>
        <w:pStyle w:val="TextBody"/>
        <w:spacing w:before="360" w:after="0"/>
        <w:jc w:val="left"/>
        <w:rPr>
          <w:rFonts w:ascii="Times New Roman" w:hAnsi="Times New Roman"/>
          <w:b/>
          <w:sz w:val="20"/>
        </w:rPr>
      </w:pPr>
      <w:r>
        <w:rPr>
          <w:rFonts w:ascii="Times New Roman" w:hAnsi="Times New Roman"/>
          <w:b/>
          <w:sz w:val="20"/>
        </w:rPr>
        <w:t xml:space="preserve">General </w:t>
      </w:r>
    </w:p>
    <w:p>
      <w:pPr>
        <w:pStyle w:val="TextBody"/>
        <w:spacing w:before="120" w:after="0"/>
        <w:jc w:val="left"/>
        <w:rPr>
          <w:rFonts w:ascii="Times New Roman" w:hAnsi="Times New Roman"/>
          <w:sz w:val="20"/>
        </w:rPr>
      </w:pPr>
      <w:r>
        <w:rPr>
          <w:rFonts w:ascii="Times New Roman" w:hAnsi="Times New Roman"/>
          <w:sz w:val="20"/>
        </w:rPr>
        <w:t xml:space="preserve">Our amended and restated certificate of incorporation authorizes preferred stock and common stock. Our authorized capital stock consists of 1,100,000,000 shares, $0.001 par value per share, of which: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1,000,000,000 shares are designated as voting common stock;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100,000,000 shares are designated as preferred stock. </w:t>
            </w:r>
          </w:p>
        </w:tc>
      </w:tr>
    </w:tbl>
    <w:p>
      <w:pPr>
        <w:pStyle w:val="TextBody"/>
        <w:spacing w:before="360" w:after="0"/>
        <w:jc w:val="left"/>
        <w:rPr>
          <w:rFonts w:ascii="Times New Roman" w:hAnsi="Times New Roman"/>
          <w:b/>
          <w:sz w:val="20"/>
        </w:rPr>
      </w:pPr>
      <w:r>
        <w:rPr>
          <w:rFonts w:ascii="Times New Roman" w:hAnsi="Times New Roman"/>
          <w:b/>
          <w:sz w:val="20"/>
        </w:rPr>
        <w:t xml:space="preserve">Common Stock </w:t>
      </w:r>
    </w:p>
    <w:p>
      <w:pPr>
        <w:pStyle w:val="TextBody"/>
        <w:spacing w:before="120" w:after="0"/>
        <w:jc w:val="left"/>
        <w:rPr>
          <w:rFonts w:ascii="Times New Roman" w:hAnsi="Times New Roman"/>
          <w:sz w:val="20"/>
        </w:rPr>
      </w:pPr>
      <w:r>
        <w:rPr>
          <w:rFonts w:ascii="Times New Roman" w:hAnsi="Times New Roman"/>
          <w:sz w:val="20"/>
        </w:rPr>
        <w:t xml:space="preserve">Subject to preferences that may be applicable to any then outstanding preferred stock, holders of our common stock are entitled to receive ratably those dividends, if any, as may be declared by the board of directors out of legally available funds. In the event of our liquidation, dissolution or winding up, the holders of our common stock will be entitled to share ratably in the assets legally available for distribution to stockholders after the payment of or provision for all of our debts and other liabilities, subject to the prior rights of any preferred stock then outstanding. Holders of our common stock have no preemptive rights or other subscription rights and there are no redemption or sinking funds provisions applicable to our common stock. All outstanding shares of our common stock are duly authorized, validly issued, fully paid and nonassessable. The rights, preferences and privileges of holders of our common stock are subject to and may be adversely affected by the rights of the holders of shares of any series of preferred stock that we may designate and issue in the future. </w:t>
      </w:r>
    </w:p>
    <w:p>
      <w:pPr>
        <w:pStyle w:val="TextBody"/>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spacing w:before="120" w:after="0"/>
        <w:jc w:val="left"/>
        <w:rPr>
          <w:rFonts w:ascii="Times New Roman" w:hAnsi="Times New Roman"/>
          <w:sz w:val="20"/>
        </w:rPr>
      </w:pPr>
      <w:r>
        <w:rPr>
          <w:rFonts w:ascii="Times New Roman" w:hAnsi="Times New Roman"/>
          <w:sz w:val="20"/>
        </w:rPr>
        <w:t xml:space="preserve">Each holder of common stock is entitled to one vote for each share on all matters submitted to a vote of the stockholders, including the election of directors. Our amended and restated certificate of incorporation and amended and restated bylaws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 </w:t>
      </w:r>
    </w:p>
    <w:p>
      <w:pPr>
        <w:pStyle w:val="TextBody"/>
        <w:spacing w:before="360" w:after="0"/>
        <w:jc w:val="left"/>
        <w:rPr>
          <w:rFonts w:ascii="Times New Roman" w:hAnsi="Times New Roman"/>
          <w:b/>
          <w:i/>
          <w:sz w:val="20"/>
        </w:rPr>
      </w:pPr>
      <w:r>
        <w:rPr>
          <w:rFonts w:ascii="Times New Roman" w:hAnsi="Times New Roman"/>
          <w:b/>
          <w:i/>
          <w:sz w:val="20"/>
        </w:rPr>
        <w:t xml:space="preserve">Dividends </w:t>
      </w:r>
    </w:p>
    <w:p>
      <w:pPr>
        <w:pStyle w:val="TextBody"/>
        <w:spacing w:before="120" w:after="0"/>
        <w:jc w:val="left"/>
        <w:rPr>
          <w:rFonts w:ascii="Times New Roman" w:hAnsi="Times New Roman"/>
          <w:sz w:val="20"/>
        </w:rPr>
      </w:pPr>
      <w:r>
        <w:rPr>
          <w:rFonts w:ascii="Times New Roman" w:hAnsi="Times New Roman"/>
          <w:sz w:val="20"/>
        </w:rPr>
        <w:t xml:space="preserve">Subject to preferences that may be applicable to any then-outstanding shares of convertible preferred stock, holders of our common stock are entitled to receive dividends, if any, as may be declared from time to time by our board of directors out of legally available funds. </w:t>
      </w:r>
    </w:p>
    <w:p>
      <w:pPr>
        <w:pStyle w:val="TextBody"/>
        <w:spacing w:before="360" w:after="0"/>
        <w:jc w:val="left"/>
        <w:rPr>
          <w:rFonts w:ascii="Times New Roman" w:hAnsi="Times New Roman"/>
          <w:b/>
          <w:i/>
          <w:sz w:val="20"/>
        </w:rPr>
      </w:pPr>
      <w:r>
        <w:rPr>
          <w:rFonts w:ascii="Times New Roman" w:hAnsi="Times New Roman"/>
          <w:b/>
          <w:i/>
          <w:sz w:val="20"/>
        </w:rPr>
        <w:t xml:space="preserve">Liquidation </w:t>
      </w:r>
    </w:p>
    <w:p>
      <w:pPr>
        <w:pStyle w:val="TextBody"/>
        <w:spacing w:before="120" w:after="0"/>
        <w:jc w:val="left"/>
        <w:rPr>
          <w:rFonts w:ascii="Times New Roman" w:hAnsi="Times New Roman"/>
          <w:sz w:val="20"/>
        </w:rPr>
      </w:pPr>
      <w:r>
        <w:rPr>
          <w:rFonts w:ascii="Times New Roman" w:hAnsi="Times New Roman"/>
          <w:sz w:val="20"/>
        </w:rPr>
        <w:t xml:space="preserve">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convertible preferred stock.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Rights and Preferences </w:t>
      </w:r>
    </w:p>
    <w:p>
      <w:pPr>
        <w:pStyle w:val="TextBody"/>
        <w:spacing w:before="120" w:after="0"/>
        <w:jc w:val="left"/>
        <w:rPr>
          <w:rFonts w:ascii="Times New Roman" w:hAnsi="Times New Roman"/>
          <w:sz w:val="20"/>
        </w:rPr>
      </w:pPr>
      <w:r>
        <w:rPr>
          <w:rFonts w:ascii="Times New Roman" w:hAnsi="Times New Roman"/>
          <w:sz w:val="20"/>
        </w:rPr>
        <w:t xml:space="preserve">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convertible preferred stock that we may designate in the future. </w:t>
      </w:r>
    </w:p>
    <w:p>
      <w:pPr>
        <w:pStyle w:val="TextBody"/>
        <w:spacing w:before="360" w:after="0"/>
        <w:jc w:val="left"/>
        <w:rPr>
          <w:rFonts w:ascii="Times New Roman" w:hAnsi="Times New Roman"/>
          <w:b/>
          <w:i/>
          <w:sz w:val="20"/>
        </w:rPr>
      </w:pPr>
      <w:r>
        <w:rPr>
          <w:rFonts w:ascii="Times New Roman" w:hAnsi="Times New Roman"/>
          <w:b/>
          <w:i/>
          <w:sz w:val="20"/>
        </w:rPr>
        <w:t xml:space="preserve">Fully Paid and Nonassessable </w:t>
      </w:r>
    </w:p>
    <w:p>
      <w:pPr>
        <w:pStyle w:val="TextBody"/>
        <w:spacing w:before="120" w:after="0"/>
        <w:jc w:val="left"/>
        <w:rPr>
          <w:rFonts w:ascii="Times New Roman" w:hAnsi="Times New Roman"/>
          <w:sz w:val="20"/>
        </w:rPr>
      </w:pPr>
      <w:r>
        <w:rPr>
          <w:rFonts w:ascii="Times New Roman" w:hAnsi="Times New Roman"/>
          <w:sz w:val="20"/>
        </w:rPr>
        <w:t xml:space="preserve">All of our outstanding shares of common stock are fully paid and nonassessable. </w:t>
      </w:r>
    </w:p>
    <w:p>
      <w:pPr>
        <w:pStyle w:val="TextBody"/>
        <w:spacing w:before="360" w:after="0"/>
        <w:jc w:val="left"/>
        <w:rPr>
          <w:rFonts w:ascii="Times New Roman" w:hAnsi="Times New Roman"/>
          <w:b/>
          <w:sz w:val="20"/>
        </w:rPr>
      </w:pPr>
      <w:r>
        <w:rPr>
          <w:rFonts w:ascii="Times New Roman" w:hAnsi="Times New Roman"/>
          <w:b/>
          <w:sz w:val="20"/>
        </w:rPr>
        <w:t xml:space="preserve">Preferred Stock </w:t>
      </w:r>
    </w:p>
    <w:p>
      <w:pPr>
        <w:pStyle w:val="TextBody"/>
        <w:spacing w:before="120" w:after="0"/>
        <w:jc w:val="left"/>
        <w:rPr>
          <w:rFonts w:ascii="Times New Roman" w:hAnsi="Times New Roman"/>
          <w:sz w:val="20"/>
        </w:rPr>
      </w:pPr>
      <w:r>
        <w:rPr>
          <w:rFonts w:ascii="Times New Roman" w:hAnsi="Times New Roman"/>
          <w:sz w:val="20"/>
        </w:rPr>
        <w:t xml:space="preserve">Our board of directors has the authority, without further action by the stockholders, to issue up to 100,000,000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We have no present plan to issue any shares of preferred stock. </w:t>
      </w:r>
    </w:p>
    <w:p>
      <w:pPr>
        <w:pStyle w:val="TextBody"/>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spacing w:before="120" w:after="0"/>
        <w:jc w:val="left"/>
        <w:rPr>
          <w:rFonts w:ascii="Times New Roman" w:hAnsi="Times New Roman"/>
          <w:sz w:val="20"/>
        </w:rPr>
      </w:pPr>
      <w:r>
        <w:rPr>
          <w:rFonts w:ascii="Times New Roman" w:hAnsi="Times New Roman"/>
          <w:sz w:val="20"/>
        </w:rPr>
        <w:t xml:space="preserve">We are party to that certain Amended and Restated Investors Rights Agreement dated April 1, 2020, that provides that certain holders of our common stock have certain registration rights as set forth below. The registration of shares of our common stock by the exercise of registration rights described below would enable the holders to sell these shares without restriction under the Securities Act when the applicable registration statement is declared effective. Generally, in an underwritten offering, the managing underwriter, if any, has the right, subject to specified conditions, to limit the number of shares such holders may include. </w:t>
      </w:r>
    </w:p>
    <w:p>
      <w:pPr>
        <w:pStyle w:val="TextBody"/>
        <w:spacing w:before="360" w:after="0"/>
        <w:jc w:val="left"/>
        <w:rPr>
          <w:rFonts w:ascii="Times New Roman" w:hAnsi="Times New Roman"/>
          <w:b/>
          <w:i/>
          <w:sz w:val="20"/>
        </w:rPr>
      </w:pPr>
      <w:r>
        <w:rPr>
          <w:rFonts w:ascii="Times New Roman" w:hAnsi="Times New Roman"/>
          <w:b/>
          <w:i/>
          <w:sz w:val="20"/>
        </w:rPr>
        <w:t xml:space="preserve">Demand Registration Rights </w:t>
      </w:r>
    </w:p>
    <w:p>
      <w:pPr>
        <w:pStyle w:val="TextBody"/>
        <w:spacing w:before="120" w:after="0"/>
        <w:jc w:val="left"/>
        <w:rPr>
          <w:rFonts w:ascii="Times New Roman" w:hAnsi="Times New Roman"/>
          <w:sz w:val="20"/>
        </w:rPr>
      </w:pPr>
      <w:r>
        <w:rPr>
          <w:rFonts w:ascii="Times New Roman" w:hAnsi="Times New Roman"/>
          <w:sz w:val="20"/>
        </w:rPr>
        <w:t xml:space="preserve">Certain holders of our common stock are entitled to certain demand registration rights. At any time beginning 180 days after the effective date of our initial public offering and before the three-year anniversary of the date of the investors rights agreement, the holders of at least 50% of the shares in the aggregate may request that we file a registration statement to register all or a portion of their shares. Such request for registration must cover at least 40% of the shares or shares with an anticipated aggregate public offering price, net of underwriting discounts and expenses, of at least $15.0 million. </w:t>
      </w:r>
    </w:p>
    <w:p>
      <w:pPr>
        <w:pStyle w:val="TextBody"/>
        <w:spacing w:before="360" w:after="0"/>
        <w:jc w:val="left"/>
        <w:rPr>
          <w:rFonts w:ascii="Times New Roman" w:hAnsi="Times New Roman"/>
          <w:b/>
          <w:i/>
          <w:sz w:val="20"/>
        </w:rPr>
      </w:pPr>
      <w:r>
        <w:rPr>
          <w:rFonts w:ascii="Times New Roman" w:hAnsi="Times New Roman"/>
          <w:b/>
          <w:i/>
          <w:sz w:val="20"/>
        </w:rPr>
        <w:t xml:space="preserve">S-3 Registration Rights </w:t>
      </w:r>
    </w:p>
    <w:p>
      <w:pPr>
        <w:pStyle w:val="TextBody"/>
        <w:spacing w:before="120" w:after="0"/>
        <w:jc w:val="left"/>
        <w:rPr>
          <w:rFonts w:ascii="Times New Roman" w:hAnsi="Times New Roman"/>
          <w:sz w:val="20"/>
        </w:rPr>
      </w:pPr>
      <w:r>
        <w:rPr>
          <w:rFonts w:ascii="Times New Roman" w:hAnsi="Times New Roman"/>
          <w:sz w:val="20"/>
        </w:rPr>
        <w:t xml:space="preserve">Certain holders of our common stock are entitled to certain Form S-3 registration rights. At any time when we are eligible to file a registration statement on Form S-3, the holders of at least 10% of these shares can make a request that we register their shares on Form S-3 if such request covers shares with an anticipated aggregate public offering price, net of underwriting discounts and expenses, of at least $1.0 million. </w:t>
      </w:r>
    </w:p>
    <w:p>
      <w:pPr>
        <w:pStyle w:val="TextBody"/>
        <w:spacing w:before="360" w:after="0"/>
        <w:jc w:val="left"/>
        <w:rPr>
          <w:rFonts w:ascii="Times New Roman" w:hAnsi="Times New Roman"/>
          <w:b/>
          <w:i/>
          <w:sz w:val="20"/>
        </w:rPr>
      </w:pPr>
      <w:r>
        <w:rPr>
          <w:rFonts w:ascii="Times New Roman" w:hAnsi="Times New Roman"/>
          <w:b/>
          <w:i/>
          <w:sz w:val="20"/>
        </w:rPr>
        <w:t xml:space="preserve">Piggyback Registration Rights </w:t>
      </w:r>
    </w:p>
    <w:p>
      <w:pPr>
        <w:pStyle w:val="TextBody"/>
        <w:spacing w:before="120" w:after="0"/>
        <w:jc w:val="left"/>
        <w:rPr>
          <w:rFonts w:ascii="Times New Roman" w:hAnsi="Times New Roman"/>
          <w:sz w:val="20"/>
        </w:rPr>
      </w:pPr>
      <w:r>
        <w:rPr>
          <w:rFonts w:ascii="Times New Roman" w:hAnsi="Times New Roman"/>
          <w:sz w:val="20"/>
        </w:rPr>
        <w:t xml:space="preserve">In connection with this offering, certain holders of our common stock were entitled to, and the necessary percentage of holders waived, their rights to notice of this offering and to include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the holders of these shares are entitled to notice of the registration and have the right to include their shares in the registration, subject to limitations that the underwriters may impose on the number of shares included in the offering. </w:t>
      </w:r>
    </w:p>
    <w:p>
      <w:pPr>
        <w:pStyle w:val="TextBody"/>
        <w:spacing w:before="360" w:after="0"/>
        <w:jc w:val="left"/>
        <w:rPr>
          <w:rFonts w:ascii="Times New Roman" w:hAnsi="Times New Roman"/>
          <w:b/>
          <w:i/>
          <w:sz w:val="20"/>
        </w:rPr>
      </w:pPr>
      <w:r>
        <w:rPr>
          <w:rFonts w:ascii="Times New Roman" w:hAnsi="Times New Roman"/>
          <w:b/>
          <w:i/>
          <w:sz w:val="20"/>
        </w:rPr>
        <w:t xml:space="preserve">Indemnification </w:t>
      </w:r>
    </w:p>
    <w:p>
      <w:pPr>
        <w:pStyle w:val="TextBody"/>
        <w:spacing w:before="120" w:after="0"/>
        <w:jc w:val="left"/>
        <w:rPr>
          <w:rFonts w:ascii="Times New Roman" w:hAnsi="Times New Roman"/>
          <w:sz w:val="20"/>
        </w:rPr>
      </w:pPr>
      <w:r>
        <w:rPr>
          <w:rFonts w:ascii="Times New Roman" w:hAnsi="Times New Roman"/>
          <w:sz w:val="20"/>
        </w:rPr>
        <w:t xml:space="preserve">Our amended and restated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 </w:t>
      </w:r>
    </w:p>
    <w:p>
      <w:pPr>
        <w:pStyle w:val="TextBody"/>
        <w:spacing w:before="360" w:after="0"/>
        <w:jc w:val="left"/>
        <w:rPr>
          <w:rFonts w:ascii="Times New Roman" w:hAnsi="Times New Roman"/>
          <w:b/>
          <w:i/>
          <w:sz w:val="20"/>
        </w:rPr>
      </w:pPr>
      <w:r>
        <w:rPr>
          <w:rFonts w:ascii="Times New Roman" w:hAnsi="Times New Roman"/>
          <w:b/>
          <w:i/>
          <w:sz w:val="20"/>
        </w:rPr>
        <w:t xml:space="preserve">Expenses of Registration </w:t>
      </w:r>
    </w:p>
    <w:p>
      <w:pPr>
        <w:pStyle w:val="TextBody"/>
        <w:spacing w:before="120" w:after="0"/>
        <w:jc w:val="left"/>
        <w:rPr>
          <w:rFonts w:ascii="Times New Roman" w:hAnsi="Times New Roman"/>
          <w:sz w:val="20"/>
        </w:rPr>
      </w:pPr>
      <w:r>
        <w:rPr>
          <w:rFonts w:ascii="Times New Roman" w:hAnsi="Times New Roman"/>
          <w:sz w:val="20"/>
        </w:rPr>
        <w:t xml:space="preserve">We will pay the registration expenses, other than underwriting discounts and commissions, of the shares registered by the demand, Form S-3 and piggyback registrations described above. </w:t>
      </w:r>
    </w:p>
    <w:p>
      <w:pPr>
        <w:pStyle w:val="TextBody"/>
        <w:spacing w:before="360" w:after="0"/>
        <w:jc w:val="left"/>
        <w:rPr>
          <w:rFonts w:ascii="Times New Roman" w:hAnsi="Times New Roman"/>
          <w:b/>
          <w:i/>
          <w:sz w:val="20"/>
        </w:rPr>
      </w:pPr>
      <w:r>
        <w:rPr>
          <w:rFonts w:ascii="Times New Roman" w:hAnsi="Times New Roman"/>
          <w:b/>
          <w:i/>
          <w:sz w:val="20"/>
        </w:rPr>
        <w:t xml:space="preserve">Termination of Registration Rights </w:t>
      </w:r>
    </w:p>
    <w:p>
      <w:pPr>
        <w:pStyle w:val="TextBody"/>
        <w:spacing w:before="120" w:after="0"/>
        <w:jc w:val="left"/>
        <w:rPr>
          <w:rFonts w:ascii="Times New Roman" w:hAnsi="Times New Roman"/>
          <w:sz w:val="20"/>
        </w:rPr>
      </w:pPr>
      <w:r>
        <w:rPr>
          <w:rFonts w:ascii="Times New Roman" w:hAnsi="Times New Roman"/>
          <w:sz w:val="20"/>
        </w:rPr>
        <w:t xml:space="preserve">The demand, Form S-3 and piggyback registration described above will expire upon the earliest of (1) the fifth anniversary after the closing of our initial public offering, (2) a deemed liquidation event (as defined in our amended and restated certificate of incorporation, in effect prior to the completion of our initial public offering) and (3) such time after the completion of our initial public offering that such stockholder can sell all of its shares entitled to registration rights under Rule 144 of the Securities Act. </w:t>
      </w:r>
    </w:p>
    <w:p>
      <w:pPr>
        <w:pStyle w:val="TextBody"/>
        <w:spacing w:before="360" w:after="0"/>
        <w:jc w:val="left"/>
        <w:rPr>
          <w:rFonts w:ascii="Times New Roman" w:hAnsi="Times New Roman"/>
          <w:b/>
          <w:sz w:val="20"/>
        </w:rPr>
      </w:pPr>
      <w:r>
        <w:rPr>
          <w:rFonts w:ascii="Times New Roman" w:hAnsi="Times New Roman"/>
          <w:b/>
          <w:sz w:val="20"/>
        </w:rPr>
        <w:t xml:space="preserve">Anti-Takeover Effects of Certain Provisions of Delaware Law, Our Amended and Restated Certificate of Incorporation and Our Amended and Restated Bylaws </w:t>
      </w:r>
    </w:p>
    <w:p>
      <w:pPr>
        <w:pStyle w:val="TextBody"/>
        <w:spacing w:before="120" w:after="0"/>
        <w:jc w:val="left"/>
        <w:rPr>
          <w:rFonts w:ascii="Times New Roman" w:hAnsi="Times New Roman"/>
          <w:sz w:val="20"/>
        </w:rPr>
      </w:pPr>
      <w:r>
        <w:rPr>
          <w:rFonts w:ascii="Times New Roman" w:hAnsi="Times New Roman"/>
          <w:sz w:val="20"/>
        </w:rPr>
        <w:t xml:space="preserve">Certain provisions of Delaware law and certain provisions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 </w:t>
      </w:r>
    </w:p>
    <w:p>
      <w:pPr>
        <w:pStyle w:val="TextBody"/>
        <w:spacing w:before="360" w:after="0"/>
        <w:jc w:val="left"/>
        <w:rPr>
          <w:rFonts w:ascii="Times New Roman" w:hAnsi="Times New Roman"/>
          <w:b/>
          <w:i/>
          <w:sz w:val="20"/>
        </w:rPr>
      </w:pPr>
      <w:r>
        <w:rPr>
          <w:rFonts w:ascii="Times New Roman" w:hAnsi="Times New Roman"/>
          <w:b/>
          <w:i/>
          <w:sz w:val="20"/>
        </w:rPr>
        <w:t xml:space="preserve">Preferred Stock </w:t>
      </w:r>
    </w:p>
    <w:p>
      <w:pPr>
        <w:pStyle w:val="TextBody"/>
        <w:spacing w:before="120" w:after="0"/>
        <w:jc w:val="left"/>
        <w:rPr>
          <w:rFonts w:ascii="Times New Roman" w:hAnsi="Times New Roman"/>
          <w:sz w:val="20"/>
        </w:rPr>
      </w:pPr>
      <w:r>
        <w:rPr>
          <w:rFonts w:ascii="Times New Roman" w:hAnsi="Times New Roman"/>
          <w:sz w:val="20"/>
        </w:rPr>
        <w:t xml:space="preserve">Our amended and restated certificate of incorporation contains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 </w:t>
      </w:r>
    </w:p>
    <w:p>
      <w:pPr>
        <w:pStyle w:val="TextBody"/>
        <w:spacing w:before="360" w:after="0"/>
        <w:jc w:val="left"/>
        <w:rPr>
          <w:rFonts w:ascii="Times New Roman" w:hAnsi="Times New Roman"/>
          <w:b/>
          <w:i/>
          <w:sz w:val="20"/>
        </w:rPr>
      </w:pPr>
      <w:r>
        <w:rPr>
          <w:rFonts w:ascii="Times New Roman" w:hAnsi="Times New Roman"/>
          <w:b/>
          <w:i/>
          <w:sz w:val="20"/>
        </w:rPr>
        <w:t xml:space="preserve">Classified Board </w:t>
      </w:r>
    </w:p>
    <w:p>
      <w:pPr>
        <w:pStyle w:val="TextBody"/>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our board of directors is divided into three classes, designated Class I, Class II and Class III. The current board of directors consists of seven members, divided into three classes with staggered three-year terms. The term of initial Class I directors terminated on the date of the 2021 annual meeting. At the 2021 annual meeting, Corey Goodman, Ph.D., Jason Lettmann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Sophia Randolph, M.D., Ph.D., were nominated and elected to serve as Class I directors for a three-year term until the 2024 annual meeting of stockholders or until their successors are duly elected and qualified. The term of the initial Class II directors shall terminate on the date of the 2022 annual meeting, and the term of the initial Class III directors shall terminate on the date of the 2023 annual meeting. At each subsequent annual meeting of stockholders, successors to the class of directors whose term expires at that annual meeting will be elected for a three-year term. </w:t>
      </w:r>
    </w:p>
    <w:p>
      <w:pPr>
        <w:pStyle w:val="TextBody"/>
        <w:spacing w:before="360" w:after="0"/>
        <w:jc w:val="left"/>
        <w:rPr>
          <w:rFonts w:ascii="Times New Roman" w:hAnsi="Times New Roman"/>
          <w:b/>
          <w:i/>
          <w:sz w:val="20"/>
        </w:rPr>
      </w:pPr>
      <w:r>
        <w:rPr>
          <w:rFonts w:ascii="Times New Roman" w:hAnsi="Times New Roman"/>
          <w:b/>
          <w:i/>
          <w:sz w:val="20"/>
        </w:rPr>
        <w:t xml:space="preserve">Removal of Directors </w:t>
      </w:r>
    </w:p>
    <w:p>
      <w:pPr>
        <w:pStyle w:val="TextBody"/>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stockholders may only remove a director for cause by a vote of no less than a majority of the shares present in person or by proxy at the meeting and entitled to vote. </w:t>
      </w:r>
    </w:p>
    <w:p>
      <w:pPr>
        <w:pStyle w:val="TextBody"/>
        <w:spacing w:before="360" w:after="0"/>
        <w:jc w:val="left"/>
        <w:rPr>
          <w:rFonts w:ascii="Times New Roman" w:hAnsi="Times New Roman"/>
          <w:b/>
          <w:i/>
          <w:sz w:val="20"/>
        </w:rPr>
      </w:pPr>
      <w:r>
        <w:rPr>
          <w:rFonts w:ascii="Times New Roman" w:hAnsi="Times New Roman"/>
          <w:b/>
          <w:i/>
          <w:sz w:val="20"/>
        </w:rPr>
        <w:t xml:space="preserve">Director Vacancies </w:t>
      </w:r>
    </w:p>
    <w:p>
      <w:pPr>
        <w:pStyle w:val="TextBody"/>
        <w:spacing w:before="120" w:after="0"/>
        <w:jc w:val="left"/>
        <w:rPr>
          <w:rFonts w:ascii="Times New Roman" w:hAnsi="Times New Roman"/>
          <w:sz w:val="20"/>
        </w:rPr>
      </w:pPr>
      <w:r>
        <w:rPr>
          <w:rFonts w:ascii="Times New Roman" w:hAnsi="Times New Roman"/>
          <w:sz w:val="20"/>
        </w:rPr>
        <w:t xml:space="preserve">Our amended and restated certificate of incorporation authorizes only our board of directors to fill vacant directorships. </w:t>
      </w:r>
    </w:p>
    <w:p>
      <w:pPr>
        <w:pStyle w:val="TextBody"/>
        <w:spacing w:before="360" w:after="0"/>
        <w:jc w:val="left"/>
        <w:rPr>
          <w:rFonts w:ascii="Times New Roman" w:hAnsi="Times New Roman"/>
          <w:b/>
          <w:i/>
          <w:sz w:val="20"/>
        </w:rPr>
      </w:pPr>
      <w:r>
        <w:rPr>
          <w:rFonts w:ascii="Times New Roman" w:hAnsi="Times New Roman"/>
          <w:b/>
          <w:i/>
          <w:sz w:val="20"/>
        </w:rPr>
        <w:t xml:space="preserve">No Cumulative Voting </w:t>
      </w:r>
    </w:p>
    <w:p>
      <w:pPr>
        <w:pStyle w:val="TextBody"/>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stockholders do not have the right to cumulate votes in the election of directors. </w:t>
      </w:r>
    </w:p>
    <w:p>
      <w:pPr>
        <w:pStyle w:val="TextBody"/>
        <w:spacing w:before="360" w:after="0"/>
        <w:jc w:val="left"/>
        <w:rPr>
          <w:rFonts w:ascii="Times New Roman" w:hAnsi="Times New Roman"/>
          <w:b/>
          <w:i/>
          <w:sz w:val="20"/>
        </w:rPr>
      </w:pPr>
      <w:r>
        <w:rPr>
          <w:rFonts w:ascii="Times New Roman" w:hAnsi="Times New Roman"/>
          <w:b/>
          <w:i/>
          <w:sz w:val="20"/>
        </w:rPr>
        <w:t xml:space="preserve">Special Meetings of Stockholders </w:t>
      </w:r>
    </w:p>
    <w:p>
      <w:pPr>
        <w:pStyle w:val="TextBody"/>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provide that, except as otherwise required by law, special meetings of the stockholders may be called only by an officer at the request of a majority of our board of directors, by the Chair of our board of directors or by our Chief Executive Officer. </w:t>
      </w:r>
    </w:p>
    <w:p>
      <w:pPr>
        <w:pStyle w:val="TextBody"/>
        <w:spacing w:before="360" w:after="0"/>
        <w:jc w:val="left"/>
        <w:rPr>
          <w:rFonts w:ascii="Times New Roman" w:hAnsi="Times New Roman"/>
          <w:b/>
          <w:i/>
          <w:sz w:val="20"/>
        </w:rPr>
      </w:pPr>
      <w:r>
        <w:rPr>
          <w:rFonts w:ascii="Times New Roman" w:hAnsi="Times New Roman"/>
          <w:b/>
          <w:i/>
          <w:sz w:val="20"/>
        </w:rPr>
        <w:t xml:space="preserve">Advance Notice Procedures for Director Nominations </w:t>
      </w:r>
    </w:p>
    <w:p>
      <w:pPr>
        <w:pStyle w:val="TextBody"/>
        <w:spacing w:before="120" w:after="0"/>
        <w:jc w:val="left"/>
        <w:rPr>
          <w:rFonts w:ascii="Times New Roman" w:hAnsi="Times New Roman"/>
          <w:sz w:val="20"/>
        </w:rPr>
      </w:pPr>
      <w:r>
        <w:rPr>
          <w:rFonts w:ascii="Times New Roman" w:hAnsi="Times New Roman"/>
          <w:sz w:val="20"/>
        </w:rPr>
        <w:t xml:space="preserve">Our amended and restated bylaws provide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do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 </w:t>
      </w:r>
    </w:p>
    <w:p>
      <w:pPr>
        <w:pStyle w:val="TextBody"/>
        <w:spacing w:before="360" w:after="0"/>
        <w:jc w:val="left"/>
        <w:rPr>
          <w:rFonts w:ascii="Times New Roman" w:hAnsi="Times New Roman"/>
          <w:b/>
          <w:i/>
          <w:sz w:val="20"/>
        </w:rPr>
      </w:pPr>
      <w:r>
        <w:rPr>
          <w:rFonts w:ascii="Times New Roman" w:hAnsi="Times New Roman"/>
          <w:b/>
          <w:i/>
          <w:sz w:val="20"/>
        </w:rPr>
        <w:t xml:space="preserve">Action by Written Consent </w:t>
      </w:r>
    </w:p>
    <w:p>
      <w:pPr>
        <w:pStyle w:val="TextBody"/>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provide that any action to be taken by the stockholders must be effected at a duly called annual or special meeting of stockholders and may not be affected by written consent. </w:t>
      </w:r>
    </w:p>
    <w:p>
      <w:pPr>
        <w:pStyle w:val="TextBody"/>
        <w:spacing w:before="360" w:after="0"/>
        <w:jc w:val="left"/>
        <w:rPr>
          <w:rFonts w:ascii="Times New Roman" w:hAnsi="Times New Roman"/>
          <w:b/>
          <w:i/>
          <w:sz w:val="20"/>
        </w:rPr>
      </w:pPr>
      <w:r>
        <w:rPr>
          <w:rFonts w:ascii="Times New Roman" w:hAnsi="Times New Roman"/>
          <w:b/>
          <w:i/>
          <w:sz w:val="20"/>
        </w:rPr>
        <w:t xml:space="preserve">Amending our Certificate of Incorporation and Bylaws </w:t>
      </w:r>
    </w:p>
    <w:p>
      <w:pPr>
        <w:pStyle w:val="TextBody"/>
        <w:spacing w:before="120" w:after="0"/>
        <w:jc w:val="left"/>
        <w:rPr>
          <w:rFonts w:ascii="Times New Roman" w:hAnsi="Times New Roman"/>
          <w:sz w:val="20"/>
        </w:rPr>
      </w:pPr>
      <w:r>
        <w:rPr>
          <w:rFonts w:ascii="Times New Roman" w:hAnsi="Times New Roman"/>
          <w:sz w:val="20"/>
        </w:rPr>
        <w:t xml:space="preserve">Our amended and restated certificate of incorporation may be amended or altered in any manner provided by the DGCL. Our amended and restated bylaws may be adopted, amended, altered, or repealed by stockholders only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upon approval of at least majority of the voting power of all the then outstanding shares of the common stock, except for any amendment of the above provisions, which would require the approval of a two-thirds majority of our then outstanding common stock. Additionally, our amended and restated certificate of incorporation provides that our bylaws may be amended, altered, or repealed by the board of directors. </w:t>
      </w:r>
    </w:p>
    <w:p>
      <w:pPr>
        <w:pStyle w:val="TextBody"/>
        <w:spacing w:before="360" w:after="0"/>
        <w:jc w:val="left"/>
        <w:rPr>
          <w:rFonts w:ascii="Times New Roman" w:hAnsi="Times New Roman"/>
          <w:b/>
          <w:i/>
          <w:sz w:val="20"/>
        </w:rPr>
      </w:pPr>
      <w:r>
        <w:rPr>
          <w:rFonts w:ascii="Times New Roman" w:hAnsi="Times New Roman"/>
          <w:b/>
          <w:i/>
          <w:sz w:val="20"/>
        </w:rPr>
        <w:t xml:space="preserve">Authorized but Unissued Shares </w:t>
      </w:r>
    </w:p>
    <w:p>
      <w:pPr>
        <w:pStyle w:val="TextBody"/>
        <w:spacing w:before="120" w:after="0"/>
        <w:jc w:val="left"/>
        <w:rPr>
          <w:rFonts w:ascii="Times New Roman" w:hAnsi="Times New Roman"/>
          <w:sz w:val="20"/>
        </w:rPr>
      </w:pPr>
      <w:r>
        <w:rPr>
          <w:rFonts w:ascii="Times New Roman" w:hAnsi="Times New Roman"/>
          <w:sz w:val="20"/>
        </w:rPr>
        <w:t xml:space="preserve">Our authorized but unissued shares of common stock and preferred stock are available for future issuances without stockholder approval, except as required by the listing standards of the Nasdaq, and may be utilized for a variety of corporate purposes, including future offerings to raise additional capital, acquisitions and employee benefit plans. The existence of authorized but unissued and unreserved common stock and preferred stock may render more difficult or discourage an attempt to obtain control of the Company by means of a proxy contest, tender offer, merger, or otherwise. </w:t>
      </w:r>
    </w:p>
    <w:p>
      <w:pPr>
        <w:pStyle w:val="TextBody"/>
        <w:spacing w:before="360" w:after="0"/>
        <w:jc w:val="left"/>
        <w:rPr>
          <w:rFonts w:ascii="Times New Roman" w:hAnsi="Times New Roman"/>
          <w:b/>
          <w:i/>
          <w:sz w:val="20"/>
        </w:rPr>
      </w:pPr>
      <w:r>
        <w:rPr>
          <w:rFonts w:ascii="Times New Roman" w:hAnsi="Times New Roman"/>
          <w:b/>
          <w:i/>
          <w:sz w:val="20"/>
        </w:rPr>
        <w:t xml:space="preserve">Exclusive Jurisdiction </w:t>
      </w:r>
    </w:p>
    <w:p>
      <w:pPr>
        <w:pStyle w:val="TextBody"/>
        <w:spacing w:before="120" w:after="0"/>
        <w:jc w:val="left"/>
        <w:rPr>
          <w:rFonts w:ascii="Times New Roman" w:hAnsi="Times New Roman"/>
          <w:sz w:val="20"/>
        </w:rPr>
      </w:pPr>
      <w:r>
        <w:rPr>
          <w:rFonts w:ascii="Times New Roman" w:hAnsi="Times New Roman"/>
          <w:sz w:val="20"/>
        </w:rPr>
        <w:t xml:space="preserve">Our amended and restated bylaws provide that, unless we consent to the selection of an alternative forum, the Court of Chancery of the State of Delaware shall be the sole and exclusive forum 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This provision does not apply to suits brought to enforce a duty or liability created by the Exchange Act or any other claim for which the U.S. federal courts have exclusive jurisdiction. Our amended and restated bylaws further provide that the federal district courts of the United States will be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 </w:t>
      </w:r>
    </w:p>
    <w:p>
      <w:pPr>
        <w:pStyle w:val="TextBody"/>
        <w:spacing w:before="360" w:after="0"/>
        <w:jc w:val="left"/>
        <w:rPr>
          <w:rFonts w:ascii="Times New Roman" w:hAnsi="Times New Roman"/>
          <w:b/>
          <w:i/>
          <w:sz w:val="20"/>
        </w:rPr>
      </w:pPr>
      <w:r>
        <w:rPr>
          <w:rFonts w:ascii="Times New Roman" w:hAnsi="Times New Roman"/>
          <w:b/>
          <w:i/>
          <w:sz w:val="20"/>
        </w:rPr>
        <w:t xml:space="preserve">Business Combinations with Interested Stockholders </w:t>
      </w:r>
    </w:p>
    <w:p>
      <w:pPr>
        <w:pStyle w:val="TextBody"/>
        <w:spacing w:before="120" w:after="0"/>
        <w:jc w:val="left"/>
        <w:rPr>
          <w:rFonts w:ascii="Times New Roman" w:hAnsi="Times New Roman"/>
          <w:sz w:val="20"/>
        </w:rPr>
      </w:pPr>
      <w:r>
        <w:rPr>
          <w:rFonts w:ascii="Times New Roman" w:hAnsi="Times New Roman"/>
          <w:sz w:val="20"/>
        </w:rPr>
        <w:t xml:space="preserve">We are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 </w:t>
      </w:r>
    </w:p>
    <w:p>
      <w:pPr>
        <w:pStyle w:val="TextBody"/>
        <w:spacing w:before="360" w:after="0"/>
        <w:jc w:val="left"/>
        <w:rPr>
          <w:rFonts w:ascii="Times New Roman" w:hAnsi="Times New Roman"/>
          <w:b/>
          <w:i/>
          <w:sz w:val="20"/>
        </w:rPr>
      </w:pPr>
      <w:r>
        <w:rPr>
          <w:rFonts w:ascii="Times New Roman" w:hAnsi="Times New Roman"/>
          <w:b/>
          <w:i/>
          <w:sz w:val="20"/>
        </w:rPr>
        <w:t xml:space="preserve">Limitation of Liability and Indemnification of Officers and Directors </w:t>
      </w:r>
    </w:p>
    <w:p>
      <w:pPr>
        <w:pStyle w:val="TextBody"/>
        <w:spacing w:before="120" w:after="0"/>
        <w:jc w:val="left"/>
        <w:rPr>
          <w:rFonts w:ascii="Times New Roman" w:hAnsi="Times New Roman"/>
          <w:sz w:val="20"/>
        </w:rPr>
      </w:pPr>
      <w:r>
        <w:rPr>
          <w:rFonts w:ascii="Times New Roman" w:hAnsi="Times New Roman"/>
          <w:sz w:val="20"/>
        </w:rPr>
        <w:t xml:space="preserve">Our amended and restated certificate of incorporation and our amended and restated bylaws provide that we must indemnify our directors and officers to the fullest extent authorized by the DGCL. We are expressly authorized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to, and do, carry directors and officers insurance providing coverage for our directors, officers and certain employees for some liabilities. We believe that these indemnification provisions and insurance are useful to attract and retain qualified directors and executive officers. </w:t>
      </w:r>
    </w:p>
    <w:p>
      <w:pPr>
        <w:pStyle w:val="TextBody"/>
        <w:spacing w:before="240" w:after="0"/>
        <w:jc w:val="left"/>
        <w:rPr>
          <w:rFonts w:ascii="Times New Roman" w:hAnsi="Times New Roman"/>
          <w:sz w:val="20"/>
        </w:rPr>
      </w:pPr>
      <w:r>
        <w:rPr>
          <w:rFonts w:ascii="Times New Roman" w:hAnsi="Times New Roman"/>
          <w:sz w:val="20"/>
        </w:rPr>
        <w:t xml:space="preserve">The limitation on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Investors may be adversely affected to the extent we pay the costs of settlement and damage awards against directors and officers pursuant to these indemnification provisions. </w:t>
      </w:r>
    </w:p>
    <w:p>
      <w:pPr>
        <w:pStyle w:val="TextBody"/>
        <w:spacing w:before="360" w:after="0"/>
        <w:jc w:val="left"/>
        <w:rPr>
          <w:rFonts w:ascii="Times New Roman" w:hAnsi="Times New Roman"/>
          <w:b/>
          <w:i/>
          <w:sz w:val="20"/>
        </w:rPr>
      </w:pPr>
      <w:r>
        <w:rPr>
          <w:rFonts w:ascii="Times New Roman" w:hAnsi="Times New Roman"/>
          <w:b/>
          <w:i/>
          <w:sz w:val="20"/>
        </w:rPr>
        <w:t xml:space="preserve">Listing </w:t>
      </w:r>
    </w:p>
    <w:p>
      <w:pPr>
        <w:pStyle w:val="TextBody"/>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trading symbol ALXO. </w:t>
      </w:r>
    </w:p>
    <w:p>
      <w:pPr>
        <w:pStyle w:val="TextBody"/>
        <w:spacing w:before="360" w:after="0"/>
        <w:jc w:val="left"/>
        <w:rPr>
          <w:rFonts w:ascii="Times New Roman" w:hAnsi="Times New Roman"/>
          <w:b/>
          <w:i/>
          <w:sz w:val="20"/>
        </w:rPr>
      </w:pPr>
      <w:r>
        <w:rPr>
          <w:rFonts w:ascii="Times New Roman" w:hAnsi="Times New Roman"/>
          <w:b/>
          <w:i/>
          <w:sz w:val="20"/>
        </w:rPr>
        <w:t xml:space="preserve">Transfer Agent and Registrar </w:t>
      </w:r>
    </w:p>
    <w:p>
      <w:pPr>
        <w:pStyle w:val="TextBody"/>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The transfer agent and registrars address is 250 Royall Street, Canton, Massachusetts 02021.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 w:name="toc293656_8"/>
      <w:bookmarkEnd w:id="10"/>
      <w:r>
        <w:rPr>
          <w:rFonts w:ascii="Times New Roman" w:hAnsi="Times New Roman"/>
          <w:b/>
          <w:sz w:val="20"/>
        </w:rPr>
        <w:t xml:space="preserve">DESCRIPTION OF WARRANTS </w:t>
      </w:r>
    </w:p>
    <w:p>
      <w:pPr>
        <w:pStyle w:val="TextBody"/>
        <w:spacing w:before="240" w:after="0"/>
        <w:jc w:val="left"/>
        <w:rPr>
          <w:rFonts w:ascii="Times New Roman" w:hAnsi="Times New Roman"/>
          <w:sz w:val="20"/>
        </w:rPr>
      </w:pPr>
      <w:r>
        <w:rPr>
          <w:rFonts w:ascii="Times New Roman" w:hAnsi="Times New Roman"/>
          <w:sz w:val="20"/>
        </w:rPr>
        <w:t xml:space="preserve">We may issue warrants to purchase common stock or preferred stock. We may offer warrants separately or together with one or more additional warrants, common stock, preferred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 as applicable: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specific designation and aggregate number of, and the offering price at which we will issue, the warrants;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date on which the right to exercise the warrants will begin and the date on which that right will expire or, if you may not continuously exercise the warrants throughout that period, the specific date or dates on which you may exercise the warrants;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whether the warrants are to be sold separately or with other securities as parts of units;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whether the warrants will be issued in definitive or global form or in any combination of these forms, although, in any case, the form of a warrant included in a unit will correspond to the form of the unit and of any security included in that unit;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applicable material U.S. federal income tax consequences;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identity of the warrant agent for the warrants and of any other depositaries, execution or paying agents, transfer agents, registrars or other agents;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proposed listing, if any, of the warrants or any securities purchasable upon exercise of the warrants on any securities exchange;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designation and terms of any equity securities purchasable upon exercise of the warrants;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designation, aggregate principal amount, currency and terms of any debt securities that may be purchased upon exercise of the warrants;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applicable, the designation and terms of the common stock or preferred stock, with which the warrants are issued and the number of warrants issued with each security;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applicable, the date from and after which any warrants issued as part of a unit and the related common stock, or preferred stock will be separately transferable;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number of shares of common stock or preferred stock purchasable upon exercise of a warrant and the price at which those shares may be purchased;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antidilution provisions, and other provisions for changes to or adjustment in the exercise price, of the warrants, if 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redemption or call provisions;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or exercise of the warrants.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1" w:name="toc293656_9"/>
      <w:bookmarkEnd w:id="11"/>
      <w:r>
        <w:rPr>
          <w:rFonts w:ascii="Times New Roman" w:hAnsi="Times New Roman"/>
          <w:b/>
          <w:sz w:val="20"/>
        </w:rPr>
        <w:t xml:space="preserve">DESCRIPTION OF PURCHASE CONTRACTS </w:t>
      </w:r>
    </w:p>
    <w:p>
      <w:pPr>
        <w:pStyle w:val="TextBody"/>
        <w:spacing w:before="240" w:after="0"/>
        <w:jc w:val="left"/>
        <w:rPr>
          <w:rFonts w:ascii="Times New Roman" w:hAnsi="Times New Roman"/>
          <w:sz w:val="20"/>
        </w:rPr>
      </w:pPr>
      <w:r>
        <w:rPr>
          <w:rFonts w:ascii="Times New Roman" w:hAnsi="Times New Roman"/>
          <w:sz w:val="20"/>
        </w:rPr>
        <w:t xml:space="preserve">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 </w:t>
      </w:r>
    </w:p>
    <w:p>
      <w:pPr>
        <w:pStyle w:val="TextBody"/>
        <w:spacing w:before="240" w:after="0"/>
        <w:jc w:val="left"/>
        <w:rPr>
          <w:rFonts w:ascii="Times New Roman" w:hAnsi="Times New Roman"/>
          <w:sz w:val="20"/>
        </w:rPr>
      </w:pPr>
      <w:r>
        <w:rPr>
          <w:rFonts w:ascii="Times New Roman" w:hAnsi="Times New Roman"/>
          <w:sz w:val="20"/>
        </w:rPr>
        <w:t xml:space="preserve">We will incorporate by reference into the registration statement of which this prospectus is a part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 </w:t>
      </w:r>
    </w:p>
    <w:p>
      <w:pPr>
        <w:pStyle w:val="TextBody"/>
        <w:spacing w:before="240" w:after="0"/>
        <w:jc w:val="left"/>
        <w:rPr>
          <w:rFonts w:ascii="Times New Roman" w:hAnsi="Times New Roman"/>
          <w:sz w:val="20"/>
        </w:rPr>
      </w:pPr>
      <w:r>
        <w:rPr>
          <w:rFonts w:ascii="Times New Roman" w:hAnsi="Times New Roman"/>
          <w:sz w:val="20"/>
        </w:rPr>
        <w:t xml:space="preserve">We may issue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 </w:t>
      </w:r>
    </w:p>
    <w:p>
      <w:pPr>
        <w:pStyle w:val="TextBody"/>
        <w:spacing w:before="240" w:after="0"/>
        <w:jc w:val="left"/>
        <w:rPr>
          <w:rFonts w:ascii="Times New Roman" w:hAnsi="Times New Roman"/>
          <w:sz w:val="20"/>
        </w:rPr>
      </w:pPr>
      <w:r>
        <w:rPr>
          <w:rFonts w:ascii="Times New Roman" w:hAnsi="Times New Roman"/>
          <w:sz w:val="20"/>
        </w:rPr>
        <w:t xml:space="preserve">If we offer any purchase contracts, certain terms of that series of purchase contracts will be described in the applicable prospectus supplement, including, without limitation,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price of the securities or other property subject to the purchase contracts (which may be determined by reference to a specific formula described in the purchase contracts);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whether the purchase contracts are issued separately, or as a part of units each consisting of a purchase contract and one or more of our other securities, including U.S. Treasury securities, securing the holders obligations under the purchase contract;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requirement for us to make periodic payments to holders or vice versa, and whether the payments are unsecured or pre-funded;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provisions relating to any security provided for the purchase contracts;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whether the purchase contracts obligate the holder or us to purchase or sell, or both purchase and sell, the securities subject to purchase under the purchase contract, and the nature and amount of each of those securities, or the method of determining those amounts;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306"/>
        <w:gridCol w:w="101"/>
        <w:gridCol w:w="9290"/>
      </w:tblGrid>
      <w:tr>
        <w:trPr/>
        <w:tc>
          <w:tcPr>
            <w:tcW w:w="5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whether the purchase contracts are to be prepaid or not;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whether the purchase contracts are to be settled by delivery, or by reference or linkage to the value, performance or level of the securities subject to purchase under the purchase contract;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acceleration, cancellation, termination or other provisions relating to the settlement of the purchase contracts;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discussion of certain U.S. federal income tax considerations applicable to the purchase contracts;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whether the purchase contracts will be issued in fully registered or global form;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other terms of the purchase contracts and any securities subject to such purchase contracts.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2" w:name="toc293656_10"/>
      <w:bookmarkEnd w:id="12"/>
      <w:r>
        <w:rPr>
          <w:rFonts w:ascii="Times New Roman" w:hAnsi="Times New Roman"/>
          <w:b/>
          <w:sz w:val="20"/>
        </w:rPr>
        <w:t xml:space="preserve">DESCRIPTION OF UNITS </w:t>
      </w:r>
    </w:p>
    <w:p>
      <w:pPr>
        <w:pStyle w:val="TextBody"/>
        <w:spacing w:before="240" w:after="0"/>
        <w:jc w:val="left"/>
        <w:rPr>
          <w:rFonts w:ascii="Times New Roman" w:hAnsi="Times New Roman"/>
          <w:sz w:val="20"/>
        </w:rPr>
      </w:pPr>
      <w:r>
        <w:rPr>
          <w:rFonts w:ascii="Times New Roman" w:hAnsi="Times New Roman"/>
          <w:sz w:val="20"/>
        </w:rPr>
        <w:t xml:space="preserve">We may issue units comprising two or more securities described in this prospectus in any combination. For example, we might issue units consisting of a combination of common stock and warrants to purchase preferred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 </w:t>
      </w:r>
    </w:p>
    <w:p>
      <w:pPr>
        <w:pStyle w:val="TextBody"/>
        <w:spacing w:before="240" w:after="0"/>
        <w:jc w:val="left"/>
        <w:rPr>
          <w:rFonts w:ascii="Times New Roman" w:hAnsi="Times New Roman"/>
          <w:sz w:val="20"/>
        </w:rPr>
      </w:pPr>
      <w:r>
        <w:rPr>
          <w:rFonts w:ascii="Times New Roman" w:hAnsi="Times New Roman"/>
          <w:sz w:val="20"/>
        </w:rPr>
        <w:t xml:space="preserve">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captioned Where You Can Find More Information. </w:t>
      </w:r>
    </w:p>
    <w:p>
      <w:pPr>
        <w:pStyle w:val="TextBody"/>
        <w:spacing w:before="240" w:after="0"/>
        <w:jc w:val="left"/>
        <w:rPr>
          <w:rFonts w:ascii="Times New Roman" w:hAnsi="Times New Roman"/>
          <w:sz w:val="20"/>
        </w:rPr>
      </w:pPr>
      <w:r>
        <w:rPr>
          <w:rFonts w:ascii="Times New Roman" w:hAnsi="Times New Roman"/>
          <w:sz w:val="20"/>
        </w:rPr>
        <w:t xml:space="preserve">The prospectus supplement relating to any particular issuance of units will describe the terms of those units, including, to the extent applicable,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designation and terms of the units and the securities included in the units, including whether and under what circumstances those securities may be held or transferred separately;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provision for the issuance, payment, settlement, transfer or exchange of the units or of the securities comprising the units;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whether the units will be issued in fully registered or global form.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3" w:name="toc293656_11"/>
      <w:bookmarkEnd w:id="13"/>
      <w:r>
        <w:rPr>
          <w:rFonts w:ascii="Times New Roman" w:hAnsi="Times New Roman"/>
          <w:b/>
          <w:sz w:val="20"/>
        </w:rPr>
        <w:t xml:space="preserve">PLAN OF DISTRIBUTION </w:t>
      </w:r>
    </w:p>
    <w:p>
      <w:pPr>
        <w:pStyle w:val="TextBody"/>
        <w:spacing w:before="240" w:after="0"/>
        <w:jc w:val="left"/>
        <w:rPr>
          <w:rFonts w:ascii="Times New Roman" w:hAnsi="Times New Roman"/>
          <w:sz w:val="20"/>
        </w:rPr>
      </w:pPr>
      <w:r>
        <w:rPr>
          <w:rFonts w:ascii="Times New Roman" w:hAnsi="Times New Roman"/>
          <w:sz w:val="20"/>
        </w:rPr>
        <w:t xml:space="preserve">We may sell the securities from time to time pursuant to underwritten public offerings, direct sales to the public, at the market offerings, negotiated transactions, block trades or a combination of these methods. We may sell the offered securities from time to time: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through underwriters or dealers;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directly to one or more purchasers;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through a combination of any of these methods of sale. </w:t>
            </w:r>
          </w:p>
        </w:tc>
      </w:tr>
    </w:tbl>
    <w:p>
      <w:pPr>
        <w:pStyle w:val="TextBody"/>
        <w:spacing w:before="240" w:after="0"/>
        <w:jc w:val="left"/>
        <w:rPr>
          <w:rFonts w:ascii="Times New Roman" w:hAnsi="Times New Roman"/>
          <w:sz w:val="20"/>
        </w:rPr>
      </w:pPr>
      <w:r>
        <w:rPr>
          <w:rFonts w:ascii="Times New Roman" w:hAnsi="Times New Roman"/>
          <w:sz w:val="20"/>
        </w:rPr>
        <w:t xml:space="preserve">We will identify the specific plan of distribution, including any underwriters, dealers, agents or direct purchasers and their compensation in the applicable prospectus supplement.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4" w:name="toc293656_12"/>
      <w:bookmarkEnd w:id="14"/>
      <w:r>
        <w:rPr>
          <w:rFonts w:ascii="Times New Roman" w:hAnsi="Times New Roman"/>
          <w:b/>
          <w:sz w:val="20"/>
        </w:rPr>
        <w:t xml:space="preserve">LEGAL MATTERS </w:t>
      </w:r>
    </w:p>
    <w:p>
      <w:pPr>
        <w:pStyle w:val="TextBody"/>
        <w:spacing w:before="240" w:after="0"/>
        <w:jc w:val="left"/>
        <w:rPr>
          <w:rFonts w:ascii="Times New Roman" w:hAnsi="Times New Roman"/>
          <w:sz w:val="20"/>
        </w:rPr>
      </w:pPr>
      <w:r>
        <w:rPr>
          <w:rFonts w:ascii="Times New Roman" w:hAnsi="Times New Roman"/>
          <w:sz w:val="20"/>
        </w:rPr>
        <w:t xml:space="preserve">Wilson Sonsini Goodrich &amp; Rosati, Professional Corporation, Palo Alto, California, will pass upon certain legal matters relating to the issuance and sale of the securities offered hereby on behalf of ALX Oncology Holdings Inc. Additional legal matters may be passed upon for us or any underwriters, dealers or agents, by counsel that we will name in the applicable prospectus supplement. </w:t>
      </w:r>
    </w:p>
    <w:p>
      <w:pPr>
        <w:pStyle w:val="TextBody"/>
        <w:spacing w:before="480" w:after="0"/>
        <w:jc w:val="center"/>
        <w:rPr>
          <w:rFonts w:ascii="Times New Roman" w:hAnsi="Times New Roman"/>
          <w:b/>
          <w:sz w:val="20"/>
        </w:rPr>
      </w:pPr>
      <w:bookmarkStart w:id="15" w:name="toc293656_13"/>
      <w:bookmarkEnd w:id="15"/>
      <w:r>
        <w:rPr>
          <w:rFonts w:ascii="Times New Roman" w:hAnsi="Times New Roman"/>
          <w:b/>
          <w:sz w:val="20"/>
        </w:rPr>
        <w:t xml:space="preserve">EXPERTS </w:t>
      </w:r>
    </w:p>
    <w:p>
      <w:pPr>
        <w:pStyle w:val="TextBody"/>
        <w:spacing w:before="240" w:after="0"/>
        <w:jc w:val="left"/>
        <w:rPr>
          <w:rFonts w:ascii="Times New Roman" w:hAnsi="Times New Roman"/>
          <w:sz w:val="20"/>
        </w:rPr>
      </w:pPr>
      <w:r>
        <w:rPr>
          <w:rFonts w:ascii="Times New Roman" w:hAnsi="Times New Roman"/>
          <w:sz w:val="20"/>
        </w:rPr>
        <w:t xml:space="preserve">The consolidated financial statements of ALX Oncology Holdings Inc. as of December 31, 2021 and 2020, and for each of the years in the three-year period ended December 31, 2021, and managements assessment of the effectiveness of internal control over financial reporting as of December 31, 2021, have been incorporated by reference herein and in the registration statement in reliance upon the report of KPMG LLP, independent registered public accounting firm, incorporated by reference herein, and upon the authority of said firm as experts in accounting and auditing. The audit report covering the December 31, 2021 consolidated financial statements refers to a change to the method of accounting for leases. </w:t>
      </w:r>
    </w:p>
    <w:p>
      <w:pPr>
        <w:pStyle w:val="TextBody"/>
        <w:spacing w:before="480" w:after="0"/>
        <w:jc w:val="center"/>
        <w:rPr>
          <w:rFonts w:ascii="Times New Roman" w:hAnsi="Times New Roman"/>
          <w:b/>
          <w:sz w:val="20"/>
        </w:rPr>
      </w:pPr>
      <w:bookmarkStart w:id="16" w:name="toc293656_14"/>
      <w:bookmarkEnd w:id="16"/>
      <w:r>
        <w:rPr>
          <w:rFonts w:ascii="Times New Roman" w:hAnsi="Times New Roman"/>
          <w:b/>
          <w:sz w:val="20"/>
        </w:rPr>
        <w:t xml:space="preserve">WHERE YOU CAN FIND MORE INFORMATION </w:t>
      </w:r>
    </w:p>
    <w:p>
      <w:pPr>
        <w:pStyle w:val="TextBody"/>
        <w:spacing w:before="240" w:after="0"/>
        <w:jc w:val="left"/>
        <w:rPr>
          <w:rFonts w:ascii="Times New Roman" w:hAnsi="Times New Roman"/>
          <w:sz w:val="20"/>
        </w:rPr>
      </w:pPr>
      <w:r>
        <w:rPr>
          <w:rFonts w:ascii="Times New Roman" w:hAnsi="Times New Roman"/>
          <w:sz w:val="20"/>
        </w:rPr>
        <w:t xml:space="preserve">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We also maintain a website at www.alxoncology.com where these materials are available. You may access these materials free of charge as soon as reasonably practicable after they are electronically filed with, or furnished to, the SEC. Information contained on or accessible through our website is not a part of this prospectus and is not incorporated by reference herein, and the inclusion of our website address in this prospectus is an inactive textual reference only. 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7" w:name="toc293656_15"/>
      <w:bookmarkEnd w:id="17"/>
      <w:r>
        <w:rPr>
          <w:rFonts w:ascii="Times New Roman" w:hAnsi="Times New Roman"/>
          <w:b/>
          <w:sz w:val="20"/>
        </w:rPr>
        <w:t xml:space="preserve">INCORPORATION OF CERTAIN INFORMATION BY REFERENCE </w:t>
      </w:r>
    </w:p>
    <w:p>
      <w:pPr>
        <w:pStyle w:val="TextBody"/>
        <w:spacing w:before="24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 </w:t>
      </w:r>
    </w:p>
    <w:p>
      <w:pPr>
        <w:pStyle w:val="TextBody"/>
        <w:spacing w:before="240" w:after="0"/>
        <w:jc w:val="left"/>
        <w:rPr>
          <w:rFonts w:ascii="Times New Roman" w:hAnsi="Times New Roman"/>
          <w:sz w:val="20"/>
        </w:rPr>
      </w:pPr>
      <w:r>
        <w:rPr>
          <w:rFonts w:ascii="Times New Roman" w:hAnsi="Times New Roman"/>
          <w:sz w:val="20"/>
        </w:rPr>
        <w:t xml:space="preserve">This prospectus and any accompanying prospectus supplement incorporate by reference the documents set forth below that have previously been filed with the SEC: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2021, filed with the SEC on February 28,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pPr>
            <w:r>
              <w:rPr>
                <w:rFonts w:ascii="Times New Roman" w:hAnsi="Times New Roman"/>
                <w:sz w:val="20"/>
              </w:rPr>
              <w:t xml:space="preserve">our Quarterly Report on </w:t>
            </w:r>
            <w:hyperlink r:id="rId4">
              <w:r>
                <w:rPr>
                  <w:rStyle w:val="InternetLink"/>
                  <w:rFonts w:ascii="Times New Roman" w:hAnsi="Times New Roman"/>
                  <w:sz w:val="20"/>
                </w:rPr>
                <w:t>Form 10-Q</w:t>
              </w:r>
            </w:hyperlink>
            <w:r>
              <w:rPr>
                <w:rFonts w:ascii="Times New Roman" w:hAnsi="Times New Roman"/>
                <w:sz w:val="20"/>
              </w:rPr>
              <w:t xml:space="preserve"> for the quarter ended March 31, 2022, filed with the SEC on May 9,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pPr>
            <w:r>
              <w:rPr>
                <w:rFonts w:ascii="Times New Roman" w:hAnsi="Times New Roman"/>
                <w:sz w:val="20"/>
              </w:rPr>
              <w:t xml:space="preserve">the information specifically incorporated by reference in our Annual Report on Form 10-K for the year ended December 31, 2021, from our </w:t>
            </w:r>
            <w:hyperlink r:id="rId5">
              <w:r>
                <w:rPr>
                  <w:rStyle w:val="InternetLink"/>
                  <w:rFonts w:ascii="Times New Roman" w:hAnsi="Times New Roman"/>
                  <w:sz w:val="20"/>
                </w:rPr>
                <w:t>definitive proxy statement</w:t>
              </w:r>
            </w:hyperlink>
            <w:r>
              <w:rPr>
                <w:rFonts w:ascii="Times New Roman" w:hAnsi="Times New Roman"/>
                <w:sz w:val="20"/>
              </w:rPr>
              <w:t xml:space="preserve"> relating to our 2022 annual meeting of stockholders, filed with the SEC on April 22,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pPr>
            <w:r>
              <w:rPr>
                <w:rFonts w:ascii="Times New Roman" w:hAnsi="Times New Roman"/>
                <w:sz w:val="20"/>
              </w:rPr>
              <w:t xml:space="preserve">our Current Report on </w:t>
            </w:r>
            <w:hyperlink r:id="rId6">
              <w:r>
                <w:rPr>
                  <w:rStyle w:val="InternetLink"/>
                  <w:rFonts w:ascii="Times New Roman" w:hAnsi="Times New Roman"/>
                  <w:sz w:val="20"/>
                </w:rPr>
                <w:t>Form 8-K</w:t>
              </w:r>
            </w:hyperlink>
            <w:r>
              <w:rPr>
                <w:rFonts w:ascii="Times New Roman" w:hAnsi="Times New Roman"/>
                <w:sz w:val="20"/>
              </w:rPr>
              <w:t xml:space="preserve">, which was filed with the SEC on April 12, 2022;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pPr>
            <w:r>
              <w:rPr>
                <w:rFonts w:ascii="Times New Roman" w:hAnsi="Times New Roman"/>
                <w:sz w:val="20"/>
              </w:rPr>
              <w:t xml:space="preserve">the description of our common stock set forth in our registration statement on </w:t>
            </w:r>
            <w:hyperlink r:id="rId7">
              <w:r>
                <w:rPr>
                  <w:rStyle w:val="InternetLink"/>
                  <w:rFonts w:ascii="Times New Roman" w:hAnsi="Times New Roman"/>
                  <w:sz w:val="20"/>
                </w:rPr>
                <w:t>Form 8-A</w:t>
              </w:r>
            </w:hyperlink>
            <w:r>
              <w:rPr>
                <w:rFonts w:ascii="Times New Roman" w:hAnsi="Times New Roman"/>
                <w:sz w:val="20"/>
              </w:rPr>
              <w:t xml:space="preserve">, filed with the SEC on July 13, 2020, including any amendments thereto or reports filed for the purposes of updating this description. </w:t>
            </w:r>
          </w:p>
        </w:tc>
      </w:tr>
    </w:tbl>
    <w:p>
      <w:pPr>
        <w:pStyle w:val="TextBody"/>
        <w:spacing w:before="240" w:after="0"/>
        <w:jc w:val="left"/>
        <w:rPr>
          <w:rFonts w:ascii="Times New Roman" w:hAnsi="Times New Roman"/>
          <w:sz w:val="20"/>
        </w:rPr>
      </w:pPr>
      <w:r>
        <w:rPr>
          <w:rFonts w:ascii="Times New Roman" w:hAnsi="Times New Roman"/>
          <w:sz w:val="20"/>
        </w:rPr>
        <w:t xml:space="preserve">Any documents we file with the SEC pursuant to Section 13(a), 13(c), 14 or 15(d) of the Exchange Act after the date of the initial registration statement of which this prospectus forms a part and prior to effectiveness of the registration statement, as well as subsequent to the effectiveness of the registration statement and prior to the termination of the offering of our securities to which this prospectus relates, will automatically be deemed to be incorporated by reference into this prospectus and to be part hereof from the date of filing those documents. We are not, however, incorporating by reference any documents or portions thereof that are not deemed filed with the SEC, including any information furnished pursuant to Item 2.02 or Item 7.01 of Form 8-K or related exhibits furnished pursuant to Item 9.01 of Form 8-K.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 </w:t>
      </w:r>
    </w:p>
    <w:p>
      <w:pPr>
        <w:pStyle w:val="TextBody"/>
        <w:spacing w:before="240" w:after="0"/>
        <w:jc w:val="left"/>
        <w:rPr>
          <w:rFonts w:ascii="Times New Roman" w:hAnsi="Times New Roman"/>
          <w:sz w:val="20"/>
        </w:rPr>
      </w:pPr>
      <w:r>
        <w:rPr>
          <w:rFonts w:ascii="Times New Roman" w:hAnsi="Times New Roman"/>
          <w:sz w:val="20"/>
        </w:rPr>
        <w:t xml:space="preserve">You can request a copy of these filings, at no cost, by writing or telephoning us at the following address or telephone number: </w:t>
      </w:r>
    </w:p>
    <w:p>
      <w:pPr>
        <w:pStyle w:val="TextBody"/>
        <w:spacing w:before="240" w:after="0"/>
        <w:jc w:val="center"/>
        <w:rPr>
          <w:rFonts w:ascii="Times New Roman" w:hAnsi="Times New Roman"/>
          <w:sz w:val="20"/>
        </w:rPr>
      </w:pPr>
      <w:r>
        <w:rPr>
          <w:rFonts w:ascii="Times New Roman" w:hAnsi="Times New Roman"/>
          <w:sz w:val="20"/>
        </w:rPr>
        <w:t xml:space="preserve">ALX Oncology Holdings Inc. </w:t>
      </w:r>
    </w:p>
    <w:p>
      <w:pPr>
        <w:pStyle w:val="TextBody"/>
        <w:spacing w:before="0" w:after="0"/>
        <w:jc w:val="center"/>
        <w:rPr>
          <w:rFonts w:ascii="Times New Roman" w:hAnsi="Times New Roman"/>
          <w:sz w:val="20"/>
        </w:rPr>
      </w:pPr>
      <w:r>
        <w:rPr>
          <w:rFonts w:ascii="Times New Roman" w:hAnsi="Times New Roman"/>
          <w:sz w:val="20"/>
        </w:rPr>
        <w:t xml:space="preserve">Attn: Investor Relations </w:t>
      </w:r>
    </w:p>
    <w:p>
      <w:pPr>
        <w:pStyle w:val="TextBody"/>
        <w:spacing w:before="0" w:after="0"/>
        <w:jc w:val="center"/>
        <w:rPr>
          <w:rFonts w:ascii="Times New Roman" w:hAnsi="Times New Roman"/>
          <w:sz w:val="20"/>
        </w:rPr>
      </w:pPr>
      <w:r>
        <w:rPr>
          <w:rFonts w:ascii="Times New Roman" w:hAnsi="Times New Roman"/>
          <w:sz w:val="20"/>
        </w:rPr>
        <w:t xml:space="preserve">323 Allerton Avenue </w:t>
      </w:r>
    </w:p>
    <w:p>
      <w:pPr>
        <w:pStyle w:val="TextBody"/>
        <w:spacing w:before="0" w:after="0"/>
        <w:jc w:val="center"/>
        <w:rPr>
          <w:rFonts w:ascii="Times New Roman" w:hAnsi="Times New Roman"/>
          <w:sz w:val="20"/>
        </w:rPr>
      </w:pPr>
      <w:r>
        <w:rPr>
          <w:rFonts w:ascii="Times New Roman" w:hAnsi="Times New Roman"/>
          <w:sz w:val="20"/>
        </w:rPr>
        <w:t xml:space="preserve">South San Francisco, CA 94080 </w:t>
      </w:r>
    </w:p>
    <w:p>
      <w:pPr>
        <w:pStyle w:val="TextBody"/>
        <w:spacing w:before="0" w:after="0"/>
        <w:jc w:val="center"/>
        <w:rPr>
          <w:rFonts w:ascii="Times New Roman" w:hAnsi="Times New Roman"/>
          <w:sz w:val="20"/>
        </w:rPr>
      </w:pPr>
      <w:r>
        <w:rPr>
          <w:rFonts w:ascii="Times New Roman" w:hAnsi="Times New Roman"/>
          <w:sz w:val="20"/>
        </w:rPr>
        <w:t xml:space="preserve">650-466-7125 </w:t>
      </w:r>
    </w:p>
    <w:p>
      <w:pPr>
        <w:pStyle w:val="TextBody"/>
        <w:spacing w:before="240" w:after="0"/>
        <w:jc w:val="left"/>
        <w:rPr>
          <w:rFonts w:ascii="Times New Roman" w:hAnsi="Times New Roman"/>
          <w:sz w:val="20"/>
        </w:rPr>
      </w:pPr>
      <w:r>
        <w:rPr>
          <w:rFonts w:ascii="Times New Roman" w:hAnsi="Times New Roman"/>
          <w:sz w:val="20"/>
        </w:rPr>
        <w:t xml:space="preserve">The information accessible through any website referred to in this prospectus or any document incorporated herein is not, and should not be deemed to be, a part of this 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supplement is not complete and may be changed. We may not sell these securities until the registration statement filed with the Securities and Exchange Commission is effective. This preliminary prospectus supplement is not an offer to sell these securities and it is not soliciting an offer to buy these securities in any jurisdiction where the offer or sale is not permitted. </w:t>
      </w:r>
    </w:p>
    <w:p>
      <w:pPr>
        <w:pStyle w:val="TextBody"/>
        <w:spacing w:before="0" w:after="0"/>
        <w:jc w:val="left"/>
        <w:rPr/>
      </w:pPr>
      <w:r>
        <w:rPr/>
        <w:t> </w:t>
      </w:r>
    </w:p>
    <w:p>
      <w:pPr>
        <w:pStyle w:val="TextBody"/>
        <w:spacing w:before="0" w:after="0"/>
        <w:jc w:val="center"/>
        <w:rPr>
          <w:rFonts w:ascii="Times New Roman" w:hAnsi="Times New Roman"/>
          <w:b/>
          <w:color w:val="FF4338"/>
          <w:sz w:val="20"/>
        </w:rPr>
      </w:pPr>
      <w:r>
        <w:rPr>
          <w:rFonts w:ascii="Times New Roman" w:hAnsi="Times New Roman"/>
          <w:b/>
          <w:color w:val="FF4338"/>
          <w:sz w:val="20"/>
        </w:rPr>
        <w:t xml:space="preserve">SUBJECT TO COMPLETION, DATED MAY 13, 2022 </w:t>
      </w:r>
    </w:p>
    <w:p>
      <w:pPr>
        <w:pStyle w:val="TextBody"/>
        <w:spacing w:before="120" w:after="0"/>
        <w:jc w:val="left"/>
        <w:rPr>
          <w:rFonts w:ascii="Times New Roman" w:hAnsi="Times New Roman"/>
          <w:b/>
          <w:sz w:val="20"/>
        </w:rPr>
      </w:pPr>
      <w:r>
        <w:rPr>
          <w:rFonts w:ascii="Times New Roman" w:hAnsi="Times New Roman"/>
          <w:b/>
          <w:sz w:val="20"/>
        </w:rPr>
        <w:t xml:space="preserve">PROSPECTUS SUPPLEMENT </w:t>
      </w:r>
    </w:p>
    <w:p>
      <w:pPr>
        <w:pStyle w:val="TextBody"/>
        <w:spacing w:before="0" w:after="0"/>
        <w:jc w:val="left"/>
        <w:rPr/>
      </w:pPr>
      <w:r>
        <w:rPr/>
        <w:t> </w:t>
      </w:r>
    </w:p>
    <w:p>
      <w:pPr>
        <w:pStyle w:val="TextBody"/>
        <w:spacing w:before="0" w:after="0"/>
        <w:jc w:val="center"/>
        <w:rPr/>
      </w:pPr>
      <w:r>
        <w:rPr/>
        <w:drawing>
          <wp:inline distT="0" distB="0" distL="0" distR="0">
            <wp:extent cx="217805" cy="7874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8"/>
                    <a:stretch>
                      <a:fillRect/>
                    </a:stretch>
                  </pic:blipFill>
                  <pic:spPr bwMode="auto">
                    <a:xfrm>
                      <a:off x="0" y="0"/>
                      <a:ext cx="217805" cy="78740"/>
                    </a:xfrm>
                    <a:prstGeom prst="rect">
                      <a:avLst/>
                    </a:prstGeom>
                  </pic:spPr>
                </pic:pic>
              </a:graphicData>
            </a:graphic>
          </wp:inline>
        </w:drawing>
      </w:r>
      <w:r>
        <w:rPr/>
        <w:t xml:space="preserve"> </w:t>
      </w:r>
    </w:p>
    <w:p>
      <w:pPr>
        <w:pStyle w:val="TextBody"/>
        <w:spacing w:before="240" w:after="0"/>
        <w:jc w:val="center"/>
        <w:rPr>
          <w:rFonts w:ascii="Times New Roman" w:hAnsi="Times New Roman"/>
          <w:b/>
          <w:sz w:val="28"/>
        </w:rPr>
      </w:pPr>
      <w:r>
        <w:rPr>
          <w:rFonts w:ascii="Times New Roman" w:hAnsi="Times New Roman"/>
          <w:b/>
          <w:sz w:val="28"/>
        </w:rPr>
        <w:t xml:space="preserve">Up to $150,000,000 </w:t>
      </w:r>
    </w:p>
    <w:p>
      <w:pPr>
        <w:pStyle w:val="TextBody"/>
        <w:spacing w:before="240" w:after="0"/>
        <w:jc w:val="center"/>
        <w:rPr>
          <w:rFonts w:ascii="Times New Roman" w:hAnsi="Times New Roman"/>
          <w:b/>
          <w:sz w:val="28"/>
        </w:rPr>
      </w:pPr>
      <w:r>
        <w:rPr>
          <w:rFonts w:ascii="Times New Roman" w:hAnsi="Times New Roman"/>
          <w:b/>
          <w:sz w:val="28"/>
        </w:rPr>
        <w:t xml:space="preserve">Common Stock </w:t>
      </w:r>
    </w:p>
    <w:p>
      <w:pPr>
        <w:pStyle w:val="TextBody"/>
        <w:spacing w:before="240" w:after="0"/>
        <w:jc w:val="left"/>
        <w:rPr>
          <w:rFonts w:ascii="Times New Roman" w:hAnsi="Times New Roman"/>
          <w:sz w:val="20"/>
        </w:rPr>
      </w:pPr>
      <w:r>
        <w:rPr>
          <w:rFonts w:ascii="Times New Roman" w:hAnsi="Times New Roman"/>
          <w:sz w:val="20"/>
        </w:rPr>
        <w:t xml:space="preserve">We previously entered into a sales agreement, or Sales Agreement, with Cantor Fitzgerald &amp; Co., or Cantor Fitzgerald, and Credit Suisse Securities (USA) LLC, or Credit Suisse, dated December 17, 2021, relating to the sale of shares of our common stock, par value $0.001 per share, offered by this prospectus supplement and the accompanying prospectus. In accordance with the terms of the Sales Agreement, under this prospectus supplement we may offer and sell shares of our common stock having an aggregate offering price of up to $150,000,000 from time to time through or to Cantor Fitzgerald and Credit Suisse, acting as our agent or principal. </w:t>
      </w:r>
    </w:p>
    <w:p>
      <w:pPr>
        <w:pStyle w:val="TextBody"/>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ALXO. The last reported sale price of our common stock on May 12, 2022 was $9.00 per share. </w:t>
      </w:r>
    </w:p>
    <w:p>
      <w:pPr>
        <w:pStyle w:val="TextBody"/>
        <w:spacing w:before="240" w:after="0"/>
        <w:jc w:val="left"/>
        <w:rPr>
          <w:rFonts w:ascii="Times New Roman" w:hAnsi="Times New Roman"/>
          <w:sz w:val="20"/>
        </w:rPr>
      </w:pPr>
      <w:r>
        <w:rPr>
          <w:rFonts w:ascii="Times New Roman" w:hAnsi="Times New Roman"/>
          <w:sz w:val="20"/>
        </w:rPr>
        <w:t xml:space="preserve">Sales of our common stock, if any, under this prospectus supplement and the accompanying prospectus will be made in sales deemed to be an at the market offering as defined in Rule 415(a)(4) under the Securities Act of 1933, as amended, or the Securities Act. Cantor Fitzgerald and Credit Suisse are not required to sell any specific amount of securities, but will act as our sales agents using commercially reasonable efforts consistent with their normal trading and sales practices, on mutually agreed terms between Cantor Fitzgerald, Credit Suisse and us. There is no arrangement for funds to be received in any escrow, trust or similar arrangement. </w:t>
      </w:r>
    </w:p>
    <w:p>
      <w:pPr>
        <w:pStyle w:val="TextBody"/>
        <w:spacing w:before="240" w:after="0"/>
        <w:jc w:val="left"/>
        <w:rPr>
          <w:rFonts w:ascii="Times New Roman" w:hAnsi="Times New Roman"/>
          <w:sz w:val="20"/>
        </w:rPr>
      </w:pPr>
      <w:r>
        <w:rPr>
          <w:rFonts w:ascii="Times New Roman" w:hAnsi="Times New Roman"/>
          <w:sz w:val="20"/>
        </w:rPr>
        <w:t xml:space="preserve">The compensation to Cantor Fitzgerald and Credit Suisse for sales of common stock sold pursuant to the Sales Agreement will be an amount up to 3.0% of the gross proceeds of any shares of common stock sold under the Sales Agreement. In connection with the sale of the common stock on our behalf, Cantor Fitzgerald and Credit Suisse will each be deemed to be an underwriter within the meaning of the Securities Act and the compensation of Cantor Fitzgerald and Credit Suisse will be deemed to be underwriting commissions or discounts. We have also agreed to provide indemnification and contribution to Cantor Fitzgerald and Credit Suisse with respect to certain liabilities, including liabilities under the Securities Act or the Securities Exchange Act of 1934, as amended, or the Exchange Act.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pPr>
      <w:r>
        <w:rPr>
          <w:rFonts w:ascii="Times New Roman" w:hAnsi="Times New Roman"/>
          <w:b/>
          <w:sz w:val="24"/>
        </w:rPr>
        <w:t>Investing in our common stock involves risk. Please read the information contained in and incorporated by reference under the heading </w:t>
      </w:r>
      <w:hyperlink w:anchor="supptoc293656_4">
        <w:r>
          <w:rPr>
            <w:rStyle w:val="InternetLink"/>
            <w:rFonts w:ascii="Times New Roman" w:hAnsi="Times New Roman"/>
            <w:b/>
            <w:sz w:val="24"/>
          </w:rPr>
          <w:t>Risk Factors</w:t>
        </w:r>
      </w:hyperlink>
      <w:r>
        <w:rPr>
          <w:rFonts w:ascii="Times New Roman" w:hAnsi="Times New Roman"/>
          <w:b/>
          <w:sz w:val="24"/>
        </w:rPr>
        <w:t xml:space="preserve"> beginning on page S-7 of this prospectus supplement, and under similar headings in the other documents that are filed after the date hereof and incorporated by reference into this prospectus supplement and accompanying prospectus. </w:t>
      </w:r>
    </w:p>
    <w:p>
      <w:pPr>
        <w:pStyle w:val="TextBody"/>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vAlign w:val="bottom"/>
          </w:tcPr>
          <w:p>
            <w:pPr>
              <w:pStyle w:val="TableContents"/>
              <w:spacing w:before="0" w:after="0"/>
              <w:rPr/>
            </w:pPr>
            <w:r>
              <w:rPr/>
              <w:drawing>
                <wp:inline distT="0" distB="0" distL="0" distR="0">
                  <wp:extent cx="181610" cy="3619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9"/>
                          <a:stretch>
                            <a:fillRect/>
                          </a:stretch>
                        </pic:blipFill>
                        <pic:spPr bwMode="auto">
                          <a:xfrm>
                            <a:off x="0" y="0"/>
                            <a:ext cx="181610" cy="36195"/>
                          </a:xfrm>
                          <a:prstGeom prst="rect">
                            <a:avLst/>
                          </a:prstGeom>
                        </pic:spPr>
                      </pic:pic>
                    </a:graphicData>
                  </a:graphic>
                </wp:inline>
              </w:drawing>
            </w:r>
            <w:r>
              <w:rPr/>
              <w:t xml:space="preserve"> </w:t>
            </w:r>
          </w:p>
        </w:tc>
        <w:tc>
          <w:tcPr>
            <w:tcW w:w="203"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jc w:val="right"/>
              <w:rPr/>
            </w:pPr>
            <w:r>
              <w:rPr/>
              <w:drawing>
                <wp:inline distT="0" distB="0" distL="0" distR="0">
                  <wp:extent cx="201295" cy="5143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0"/>
                          <a:stretch>
                            <a:fillRect/>
                          </a:stretch>
                        </pic:blipFill>
                        <pic:spPr bwMode="auto">
                          <a:xfrm>
                            <a:off x="0" y="0"/>
                            <a:ext cx="201295" cy="51435"/>
                          </a:xfrm>
                          <a:prstGeom prst="rect">
                            <a:avLst/>
                          </a:prstGeom>
                        </pic:spPr>
                      </pic:pic>
                    </a:graphicData>
                  </a:graphic>
                </wp:inline>
              </w:drawing>
            </w:r>
            <w:r>
              <w:rPr/>
              <w:t xml:space="preserve"> </w:t>
            </w:r>
          </w:p>
        </w:tc>
      </w:tr>
    </w:tbl>
    <w:p>
      <w:pPr>
        <w:pStyle w:val="TextBody"/>
        <w:spacing w:before="240" w:after="0"/>
        <w:jc w:val="center"/>
        <w:rPr>
          <w:rFonts w:ascii="Times New Roman" w:hAnsi="Times New Roman"/>
          <w:b/>
          <w:sz w:val="20"/>
        </w:rPr>
      </w:pPr>
      <w:r>
        <w:rPr>
          <w:rFonts w:ascii="Times New Roman" w:hAnsi="Times New Roman"/>
          <w:b/>
          <w:sz w:val="20"/>
        </w:rPr>
        <w:t xml:space="preserve">The date of this prospectus supplement is                     , 2022.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TABLE OF CONTENTS </w:t>
      </w:r>
    </w:p>
    <w:p>
      <w:pPr>
        <w:pStyle w:val="TextBody"/>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460"/>
        <w:gridCol w:w="143"/>
        <w:gridCol w:w="60"/>
        <w:gridCol w:w="480"/>
        <w:gridCol w:w="62"/>
      </w:tblGrid>
      <w:tr>
        <w:trPr/>
        <w:tc>
          <w:tcPr>
            <w:tcW w:w="9460"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94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c>
          <w:tcPr>
            <w:tcW w:w="5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Page</w:t>
            </w:r>
          </w:p>
        </w:tc>
        <w:tc>
          <w:tcPr>
            <w:tcW w:w="62" w:type="dxa"/>
            <w:tcBorders/>
            <w:shd w:fill="auto" w:val="clear"/>
            <w:vAlign w:val="bottom"/>
          </w:tcPr>
          <w:p>
            <w:pPr>
              <w:pStyle w:val="TableContents"/>
              <w:spacing w:before="0" w:after="283"/>
              <w:rPr/>
            </w:pPr>
            <w:r>
              <w:rPr/>
              <w:t> </w:t>
            </w:r>
          </w:p>
        </w:tc>
      </w:tr>
      <w:tr>
        <w:trPr/>
        <w:tc>
          <w:tcPr>
            <w:tcW w:w="9460" w:type="dxa"/>
            <w:tcBorders/>
            <w:shd w:fill="auto" w:val="clear"/>
            <w:vAlign w:val="bottom"/>
          </w:tcPr>
          <w:p>
            <w:pPr>
              <w:pStyle w:val="TableContents"/>
              <w:spacing w:before="0" w:after="0"/>
              <w:rPr/>
            </w:pPr>
            <w:hyperlink w:anchor="supptoc293656_1">
              <w:r>
                <w:rPr>
                  <w:rStyle w:val="InternetLink"/>
                  <w:rFonts w:ascii="Times New Roman" w:hAnsi="Times New Roman"/>
                  <w:sz w:val="20"/>
                </w:rPr>
                <w:t>ABOUT THIS PROSPECTUS SUPPLEMENT</w:t>
              </w:r>
            </w:hyperlink>
          </w:p>
        </w:tc>
        <w:tc>
          <w:tcPr>
            <w:tcW w:w="1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jc w:val="right"/>
              <w:rPr/>
            </w:pPr>
            <w:r>
              <w:rPr/>
              <w:t>S-1</w:t>
            </w:r>
          </w:p>
        </w:tc>
        <w:tc>
          <w:tcPr>
            <w:tcW w:w="62" w:type="dxa"/>
            <w:tcBorders/>
            <w:shd w:fill="auto" w:val="clear"/>
            <w:vAlign w:val="bottom"/>
          </w:tcPr>
          <w:p>
            <w:pPr>
              <w:pStyle w:val="TableContents"/>
              <w:spacing w:before="0" w:after="283"/>
              <w:rPr/>
            </w:pPr>
            <w:r>
              <w:rPr/>
              <w:t> </w:t>
            </w:r>
          </w:p>
        </w:tc>
      </w:tr>
      <w:tr>
        <w:trPr/>
        <w:tc>
          <w:tcPr>
            <w:tcW w:w="9460" w:type="dxa"/>
            <w:tcBorders/>
            <w:shd w:fill="auto" w:val="clear"/>
            <w:vAlign w:val="bottom"/>
          </w:tcPr>
          <w:p>
            <w:pPr>
              <w:pStyle w:val="TableContents"/>
              <w:spacing w:before="0" w:after="0"/>
              <w:rPr/>
            </w:pPr>
            <w:hyperlink w:anchor="supptoc293656_2">
              <w:r>
                <w:rPr>
                  <w:rStyle w:val="InternetLink"/>
                  <w:rFonts w:ascii="Times New Roman" w:hAnsi="Times New Roman"/>
                  <w:sz w:val="20"/>
                </w:rPr>
                <w:t>SPECIAL NOTE REGARDING FORWARD-LOOKING STATEMENTS</w:t>
              </w:r>
            </w:hyperlink>
          </w:p>
        </w:tc>
        <w:tc>
          <w:tcPr>
            <w:tcW w:w="1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jc w:val="right"/>
              <w:rPr/>
            </w:pPr>
            <w:r>
              <w:rPr/>
              <w:t>S-2</w:t>
            </w:r>
          </w:p>
        </w:tc>
        <w:tc>
          <w:tcPr>
            <w:tcW w:w="62" w:type="dxa"/>
            <w:tcBorders/>
            <w:shd w:fill="auto" w:val="clear"/>
            <w:vAlign w:val="bottom"/>
          </w:tcPr>
          <w:p>
            <w:pPr>
              <w:pStyle w:val="TableContents"/>
              <w:spacing w:before="0" w:after="283"/>
              <w:rPr/>
            </w:pPr>
            <w:r>
              <w:rPr/>
              <w:t> </w:t>
            </w:r>
          </w:p>
        </w:tc>
      </w:tr>
      <w:tr>
        <w:trPr/>
        <w:tc>
          <w:tcPr>
            <w:tcW w:w="9460" w:type="dxa"/>
            <w:tcBorders/>
            <w:shd w:fill="auto" w:val="clear"/>
            <w:vAlign w:val="bottom"/>
          </w:tcPr>
          <w:p>
            <w:pPr>
              <w:pStyle w:val="TableContents"/>
              <w:spacing w:before="0" w:after="0"/>
              <w:rPr/>
            </w:pPr>
            <w:hyperlink w:anchor="supptoc293656_3">
              <w:r>
                <w:rPr>
                  <w:rStyle w:val="InternetLink"/>
                  <w:rFonts w:ascii="Times New Roman" w:hAnsi="Times New Roman"/>
                  <w:sz w:val="20"/>
                </w:rPr>
                <w:t>PROSPECTUS SUPPLEMENT SUMMARY</w:t>
              </w:r>
            </w:hyperlink>
          </w:p>
        </w:tc>
        <w:tc>
          <w:tcPr>
            <w:tcW w:w="1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jc w:val="right"/>
              <w:rPr/>
            </w:pPr>
            <w:r>
              <w:rPr/>
              <w:t>S-4</w:t>
            </w:r>
          </w:p>
        </w:tc>
        <w:tc>
          <w:tcPr>
            <w:tcW w:w="62" w:type="dxa"/>
            <w:tcBorders/>
            <w:shd w:fill="auto" w:val="clear"/>
            <w:vAlign w:val="bottom"/>
          </w:tcPr>
          <w:p>
            <w:pPr>
              <w:pStyle w:val="TableContents"/>
              <w:spacing w:before="0" w:after="283"/>
              <w:rPr/>
            </w:pPr>
            <w:r>
              <w:rPr/>
              <w:t> </w:t>
            </w:r>
          </w:p>
        </w:tc>
      </w:tr>
      <w:tr>
        <w:trPr/>
        <w:tc>
          <w:tcPr>
            <w:tcW w:w="9460" w:type="dxa"/>
            <w:tcBorders/>
            <w:shd w:fill="auto" w:val="clear"/>
            <w:vAlign w:val="bottom"/>
          </w:tcPr>
          <w:p>
            <w:pPr>
              <w:pStyle w:val="TableContents"/>
              <w:spacing w:before="0" w:after="0"/>
              <w:rPr/>
            </w:pPr>
            <w:hyperlink w:anchor="supptoc293656_4">
              <w:r>
                <w:rPr>
                  <w:rStyle w:val="InternetLink"/>
                  <w:rFonts w:ascii="Times New Roman" w:hAnsi="Times New Roman"/>
                  <w:sz w:val="20"/>
                </w:rPr>
                <w:t>RISK FACTORS</w:t>
              </w:r>
            </w:hyperlink>
          </w:p>
        </w:tc>
        <w:tc>
          <w:tcPr>
            <w:tcW w:w="1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jc w:val="right"/>
              <w:rPr/>
            </w:pPr>
            <w:r>
              <w:rPr/>
              <w:t>S-7</w:t>
            </w:r>
          </w:p>
        </w:tc>
        <w:tc>
          <w:tcPr>
            <w:tcW w:w="62" w:type="dxa"/>
            <w:tcBorders/>
            <w:shd w:fill="auto" w:val="clear"/>
            <w:vAlign w:val="bottom"/>
          </w:tcPr>
          <w:p>
            <w:pPr>
              <w:pStyle w:val="TableContents"/>
              <w:spacing w:before="0" w:after="283"/>
              <w:rPr/>
            </w:pPr>
            <w:r>
              <w:rPr/>
              <w:t> </w:t>
            </w:r>
          </w:p>
        </w:tc>
      </w:tr>
      <w:tr>
        <w:trPr/>
        <w:tc>
          <w:tcPr>
            <w:tcW w:w="9460" w:type="dxa"/>
            <w:tcBorders/>
            <w:shd w:fill="auto" w:val="clear"/>
            <w:vAlign w:val="bottom"/>
          </w:tcPr>
          <w:p>
            <w:pPr>
              <w:pStyle w:val="TableContents"/>
              <w:spacing w:before="0" w:after="0"/>
              <w:rPr/>
            </w:pPr>
            <w:hyperlink w:anchor="supptoc293656_5">
              <w:r>
                <w:rPr>
                  <w:rStyle w:val="InternetLink"/>
                  <w:rFonts w:ascii="Times New Roman" w:hAnsi="Times New Roman"/>
                  <w:sz w:val="20"/>
                </w:rPr>
                <w:t>USE OF PROCEEDS</w:t>
              </w:r>
            </w:hyperlink>
          </w:p>
        </w:tc>
        <w:tc>
          <w:tcPr>
            <w:tcW w:w="1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jc w:val="right"/>
              <w:rPr/>
            </w:pPr>
            <w:r>
              <w:rPr/>
              <w:t>S-9</w:t>
            </w:r>
          </w:p>
        </w:tc>
        <w:tc>
          <w:tcPr>
            <w:tcW w:w="62" w:type="dxa"/>
            <w:tcBorders/>
            <w:shd w:fill="auto" w:val="clear"/>
            <w:vAlign w:val="bottom"/>
          </w:tcPr>
          <w:p>
            <w:pPr>
              <w:pStyle w:val="TableContents"/>
              <w:spacing w:before="0" w:after="283"/>
              <w:rPr/>
            </w:pPr>
            <w:r>
              <w:rPr/>
              <w:t> </w:t>
            </w:r>
          </w:p>
        </w:tc>
      </w:tr>
      <w:tr>
        <w:trPr/>
        <w:tc>
          <w:tcPr>
            <w:tcW w:w="9460" w:type="dxa"/>
            <w:tcBorders/>
            <w:shd w:fill="auto" w:val="clear"/>
            <w:vAlign w:val="bottom"/>
          </w:tcPr>
          <w:p>
            <w:pPr>
              <w:pStyle w:val="TableContents"/>
              <w:spacing w:before="0" w:after="0"/>
              <w:rPr/>
            </w:pPr>
            <w:hyperlink w:anchor="supptoc293656_6">
              <w:r>
                <w:rPr>
                  <w:rStyle w:val="InternetLink"/>
                  <w:rFonts w:ascii="Times New Roman" w:hAnsi="Times New Roman"/>
                  <w:sz w:val="20"/>
                </w:rPr>
                <w:t>DIVIDEND POLICY</w:t>
              </w:r>
            </w:hyperlink>
          </w:p>
        </w:tc>
        <w:tc>
          <w:tcPr>
            <w:tcW w:w="1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jc w:val="right"/>
              <w:rPr/>
            </w:pPr>
            <w:r>
              <w:rPr/>
              <w:t>S-10</w:t>
            </w:r>
          </w:p>
        </w:tc>
        <w:tc>
          <w:tcPr>
            <w:tcW w:w="62" w:type="dxa"/>
            <w:tcBorders/>
            <w:shd w:fill="auto" w:val="clear"/>
            <w:vAlign w:val="bottom"/>
          </w:tcPr>
          <w:p>
            <w:pPr>
              <w:pStyle w:val="TableContents"/>
              <w:spacing w:before="0" w:after="283"/>
              <w:rPr/>
            </w:pPr>
            <w:r>
              <w:rPr/>
              <w:t> </w:t>
            </w:r>
          </w:p>
        </w:tc>
      </w:tr>
      <w:tr>
        <w:trPr/>
        <w:tc>
          <w:tcPr>
            <w:tcW w:w="9460" w:type="dxa"/>
            <w:tcBorders/>
            <w:shd w:fill="auto" w:val="clear"/>
            <w:vAlign w:val="bottom"/>
          </w:tcPr>
          <w:p>
            <w:pPr>
              <w:pStyle w:val="TableContents"/>
              <w:spacing w:before="0" w:after="0"/>
              <w:rPr/>
            </w:pPr>
            <w:hyperlink w:anchor="supptoc293656_7">
              <w:r>
                <w:rPr>
                  <w:rStyle w:val="InternetLink"/>
                  <w:rFonts w:ascii="Times New Roman" w:hAnsi="Times New Roman"/>
                  <w:sz w:val="20"/>
                </w:rPr>
                <w:t>DILUTION</w:t>
              </w:r>
            </w:hyperlink>
          </w:p>
        </w:tc>
        <w:tc>
          <w:tcPr>
            <w:tcW w:w="1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jc w:val="right"/>
              <w:rPr/>
            </w:pPr>
            <w:r>
              <w:rPr/>
              <w:t>S-11</w:t>
            </w:r>
          </w:p>
        </w:tc>
        <w:tc>
          <w:tcPr>
            <w:tcW w:w="62" w:type="dxa"/>
            <w:tcBorders/>
            <w:shd w:fill="auto" w:val="clear"/>
            <w:vAlign w:val="bottom"/>
          </w:tcPr>
          <w:p>
            <w:pPr>
              <w:pStyle w:val="TableContents"/>
              <w:spacing w:before="0" w:after="283"/>
              <w:rPr/>
            </w:pPr>
            <w:r>
              <w:rPr/>
              <w:t> </w:t>
            </w:r>
          </w:p>
        </w:tc>
      </w:tr>
      <w:tr>
        <w:trPr/>
        <w:tc>
          <w:tcPr>
            <w:tcW w:w="9460" w:type="dxa"/>
            <w:tcBorders/>
            <w:shd w:fill="auto" w:val="clear"/>
            <w:vAlign w:val="bottom"/>
          </w:tcPr>
          <w:p>
            <w:pPr>
              <w:pStyle w:val="TableContents"/>
              <w:spacing w:before="0" w:after="0"/>
              <w:rPr/>
            </w:pPr>
            <w:hyperlink w:anchor="supptoc293656_8">
              <w:r>
                <w:rPr>
                  <w:rStyle w:val="InternetLink"/>
                  <w:rFonts w:ascii="Times New Roman" w:hAnsi="Times New Roman"/>
                  <w:sz w:val="20"/>
                </w:rPr>
                <w:t>PLAN OF DISTRIBUTION</w:t>
              </w:r>
            </w:hyperlink>
          </w:p>
        </w:tc>
        <w:tc>
          <w:tcPr>
            <w:tcW w:w="1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jc w:val="right"/>
              <w:rPr/>
            </w:pPr>
            <w:r>
              <w:rPr/>
              <w:t>S-12</w:t>
            </w:r>
          </w:p>
        </w:tc>
        <w:tc>
          <w:tcPr>
            <w:tcW w:w="62" w:type="dxa"/>
            <w:tcBorders/>
            <w:shd w:fill="auto" w:val="clear"/>
            <w:vAlign w:val="bottom"/>
          </w:tcPr>
          <w:p>
            <w:pPr>
              <w:pStyle w:val="TableContents"/>
              <w:spacing w:before="0" w:after="283"/>
              <w:rPr/>
            </w:pPr>
            <w:r>
              <w:rPr/>
              <w:t> </w:t>
            </w:r>
          </w:p>
        </w:tc>
      </w:tr>
      <w:tr>
        <w:trPr/>
        <w:tc>
          <w:tcPr>
            <w:tcW w:w="9460" w:type="dxa"/>
            <w:tcBorders/>
            <w:shd w:fill="auto" w:val="clear"/>
            <w:vAlign w:val="bottom"/>
          </w:tcPr>
          <w:p>
            <w:pPr>
              <w:pStyle w:val="TableContents"/>
              <w:spacing w:before="0" w:after="0"/>
              <w:rPr/>
            </w:pPr>
            <w:hyperlink w:anchor="supptoc293656_9">
              <w:r>
                <w:rPr>
                  <w:rStyle w:val="InternetLink"/>
                  <w:rFonts w:ascii="Times New Roman" w:hAnsi="Times New Roman"/>
                  <w:sz w:val="20"/>
                </w:rPr>
                <w:t>LEGAL MATTERS</w:t>
              </w:r>
            </w:hyperlink>
          </w:p>
        </w:tc>
        <w:tc>
          <w:tcPr>
            <w:tcW w:w="1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jc w:val="right"/>
              <w:rPr/>
            </w:pPr>
            <w:r>
              <w:rPr/>
              <w:t>S-13</w:t>
            </w:r>
          </w:p>
        </w:tc>
        <w:tc>
          <w:tcPr>
            <w:tcW w:w="62" w:type="dxa"/>
            <w:tcBorders/>
            <w:shd w:fill="auto" w:val="clear"/>
            <w:vAlign w:val="bottom"/>
          </w:tcPr>
          <w:p>
            <w:pPr>
              <w:pStyle w:val="TableContents"/>
              <w:spacing w:before="0" w:after="283"/>
              <w:rPr/>
            </w:pPr>
            <w:r>
              <w:rPr/>
              <w:t> </w:t>
            </w:r>
          </w:p>
        </w:tc>
      </w:tr>
      <w:tr>
        <w:trPr/>
        <w:tc>
          <w:tcPr>
            <w:tcW w:w="9460" w:type="dxa"/>
            <w:tcBorders/>
            <w:shd w:fill="auto" w:val="clear"/>
            <w:vAlign w:val="bottom"/>
          </w:tcPr>
          <w:p>
            <w:pPr>
              <w:pStyle w:val="TableContents"/>
              <w:spacing w:before="0" w:after="0"/>
              <w:rPr/>
            </w:pPr>
            <w:hyperlink w:anchor="supptoc293656_10">
              <w:r>
                <w:rPr>
                  <w:rStyle w:val="InternetLink"/>
                  <w:rFonts w:ascii="Times New Roman" w:hAnsi="Times New Roman"/>
                  <w:sz w:val="20"/>
                </w:rPr>
                <w:t>EXPERTS</w:t>
              </w:r>
            </w:hyperlink>
          </w:p>
        </w:tc>
        <w:tc>
          <w:tcPr>
            <w:tcW w:w="1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jc w:val="right"/>
              <w:rPr/>
            </w:pPr>
            <w:r>
              <w:rPr/>
              <w:t>S-13</w:t>
            </w:r>
          </w:p>
        </w:tc>
        <w:tc>
          <w:tcPr>
            <w:tcW w:w="62" w:type="dxa"/>
            <w:tcBorders/>
            <w:shd w:fill="auto" w:val="clear"/>
            <w:vAlign w:val="bottom"/>
          </w:tcPr>
          <w:p>
            <w:pPr>
              <w:pStyle w:val="TableContents"/>
              <w:spacing w:before="0" w:after="283"/>
              <w:rPr/>
            </w:pPr>
            <w:r>
              <w:rPr/>
              <w:t> </w:t>
            </w:r>
          </w:p>
        </w:tc>
      </w:tr>
      <w:tr>
        <w:trPr/>
        <w:tc>
          <w:tcPr>
            <w:tcW w:w="9460" w:type="dxa"/>
            <w:tcBorders/>
            <w:shd w:fill="auto" w:val="clear"/>
            <w:vAlign w:val="bottom"/>
          </w:tcPr>
          <w:p>
            <w:pPr>
              <w:pStyle w:val="TableContents"/>
              <w:spacing w:before="0" w:after="0"/>
              <w:rPr/>
            </w:pPr>
            <w:hyperlink w:anchor="supptoc293656_11">
              <w:r>
                <w:rPr>
                  <w:rStyle w:val="InternetLink"/>
                  <w:rFonts w:ascii="Times New Roman" w:hAnsi="Times New Roman"/>
                  <w:sz w:val="20"/>
                </w:rPr>
                <w:t>WHERE YOU CAN FIND MORE INFORMATION</w:t>
              </w:r>
            </w:hyperlink>
          </w:p>
        </w:tc>
        <w:tc>
          <w:tcPr>
            <w:tcW w:w="1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jc w:val="right"/>
              <w:rPr/>
            </w:pPr>
            <w:r>
              <w:rPr/>
              <w:t>S-13</w:t>
            </w:r>
          </w:p>
        </w:tc>
        <w:tc>
          <w:tcPr>
            <w:tcW w:w="62" w:type="dxa"/>
            <w:tcBorders/>
            <w:shd w:fill="auto" w:val="clear"/>
            <w:vAlign w:val="bottom"/>
          </w:tcPr>
          <w:p>
            <w:pPr>
              <w:pStyle w:val="TableContents"/>
              <w:spacing w:before="0" w:after="283"/>
              <w:rPr/>
            </w:pPr>
            <w:r>
              <w:rPr/>
              <w:t> </w:t>
            </w:r>
          </w:p>
        </w:tc>
      </w:tr>
      <w:tr>
        <w:trPr/>
        <w:tc>
          <w:tcPr>
            <w:tcW w:w="9460" w:type="dxa"/>
            <w:tcBorders/>
            <w:shd w:fill="auto" w:val="clear"/>
            <w:vAlign w:val="bottom"/>
          </w:tcPr>
          <w:p>
            <w:pPr>
              <w:pStyle w:val="TableContents"/>
              <w:spacing w:before="0" w:after="0"/>
              <w:rPr/>
            </w:pPr>
            <w:hyperlink w:anchor="supptoc293656_12">
              <w:r>
                <w:rPr>
                  <w:rStyle w:val="InternetLink"/>
                  <w:rFonts w:ascii="Times New Roman" w:hAnsi="Times New Roman"/>
                  <w:sz w:val="20"/>
                </w:rPr>
                <w:t>INCORPORATION OF CERTAIN INFORMATION BY REFERENCE</w:t>
              </w:r>
            </w:hyperlink>
          </w:p>
        </w:tc>
        <w:tc>
          <w:tcPr>
            <w:tcW w:w="14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0" w:type="dxa"/>
            <w:tcBorders/>
            <w:shd w:fill="auto" w:val="clear"/>
            <w:vAlign w:val="bottom"/>
          </w:tcPr>
          <w:p>
            <w:pPr>
              <w:pStyle w:val="TableContents"/>
              <w:spacing w:before="0" w:after="283"/>
              <w:jc w:val="right"/>
              <w:rPr/>
            </w:pPr>
            <w:r>
              <w:rPr/>
              <w:t>S-14</w:t>
            </w:r>
          </w:p>
        </w:tc>
        <w:tc>
          <w:tcPr>
            <w:tcW w:w="62" w:type="dxa"/>
            <w:tcBorders/>
            <w:shd w:fill="auto" w:val="clear"/>
            <w:vAlign w:val="bottom"/>
          </w:tcPr>
          <w:p>
            <w:pPr>
              <w:pStyle w:val="TableContents"/>
              <w:spacing w:before="0" w:after="283"/>
              <w:rPr/>
            </w:pPr>
            <w:r>
              <w:rPr/>
              <w:t>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8" w:name="supptoc293656_1"/>
      <w:bookmarkEnd w:id="18"/>
      <w:r>
        <w:rPr>
          <w:rFonts w:ascii="Times New Roman" w:hAnsi="Times New Roman"/>
          <w:b/>
          <w:sz w:val="20"/>
        </w:rPr>
        <w:t xml:space="preserve">ABOUT THIS PROSPECTUS SUPPLEMENT </w:t>
      </w:r>
    </w:p>
    <w:p>
      <w:pPr>
        <w:pStyle w:val="TextBody"/>
        <w:spacing w:before="240" w:after="0"/>
        <w:jc w:val="left"/>
        <w:rPr>
          <w:rFonts w:ascii="Times New Roman" w:hAnsi="Times New Roman"/>
          <w:sz w:val="20"/>
        </w:rPr>
      </w:pPr>
      <w:r>
        <w:rPr>
          <w:rFonts w:ascii="Times New Roman" w:hAnsi="Times New Roman"/>
          <w:sz w:val="20"/>
        </w:rPr>
        <w:t xml:space="preserve">This prospectus supplement and the accompanying prospectus are part of a registration statement that we filed with the Securities and Exchange Commission, which we refer to as the SEC, utilizing the shelf registration process. Under this shelf registration process, we may from time to time offer shares of our common stock having an aggregate offering price of up to $150,000,000 under this prospectus supplement at prices and on terms to be determined by market conditions at the time of each such offering. </w:t>
      </w:r>
    </w:p>
    <w:p>
      <w:pPr>
        <w:pStyle w:val="TextBody"/>
        <w:spacing w:before="240" w:after="0"/>
        <w:jc w:val="left"/>
        <w:rPr>
          <w:rFonts w:ascii="Times New Roman" w:hAnsi="Times New Roman"/>
          <w:sz w:val="20"/>
        </w:rPr>
      </w:pPr>
      <w:r>
        <w:rPr>
          <w:rFonts w:ascii="Times New Roman" w:hAnsi="Times New Roman"/>
          <w:sz w:val="20"/>
        </w:rPr>
        <w:t xml:space="preserve">We are providing information to you about this offering of our common stock in two parts. The first part is this prospectus supplement, which provides you with specific information regarding the terms of this offering and our common stock, and also adds to and updates information contained in the accompanying prospectus and the documents incorporated by reference in this prospectus supplement and the accompanying prospectus. The second part is the accompanying prospectus, which provides more general information, some of which does not apply to this offering of our common stock. </w:t>
      </w:r>
    </w:p>
    <w:p>
      <w:pPr>
        <w:pStyle w:val="TextBody"/>
        <w:spacing w:before="240" w:after="0"/>
        <w:jc w:val="left"/>
        <w:rPr>
          <w:rFonts w:ascii="Times New Roman" w:hAnsi="Times New Roman"/>
          <w:sz w:val="20"/>
        </w:rPr>
      </w:pPr>
      <w:r>
        <w:rPr>
          <w:rFonts w:ascii="Times New Roman" w:hAnsi="Times New Roman"/>
          <w:sz w:val="20"/>
        </w:rPr>
        <w:t xml:space="preserve">Before buying any of the common stock that we are offering, we urge you to carefully read this prospectus supplement and all of the information incorporated by reference herein, as well as the additional information described under the headings Where You Can Find More Information and Incorporation of Certain Information by Reference. These documents contain important information that you should consider when making your investment decision. </w:t>
      </w:r>
    </w:p>
    <w:p>
      <w:pPr>
        <w:pStyle w:val="TextBody"/>
        <w:spacing w:before="240" w:after="0"/>
        <w:jc w:val="left"/>
        <w:rPr>
          <w:rFonts w:ascii="Times New Roman" w:hAnsi="Times New Roman"/>
          <w:sz w:val="20"/>
        </w:rPr>
      </w:pPr>
      <w:r>
        <w:rPr>
          <w:rFonts w:ascii="Times New Roman" w:hAnsi="Times New Roman"/>
          <w:sz w:val="20"/>
        </w:rPr>
        <w:t xml:space="preserve">To the extent there is a conflict between the information contained in this prospectus supplement, on the one hand, and the information contained in any document incorporated by reference in this prospectus supplement that was filed with the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 </w:t>
      </w:r>
    </w:p>
    <w:p>
      <w:pPr>
        <w:pStyle w:val="TextBody"/>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spacing w:before="240" w:after="0"/>
        <w:jc w:val="left"/>
        <w:rPr>
          <w:rFonts w:ascii="Times New Roman" w:hAnsi="Times New Roman"/>
          <w:sz w:val="20"/>
        </w:rPr>
      </w:pPr>
      <w:r>
        <w:rPr>
          <w:rFonts w:ascii="Times New Roman" w:hAnsi="Times New Roman"/>
          <w:sz w:val="20"/>
        </w:rPr>
        <w:t xml:space="preserve">We have not, and Cantor Fitzgerald and Credit Suisse have not, authorized anyone to provide you with any information other than that contained or incorporated by reference in this prospectus supplement and in the accompanying prospectus or in any related free writing prospectus that we authorize for use in connection with this offering and to which we have referred you. We take no responsibility for, and can provide no assurance as to the reliability of, any other information that others may give you. If anyone provides you with different or inconsistent information, you should not rely on it. You should assume that the information appearing in this prospectus supplement, the documents incorporated by reference and the accompanying prospectus or free writing prospectus is accurate only as of their respective dates. Our business, financial condition, results of operations and prospects may have changed materially since those dates. </w:t>
      </w:r>
    </w:p>
    <w:p>
      <w:pPr>
        <w:pStyle w:val="TextBody"/>
        <w:spacing w:before="240" w:after="0"/>
        <w:jc w:val="left"/>
        <w:rPr>
          <w:rFonts w:ascii="Times New Roman" w:hAnsi="Times New Roman"/>
          <w:sz w:val="20"/>
        </w:rPr>
      </w:pPr>
      <w:r>
        <w:rPr>
          <w:rFonts w:ascii="Times New Roman" w:hAnsi="Times New Roman"/>
          <w:sz w:val="20"/>
        </w:rPr>
        <w:t xml:space="preserve">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w:t>
      </w:r>
    </w:p>
    <w:p>
      <w:pPr>
        <w:pStyle w:val="TextBody"/>
        <w:spacing w:before="240" w:after="0"/>
        <w:jc w:val="left"/>
        <w:rPr>
          <w:rFonts w:ascii="Times New Roman" w:hAnsi="Times New Roman"/>
          <w:sz w:val="20"/>
        </w:rPr>
      </w:pPr>
      <w:r>
        <w:rPr>
          <w:rFonts w:ascii="Times New Roman" w:hAnsi="Times New Roman"/>
          <w:sz w:val="20"/>
        </w:rPr>
        <w:t xml:space="preserve">Unless the context otherwise indicates, references in this prospectus supplement, the accompanying prospectus and the information incorporated by reference herein and therein to ALX Oncology Holdings, we, our and us refer, collectively, to ALX Oncology Holdings Inc., a Delaware corporation, and its consolidated subsidiaries.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9" w:name="supptoc293656_2"/>
      <w:bookmarkEnd w:id="19"/>
      <w:r>
        <w:rPr>
          <w:rFonts w:ascii="Times New Roman" w:hAnsi="Times New Roman"/>
          <w:b/>
          <w:sz w:val="20"/>
        </w:rPr>
        <w:t xml:space="preserve">SPECIAL NOTE REGARDING FORWARD-LOOKING STATEMENTS </w:t>
      </w:r>
    </w:p>
    <w:p>
      <w:pPr>
        <w:pStyle w:val="TextBody"/>
        <w:spacing w:before="240" w:after="0"/>
        <w:jc w:val="left"/>
        <w:rPr>
          <w:rFonts w:ascii="Times New Roman" w:hAnsi="Times New Roman"/>
          <w:sz w:val="20"/>
        </w:rPr>
      </w:pPr>
      <w:r>
        <w:rPr>
          <w:rFonts w:ascii="Times New Roman" w:hAnsi="Times New Roman"/>
          <w:sz w:val="20"/>
        </w:rPr>
        <w:t xml:space="preserve">This prospectus supplement, the accompanying prospectus, and the documents incorporated by reference herein and therein, contain forward-looking statements. All statements other than statements of historical facts contained in this prospectus supplement, the accompanying prospectus, and the documents incorporated by reference herein and therein,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 </w:t>
      </w:r>
    </w:p>
    <w:p>
      <w:pPr>
        <w:pStyle w:val="TextBody"/>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supplement, the accompanying prospectus, and the documents incorporated by reference herein and therein include, but are not limited to, statements about: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sufficiency of our existing cash to fund our future operating expenses and capital expenditure requirements;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accuracy of our estimates regarding expenses, future revenue, capital requirements, and needs for additional financing;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plans relating to commercializing our product candidates, if approved, including the geographic areas of focus and our ability to grow a sales team;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implementation of our strategic plans for our business and product candidates;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reliance on third parties to conduct preclinical research activities, clinical trials, and for the manufacture of our product candidates;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beneficial characteristics, safety, efficacy and therapeutic effects of our product candidates;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progress and focus of our current and future clinical trials, and the reporting of data from those trials;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advance product candidates into and successfully complete clinical trials;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ability of our clinical trials to demonstrate the safety and efficacy of our product candidates, and other positive results;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success of competing therapies that are or may become available;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developments relating to our competitors and our industry, including competing product candidates and therapies;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plans relating to the further development and manufacturing of our product candidates, including additional indications that we may pursue;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existing regulations and regulatory developments in the United States and other jurisdictions;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potential and ability to successfully manufacture and supply our product candidates for clinical trials and for commercial use, if approved;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continued reliance on third parties to conduct additional clinical trials of our product candidates, and for the manufacture of our product candidates;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plans and ability to obtain or protect intellectual property rights, including extensions of existing patent terms where available;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scope of protection we are able to establish and maintain for intellectual property rights, including our technology platform and product candidates;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retain the continued service of our key personnel and to identify, hire, and then retain additional qualified personnel;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expectations regarding the impact of the COVID-19 pandemic or geopolitical risks on our business;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plans for and prospects of our acquisitions and other business development activities, and our ability to successfully capitalize on these opportunities;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anticipated use of our existing cash, cash equivalents and investments;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expectations related to the use of proceeds from this offering. </w:t>
            </w:r>
          </w:p>
        </w:tc>
      </w:tr>
    </w:tbl>
    <w:p>
      <w:pPr>
        <w:pStyle w:val="TextBody"/>
        <w:spacing w:before="240" w:after="0"/>
        <w:jc w:val="left"/>
        <w:rPr>
          <w:rFonts w:ascii="Times New Roman" w:hAnsi="Times New Roman"/>
          <w:sz w:val="20"/>
        </w:rPr>
      </w:pPr>
      <w:r>
        <w:rPr>
          <w:rFonts w:ascii="Times New Roman" w:hAnsi="Times New Roman"/>
          <w:sz w:val="20"/>
        </w:rPr>
        <w:t xml:space="preserve">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supplement and are subject to a number of risks, uncertainties and assumptions described in the section titled Risk Factors and elsewhere in this prospectus supplement, the accompanying prospectus, and the documents incorporated by reference herein and therein.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supplement, whether as a result of any new information, future events or otherwise. </w:t>
      </w:r>
    </w:p>
    <w:p>
      <w:pPr>
        <w:pStyle w:val="TextBody"/>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bookmarkStart w:id="20" w:name="supptoc293656_3"/>
      <w:bookmarkEnd w:id="20"/>
      <w:r>
        <w:rPr>
          <w:rFonts w:ascii="Times New Roman" w:hAnsi="Times New Roman"/>
          <w:b/>
          <w:sz w:val="20"/>
          <w:bdr w:val="single" w:sz="8" w:space="1" w:color="000000"/>
        </w:rPr>
        <w:t xml:space="preserve">PROSPECTUS SUPPLEMENT SUMMARY </w:t>
      </w:r>
    </w:p>
    <w:p>
      <w:pPr>
        <w:pStyle w:val="TextBody"/>
        <w:spacing w:before="120" w:after="0"/>
        <w:jc w:val="left"/>
        <w:rPr>
          <w:rFonts w:ascii="Times New Roman" w:hAnsi="Times New Roman"/>
          <w:sz w:val="20"/>
          <w:bdr w:val="single" w:sz="8" w:space="1" w:color="000000"/>
        </w:rPr>
      </w:pPr>
      <w:r>
        <w:rPr>
          <w:rFonts w:ascii="Times New Roman" w:hAnsi="Times New Roman"/>
          <w:i/>
          <w:sz w:val="20"/>
          <w:bdr w:val="single" w:sz="8" w:space="1" w:color="000000"/>
        </w:rPr>
        <w:t>This summary highlights selected information contained elsewhere in this prospectus supplement, the accompanying prospectus and in the documents we incorporate by reference. This summary does not contain all of the information you should consider before making an investment decision. You should read this entire prospectus supplement and the accompanying prospectus carefully, especially the risks of investing in our common stock discussed under Risk Factors beginning on page S-7</w:t>
      </w:r>
      <w:r>
        <w:rPr>
          <w:rFonts w:ascii="Times New Roman" w:hAnsi="Times New Roman"/>
          <w:sz w:val="20"/>
          <w:bdr w:val="single" w:sz="8" w:space="1" w:color="000000"/>
        </w:rPr>
        <w:t xml:space="preserve"> </w:t>
      </w:r>
      <w:r>
        <w:rPr>
          <w:rFonts w:ascii="Times New Roman" w:hAnsi="Times New Roman"/>
          <w:i/>
          <w:sz w:val="20"/>
          <w:bdr w:val="single" w:sz="8" w:space="1" w:color="000000"/>
        </w:rPr>
        <w:t>of this prospectus supplement, the Risk Factors section of our most recent Annual Report on Form 10-K, as may be updated by our subsequent Quarterly Reports on Form 10-Q, along with our consolidated financial statements and notes to those consolidated financial statements and the other information incorporated by reference in this prospectus supplement and the accompanying prospectus and in our filings with the SEC.</w:t>
      </w:r>
      <w:r>
        <w:rPr>
          <w:rFonts w:ascii="Times New Roman" w:hAnsi="Times New Roman"/>
          <w:sz w:val="20"/>
          <w:bdr w:val="single" w:sz="8" w:space="1" w:color="000000"/>
        </w:rPr>
        <w:t xml:space="preserve">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ALX Oncology Holdings Inc.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immuno-oncology company focused on helping patients fight cancer by developing therapies that focus on the CD47-SIRPα checkpoint pathway and bridge the innate and adaptive immune system. Cancer cells leverage CD47, a cell surface protein, as a dont eat me signal, to evade detection by the immune system. Our lead program is a next-generation checkpoint inhibitor designed to have a high affinity for CD47 and to avoid the limitations caused by hematologic toxicities inherent in other CD47 blocking approaches. We believe our lead product candidate, evorpacept (formerly known as ALX148), will have a wide therapeutic window to block the dont eat me signal on cancer cells, and to leverage the immune activation of broadly used anti-cancer agents through combination strategies. We have dosed over 200 subjects with evorpacept across a range of hematologic and solid malignancies in combination with a number of leading anti-cancer agents. We intend to continue clinical development for the treatment of a range of solid tumor indications and for the treatment of hematologic malignancies, including myelodysplastic syndromes, or MDS, and acute myeloid leukemia, or AML. We plan to initiate additional studies in combination with leading anti-cancer agents. Based on our clinical results to date in multiple oncology indications showing encouraging anti-tumor activity and tolerability and our clinical development plans, our strategy is to pursue evorpacept as a potentially critical component for future combination treatments in oncology. Our second program combines our companys SIRPα antibodies with Tallac Therapeutics toll-like receptor 9 agonist antibody conjugate to deliver a potent immune activator to myeloid cells in the tumor to promote innate and adaptive anti-cancer immune responses.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Information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Company was formed as a Delaware corporation on April 1, 2020 for the purpose of completing the Companys initial public offering of its common stock and related transactions in order to carry on the business of ALX Oncology Limited. Subsequently, ALX Oncology Limited became a wholly-owned subsidiary of the Company as a result of the internal reorganization. Our office is located at 323 Allerton Avenue, South San Francisco, California 94080. Our telephone number is 650-466-7125. Our website address is https://www.alxoncology.com. Information contained on, or that can be accessed through, our website is not incorporated by reference into this prospectus supplement and should not be considered to be part of this prospectus supplement or the accompanying prospectus. We have included our website address in this prospectus supplement and the accompanying prospectus solely as an inactive textual reference.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20"/>
              </w:rPr>
            </w:pPr>
            <w:r>
              <w:rPr>
                <w:rFonts w:ascii="Times New Roman" w:hAnsi="Times New Roman"/>
                <w:b/>
                <w:sz w:val="20"/>
              </w:rPr>
              <w:t>Common stock offered by us</w:t>
            </w:r>
            <w:r>
              <w:rPr>
                <w:rFonts w:ascii="Times New Roman" w:hAnsi="Times New Roman"/>
                <w:sz w:val="20"/>
              </w:rPr>
              <w:t xml:space="preserve"> </w:t>
            </w:r>
          </w:p>
        </w:tc>
        <w:tc>
          <w:tcPr>
            <w:tcW w:w="6329" w:type="dxa"/>
            <w:tcBorders/>
            <w:shd w:fill="auto" w:val="clear"/>
          </w:tcPr>
          <w:p>
            <w:pPr>
              <w:pStyle w:val="TableContents"/>
              <w:spacing w:before="0" w:after="283"/>
              <w:rPr/>
            </w:pPr>
            <w:r>
              <w:rPr/>
              <w:t xml:space="preserve">Shares of our common stock having an aggregate offering price of up to $150,000,000.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20"/>
              </w:rPr>
            </w:pPr>
            <w:r>
              <w:rPr>
                <w:rFonts w:ascii="Times New Roman" w:hAnsi="Times New Roman"/>
                <w:b/>
                <w:sz w:val="20"/>
              </w:rPr>
              <w:t>Shares of common stock outstanding before this offering</w:t>
            </w:r>
            <w:r>
              <w:rPr>
                <w:rFonts w:ascii="Times New Roman" w:hAnsi="Times New Roman"/>
                <w:sz w:val="20"/>
              </w:rPr>
              <w:t xml:space="preserve"> </w:t>
            </w:r>
          </w:p>
        </w:tc>
        <w:tc>
          <w:tcPr>
            <w:tcW w:w="6329" w:type="dxa"/>
            <w:tcBorders/>
            <w:shd w:fill="auto" w:val="clear"/>
          </w:tcPr>
          <w:p>
            <w:pPr>
              <w:pStyle w:val="TableContents"/>
              <w:spacing w:before="0" w:after="283"/>
              <w:rPr/>
            </w:pPr>
            <w:r>
              <w:rPr/>
              <w:t xml:space="preserve">40,656,632 shares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20"/>
              </w:rPr>
            </w:pPr>
            <w:r>
              <w:rPr>
                <w:rFonts w:ascii="Times New Roman" w:hAnsi="Times New Roman"/>
                <w:b/>
                <w:sz w:val="20"/>
              </w:rPr>
              <w:t>Common stock to be outstanding after this offering</w:t>
            </w:r>
            <w:r>
              <w:rPr>
                <w:rFonts w:ascii="Times New Roman" w:hAnsi="Times New Roman"/>
                <w:sz w:val="20"/>
              </w:rPr>
              <w:t xml:space="preserve"> </w:t>
            </w:r>
          </w:p>
        </w:tc>
        <w:tc>
          <w:tcPr>
            <w:tcW w:w="6329" w:type="dxa"/>
            <w:tcBorders/>
            <w:shd w:fill="auto" w:val="clear"/>
          </w:tcPr>
          <w:p>
            <w:pPr>
              <w:pStyle w:val="TableContents"/>
              <w:spacing w:before="0" w:after="283"/>
              <w:rPr/>
            </w:pPr>
            <w:r>
              <w:rPr/>
              <w:t xml:space="preserve">Up to 57,323,298 shares, assuming the sale of $150,000,000 of shares of our common stock at a price of $9.00 per share, which was the closing price of our common stock on the Nasdaq Global Select Market on May 12, 2022. The actual number of shares issued will vary depending on the sales price under this offering. In addition, as there is no minimum offering amount required as a condition to close this offering, the actual number of shares that may be sold is not determinable at this time. See Dilution beginning on page S-11 of this prospectus supplement.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20"/>
              </w:rPr>
            </w:pPr>
            <w:r>
              <w:rPr>
                <w:rFonts w:ascii="Times New Roman" w:hAnsi="Times New Roman"/>
                <w:b/>
                <w:sz w:val="20"/>
              </w:rPr>
              <w:t>Plan of Distribution</w:t>
            </w:r>
            <w:r>
              <w:rPr>
                <w:rFonts w:ascii="Times New Roman" w:hAnsi="Times New Roman"/>
                <w:sz w:val="20"/>
              </w:rPr>
              <w:t xml:space="preserve"> </w:t>
            </w:r>
          </w:p>
        </w:tc>
        <w:tc>
          <w:tcPr>
            <w:tcW w:w="6328" w:type="dxa"/>
            <w:tcBorders/>
            <w:shd w:fill="auto" w:val="clear"/>
          </w:tcPr>
          <w:p>
            <w:pPr>
              <w:pStyle w:val="TableContents"/>
              <w:spacing w:before="0" w:after="283"/>
              <w:rPr/>
            </w:pPr>
            <w:r>
              <w:rPr/>
              <w:t xml:space="preserve">At the market offering that may be made from time to time through, at our option, either of our sales agents, Cantor Fitzgerald and Credit Suisse. See Plan of Distribution beginning on page S-12 of this prospectus supplement.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5"/>
        <w:gridCol w:w="6330"/>
      </w:tblGrid>
      <w:tr>
        <w:trPr/>
        <w:tc>
          <w:tcPr>
            <w:tcW w:w="3875" w:type="dxa"/>
            <w:tcBorders/>
            <w:shd w:fill="auto" w:val="clear"/>
          </w:tcPr>
          <w:p>
            <w:pPr>
              <w:pStyle w:val="TableContents"/>
              <w:spacing w:before="0" w:after="20"/>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30" w:type="dxa"/>
            <w:tcBorders/>
            <w:shd w:fill="auto" w:val="clear"/>
          </w:tcPr>
          <w:p>
            <w:pPr>
              <w:pStyle w:val="TableContents"/>
              <w:spacing w:before="0" w:after="283"/>
              <w:rPr/>
            </w:pPr>
            <w:r>
              <w:rPr/>
              <w:t xml:space="preserve">We currently intend to use the net proceeds from this offering, together with our existing cash, cash equivalents and investments, for the clinical and other developmental work associated with advancing evorpacept (formerly known as ALX148) and for working capital and other general corporate purposes.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vAlign w:val="center"/>
          </w:tcPr>
          <w:p>
            <w:pPr>
              <w:pStyle w:val="TableContents"/>
              <w:spacing w:before="0" w:after="283"/>
              <w:rPr/>
            </w:pPr>
            <w:r>
              <w:rPr/>
              <w:t> </w:t>
            </w:r>
          </w:p>
        </w:tc>
        <w:tc>
          <w:tcPr>
            <w:tcW w:w="6328" w:type="dxa"/>
            <w:tcBorders/>
            <w:shd w:fill="auto" w:val="clear"/>
          </w:tcPr>
          <w:p>
            <w:pPr>
              <w:pStyle w:val="TableContents"/>
              <w:spacing w:before="0" w:after="283"/>
              <w:jc w:val="left"/>
              <w:rPr/>
            </w:pPr>
            <w:r>
              <w:rPr/>
              <w:t xml:space="preserve">See Use of Proceeds beginning on page S-9 of this prospectus supplement for more information.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27" w:type="dxa"/>
            <w:tcBorders/>
            <w:shd w:fill="auto" w:val="clear"/>
          </w:tcPr>
          <w:p>
            <w:pPr>
              <w:pStyle w:val="TableContents"/>
              <w:spacing w:before="0" w:after="283"/>
              <w:rPr/>
            </w:pPr>
            <w:r>
              <w:rPr/>
              <w:t xml:space="preserve">You should read the Risk Factors section of this prospectus supplement, as well as those risk factors that are incorporated by reference in this prospectus supplement and the accompanying prospectus, for a discussion of factors to consider carefully before deciding to purchase shares of our common stock.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sz w:val="20"/>
              </w:rPr>
            </w:pPr>
            <w:r>
              <w:rPr>
                <w:rFonts w:ascii="Times New Roman" w:hAnsi="Times New Roman"/>
                <w:b/>
                <w:sz w:val="20"/>
              </w:rPr>
              <w:t>Nasdaq Global Select Market symbol</w:t>
            </w:r>
            <w:r>
              <w:rPr>
                <w:rFonts w:ascii="Times New Roman" w:hAnsi="Times New Roman"/>
                <w:sz w:val="20"/>
              </w:rPr>
              <w:t xml:space="preserve"> </w:t>
            </w:r>
          </w:p>
        </w:tc>
        <w:tc>
          <w:tcPr>
            <w:tcW w:w="6327" w:type="dxa"/>
            <w:tcBorders/>
            <w:shd w:fill="auto" w:val="clear"/>
          </w:tcPr>
          <w:p>
            <w:pPr>
              <w:pStyle w:val="TableContents"/>
              <w:spacing w:before="0" w:after="283"/>
              <w:rPr/>
            </w:pPr>
            <w:r>
              <w:rPr/>
              <w:t xml:space="preserve">ALXO </w:t>
            </w:r>
          </w:p>
        </w:tc>
      </w:tr>
    </w:tbl>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to be outstanding after this offering is based on 40,656,632 shares of our common stock outstanding as March 31, 2022.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to be outstanding after this offering excludes: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4,944,796 shares of our common stock issuable upon the exercise of options outstanding as of March 31, 2022, at a weighted-average exercise price of $23.65 per share;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500,387 shares of our common stock issuable pursuant to restricted stock units outstanding as of March 31, 2022;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159,500 shares of our common stock issuable upon the exercise of options granted after March 31, 2022, at a weighted-average exercise price of $12.08 per share;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4,660,347 shares of our common stock reserved for issuance pursuant to future awards under our Amended and Restated 2020 Equity Incentive Plan, or the 2020 Plan, as of March 31, 2022, plus any future increases in the number of shares of common stock reserved for issuance under our 2020 Plan pursuant to provisions thereof that automatically increase the share reserve under the plan each year; and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1,196,693 shares of our common stock reserved for future issuance under our 2020 Employee Stock Purchase Plan, or the ESPP, plus any future increases in the number of shares of common stock reserved for issuance under the ESPP pursuant to provisions thereof that automatically increase the share reserve under the plan each year.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1" w:name="supptoc293656_4"/>
      <w:bookmarkEnd w:id="21"/>
      <w:r>
        <w:rPr>
          <w:rFonts w:ascii="Times New Roman" w:hAnsi="Times New Roman"/>
          <w:b/>
          <w:sz w:val="20"/>
        </w:rPr>
        <w:t xml:space="preserve">RISK FACTORS </w:t>
      </w:r>
    </w:p>
    <w:p>
      <w:pPr>
        <w:pStyle w:val="TextBody"/>
        <w:spacing w:before="240" w:after="0"/>
        <w:jc w:val="left"/>
        <w:rPr>
          <w:rFonts w:ascii="Times New Roman" w:hAnsi="Times New Roman"/>
          <w:sz w:val="20"/>
        </w:rPr>
      </w:pPr>
      <w:r>
        <w:rPr>
          <w:rFonts w:ascii="Times New Roman" w:hAnsi="Times New Roman"/>
          <w:sz w:val="20"/>
        </w:rPr>
        <w:t xml:space="preserve">Investing in our securities involves a high degree of risk. Before making a decision to invest in our securities, in addition to carefully considering the other information contained in this prospectus supplement, in the accompanying prospectus and incorporated by reference herein or therein, you should carefully consider the risks described under the caption Risk Factors contained in the accompanying prospectus, and any related free writing prospectus, and the risks discussed under the caption Risk Factors contained in our most recent Annual Report on Form 10-K and in our most recent Quarterly Reports on Form 10-Q, as well as any amendments thereto, which are incorporated by reference into this prospectus supplement in their entirety, together with other information in this prospectus supplement, the documents incorporated by reference, and any free writing prospectus that we may authorize for use in connection with a specific offering. See Where You Can Find More Information and Incorporation of Certain Information by Reference. </w:t>
      </w:r>
    </w:p>
    <w:p>
      <w:pPr>
        <w:pStyle w:val="TextBody"/>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spacing w:before="120" w:after="0"/>
        <w:jc w:val="left"/>
        <w:rPr>
          <w:rFonts w:ascii="Times New Roman" w:hAnsi="Times New Roman"/>
          <w:b/>
          <w:i/>
          <w:sz w:val="20"/>
        </w:rPr>
      </w:pPr>
      <w:r>
        <w:rPr>
          <w:rFonts w:ascii="Times New Roman" w:hAnsi="Times New Roman"/>
          <w:b/>
          <w:i/>
          <w:sz w:val="20"/>
        </w:rPr>
        <w:t xml:space="preserve">Investors in this offering will pay a much higher price than the book value of our common stock and therefore you will incur immediate and substantial dilution of your investment. </w:t>
      </w:r>
    </w:p>
    <w:p>
      <w:pPr>
        <w:pStyle w:val="TextBody"/>
        <w:spacing w:before="120" w:after="0"/>
        <w:jc w:val="left"/>
        <w:rPr>
          <w:rFonts w:ascii="Times New Roman" w:hAnsi="Times New Roman"/>
          <w:sz w:val="20"/>
        </w:rPr>
      </w:pPr>
      <w:r>
        <w:rPr>
          <w:rFonts w:ascii="Times New Roman" w:hAnsi="Times New Roman"/>
          <w:sz w:val="20"/>
        </w:rPr>
        <w:t xml:space="preserve">The public offering price of our common stock in this offering will be substantially higher than the net tangible book value per common share based on the total value of our tangible assets less our total liabilities immediately following this offering. Assuming that an aggregate of 16,666,666 shares of our common stock are sold at a price of $9.00 per share pursuant to this prospectus supplement, which was the last sale price of our common stock as reported on The Nasdaq Global Select Market on May 12, 2022, for an aggregate offering price of approximately $150,000,000 in this offering, and after deducting estimated commissions and estimated aggregate offering expenses payable by us, you would experience immediate and substantial dilution of approximately $0.48 per share, representing the difference between our adjusted net tangible book value per share as of March 31, 2022 after giving effect to this offering and the assumed public offering price. For a further description of the dilution that you will experience immediately after this offering, see the section titled Dilution. </w:t>
      </w:r>
    </w:p>
    <w:p>
      <w:pPr>
        <w:pStyle w:val="TextBody"/>
        <w:spacing w:before="360" w:after="0"/>
        <w:jc w:val="left"/>
        <w:rPr>
          <w:rFonts w:ascii="Times New Roman" w:hAnsi="Times New Roman"/>
          <w:b/>
          <w:i/>
          <w:sz w:val="20"/>
        </w:rPr>
      </w:pPr>
      <w:r>
        <w:rPr>
          <w:rFonts w:ascii="Times New Roman" w:hAnsi="Times New Roman"/>
          <w:b/>
          <w:i/>
          <w:sz w:val="20"/>
        </w:rPr>
        <w:t xml:space="preserve">Sales of a substantial number of shares of our common stock in the public market could cause our stock price to fall. </w:t>
      </w:r>
    </w:p>
    <w:p>
      <w:pPr>
        <w:pStyle w:val="TextBody"/>
        <w:spacing w:before="120" w:after="0"/>
        <w:jc w:val="left"/>
        <w:rPr>
          <w:rFonts w:ascii="Times New Roman" w:hAnsi="Times New Roman"/>
          <w:sz w:val="20"/>
        </w:rPr>
      </w:pPr>
      <w:r>
        <w:rPr>
          <w:rFonts w:ascii="Times New Roman" w:hAnsi="Times New Roman"/>
          <w:sz w:val="20"/>
        </w:rPr>
        <w:t xml:space="preserve">Sales of a substantial number of shares of our common stock in the public market could occur at any time. As of March 31, 2022, we had 40,656,632 shares of our common stock outstanding. If our stockholders sell, or the market perceives that our stockholders intend to sell, substantial amount of our common stock in the public market, the market price of our common stock could decline significantly. </w:t>
      </w:r>
    </w:p>
    <w:p>
      <w:pPr>
        <w:pStyle w:val="TextBody"/>
        <w:spacing w:before="240" w:after="0"/>
        <w:jc w:val="left"/>
        <w:rPr>
          <w:rFonts w:ascii="Times New Roman" w:hAnsi="Times New Roman"/>
          <w:sz w:val="20"/>
        </w:rPr>
      </w:pPr>
      <w:r>
        <w:rPr>
          <w:rFonts w:ascii="Times New Roman" w:hAnsi="Times New Roman"/>
          <w:sz w:val="20"/>
        </w:rPr>
        <w:t xml:space="preserve">Shares issued upon the exercise of stock options outstanding under our equity incentive plans or pursuant to future awards granted under those plans will become available for sale in the public market to the extent permitted by the provisions of applicable vesting schedules and Rule 144 and Rule 701 under the Securities Act. </w:t>
      </w:r>
    </w:p>
    <w:p>
      <w:pPr>
        <w:pStyle w:val="TextBody"/>
        <w:spacing w:before="240" w:after="0"/>
        <w:jc w:val="left"/>
        <w:rPr>
          <w:rFonts w:ascii="Times New Roman" w:hAnsi="Times New Roman"/>
          <w:sz w:val="20"/>
        </w:rPr>
      </w:pPr>
      <w:r>
        <w:rPr>
          <w:rFonts w:ascii="Times New Roman" w:hAnsi="Times New Roman"/>
          <w:sz w:val="20"/>
        </w:rPr>
        <w:t xml:space="preserve">Moreover, certain holders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Our management team will have broad discretion to use the net proceeds from this offering and its investment of these proceeds may not yield a favorable return. </w:t>
      </w:r>
    </w:p>
    <w:p>
      <w:pPr>
        <w:pStyle w:val="TextBody"/>
        <w:spacing w:before="120" w:after="0"/>
        <w:jc w:val="left"/>
        <w:rPr>
          <w:rFonts w:ascii="Times New Roman" w:hAnsi="Times New Roman"/>
          <w:sz w:val="20"/>
        </w:rPr>
      </w:pPr>
      <w:r>
        <w:rPr>
          <w:rFonts w:ascii="Times New Roman" w:hAnsi="Times New Roman"/>
          <w:sz w:val="20"/>
        </w:rPr>
        <w:t xml:space="preserve">Our management team will have broad discretion in the application of the net proceeds from this offering and could spend or invest the proceeds in ways with which our stockholders disagree. Accordingly, investors will need to rely on our management teams judgment with respect to the use of these proceeds. We intend to use the proceeds from this offering in the manner described in the section titled Use of Proceeds. The failure by management to apply these funds effectively could negatively affect our ability to operate and grow our business. We cannot specify with certainty all of the particular uses for the net proceeds to be received upon the completion of this offering. In addition, the amount, allocation and timing of our actual expenditures will depend upon numerous factors, including any milestone payments received from any future strategic partnerships and royalties on sales of any future approved product. Accordingly, we will have broad discretion in using these proceeds. Until the net proceeds are used, they may be placed in investments that do not produce significant income or that may lose. </w:t>
      </w:r>
    </w:p>
    <w:p>
      <w:pPr>
        <w:pStyle w:val="TextBody"/>
        <w:spacing w:before="360" w:after="0"/>
        <w:jc w:val="left"/>
        <w:rPr>
          <w:rFonts w:ascii="Times New Roman" w:hAnsi="Times New Roman"/>
          <w:b/>
          <w:i/>
          <w:sz w:val="20"/>
        </w:rPr>
      </w:pPr>
      <w:r>
        <w:rPr>
          <w:rFonts w:ascii="Times New Roman" w:hAnsi="Times New Roman"/>
          <w:b/>
          <w:i/>
          <w:sz w:val="20"/>
        </w:rPr>
        <w:t xml:space="preserve">We do not anticipate paying cash dividends and, accordingly, stockholders must rely on share appreciation for any return on their investment. </w:t>
      </w:r>
    </w:p>
    <w:p>
      <w:pPr>
        <w:pStyle w:val="TextBody"/>
        <w:spacing w:before="120" w:after="0"/>
        <w:jc w:val="left"/>
        <w:rPr>
          <w:rFonts w:ascii="Times New Roman" w:hAnsi="Times New Roman"/>
          <w:sz w:val="20"/>
        </w:rPr>
      </w:pPr>
      <w:r>
        <w:rPr>
          <w:rFonts w:ascii="Times New Roman" w:hAnsi="Times New Roman"/>
          <w:sz w:val="20"/>
        </w:rPr>
        <w:t xml:space="preserve">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See the section titled Dividend Policy. In addition, the Loan Agreement restricts our ability to pay dividends or make other distributions. As a result, capital appreciation, if any, of our common stock will be your sole source of gain on your investment for the foreseeable future. Investors seeking cash dividends should not invest in our common stock. </w:t>
      </w:r>
    </w:p>
    <w:p>
      <w:pPr>
        <w:pStyle w:val="TextBody"/>
        <w:spacing w:before="360" w:after="0"/>
        <w:jc w:val="left"/>
        <w:rPr>
          <w:rFonts w:ascii="Times New Roman" w:hAnsi="Times New Roman"/>
          <w:b/>
          <w:i/>
          <w:sz w:val="20"/>
        </w:rPr>
      </w:pPr>
      <w:r>
        <w:rPr>
          <w:rFonts w:ascii="Times New Roman" w:hAnsi="Times New Roman"/>
          <w:b/>
          <w:i/>
          <w:sz w:val="20"/>
        </w:rPr>
        <w:t xml:space="preserve">Raising additional capital may cause dilution to our stockholders, including purchasers of our common stock in this offering, restrict our operations or require us to relinquish substantial rights. </w:t>
      </w:r>
    </w:p>
    <w:p>
      <w:pPr>
        <w:pStyle w:val="TextBody"/>
        <w:spacing w:before="120" w:after="0"/>
        <w:jc w:val="left"/>
        <w:rPr>
          <w:rFonts w:ascii="Times New Roman" w:hAnsi="Times New Roman"/>
          <w:sz w:val="20"/>
        </w:rPr>
      </w:pPr>
      <w:r>
        <w:rPr>
          <w:rFonts w:ascii="Times New Roman" w:hAnsi="Times New Roman"/>
          <w:sz w:val="20"/>
        </w:rPr>
        <w:t xml:space="preserve">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Debt financing, if available, may involve fixed payment obligations or agreements that include covenants limiting or restricting our ability to take specific actions such as incurring additional debt, making capital expenditures or declaring dividends.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2" w:name="supptoc293656_5"/>
      <w:bookmarkEnd w:id="22"/>
      <w:r>
        <w:rPr>
          <w:rFonts w:ascii="Times New Roman" w:hAnsi="Times New Roman"/>
          <w:b/>
          <w:sz w:val="20"/>
        </w:rPr>
        <w:t xml:space="preserve">USE OF PROCEEDS </w:t>
      </w:r>
    </w:p>
    <w:p>
      <w:pPr>
        <w:pStyle w:val="TextBody"/>
        <w:spacing w:before="240" w:after="0"/>
        <w:jc w:val="left"/>
        <w:rPr>
          <w:rFonts w:ascii="Times New Roman" w:hAnsi="Times New Roman"/>
          <w:sz w:val="20"/>
        </w:rPr>
      </w:pPr>
      <w:r>
        <w:rPr>
          <w:rFonts w:ascii="Times New Roman" w:hAnsi="Times New Roman"/>
          <w:sz w:val="20"/>
        </w:rPr>
        <w:t xml:space="preserve">We may issue and sell shares of our common stock having an aggregate offering price of up to $150,000,000 from time to time. Because there is no minimum offering amount required as a condition to close this offering, the actual total public offering amount, commissions and proceeds to us, if any, are not determinable at this time. </w:t>
      </w:r>
    </w:p>
    <w:p>
      <w:pPr>
        <w:pStyle w:val="TextBody"/>
        <w:spacing w:before="240" w:after="0"/>
        <w:jc w:val="left"/>
        <w:rPr>
          <w:rFonts w:ascii="Times New Roman" w:hAnsi="Times New Roman"/>
          <w:sz w:val="20"/>
        </w:rPr>
      </w:pPr>
      <w:r>
        <w:rPr>
          <w:rFonts w:ascii="Times New Roman" w:hAnsi="Times New Roman"/>
          <w:sz w:val="20"/>
        </w:rPr>
        <w:t xml:space="preserve">We currently intend to use the net proceeds, together with our existing cash, cash equivalents and investments, from this offering for the clinical and other developmental work associated with advancing evorpacept (formerly known as ALX148) and for working capital and other general corporate purposes. </w:t>
      </w:r>
    </w:p>
    <w:p>
      <w:pPr>
        <w:pStyle w:val="TextBody"/>
        <w:spacing w:before="240" w:after="0"/>
        <w:jc w:val="left"/>
        <w:rPr>
          <w:rFonts w:ascii="Times New Roman" w:hAnsi="Times New Roman"/>
          <w:sz w:val="20"/>
        </w:rPr>
      </w:pPr>
      <w:r>
        <w:rPr>
          <w:rFonts w:ascii="Times New Roman" w:hAnsi="Times New Roman"/>
          <w:sz w:val="20"/>
        </w:rPr>
        <w:t xml:space="preserve">Pending the specific use of net proceeds as described in this prospectus supplement, we intend to invest the net proceeds to us from this offering in short and intermediate-term investment grade instruments, certificates of deposit or guaranteed obligations of the U.S. government in accordance with our investment policy. </w:t>
      </w:r>
    </w:p>
    <w:p>
      <w:pPr>
        <w:pStyle w:val="TextBody"/>
        <w:spacing w:before="240" w:after="0"/>
        <w:jc w:val="left"/>
        <w:rPr>
          <w:rFonts w:ascii="Times New Roman" w:hAnsi="Times New Roman"/>
          <w:sz w:val="20"/>
        </w:rPr>
      </w:pPr>
      <w:r>
        <w:rPr>
          <w:rFonts w:ascii="Times New Roman" w:hAnsi="Times New Roman"/>
          <w:sz w:val="20"/>
        </w:rPr>
        <w:t xml:space="preserve">Our expected use of proceeds from this offering represents our current intentions based on our present plans and business condition. As of the date of this prospectus supplement, we cannot predict with certainty all of the particular uses for the proceeds to be received upon the completion of this offering or the actual amounts that we will spend on the uses set forth above. We may also use a portion of the proceeds to in-license, acquire or invest in additional businesses, technologies, products or assets. Although we have no specific agreements, commitments or understandings with respect to any in-licensing activity or acquisition, we evaluate these opportunities and engage in related discussions with other companies from time to time. </w:t>
      </w:r>
    </w:p>
    <w:p>
      <w:pPr>
        <w:pStyle w:val="TextBody"/>
        <w:spacing w:before="240" w:after="0"/>
        <w:jc w:val="left"/>
        <w:rPr>
          <w:rFonts w:ascii="Times New Roman" w:hAnsi="Times New Roman"/>
          <w:sz w:val="20"/>
        </w:rPr>
      </w:pPr>
      <w:r>
        <w:rPr>
          <w:rFonts w:ascii="Times New Roman" w:hAnsi="Times New Roman"/>
          <w:sz w:val="20"/>
        </w:rPr>
        <w:t xml:space="preserve">The net proceeds from this offering, together with our existing cash, cash equivalents and investments, may not be sufficient for us to fund our clinical programs, and we may need to raise additional capital to achieve our business objectives. </w:t>
      </w:r>
    </w:p>
    <w:p>
      <w:pPr>
        <w:pStyle w:val="TextBody"/>
        <w:spacing w:before="240" w:after="0"/>
        <w:jc w:val="left"/>
        <w:rPr>
          <w:rFonts w:ascii="Times New Roman" w:hAnsi="Times New Roman"/>
          <w:sz w:val="20"/>
        </w:rPr>
      </w:pPr>
      <w:r>
        <w:rPr>
          <w:rFonts w:ascii="Times New Roman" w:hAnsi="Times New Roman"/>
          <w:sz w:val="20"/>
        </w:rPr>
        <w:t xml:space="preserve">The amount and timing of our actual expenditures will depend on numerous factors, including the results of our research and development efforts, the timing and outcome of any ongoing or future preclinical studies and clinical trials the timing and outcome of regulatory submissions and any unforeseen cash needs. As a result, our management will have broad discretion over the use of the proceeds from this offering.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3" w:name="supptoc293656_6"/>
      <w:bookmarkEnd w:id="23"/>
      <w:r>
        <w:rPr>
          <w:rFonts w:ascii="Times New Roman" w:hAnsi="Times New Roman"/>
          <w:b/>
          <w:sz w:val="20"/>
        </w:rPr>
        <w:t xml:space="preserve">DIVIDEND POLICY </w:t>
      </w:r>
    </w:p>
    <w:p>
      <w:pPr>
        <w:pStyle w:val="TextBody"/>
        <w:spacing w:before="240" w:after="0"/>
        <w:jc w:val="left"/>
        <w:rPr>
          <w:rFonts w:ascii="Times New Roman" w:hAnsi="Times New Roman"/>
          <w:sz w:val="20"/>
        </w:rPr>
      </w:pPr>
      <w:r>
        <w:rPr>
          <w:rFonts w:ascii="Times New Roman" w:hAnsi="Times New Roman"/>
          <w:sz w:val="20"/>
        </w:rPr>
        <w:t xml:space="preserve">We have never declared or paid cash dividends on our common stock. We currently intend to retain all of our future earnings, if any, to finance the growth and development of our business. We do not intend to pay cash dividends to holders of our common stock in the foreseeable future.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4" w:name="supptoc293656_7"/>
      <w:bookmarkEnd w:id="24"/>
      <w:r>
        <w:rPr>
          <w:rFonts w:ascii="Times New Roman" w:hAnsi="Times New Roman"/>
          <w:b/>
          <w:sz w:val="20"/>
        </w:rPr>
        <w:t xml:space="preserve">DILUTION </w:t>
      </w:r>
    </w:p>
    <w:p>
      <w:pPr>
        <w:pStyle w:val="TextBody"/>
        <w:spacing w:before="240" w:after="0"/>
        <w:jc w:val="left"/>
        <w:rPr>
          <w:rFonts w:ascii="Times New Roman" w:hAnsi="Times New Roman"/>
          <w:sz w:val="20"/>
        </w:rPr>
      </w:pPr>
      <w:r>
        <w:rPr>
          <w:rFonts w:ascii="Times New Roman" w:hAnsi="Times New Roman"/>
          <w:sz w:val="20"/>
        </w:rPr>
        <w:t xml:space="preserve">If you invest in our common stock in this offering, your ownership interest will be diluted immediately to the extent of the difference between the public offering price per share of our common stock and the as adjusted net tangible book value per share of our common stock after this offering. </w:t>
      </w:r>
    </w:p>
    <w:p>
      <w:pPr>
        <w:pStyle w:val="TextBody"/>
        <w:spacing w:before="240" w:after="0"/>
        <w:jc w:val="left"/>
        <w:rPr>
          <w:rFonts w:ascii="Times New Roman" w:hAnsi="Times New Roman"/>
          <w:sz w:val="20"/>
        </w:rPr>
      </w:pPr>
      <w:r>
        <w:rPr>
          <w:rFonts w:ascii="Times New Roman" w:hAnsi="Times New Roman"/>
          <w:sz w:val="20"/>
        </w:rPr>
        <w:t xml:space="preserve">Our historical net tangible book value as of March 31, 2022 was $343.6 million, or $8.45 per share of our common stock. Historical net tangible book value per share represents the amount of our total tangible assets less total liabilities, divided by the number of shares of our common stock outstanding. After giving effect to the assumed sale by us of shares of our common stock having an aggregate offering price of $150,000,000 at an assumed public offering price of $9.00 per share, which was the last reported sale price of our common stock on The Nasdaq Global Select Market on May 12, 2022 and after deducting estimated commissions and estimated offering expenses payable by us, our as adjusted net tangible book value as of March 31, 2022 would have been $488.4 million, or $8.52 per share. This represents an immediate increase in net tangible book value per share of $0.07 to existing stockholders and immediate dilution of $0.48 in net tangible book value per share to new investors purchasing common stock in this offering. Dilution per share to new investors is determined by subtracting as adjusted net tangible book value per share after this offering from the public offering price per share paid by new investors. The following table illustrates this dilution on a per share basis. The as adjusted information is illustrative only and will adjust based on the actual price to the public, the actual number of shares sold and other terms of the offering determined at the time shares of our common stock are sold pursuant to this prospectus supplement. The shares sold in this offering, if any, will be sold from time to time at various prices.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6417"/>
        <w:gridCol w:w="433"/>
        <w:gridCol w:w="140"/>
        <w:gridCol w:w="443"/>
        <w:gridCol w:w="60"/>
        <w:gridCol w:w="433"/>
        <w:gridCol w:w="140"/>
        <w:gridCol w:w="443"/>
        <w:gridCol w:w="63"/>
      </w:tblGrid>
      <w:tr>
        <w:trPr/>
        <w:tc>
          <w:tcPr>
            <w:tcW w:w="6417"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6417" w:type="dxa"/>
            <w:tcBorders/>
            <w:shd w:fill="CCEEFF" w:val="clear"/>
          </w:tcPr>
          <w:p>
            <w:pPr>
              <w:pStyle w:val="TableContents"/>
              <w:spacing w:before="0" w:after="0"/>
              <w:rPr>
                <w:rFonts w:ascii="Times New Roman" w:hAnsi="Times New Roman"/>
                <w:sz w:val="20"/>
              </w:rPr>
            </w:pPr>
            <w:r>
              <w:rPr>
                <w:rFonts w:ascii="Times New Roman" w:hAnsi="Times New Roman"/>
                <w:sz w:val="20"/>
              </w:rPr>
              <w:t>The following table illustrates this dilution on a per share basis:</w:t>
            </w:r>
          </w:p>
        </w:tc>
        <w:tc>
          <w:tcPr>
            <w:tcW w:w="4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44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443"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r>
      <w:tr>
        <w:trPr/>
        <w:tc>
          <w:tcPr>
            <w:tcW w:w="6417" w:type="dxa"/>
            <w:tcBorders/>
            <w:shd w:fill="auto" w:val="clear"/>
          </w:tcPr>
          <w:p>
            <w:pPr>
              <w:pStyle w:val="TableContents"/>
              <w:spacing w:before="0" w:after="0"/>
              <w:rPr>
                <w:rFonts w:ascii="Times New Roman" w:hAnsi="Times New Roman"/>
                <w:sz w:val="20"/>
              </w:rPr>
            </w:pPr>
            <w:r>
              <w:rPr>
                <w:rFonts w:ascii="Times New Roman" w:hAnsi="Times New Roman"/>
                <w:sz w:val="20"/>
              </w:rPr>
              <w:t>Assumed public offering price per share</w:t>
            </w:r>
          </w:p>
        </w:tc>
        <w:tc>
          <w:tcPr>
            <w:tcW w:w="4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44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443" w:type="dxa"/>
            <w:tcBorders/>
            <w:shd w:fill="auto" w:val="clear"/>
            <w:vAlign w:val="bottom"/>
          </w:tcPr>
          <w:p>
            <w:pPr>
              <w:pStyle w:val="TableContents"/>
              <w:spacing w:before="0" w:after="283"/>
              <w:jc w:val="right"/>
              <w:rPr/>
            </w:pPr>
            <w:r>
              <w:rPr/>
              <w:t>9.00</w:t>
            </w:r>
          </w:p>
        </w:tc>
        <w:tc>
          <w:tcPr>
            <w:tcW w:w="63" w:type="dxa"/>
            <w:tcBorders/>
            <w:shd w:fill="auto" w:val="clear"/>
            <w:vAlign w:val="bottom"/>
          </w:tcPr>
          <w:p>
            <w:pPr>
              <w:pStyle w:val="TableContents"/>
              <w:spacing w:before="0" w:after="283"/>
              <w:rPr/>
            </w:pPr>
            <w:r>
              <w:rPr/>
              <w:t> </w:t>
            </w:r>
          </w:p>
        </w:tc>
      </w:tr>
      <w:tr>
        <w:trPr/>
        <w:tc>
          <w:tcPr>
            <w:tcW w:w="6417" w:type="dxa"/>
            <w:tcBorders/>
            <w:shd w:fill="CCEEFF" w:val="clear"/>
          </w:tcPr>
          <w:p>
            <w:pPr>
              <w:pStyle w:val="TableContents"/>
              <w:spacing w:before="0" w:after="0"/>
              <w:rPr>
                <w:rFonts w:ascii="Times New Roman" w:hAnsi="Times New Roman"/>
                <w:sz w:val="20"/>
              </w:rPr>
            </w:pPr>
            <w:r>
              <w:rPr>
                <w:rFonts w:ascii="Times New Roman" w:hAnsi="Times New Roman"/>
                <w:sz w:val="20"/>
              </w:rPr>
              <w:t>Historical net tangible book value per share as of March 31, 2022</w:t>
            </w:r>
          </w:p>
        </w:tc>
        <w:tc>
          <w:tcPr>
            <w:tcW w:w="4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443" w:type="dxa"/>
            <w:tcBorders/>
            <w:shd w:fill="CCEEFF" w:val="clear"/>
            <w:vAlign w:val="bottom"/>
          </w:tcPr>
          <w:p>
            <w:pPr>
              <w:pStyle w:val="TableContents"/>
              <w:spacing w:before="0" w:after="283"/>
              <w:jc w:val="right"/>
              <w:rPr/>
            </w:pPr>
            <w:r>
              <w:rPr/>
              <w:t>8.45</w:t>
            </w:r>
          </w:p>
        </w:tc>
        <w:tc>
          <w:tcPr>
            <w:tcW w:w="60" w:type="dxa"/>
            <w:tcBorders/>
            <w:shd w:fill="CCEEFF" w:val="clear"/>
            <w:vAlign w:val="bottom"/>
          </w:tcPr>
          <w:p>
            <w:pPr>
              <w:pStyle w:val="TableContents"/>
              <w:spacing w:before="0" w:after="283"/>
              <w:rPr/>
            </w:pPr>
            <w:r>
              <w:rPr/>
              <w:t> </w:t>
            </w:r>
          </w:p>
        </w:tc>
        <w:tc>
          <w:tcPr>
            <w:tcW w:w="4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443"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r>
      <w:tr>
        <w:trPr/>
        <w:tc>
          <w:tcPr>
            <w:tcW w:w="6417" w:type="dxa"/>
            <w:tcBorders/>
            <w:shd w:fill="auto" w:val="clear"/>
          </w:tcPr>
          <w:p>
            <w:pPr>
              <w:pStyle w:val="TableContents"/>
              <w:spacing w:before="0" w:after="0"/>
              <w:rPr>
                <w:rFonts w:ascii="Times New Roman" w:hAnsi="Times New Roman"/>
                <w:sz w:val="20"/>
              </w:rPr>
            </w:pPr>
            <w:r>
              <w:rPr>
                <w:rFonts w:ascii="Times New Roman" w:hAnsi="Times New Roman"/>
                <w:sz w:val="20"/>
              </w:rPr>
              <w:t>Increase in net tangible book value per share attributable to new investors in this offering</w:t>
            </w:r>
          </w:p>
        </w:tc>
        <w:tc>
          <w:tcPr>
            <w:tcW w:w="4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443" w:type="dxa"/>
            <w:tcBorders/>
            <w:shd w:fill="auto" w:val="clear"/>
            <w:vAlign w:val="bottom"/>
          </w:tcPr>
          <w:p>
            <w:pPr>
              <w:pStyle w:val="TableContents"/>
              <w:spacing w:before="0" w:after="283"/>
              <w:jc w:val="right"/>
              <w:rPr/>
            </w:pPr>
            <w:r>
              <w:rPr/>
              <w:t>0.07</w:t>
            </w:r>
          </w:p>
        </w:tc>
        <w:tc>
          <w:tcPr>
            <w:tcW w:w="60" w:type="dxa"/>
            <w:tcBorders/>
            <w:shd w:fill="auto" w:val="clear"/>
            <w:vAlign w:val="bottom"/>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443"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r>
      <w:tr>
        <w:trPr/>
        <w:tc>
          <w:tcPr>
            <w:tcW w:w="6417" w:type="dxa"/>
            <w:tcBorders/>
            <w:shd w:fill="auto" w:val="clear"/>
            <w:vAlign w:val="bottom"/>
          </w:tcPr>
          <w:p>
            <w:pPr>
              <w:pStyle w:val="TableContents"/>
              <w:spacing w:before="0" w:after="283"/>
              <w:rPr>
                <w:sz w:val="4"/>
                <w:szCs w:val="4"/>
              </w:rPr>
            </w:pPr>
            <w:r>
              <w:rPr>
                <w:sz w:val="4"/>
                <w:szCs w:val="4"/>
              </w:rPr>
            </w:r>
          </w:p>
        </w:tc>
        <w:tc>
          <w:tcPr>
            <w:tcW w:w="4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443"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4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443"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r>
      <w:tr>
        <w:trPr/>
        <w:tc>
          <w:tcPr>
            <w:tcW w:w="6417" w:type="dxa"/>
            <w:tcBorders/>
            <w:shd w:fill="CCEEFF" w:val="clear"/>
          </w:tcPr>
          <w:p>
            <w:pPr>
              <w:pStyle w:val="TableContents"/>
              <w:spacing w:before="0" w:after="0"/>
              <w:rPr>
                <w:rFonts w:ascii="Times New Roman" w:hAnsi="Times New Roman"/>
                <w:sz w:val="20"/>
              </w:rPr>
            </w:pPr>
            <w:r>
              <w:rPr>
                <w:rFonts w:ascii="Times New Roman" w:hAnsi="Times New Roman"/>
                <w:sz w:val="20"/>
              </w:rPr>
              <w:t>As adjusted net tangible book value per share after this offering</w:t>
            </w:r>
          </w:p>
        </w:tc>
        <w:tc>
          <w:tcPr>
            <w:tcW w:w="4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44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43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443" w:type="dxa"/>
            <w:tcBorders/>
            <w:shd w:fill="CCEEFF" w:val="clear"/>
            <w:vAlign w:val="bottom"/>
          </w:tcPr>
          <w:p>
            <w:pPr>
              <w:pStyle w:val="TableContents"/>
              <w:spacing w:before="0" w:after="283"/>
              <w:jc w:val="right"/>
              <w:rPr/>
            </w:pPr>
            <w:r>
              <w:rPr/>
              <w:t>8.52</w:t>
            </w:r>
          </w:p>
        </w:tc>
        <w:tc>
          <w:tcPr>
            <w:tcW w:w="63" w:type="dxa"/>
            <w:tcBorders/>
            <w:shd w:fill="CCEEFF" w:val="clear"/>
            <w:vAlign w:val="bottom"/>
          </w:tcPr>
          <w:p>
            <w:pPr>
              <w:pStyle w:val="TableContents"/>
              <w:spacing w:before="0" w:after="283"/>
              <w:rPr/>
            </w:pPr>
            <w:r>
              <w:rPr/>
              <w:t> </w:t>
            </w:r>
          </w:p>
        </w:tc>
      </w:tr>
      <w:tr>
        <w:trPr/>
        <w:tc>
          <w:tcPr>
            <w:tcW w:w="6417" w:type="dxa"/>
            <w:tcBorders/>
            <w:shd w:fill="auto" w:val="clear"/>
            <w:vAlign w:val="bottom"/>
          </w:tcPr>
          <w:p>
            <w:pPr>
              <w:pStyle w:val="TableContents"/>
              <w:spacing w:before="0" w:after="283"/>
              <w:rPr>
                <w:sz w:val="4"/>
                <w:szCs w:val="4"/>
              </w:rPr>
            </w:pPr>
            <w:r>
              <w:rPr>
                <w:sz w:val="4"/>
                <w:szCs w:val="4"/>
              </w:rPr>
            </w:r>
          </w:p>
        </w:tc>
        <w:tc>
          <w:tcPr>
            <w:tcW w:w="4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44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443"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6417" w:type="dxa"/>
            <w:tcBorders/>
            <w:shd w:fill="auto" w:val="clear"/>
          </w:tcPr>
          <w:p>
            <w:pPr>
              <w:pStyle w:val="TableContents"/>
              <w:spacing w:before="0" w:after="0"/>
              <w:rPr>
                <w:rFonts w:ascii="Times New Roman" w:hAnsi="Times New Roman"/>
                <w:sz w:val="20"/>
              </w:rPr>
            </w:pPr>
            <w:r>
              <w:rPr>
                <w:rFonts w:ascii="Times New Roman" w:hAnsi="Times New Roman"/>
                <w:sz w:val="20"/>
              </w:rPr>
              <w:t>Dilution per share to new investors purchasing shares in this offering</w:t>
            </w:r>
          </w:p>
        </w:tc>
        <w:tc>
          <w:tcPr>
            <w:tcW w:w="4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44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443" w:type="dxa"/>
            <w:tcBorders/>
            <w:shd w:fill="auto" w:val="clear"/>
            <w:vAlign w:val="bottom"/>
          </w:tcPr>
          <w:p>
            <w:pPr>
              <w:pStyle w:val="TableContents"/>
              <w:spacing w:before="0" w:after="283"/>
              <w:jc w:val="right"/>
              <w:rPr/>
            </w:pPr>
            <w:r>
              <w:rPr/>
              <w:t>0.48</w:t>
            </w:r>
          </w:p>
        </w:tc>
        <w:tc>
          <w:tcPr>
            <w:tcW w:w="63" w:type="dxa"/>
            <w:tcBorders/>
            <w:shd w:fill="auto" w:val="clear"/>
            <w:vAlign w:val="bottom"/>
          </w:tcPr>
          <w:p>
            <w:pPr>
              <w:pStyle w:val="TableContents"/>
              <w:spacing w:before="0" w:after="283"/>
              <w:rPr/>
            </w:pPr>
            <w:r>
              <w:rPr/>
              <w:t> </w:t>
            </w:r>
          </w:p>
        </w:tc>
      </w:tr>
      <w:tr>
        <w:trPr/>
        <w:tc>
          <w:tcPr>
            <w:tcW w:w="6417" w:type="dxa"/>
            <w:tcBorders/>
            <w:shd w:fill="auto" w:val="clear"/>
            <w:vAlign w:val="bottom"/>
          </w:tcPr>
          <w:p>
            <w:pPr>
              <w:pStyle w:val="TableContents"/>
              <w:spacing w:before="0" w:after="283"/>
              <w:rPr>
                <w:sz w:val="4"/>
                <w:szCs w:val="4"/>
              </w:rPr>
            </w:pPr>
            <w:r>
              <w:rPr>
                <w:sz w:val="4"/>
                <w:szCs w:val="4"/>
              </w:rPr>
            </w:r>
          </w:p>
        </w:tc>
        <w:tc>
          <w:tcPr>
            <w:tcW w:w="4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44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3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443" w:type="dxa"/>
            <w:tcBorders/>
            <w:shd w:fill="auto" w:val="clear"/>
            <w:vAlign w:val="bottom"/>
          </w:tcPr>
          <w:p>
            <w:pPr>
              <w:pStyle w:val="TableContents"/>
              <w:pBdr>
                <w:top w:val="double" w:sz="6"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foregoing table and calculations are based on 40,656,632 shares of our common stock outstanding as of March 31, 2022 and exclude as of such date: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4,944,796 shares of our common stock issuable upon the exercise of options outstanding as of March 31, 2022, at a weighted-average exercise price of $23.65 per share;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500,387 shares of our common stock issuable pursuant to restricted stock units outstanding as of March 31,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159,500 shares of our common stock issuable upon the exercise of options granted after March 31, 2022, at a weighted-average exercise price of $12.08 per share;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4,660,347 shares of our common stock reserved for issuance pursuant to future awards under our Amended and Restated 2020 Equity Incentive Plan, or the 2020 Plan, as of March 31, 2022, plus any future increases in the number of shares of common stock reserved for issuance under our 2020 Plan pursuant to provisions thereof that automatically increase the share reserve under the plan each year;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1,196,693 shares of our common stock reserved for future issuance under our 2020 Employee Stock Purchase Plan, or the ESPP, plus any future increases in the number of shares of common stock reserved for issuance under the ESPP pursuant to provisions thereof that automatically increase the share reserve under the plan each year.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5" w:name="supptoc293656_8"/>
      <w:bookmarkEnd w:id="25"/>
      <w:r>
        <w:rPr>
          <w:rFonts w:ascii="Times New Roman" w:hAnsi="Times New Roman"/>
          <w:b/>
          <w:sz w:val="20"/>
        </w:rPr>
        <w:t xml:space="preserve">PLAN OF DISTRIBUTION </w:t>
      </w:r>
    </w:p>
    <w:p>
      <w:pPr>
        <w:pStyle w:val="TextBody"/>
        <w:spacing w:before="240" w:after="0"/>
        <w:jc w:val="left"/>
        <w:rPr>
          <w:rFonts w:ascii="Times New Roman" w:hAnsi="Times New Roman"/>
          <w:sz w:val="20"/>
        </w:rPr>
      </w:pPr>
      <w:r>
        <w:rPr>
          <w:rFonts w:ascii="Times New Roman" w:hAnsi="Times New Roman"/>
          <w:sz w:val="20"/>
        </w:rPr>
        <w:t xml:space="preserve">We previously entered into the Sales Agreement with Cantor Fitzgerald and Credit Suisse, each, a sales agent, under which we may offer and sell shares of our common stock having an aggregate gross sales price of up to $150,000,000 from time to time through the sales agents acting as sales agent. The Sales Agreement was previously filed as an exhibit to a Current Report on Form 8-K dated December 17, 2021 and is herein incorporated by reference. This summary of the material provisions of the Sales Agreement does not purport to be a complete statement of its terms and conditions. </w:t>
      </w:r>
    </w:p>
    <w:p>
      <w:pPr>
        <w:pStyle w:val="TextBody"/>
        <w:spacing w:before="240" w:after="0"/>
        <w:jc w:val="left"/>
        <w:rPr>
          <w:rFonts w:ascii="Times New Roman" w:hAnsi="Times New Roman"/>
          <w:sz w:val="20"/>
        </w:rPr>
      </w:pPr>
      <w:r>
        <w:rPr>
          <w:rFonts w:ascii="Times New Roman" w:hAnsi="Times New Roman"/>
          <w:sz w:val="20"/>
        </w:rPr>
        <w:t xml:space="preserve">We will submit orders to only one sales agent relating to the sale of shares of our common stock under the Sales Agreement on any given day. Upon delivery of a placement notice to a sales agent and subject to the terms and conditions of the Sales Agreement, such sales agent may offer and sell shares of our common stock by any method permitted by law deemed to be an at the market offering, as defined in Rule 415(a)(4) promulgated under the Securities Act. We may instruct such sales agent not to sell common stock if the sales cannot be effected at or above the price designated by us from time to time. We or the sales agents may suspend the offering of common stock upon notice and subject to other conditions. </w:t>
      </w:r>
    </w:p>
    <w:p>
      <w:pPr>
        <w:pStyle w:val="TextBody"/>
        <w:spacing w:before="240" w:after="0"/>
        <w:jc w:val="left"/>
        <w:rPr>
          <w:rFonts w:ascii="Times New Roman" w:hAnsi="Times New Roman"/>
          <w:sz w:val="20"/>
        </w:rPr>
      </w:pPr>
      <w:r>
        <w:rPr>
          <w:rFonts w:ascii="Times New Roman" w:hAnsi="Times New Roman"/>
          <w:sz w:val="20"/>
        </w:rPr>
        <w:t xml:space="preserve">We will pay the sales agents commissions, in cash, for their services in acting as agent in the sale of our common stock. A sales agent is entitled to compensation at a commission rate of up to 3.0% of the gross sales price per share sold by such sales agent under the Sales Agreement. Because there is no minimum offering amount required as a condition to close this offering, the actual total public offering amount, commissions and proceeds to us, if any, are not determinable at this time. We have also agreed to reimburse the sales agents for certain specified expenses, including the fees and disbursements of its legal counsel in an amount not to exceed $75,000. We estimate that the total expenses for the offering, excluding compensation and reimbursements, if any, payable to Cantor Fitzgerald and Credit Suisse under the terms of the Sales Agreement, will be approximately $0.7 million. </w:t>
      </w:r>
    </w:p>
    <w:p>
      <w:pPr>
        <w:pStyle w:val="TextBody"/>
        <w:spacing w:before="240" w:after="0"/>
        <w:jc w:val="left"/>
        <w:rPr>
          <w:rFonts w:ascii="Times New Roman" w:hAnsi="Times New Roman"/>
          <w:sz w:val="20"/>
        </w:rPr>
      </w:pPr>
      <w:r>
        <w:rPr>
          <w:rFonts w:ascii="Times New Roman" w:hAnsi="Times New Roman"/>
          <w:sz w:val="20"/>
        </w:rPr>
        <w:t xml:space="preserve">Settlement for sales of shares of common stock will occur on the second business day following the date on which any sales are made, or on some other date that is agreed upon by us and the applicable sales agent in connection with a particular transaction, in return for payment of the net proceeds to us. Sales of our common stock as contemplated in this prospectus supplement and the accompanying prospectus will be settled through the facilities of The Depository Trust Company or by such other means as we and the applicable sales agents may agree upon. There is no arrangement for funds to be received in an escrow, trust or similar arrangement. </w:t>
      </w:r>
    </w:p>
    <w:p>
      <w:pPr>
        <w:pStyle w:val="TextBody"/>
        <w:spacing w:before="240" w:after="0"/>
        <w:jc w:val="left"/>
        <w:rPr>
          <w:rFonts w:ascii="Times New Roman" w:hAnsi="Times New Roman"/>
          <w:sz w:val="20"/>
        </w:rPr>
      </w:pPr>
      <w:r>
        <w:rPr>
          <w:rFonts w:ascii="Times New Roman" w:hAnsi="Times New Roman"/>
          <w:sz w:val="20"/>
        </w:rPr>
        <w:t xml:space="preserve">The sales agents will use their commercially reasonable efforts, consistent with their sales and trading practices, to solicit offers to purchase the shares of common stock under the terms and subject to the conditions set forth in the Sales Agreement. In connection with the sale of the shares of common stock on our behalf, the applicable sales agent will be deemed to be an underwriter within the meaning of the Securities Act, and the compensation of such sales agent will be deemed to be underwriting commissions or discounts. We have agreed to provide indemnification and contribution to each sales agent against certain liabilities, including civil liabilities under the Securities Act. </w:t>
      </w:r>
    </w:p>
    <w:p>
      <w:pPr>
        <w:pStyle w:val="TextBody"/>
        <w:spacing w:before="240" w:after="0"/>
        <w:jc w:val="left"/>
        <w:rPr>
          <w:rFonts w:ascii="Times New Roman" w:hAnsi="Times New Roman"/>
          <w:sz w:val="20"/>
        </w:rPr>
      </w:pPr>
      <w:r>
        <w:rPr>
          <w:rFonts w:ascii="Times New Roman" w:hAnsi="Times New Roman"/>
          <w:sz w:val="20"/>
        </w:rPr>
        <w:t xml:space="preserve">The offering of shares of our common stock pursuant to the Sales Agreement will terminate upon the termination of the Sales Agreement as permitted therein. </w:t>
      </w:r>
    </w:p>
    <w:p>
      <w:pPr>
        <w:pStyle w:val="TextBody"/>
        <w:spacing w:before="240" w:after="0"/>
        <w:jc w:val="left"/>
        <w:rPr>
          <w:rFonts w:ascii="Times New Roman" w:hAnsi="Times New Roman"/>
          <w:sz w:val="20"/>
        </w:rPr>
      </w:pPr>
      <w:r>
        <w:rPr>
          <w:rFonts w:ascii="Times New Roman" w:hAnsi="Times New Roman"/>
          <w:sz w:val="20"/>
        </w:rPr>
        <w:t xml:space="preserve">The sales agents and their respective affiliates may in the future provide various investment banking, commercial banking and other financial services for us, our subsidiaries and our affiliates, for which services they may in the future receive customary fees. To the extent required by Regulation M, the sales agents will not engage in any market-making activities involving our common stock while the offering is ongoing under this prospectus supplement. </w:t>
      </w:r>
    </w:p>
    <w:p>
      <w:pPr>
        <w:pStyle w:val="TextBody"/>
        <w:spacing w:before="240" w:after="0"/>
        <w:jc w:val="left"/>
        <w:rPr>
          <w:rFonts w:ascii="Times New Roman" w:hAnsi="Times New Roman"/>
          <w:sz w:val="20"/>
        </w:rPr>
      </w:pPr>
      <w:r>
        <w:rPr>
          <w:rFonts w:ascii="Times New Roman" w:hAnsi="Times New Roman"/>
          <w:sz w:val="20"/>
        </w:rPr>
        <w:t xml:space="preserve">This prospectus supplement and the accompanying prospectus in electronic format may be made available on a website maintained by Cantor Fitzgerald or Credit Suisse, and each of Cantor Fitzgerald and Credit Suisse may distribute this prospectus supplement and the accompanying prospectus electronically.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6" w:name="supptoc293656_9"/>
      <w:bookmarkEnd w:id="26"/>
      <w:r>
        <w:rPr>
          <w:rFonts w:ascii="Times New Roman" w:hAnsi="Times New Roman"/>
          <w:b/>
          <w:sz w:val="20"/>
        </w:rPr>
        <w:t xml:space="preserve">LEGAL MATTERS </w:t>
      </w:r>
    </w:p>
    <w:p>
      <w:pPr>
        <w:pStyle w:val="TextBody"/>
        <w:spacing w:before="240" w:after="0"/>
        <w:jc w:val="left"/>
        <w:rPr>
          <w:rFonts w:ascii="Times New Roman" w:hAnsi="Times New Roman"/>
          <w:sz w:val="20"/>
        </w:rPr>
      </w:pPr>
      <w:r>
        <w:rPr>
          <w:rFonts w:ascii="Times New Roman" w:hAnsi="Times New Roman"/>
          <w:sz w:val="20"/>
        </w:rPr>
        <w:t xml:space="preserve">The validity of the shares of common stock offered hereby will be passed upon for us by Wilson Sonsini Goodrich &amp; Rosati, Professional Corporation, Palo Alto, California. Cantor Fitzgerald &amp; Co. and Credit Suisse Securities (USA) LLC are being represented in connection with this offering by Cooley LLP, New York, New York. </w:t>
      </w:r>
    </w:p>
    <w:p>
      <w:pPr>
        <w:pStyle w:val="TextBody"/>
        <w:spacing w:before="480" w:after="0"/>
        <w:jc w:val="center"/>
        <w:rPr>
          <w:rFonts w:ascii="Times New Roman" w:hAnsi="Times New Roman"/>
          <w:b/>
          <w:sz w:val="20"/>
        </w:rPr>
      </w:pPr>
      <w:bookmarkStart w:id="27" w:name="supptoc293656_10"/>
      <w:bookmarkEnd w:id="27"/>
      <w:r>
        <w:rPr>
          <w:rFonts w:ascii="Times New Roman" w:hAnsi="Times New Roman"/>
          <w:b/>
          <w:sz w:val="20"/>
        </w:rPr>
        <w:t xml:space="preserve">EXPERTS </w:t>
      </w:r>
    </w:p>
    <w:p>
      <w:pPr>
        <w:pStyle w:val="TextBody"/>
        <w:spacing w:before="240" w:after="0"/>
        <w:jc w:val="left"/>
        <w:rPr>
          <w:rFonts w:ascii="Times New Roman" w:hAnsi="Times New Roman"/>
          <w:sz w:val="20"/>
        </w:rPr>
      </w:pPr>
      <w:r>
        <w:rPr>
          <w:rFonts w:ascii="Times New Roman" w:hAnsi="Times New Roman"/>
          <w:sz w:val="20"/>
        </w:rPr>
        <w:t xml:space="preserve">The consolidated financial statements of ALX Oncology Holdings Inc. as of December 31, 2021 and 2020, and for each of the years in the three-year period ended December 31, 2021, and managements assessment of the effectiveness of internal control over financial reporting as of December 31, 2021, have been incorporated by reference herein and in the registration statement in reliance upon the report of KPMG LLP, independent registered public accounting firm, incorporated by reference herein, and upon the authority of said firm as experts in accounting and auditing. The audit report covering the December 31, 2021 consolidated financial statements refers to a change to the method of accounting for leases. </w:t>
      </w:r>
    </w:p>
    <w:p>
      <w:pPr>
        <w:pStyle w:val="TextBody"/>
        <w:spacing w:before="480" w:after="0"/>
        <w:jc w:val="center"/>
        <w:rPr>
          <w:rFonts w:ascii="Times New Roman" w:hAnsi="Times New Roman"/>
          <w:b/>
          <w:sz w:val="20"/>
        </w:rPr>
      </w:pPr>
      <w:bookmarkStart w:id="28" w:name="supptoc293656_11"/>
      <w:bookmarkEnd w:id="28"/>
      <w:r>
        <w:rPr>
          <w:rFonts w:ascii="Times New Roman" w:hAnsi="Times New Roman"/>
          <w:b/>
          <w:sz w:val="20"/>
        </w:rPr>
        <w:t xml:space="preserve">WHERE YOU CAN FIND MORE INFORMATION </w:t>
      </w:r>
    </w:p>
    <w:p>
      <w:pPr>
        <w:pStyle w:val="TextBody"/>
        <w:spacing w:before="240" w:after="0"/>
        <w:jc w:val="left"/>
        <w:rPr>
          <w:rFonts w:ascii="Times New Roman" w:hAnsi="Times New Roman"/>
          <w:sz w:val="20"/>
        </w:rPr>
      </w:pPr>
      <w:r>
        <w:rPr>
          <w:rFonts w:ascii="Times New Roman" w:hAnsi="Times New Roman"/>
          <w:sz w:val="20"/>
        </w:rPr>
        <w:t xml:space="preserve">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We also maintain a website at www.alxoncology.com where these materials are available. You may access these materials free of charge as soon as reasonably practicable after they are electronically filed with, or furnished to, the SEC. Information contained on or accessible through our website is not a part of this prospectus supplement and is not incorporated by reference herein, and the inclusion of our website address in this prospectus supplement is an inactive textual reference only. </w:t>
      </w:r>
    </w:p>
    <w:p>
      <w:pPr>
        <w:pStyle w:val="TextBody"/>
        <w:spacing w:before="240" w:after="0"/>
        <w:jc w:val="left"/>
        <w:rPr>
          <w:rFonts w:ascii="Times New Roman" w:hAnsi="Times New Roman"/>
          <w:sz w:val="20"/>
        </w:rPr>
      </w:pPr>
      <w:r>
        <w:rPr>
          <w:rFonts w:ascii="Times New Roman" w:hAnsi="Times New Roman"/>
          <w:sz w:val="20"/>
        </w:rPr>
        <w:t xml:space="preserve">This prospectus supplement and the accompanying prospectus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Statements in this prospectus supplement or the accompanying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9" w:name="supptoc293656_12"/>
      <w:bookmarkEnd w:id="29"/>
      <w:r>
        <w:rPr>
          <w:rFonts w:ascii="Times New Roman" w:hAnsi="Times New Roman"/>
          <w:b/>
          <w:sz w:val="20"/>
        </w:rPr>
        <w:t xml:space="preserve">INCORPORATION OF CERTAIN INFORMATION BY REFERENCE </w:t>
      </w:r>
    </w:p>
    <w:p>
      <w:pPr>
        <w:pStyle w:val="TextBody"/>
        <w:spacing w:before="12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and subsequent information that we file with the SEC will automatically update and supersede that information. Any statement contained in a previously filed document incorporated by reference will be deemed to be modified or superseded for purposes of this prospectus supplement to the extent that a statement contained in this prospectus supplement modifies or replaces that statement. </w:t>
      </w:r>
    </w:p>
    <w:p>
      <w:pPr>
        <w:pStyle w:val="TextBody"/>
        <w:spacing w:before="240" w:after="0"/>
        <w:jc w:val="left"/>
        <w:rPr>
          <w:rFonts w:ascii="Times New Roman" w:hAnsi="Times New Roman"/>
          <w:sz w:val="20"/>
        </w:rPr>
      </w:pPr>
      <w:r>
        <w:rPr>
          <w:rFonts w:ascii="Times New Roman" w:hAnsi="Times New Roman"/>
          <w:sz w:val="20"/>
        </w:rPr>
        <w:t xml:space="preserve">This prospectus supplement incorporates by reference the documents set forth below that have previously been filed with the SEC: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pPr>
            <w:r>
              <w:rPr>
                <w:rFonts w:ascii="Times New Roman" w:hAnsi="Times New Roman"/>
                <w:sz w:val="20"/>
              </w:rPr>
              <w:t xml:space="preserve">our Annual Report on </w:t>
            </w:r>
            <w:hyperlink r:id="rId11">
              <w:r>
                <w:rPr>
                  <w:rStyle w:val="InternetLink"/>
                  <w:rFonts w:ascii="Times New Roman" w:hAnsi="Times New Roman"/>
                  <w:sz w:val="20"/>
                </w:rPr>
                <w:t>Form 10-K</w:t>
              </w:r>
            </w:hyperlink>
            <w:r>
              <w:rPr>
                <w:rFonts w:ascii="Times New Roman" w:hAnsi="Times New Roman"/>
                <w:sz w:val="20"/>
              </w:rPr>
              <w:t xml:space="preserve"> for the year ended December 31, 2021, filed with the SEC on February 28,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pPr>
            <w:r>
              <w:rPr>
                <w:rFonts w:ascii="Times New Roman" w:hAnsi="Times New Roman"/>
                <w:sz w:val="20"/>
              </w:rPr>
              <w:t xml:space="preserve">our Quarterly Report on </w:t>
            </w:r>
            <w:hyperlink r:id="rId12">
              <w:r>
                <w:rPr>
                  <w:rStyle w:val="InternetLink"/>
                  <w:rFonts w:ascii="Times New Roman" w:hAnsi="Times New Roman"/>
                  <w:sz w:val="20"/>
                </w:rPr>
                <w:t>Form 10-Q</w:t>
              </w:r>
            </w:hyperlink>
            <w:r>
              <w:rPr>
                <w:rFonts w:ascii="Times New Roman" w:hAnsi="Times New Roman"/>
                <w:sz w:val="20"/>
              </w:rPr>
              <w:t xml:space="preserve"> for the quarter ended March 31, 2022, filed with the SEC on May 9,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pPr>
            <w:r>
              <w:rPr>
                <w:rFonts w:ascii="Times New Roman" w:hAnsi="Times New Roman"/>
                <w:sz w:val="20"/>
              </w:rPr>
              <w:t xml:space="preserve">the information specifically incorporated by reference in our Annual Report on Form 10-K for the year ended December 31, 2021, from our </w:t>
            </w:r>
            <w:hyperlink r:id="rId13">
              <w:r>
                <w:rPr>
                  <w:rStyle w:val="InternetLink"/>
                  <w:rFonts w:ascii="Times New Roman" w:hAnsi="Times New Roman"/>
                  <w:sz w:val="20"/>
                </w:rPr>
                <w:t>definitive proxy statement</w:t>
              </w:r>
            </w:hyperlink>
            <w:r>
              <w:rPr>
                <w:rFonts w:ascii="Times New Roman" w:hAnsi="Times New Roman"/>
                <w:sz w:val="20"/>
              </w:rPr>
              <w:t xml:space="preserve"> relating to our 2022 annual meeting of stockholders, filed with the SEC on April 22,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pPr>
            <w:r>
              <w:rPr>
                <w:rFonts w:ascii="Times New Roman" w:hAnsi="Times New Roman"/>
                <w:sz w:val="20"/>
              </w:rPr>
              <w:t xml:space="preserve">our Current Report on </w:t>
            </w:r>
            <w:hyperlink r:id="rId14">
              <w:r>
                <w:rPr>
                  <w:rStyle w:val="InternetLink"/>
                  <w:rFonts w:ascii="Times New Roman" w:hAnsi="Times New Roman"/>
                  <w:sz w:val="20"/>
                </w:rPr>
                <w:t>Form 8-K</w:t>
              </w:r>
            </w:hyperlink>
            <w:r>
              <w:rPr>
                <w:rFonts w:ascii="Times New Roman" w:hAnsi="Times New Roman"/>
                <w:sz w:val="20"/>
              </w:rPr>
              <w:t xml:space="preserve">, which was filed with the SEC on April 12, 2022;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pPr>
            <w:r>
              <w:rPr>
                <w:rFonts w:ascii="Times New Roman" w:hAnsi="Times New Roman"/>
                <w:sz w:val="20"/>
              </w:rPr>
              <w:t xml:space="preserve">the description of our common stock set forth in our registration statement on </w:t>
            </w:r>
            <w:hyperlink r:id="rId15">
              <w:r>
                <w:rPr>
                  <w:rStyle w:val="InternetLink"/>
                  <w:rFonts w:ascii="Times New Roman" w:hAnsi="Times New Roman"/>
                  <w:sz w:val="20"/>
                </w:rPr>
                <w:t>Form 8-A</w:t>
              </w:r>
            </w:hyperlink>
            <w:r>
              <w:rPr>
                <w:rFonts w:ascii="Times New Roman" w:hAnsi="Times New Roman"/>
                <w:sz w:val="20"/>
              </w:rPr>
              <w:t xml:space="preserve">, filed with the SEC on July 13, 2020, including any amendments thereto or reports filed for the purposes of updating this description. </w:t>
            </w:r>
          </w:p>
        </w:tc>
      </w:tr>
    </w:tbl>
    <w:p>
      <w:pPr>
        <w:pStyle w:val="TextBody"/>
        <w:spacing w:before="240" w:after="0"/>
        <w:jc w:val="left"/>
        <w:rPr>
          <w:rFonts w:ascii="Times New Roman" w:hAnsi="Times New Roman"/>
          <w:sz w:val="20"/>
        </w:rPr>
      </w:pPr>
      <w:r>
        <w:rPr>
          <w:rFonts w:ascii="Times New Roman" w:hAnsi="Times New Roman"/>
          <w:sz w:val="20"/>
        </w:rPr>
        <w:t xml:space="preserve">Any documents we file with the SEC pursuant to Section 13(a), 13(c), 14 or 15(d) of the Exchange Act after the date of the initial registration statement of which this prospectus forms a part and prior to effectiveness of the registration statement, as well as subsequent to the effectiveness of the registration statement and prior to the termination of the offering of our securities to which this prospectus supplement relates will automatically be deemed to be incorporated by reference into this prospectus supplement and to be part hereof from the date of filing those documents. We are not, however, incorporating by reference any documents or portions thereof that are not deemed filed with the SEC, including any information furnished pursuant to Item 2.02 or Item 7.01 of Form 8-K or related exhibits furnished pursuant to Item 9.01 of Form 8-K.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 </w:t>
      </w:r>
    </w:p>
    <w:p>
      <w:pPr>
        <w:pStyle w:val="TextBody"/>
        <w:spacing w:before="240" w:after="0"/>
        <w:jc w:val="left"/>
        <w:rPr>
          <w:rFonts w:ascii="Times New Roman" w:hAnsi="Times New Roman"/>
          <w:sz w:val="20"/>
        </w:rPr>
      </w:pPr>
      <w:r>
        <w:rPr>
          <w:rFonts w:ascii="Times New Roman" w:hAnsi="Times New Roman"/>
          <w:sz w:val="20"/>
        </w:rPr>
        <w:t xml:space="preserve">You can request a copy of these filings, at no cost, by writing or telephoning us at the following address or telephone number: </w:t>
      </w:r>
    </w:p>
    <w:p>
      <w:pPr>
        <w:pStyle w:val="TextBody"/>
        <w:spacing w:before="240" w:after="0"/>
        <w:jc w:val="center"/>
        <w:rPr>
          <w:rFonts w:ascii="Times New Roman" w:hAnsi="Times New Roman"/>
          <w:sz w:val="20"/>
        </w:rPr>
      </w:pPr>
      <w:r>
        <w:rPr>
          <w:rFonts w:ascii="Times New Roman" w:hAnsi="Times New Roman"/>
          <w:sz w:val="20"/>
        </w:rPr>
        <w:t xml:space="preserve">ALX Oncology Holdings Inc. </w:t>
      </w:r>
    </w:p>
    <w:p>
      <w:pPr>
        <w:pStyle w:val="TextBody"/>
        <w:spacing w:before="0" w:after="0"/>
        <w:jc w:val="center"/>
        <w:rPr>
          <w:rFonts w:ascii="Times New Roman" w:hAnsi="Times New Roman"/>
          <w:sz w:val="20"/>
        </w:rPr>
      </w:pPr>
      <w:r>
        <w:rPr>
          <w:rFonts w:ascii="Times New Roman" w:hAnsi="Times New Roman"/>
          <w:sz w:val="20"/>
        </w:rPr>
        <w:t xml:space="preserve">Attn: Investor Relations </w:t>
      </w:r>
    </w:p>
    <w:p>
      <w:pPr>
        <w:pStyle w:val="TextBody"/>
        <w:spacing w:before="0" w:after="0"/>
        <w:jc w:val="center"/>
        <w:rPr>
          <w:rFonts w:ascii="Times New Roman" w:hAnsi="Times New Roman"/>
          <w:sz w:val="20"/>
        </w:rPr>
      </w:pPr>
      <w:r>
        <w:rPr>
          <w:rFonts w:ascii="Times New Roman" w:hAnsi="Times New Roman"/>
          <w:sz w:val="20"/>
        </w:rPr>
        <w:t xml:space="preserve">323 Allerton Avenue </w:t>
      </w:r>
    </w:p>
    <w:p>
      <w:pPr>
        <w:pStyle w:val="TextBody"/>
        <w:spacing w:before="0" w:after="0"/>
        <w:jc w:val="center"/>
        <w:rPr>
          <w:rFonts w:ascii="Times New Roman" w:hAnsi="Times New Roman"/>
          <w:sz w:val="20"/>
        </w:rPr>
      </w:pPr>
      <w:r>
        <w:rPr>
          <w:rFonts w:ascii="Times New Roman" w:hAnsi="Times New Roman"/>
          <w:sz w:val="20"/>
        </w:rPr>
        <w:t xml:space="preserve">South San Francisco, California 94080 </w:t>
      </w:r>
    </w:p>
    <w:p>
      <w:pPr>
        <w:pStyle w:val="TextBody"/>
        <w:spacing w:before="0" w:after="0"/>
        <w:jc w:val="center"/>
        <w:rPr>
          <w:rFonts w:ascii="Times New Roman" w:hAnsi="Times New Roman"/>
          <w:sz w:val="20"/>
        </w:rPr>
      </w:pPr>
      <w:r>
        <w:rPr>
          <w:rFonts w:ascii="Times New Roman" w:hAnsi="Times New Roman"/>
          <w:sz w:val="20"/>
        </w:rPr>
        <w:t xml:space="preserve">650-466-7125 </w:t>
      </w:r>
    </w:p>
    <w:p>
      <w:pPr>
        <w:pStyle w:val="TextBody"/>
        <w:spacing w:before="240" w:after="0"/>
        <w:jc w:val="left"/>
        <w:rPr>
          <w:rFonts w:ascii="Times New Roman" w:hAnsi="Times New Roman"/>
          <w:sz w:val="20"/>
        </w:rPr>
      </w:pPr>
      <w:r>
        <w:rPr>
          <w:rFonts w:ascii="Times New Roman" w:hAnsi="Times New Roman"/>
          <w:sz w:val="20"/>
        </w:rPr>
        <w:t xml:space="preserve">The information accessible through any website referred to in this prospectus supplement or any document incorporated herein is not, and should not be deemed to be, a part of this prospectus supplement.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16"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217805" cy="7874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6"/>
                    <a:stretch>
                      <a:fillRect/>
                    </a:stretch>
                  </pic:blipFill>
                  <pic:spPr bwMode="auto">
                    <a:xfrm>
                      <a:off x="0" y="0"/>
                      <a:ext cx="217805" cy="78740"/>
                    </a:xfrm>
                    <a:prstGeom prst="rect">
                      <a:avLst/>
                    </a:prstGeom>
                  </pic:spPr>
                </pic:pic>
              </a:graphicData>
            </a:graphic>
          </wp:inline>
        </w:drawing>
      </w:r>
      <w:r>
        <w:rPr/>
        <w:t xml:space="preserve"> </w:t>
      </w:r>
    </w:p>
    <w:p>
      <w:pPr>
        <w:pStyle w:val="TextBody"/>
        <w:spacing w:before="960" w:after="0"/>
        <w:jc w:val="center"/>
        <w:rPr>
          <w:rFonts w:ascii="Times New Roman" w:hAnsi="Times New Roman"/>
          <w:b/>
          <w:sz w:val="28"/>
        </w:rPr>
      </w:pPr>
      <w:r>
        <w:rPr>
          <w:rFonts w:ascii="Times New Roman" w:hAnsi="Times New Roman"/>
          <w:b/>
          <w:sz w:val="28"/>
        </w:rPr>
        <w:t xml:space="preserve">Up to $150,000,000 </w:t>
      </w:r>
    </w:p>
    <w:p>
      <w:pPr>
        <w:pStyle w:val="TextBody"/>
        <w:spacing w:before="240" w:after="0"/>
        <w:jc w:val="center"/>
        <w:rPr>
          <w:rFonts w:ascii="Times New Roman" w:hAnsi="Times New Roman"/>
          <w:b/>
          <w:sz w:val="28"/>
        </w:rPr>
      </w:pPr>
      <w:r>
        <w:rPr>
          <w:rFonts w:ascii="Times New Roman" w:hAnsi="Times New Roman"/>
          <w:b/>
          <w:sz w:val="28"/>
        </w:rPr>
        <w:t xml:space="preserve">Common Stock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vAlign w:val="bottom"/>
          </w:tcPr>
          <w:p>
            <w:pPr>
              <w:pStyle w:val="TableContents"/>
              <w:spacing w:before="0" w:after="0"/>
              <w:rPr/>
            </w:pPr>
            <w:r>
              <w:rPr/>
              <w:drawing>
                <wp:inline distT="0" distB="0" distL="0" distR="0">
                  <wp:extent cx="181610" cy="3619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7"/>
                          <a:stretch>
                            <a:fillRect/>
                          </a:stretch>
                        </pic:blipFill>
                        <pic:spPr bwMode="auto">
                          <a:xfrm>
                            <a:off x="0" y="0"/>
                            <a:ext cx="181610" cy="36195"/>
                          </a:xfrm>
                          <a:prstGeom prst="rect">
                            <a:avLst/>
                          </a:prstGeom>
                        </pic:spPr>
                      </pic:pic>
                    </a:graphicData>
                  </a:graphic>
                </wp:inline>
              </w:drawing>
            </w:r>
            <w:r>
              <w:rPr/>
              <w:t xml:space="preserve"> </w:t>
            </w:r>
          </w:p>
        </w:tc>
        <w:tc>
          <w:tcPr>
            <w:tcW w:w="203"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jc w:val="right"/>
              <w:rPr/>
            </w:pPr>
            <w:r>
              <w:rPr/>
              <w:drawing>
                <wp:inline distT="0" distB="0" distL="0" distR="0">
                  <wp:extent cx="201295" cy="5143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8"/>
                          <a:stretch>
                            <a:fillRect/>
                          </a:stretch>
                        </pic:blipFill>
                        <pic:spPr bwMode="auto">
                          <a:xfrm>
                            <a:off x="0" y="0"/>
                            <a:ext cx="201295" cy="51435"/>
                          </a:xfrm>
                          <a:prstGeom prst="rect">
                            <a:avLst/>
                          </a:prstGeom>
                        </pic:spPr>
                      </pic:pic>
                    </a:graphicData>
                  </a:graphic>
                </wp:inline>
              </w:drawing>
            </w:r>
            <w:r>
              <w:rPr/>
              <w:t xml:space="preserve"> </w:t>
            </w:r>
          </w:p>
        </w:tc>
      </w:tr>
    </w:tbl>
    <w:p>
      <w:pPr>
        <w:pStyle w:val="TextBody"/>
        <w:spacing w:before="360" w:after="0"/>
        <w:jc w:val="center"/>
        <w:rPr/>
      </w:pPr>
      <w:r>
        <w:rPr/>
        <w:t>                    </w:t>
      </w:r>
      <w:r>
        <w:rPr>
          <w:rFonts w:ascii="Times New Roman" w:hAnsi="Times New Roman"/>
          <w:b/>
          <w:sz w:val="20"/>
        </w:rPr>
        <w:t xml:space="preserve">, 2022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16"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PART II </w:t>
      </w:r>
    </w:p>
    <w:p>
      <w:pPr>
        <w:pStyle w:val="TextBody"/>
        <w:spacing w:before="24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spacing w:before="24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spacing w:before="120" w:after="0"/>
        <w:jc w:val="left"/>
        <w:rPr>
          <w:rFonts w:ascii="Times New Roman" w:hAnsi="Times New Roman"/>
          <w:sz w:val="20"/>
        </w:rPr>
      </w:pPr>
      <w:r>
        <w:rPr>
          <w:rFonts w:ascii="Times New Roman" w:hAnsi="Times New Roman"/>
          <w:sz w:val="20"/>
        </w:rPr>
        <w:t xml:space="preserve">The following is an estimate (other than the SEC registration and FINRA filing fees) of the expenses (all of which are to be paid by the registrant) that we may incur in connection with the securities being registered hereby.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336"/>
        <w:gridCol w:w="461"/>
        <w:gridCol w:w="141"/>
        <w:gridCol w:w="937"/>
        <w:gridCol w:w="64"/>
      </w:tblGrid>
      <w:tr>
        <w:trPr/>
        <w:tc>
          <w:tcPr>
            <w:tcW w:w="5336"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5336" w:type="dxa"/>
            <w:tcBorders/>
            <w:shd w:fill="CCEEFF" w:val="clear"/>
          </w:tcPr>
          <w:p>
            <w:pPr>
              <w:pStyle w:val="TableContents"/>
              <w:spacing w:before="0" w:after="0"/>
              <w:rPr>
                <w:rFonts w:ascii="Times New Roman" w:hAnsi="Times New Roman"/>
                <w:sz w:val="20"/>
              </w:rPr>
            </w:pPr>
            <w:r>
              <w:rPr>
                <w:rFonts w:ascii="Times New Roman" w:hAnsi="Times New Roman"/>
                <w:sz w:val="20"/>
              </w:rPr>
              <w:t>SEC registration fee</w:t>
            </w:r>
          </w:p>
        </w:tc>
        <w:tc>
          <w:tcPr>
            <w:tcW w:w="4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w:t>
            </w:r>
          </w:p>
        </w:tc>
        <w:tc>
          <w:tcPr>
            <w:tcW w:w="937" w:type="dxa"/>
            <w:tcBorders/>
            <w:shd w:fill="CCEEFF" w:val="clear"/>
            <w:vAlign w:val="bottom"/>
          </w:tcPr>
          <w:p>
            <w:pPr>
              <w:pStyle w:val="TableContents"/>
              <w:spacing w:before="0" w:after="283"/>
              <w:jc w:val="right"/>
              <w:rPr/>
            </w:pPr>
            <w:r>
              <w:rPr/>
              <w:t>41,715</w:t>
            </w:r>
          </w:p>
        </w:tc>
        <w:tc>
          <w:tcPr>
            <w:tcW w:w="64" w:type="dxa"/>
            <w:tcBorders/>
            <w:shd w:fill="CCEEFF" w:val="clear"/>
            <w:vAlign w:val="bottom"/>
          </w:tcPr>
          <w:p>
            <w:pPr>
              <w:pStyle w:val="TableContents"/>
              <w:spacing w:before="0" w:after="283"/>
              <w:rPr/>
            </w:pPr>
            <w:r>
              <w:rPr/>
              <w:t> </w:t>
            </w:r>
          </w:p>
        </w:tc>
      </w:tr>
      <w:tr>
        <w:trPr/>
        <w:tc>
          <w:tcPr>
            <w:tcW w:w="5336"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FINRA filing fees </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w:t>
            </w:r>
          </w:p>
        </w:tc>
        <w:tc>
          <w:tcPr>
            <w:tcW w:w="937" w:type="dxa"/>
            <w:tcBorders/>
            <w:shd w:fill="auto" w:val="clear"/>
            <w:vAlign w:val="bottom"/>
          </w:tcPr>
          <w:p>
            <w:pPr>
              <w:pStyle w:val="TableContents"/>
              <w:spacing w:before="0" w:after="283"/>
              <w:jc w:val="right"/>
              <w:rPr/>
            </w:pPr>
            <w:r>
              <w:rPr/>
              <w:t>226,000</w:t>
            </w:r>
          </w:p>
        </w:tc>
        <w:tc>
          <w:tcPr>
            <w:tcW w:w="64" w:type="dxa"/>
            <w:tcBorders/>
            <w:shd w:fill="auto" w:val="clear"/>
            <w:vAlign w:val="bottom"/>
          </w:tcPr>
          <w:p>
            <w:pPr>
              <w:pStyle w:val="TableContents"/>
              <w:spacing w:before="0" w:after="283"/>
              <w:rPr/>
            </w:pPr>
            <w:r>
              <w:rPr/>
              <w:t> </w:t>
            </w:r>
          </w:p>
        </w:tc>
      </w:tr>
      <w:tr>
        <w:trPr/>
        <w:tc>
          <w:tcPr>
            <w:tcW w:w="5336" w:type="dxa"/>
            <w:tcBorders/>
            <w:shd w:fill="CCEEFF" w:val="clear"/>
          </w:tcPr>
          <w:p>
            <w:pPr>
              <w:pStyle w:val="TableContents"/>
              <w:spacing w:before="0" w:after="0"/>
              <w:rPr>
                <w:rFonts w:ascii="Times New Roman" w:hAnsi="Times New Roman"/>
                <w:sz w:val="20"/>
              </w:rPr>
            </w:pPr>
            <w:r>
              <w:rPr>
                <w:rFonts w:ascii="Times New Roman" w:hAnsi="Times New Roman"/>
                <w:sz w:val="20"/>
              </w:rPr>
              <w:t>Printing expenses</w:t>
            </w:r>
          </w:p>
        </w:tc>
        <w:tc>
          <w:tcPr>
            <w:tcW w:w="4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pPr>
            <w:r>
              <w:rPr/>
              <w:t>    </w:t>
            </w:r>
            <w:r>
              <w:rPr/>
              <w:t>(1)</w:t>
            </w:r>
          </w:p>
        </w:tc>
        <w:tc>
          <w:tcPr>
            <w:tcW w:w="64" w:type="dxa"/>
            <w:tcBorders/>
            <w:shd w:fill="CCEEFF" w:val="clear"/>
            <w:vAlign w:val="bottom"/>
          </w:tcPr>
          <w:p>
            <w:pPr>
              <w:pStyle w:val="TableContents"/>
              <w:spacing w:before="0" w:after="283"/>
              <w:rPr/>
            </w:pPr>
            <w:r>
              <w:rPr/>
              <w:t> </w:t>
            </w:r>
          </w:p>
        </w:tc>
      </w:tr>
      <w:tr>
        <w:trPr/>
        <w:tc>
          <w:tcPr>
            <w:tcW w:w="5336" w:type="dxa"/>
            <w:tcBorders/>
            <w:shd w:fill="auto" w:val="clear"/>
          </w:tcPr>
          <w:p>
            <w:pPr>
              <w:pStyle w:val="TableContents"/>
              <w:spacing w:before="0" w:after="0"/>
              <w:rPr>
                <w:rFonts w:ascii="Times New Roman" w:hAnsi="Times New Roman"/>
                <w:sz w:val="20"/>
              </w:rPr>
            </w:pPr>
            <w:r>
              <w:rPr>
                <w:rFonts w:ascii="Times New Roman" w:hAnsi="Times New Roman"/>
                <w:sz w:val="20"/>
              </w:rPr>
              <w:t>Legal fees and expenses (including Blue Sky fees)</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right"/>
              <w:rPr/>
            </w:pPr>
            <w:r>
              <w:rPr/>
              <w:t>    </w:t>
            </w:r>
            <w:r>
              <w:rPr/>
              <w:t>(1)</w:t>
            </w:r>
          </w:p>
        </w:tc>
        <w:tc>
          <w:tcPr>
            <w:tcW w:w="64" w:type="dxa"/>
            <w:tcBorders/>
            <w:shd w:fill="auto" w:val="clear"/>
            <w:vAlign w:val="bottom"/>
          </w:tcPr>
          <w:p>
            <w:pPr>
              <w:pStyle w:val="TableContents"/>
              <w:spacing w:before="0" w:after="283"/>
              <w:rPr/>
            </w:pPr>
            <w:r>
              <w:rPr/>
              <w:t> </w:t>
            </w:r>
          </w:p>
        </w:tc>
      </w:tr>
      <w:tr>
        <w:trPr/>
        <w:tc>
          <w:tcPr>
            <w:tcW w:w="5336" w:type="dxa"/>
            <w:tcBorders/>
            <w:shd w:fill="CCEEFF" w:val="clear"/>
          </w:tcPr>
          <w:p>
            <w:pPr>
              <w:pStyle w:val="TableContents"/>
              <w:spacing w:before="0" w:after="0"/>
              <w:rPr>
                <w:rFonts w:ascii="Times New Roman" w:hAnsi="Times New Roman"/>
                <w:sz w:val="20"/>
              </w:rPr>
            </w:pPr>
            <w:r>
              <w:rPr>
                <w:rFonts w:ascii="Times New Roman" w:hAnsi="Times New Roman"/>
                <w:sz w:val="20"/>
              </w:rPr>
              <w:t>Accounting fees and expenses</w:t>
            </w:r>
          </w:p>
        </w:tc>
        <w:tc>
          <w:tcPr>
            <w:tcW w:w="4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pPr>
            <w:r>
              <w:rPr/>
              <w:t>    </w:t>
            </w:r>
            <w:r>
              <w:rPr/>
              <w:t>(1)</w:t>
            </w:r>
          </w:p>
        </w:tc>
        <w:tc>
          <w:tcPr>
            <w:tcW w:w="64" w:type="dxa"/>
            <w:tcBorders/>
            <w:shd w:fill="CCEEFF" w:val="clear"/>
            <w:vAlign w:val="bottom"/>
          </w:tcPr>
          <w:p>
            <w:pPr>
              <w:pStyle w:val="TableContents"/>
              <w:spacing w:before="0" w:after="283"/>
              <w:rPr/>
            </w:pPr>
            <w:r>
              <w:rPr/>
              <w:t> </w:t>
            </w:r>
          </w:p>
        </w:tc>
      </w:tr>
      <w:tr>
        <w:trPr/>
        <w:tc>
          <w:tcPr>
            <w:tcW w:w="5336" w:type="dxa"/>
            <w:tcBorders/>
            <w:shd w:fill="auto" w:val="clear"/>
          </w:tcPr>
          <w:p>
            <w:pPr>
              <w:pStyle w:val="TableContents"/>
              <w:spacing w:before="0" w:after="0"/>
              <w:rPr>
                <w:rFonts w:ascii="Times New Roman" w:hAnsi="Times New Roman"/>
                <w:sz w:val="20"/>
              </w:rPr>
            </w:pPr>
            <w:r>
              <w:rPr>
                <w:rFonts w:ascii="Times New Roman" w:hAnsi="Times New Roman"/>
                <w:sz w:val="20"/>
              </w:rPr>
              <w:t>Transfer agent, trustee and warrant agent and depositary fees and expenses</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right"/>
              <w:rPr/>
            </w:pPr>
            <w:r>
              <w:rPr/>
              <w:t>    </w:t>
            </w:r>
            <w:r>
              <w:rPr/>
              <w:t>(1)</w:t>
            </w:r>
          </w:p>
        </w:tc>
        <w:tc>
          <w:tcPr>
            <w:tcW w:w="64" w:type="dxa"/>
            <w:tcBorders/>
            <w:shd w:fill="auto" w:val="clear"/>
            <w:vAlign w:val="bottom"/>
          </w:tcPr>
          <w:p>
            <w:pPr>
              <w:pStyle w:val="TableContents"/>
              <w:spacing w:before="0" w:after="283"/>
              <w:rPr/>
            </w:pPr>
            <w:r>
              <w:rPr/>
              <w:t> </w:t>
            </w:r>
          </w:p>
        </w:tc>
      </w:tr>
      <w:tr>
        <w:trPr/>
        <w:tc>
          <w:tcPr>
            <w:tcW w:w="5336" w:type="dxa"/>
            <w:tcBorders/>
            <w:shd w:fill="CCEEFF" w:val="clear"/>
          </w:tcPr>
          <w:p>
            <w:pPr>
              <w:pStyle w:val="TableContents"/>
              <w:spacing w:before="0" w:after="0"/>
              <w:rPr>
                <w:rFonts w:ascii="Times New Roman" w:hAnsi="Times New Roman"/>
                <w:sz w:val="20"/>
              </w:rPr>
            </w:pPr>
            <w:r>
              <w:rPr>
                <w:rFonts w:ascii="Times New Roman" w:hAnsi="Times New Roman"/>
                <w:sz w:val="20"/>
              </w:rPr>
              <w:t>Miscellaneous fees and expenses</w:t>
            </w:r>
          </w:p>
        </w:tc>
        <w:tc>
          <w:tcPr>
            <w:tcW w:w="4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pPr>
            <w:r>
              <w:rPr/>
              <w:t>    </w:t>
            </w:r>
            <w:r>
              <w:rPr/>
              <w:t>(1)</w:t>
            </w:r>
          </w:p>
        </w:tc>
        <w:tc>
          <w:tcPr>
            <w:tcW w:w="64" w:type="dxa"/>
            <w:tcBorders/>
            <w:shd w:fill="CCEEFF" w:val="clear"/>
            <w:vAlign w:val="bottom"/>
          </w:tcPr>
          <w:p>
            <w:pPr>
              <w:pStyle w:val="TableContents"/>
              <w:spacing w:before="0" w:after="283"/>
              <w:rPr/>
            </w:pPr>
            <w:r>
              <w:rPr/>
              <w:t> </w:t>
            </w:r>
          </w:p>
        </w:tc>
      </w:tr>
      <w:tr>
        <w:trPr/>
        <w:tc>
          <w:tcPr>
            <w:tcW w:w="5336" w:type="dxa"/>
            <w:tcBorders/>
            <w:shd w:fill="auto" w:val="clear"/>
            <w:vAlign w:val="bottom"/>
          </w:tcPr>
          <w:p>
            <w:pPr>
              <w:pStyle w:val="TableContents"/>
              <w:spacing w:before="0" w:after="283"/>
              <w:rPr>
                <w:sz w:val="4"/>
                <w:szCs w:val="4"/>
              </w:rPr>
            </w:pPr>
            <w:r>
              <w:rPr>
                <w:sz w:val="4"/>
                <w:szCs w:val="4"/>
              </w:rPr>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0"/>
              <w:rPr/>
            </w:pPr>
            <w:r>
              <w:rPr/>
              <w:t> </w:t>
            </w:r>
          </w:p>
        </w:tc>
        <w:tc>
          <w:tcPr>
            <w:tcW w:w="937"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5336" w:type="dxa"/>
            <w:tcBorders/>
            <w:shd w:fill="auto" w:val="clear"/>
          </w:tcPr>
          <w:p>
            <w:pPr>
              <w:pStyle w:val="TableContents"/>
              <w:spacing w:before="0" w:after="0"/>
              <w:rPr>
                <w:rFonts w:ascii="Times New Roman" w:hAnsi="Times New Roman"/>
                <w:sz w:val="20"/>
              </w:rPr>
            </w:pPr>
            <w:r>
              <w:rPr>
                <w:rFonts w:ascii="Times New Roman" w:hAnsi="Times New Roman"/>
                <w:sz w:val="20"/>
              </w:rPr>
              <w:t>Total</w:t>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w:t>
            </w:r>
          </w:p>
        </w:tc>
        <w:tc>
          <w:tcPr>
            <w:tcW w:w="937" w:type="dxa"/>
            <w:tcBorders/>
            <w:shd w:fill="auto" w:val="clear"/>
            <w:vAlign w:val="bottom"/>
          </w:tcPr>
          <w:p>
            <w:pPr>
              <w:pStyle w:val="TableContents"/>
              <w:spacing w:before="0" w:after="283"/>
              <w:jc w:val="right"/>
              <w:rPr/>
            </w:pPr>
            <w:r>
              <w:rPr/>
              <w:t>267,715</w:t>
            </w:r>
          </w:p>
        </w:tc>
        <w:tc>
          <w:tcPr>
            <w:tcW w:w="64" w:type="dxa"/>
            <w:tcBorders/>
            <w:shd w:fill="auto" w:val="clear"/>
            <w:vAlign w:val="bottom"/>
          </w:tcPr>
          <w:p>
            <w:pPr>
              <w:pStyle w:val="TableContents"/>
              <w:spacing w:before="0" w:after="283"/>
              <w:rPr/>
            </w:pPr>
            <w:r>
              <w:rPr/>
              <w:t> </w:t>
            </w:r>
          </w:p>
        </w:tc>
      </w:tr>
      <w:tr>
        <w:trPr/>
        <w:tc>
          <w:tcPr>
            <w:tcW w:w="5336" w:type="dxa"/>
            <w:tcBorders/>
            <w:shd w:fill="auto" w:val="clear"/>
            <w:vAlign w:val="bottom"/>
          </w:tcPr>
          <w:p>
            <w:pPr>
              <w:pStyle w:val="TableContents"/>
              <w:spacing w:before="0" w:after="283"/>
              <w:rPr>
                <w:sz w:val="4"/>
                <w:szCs w:val="4"/>
              </w:rPr>
            </w:pPr>
            <w:r>
              <w:rPr>
                <w:sz w:val="4"/>
                <w:szCs w:val="4"/>
              </w:rPr>
            </w:r>
          </w:p>
        </w:tc>
        <w:tc>
          <w:tcPr>
            <w:tcW w:w="4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double" w:sz="6" w:space="1" w:color="000000"/>
              </w:pBdr>
              <w:spacing w:before="0" w:after="0"/>
              <w:rPr/>
            </w:pPr>
            <w:r>
              <w:rPr/>
              <w:t> </w:t>
            </w:r>
          </w:p>
        </w:tc>
        <w:tc>
          <w:tcPr>
            <w:tcW w:w="937" w:type="dxa"/>
            <w:tcBorders/>
            <w:shd w:fill="auto" w:val="clear"/>
            <w:vAlign w:val="bottom"/>
          </w:tcPr>
          <w:p>
            <w:pPr>
              <w:pStyle w:val="TableContents"/>
              <w:pBdr>
                <w:top w:val="double" w:sz="6"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These fees and expenses are calculated based on the securities offered and the number of issuances and accordingly cannot be estimated at this time. </w:t>
            </w:r>
          </w:p>
        </w:tc>
      </w:tr>
    </w:tbl>
    <w:p>
      <w:pPr>
        <w:pStyle w:val="TextBody"/>
        <w:spacing w:before="360" w:after="0"/>
        <w:jc w:val="left"/>
        <w:rPr>
          <w:rFonts w:ascii="Times New Roman" w:hAnsi="Times New Roman"/>
          <w:b/>
          <w:sz w:val="20"/>
        </w:rPr>
      </w:pPr>
      <w:r>
        <w:rPr>
          <w:rFonts w:ascii="Times New Roman" w:hAnsi="Times New Roman"/>
          <w:b/>
          <w:sz w:val="20"/>
        </w:rPr>
        <w:t xml:space="preserve">Item 15. Indemnification of Directors and Officers </w:t>
      </w:r>
    </w:p>
    <w:p>
      <w:pPr>
        <w:pStyle w:val="TextBody"/>
        <w:spacing w:before="120" w:after="0"/>
        <w:jc w:val="left"/>
        <w:rPr>
          <w:rFonts w:ascii="Times New Roman" w:hAnsi="Times New Roman"/>
          <w:sz w:val="20"/>
        </w:rPr>
      </w:pPr>
      <w:r>
        <w:rPr>
          <w:rFonts w:ascii="Times New Roman" w:hAnsi="Times New Roman"/>
          <w:sz w:val="20"/>
        </w:rPr>
        <w:t xml:space="preserve">Section 145 of the Delaware General Corporation Law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Delaware General Corporation Law provides that Section 145 is not exclusive of other rights to which those seeking indemnification may be entitled under any bylaw, agreement, vote of stockholders or disinterested directors or otherwise. The registrants By-laws provide for indemnification by the registrant of its directors, officers and employees to the fullest extent permitted by the Delaware General Corporation Law. The registrant has entered into indemnification agreements with each of its directors and officers to provide these directors additional contractual assurances regarding the scope of the indemnification set forth in the registrants Certificate of Incorporation and amended and restated By-laws and to provide additional procedural protections. There is no pending litigation or proceeding involving a director or executive officer of the registrant for which indemnification is sought. </w:t>
      </w:r>
    </w:p>
    <w:p>
      <w:pPr>
        <w:pStyle w:val="TextBody"/>
        <w:spacing w:before="240" w:after="0"/>
        <w:jc w:val="left"/>
        <w:rPr>
          <w:rFonts w:ascii="Times New Roman" w:hAnsi="Times New Roman"/>
          <w:sz w:val="20"/>
        </w:rPr>
      </w:pPr>
      <w:r>
        <w:rPr>
          <w:rFonts w:ascii="Times New Roman" w:hAnsi="Times New Roman"/>
          <w:sz w:val="20"/>
        </w:rPr>
        <w:t xml:space="preserve">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The registrants Certificate of Incorporation provides for such limitation of liability. </w:t>
      </w:r>
    </w:p>
    <w:p>
      <w:pPr>
        <w:pStyle w:val="TextBody"/>
        <w:spacing w:before="240" w:after="0"/>
        <w:jc w:val="left"/>
        <w:rPr>
          <w:rFonts w:ascii="Times New Roman" w:hAnsi="Times New Roman"/>
          <w:sz w:val="20"/>
        </w:rPr>
      </w:pPr>
      <w:r>
        <w:rPr>
          <w:rFonts w:ascii="Times New Roman" w:hAnsi="Times New Roman"/>
          <w:sz w:val="20"/>
        </w:rPr>
        <w:t xml:space="preserve">The registrant maintains standard policies of insurance under which coverage is provided (a) to its directors and officers against loss arising from claims made by reason of breach of duty or other wrongful act, and (b) to the registrant with respect to payments which may be made by the registrant to such officers and directors pursuant to the above indemnification provision or otherwise as a matter of law.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proposed form of underwriting agreement filed as Exhibit 1.1. to this registration statement will provide for indemnification of directors and officers of the registrant by the underwriters against certain liabilities. </w:t>
      </w:r>
    </w:p>
    <w:p>
      <w:pPr>
        <w:pStyle w:val="TextBody"/>
        <w:spacing w:before="360" w:after="0"/>
        <w:jc w:val="left"/>
        <w:rPr>
          <w:rFonts w:ascii="Times New Roman" w:hAnsi="Times New Roman"/>
          <w:b/>
          <w:sz w:val="20"/>
        </w:rPr>
      </w:pPr>
      <w:r>
        <w:rPr>
          <w:rFonts w:ascii="Times New Roman" w:hAnsi="Times New Roman"/>
          <w:b/>
          <w:sz w:val="20"/>
        </w:rPr>
        <w:t xml:space="preserve">Item 16. Exhibits </w:t>
      </w:r>
    </w:p>
    <w:p>
      <w:pPr>
        <w:pStyle w:val="TextBody"/>
        <w:spacing w:before="120" w:after="0"/>
        <w:jc w:val="left"/>
        <w:rPr>
          <w:rFonts w:ascii="Times New Roman" w:hAnsi="Times New Roman"/>
          <w:sz w:val="20"/>
        </w:rPr>
      </w:pPr>
      <w:r>
        <w:rPr>
          <w:rFonts w:ascii="Times New Roman" w:hAnsi="Times New Roman"/>
          <w:sz w:val="20"/>
        </w:rPr>
        <w:t xml:space="preserve">(a) Exhibits </w:t>
      </w:r>
    </w:p>
    <w:p>
      <w:pPr>
        <w:pStyle w:val="TextBody"/>
        <w:spacing w:before="120" w:after="0"/>
        <w:jc w:val="left"/>
        <w:rPr>
          <w:rFonts w:ascii="Times New Roman" w:hAnsi="Times New Roman"/>
          <w:sz w:val="20"/>
        </w:rPr>
      </w:pPr>
      <w:r>
        <w:rPr>
          <w:rFonts w:ascii="Times New Roman" w:hAnsi="Times New Roman"/>
          <w:sz w:val="20"/>
        </w:rPr>
        <w:t xml:space="preserve">A list of exhibits filed with this registration statement on Form S-3 is set forth on the Exhibit Index and is incorporated herein by reference. </w:t>
      </w:r>
    </w:p>
    <w:p>
      <w:pPr>
        <w:pStyle w:val="TextBody"/>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spacing w:before="24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spacing w:before="240" w:after="0"/>
        <w:jc w:val="left"/>
        <w:rPr>
          <w:rFonts w:ascii="Times New Roman" w:hAnsi="Times New Roman"/>
          <w:sz w:val="20"/>
        </w:rPr>
      </w:pPr>
      <w:r>
        <w:rPr>
          <w:rFonts w:ascii="Times New Roman" w:hAnsi="Times New Roman"/>
          <w:sz w:val="20"/>
        </w:rPr>
        <w:t xml:space="preserve">(i) To include any prospectus required by Section 10(a)(3) of the Securities Act of 1933; </w:t>
      </w:r>
    </w:p>
    <w:p>
      <w:pPr>
        <w:pStyle w:val="TextBody"/>
        <w:spacing w:before="24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 </w:t>
      </w:r>
    </w:p>
    <w:p>
      <w:pPr>
        <w:pStyle w:val="TextBody"/>
        <w:spacing w:before="24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(a)(1)(i), (a)(1)(ii), and (a)(1)(iii)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 </w:t>
      </w:r>
    </w:p>
    <w:p>
      <w:pPr>
        <w:pStyle w:val="TextBody"/>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spacing w:before="240" w:after="0"/>
        <w:jc w:val="left"/>
        <w:rPr>
          <w:rFonts w:ascii="Times New Roman" w:hAnsi="Times New Roman"/>
          <w:sz w:val="20"/>
        </w:rPr>
      </w:pPr>
      <w:r>
        <w:rPr>
          <w:rFonts w:ascii="Times New Roman" w:hAnsi="Times New Roman"/>
          <w:sz w:val="20"/>
        </w:rPr>
        <w:t xml:space="preserve">(4) That, for the purpose of determining liability under the Securities Act of 1933 to any purchaser: </w:t>
      </w:r>
    </w:p>
    <w:p>
      <w:pPr>
        <w:pStyle w:val="TextBody"/>
        <w:spacing w:before="240" w:after="0"/>
        <w:jc w:val="left"/>
        <w:rPr>
          <w:rFonts w:ascii="Times New Roman" w:hAnsi="Times New Roman"/>
          <w:sz w:val="20"/>
        </w:rPr>
      </w:pPr>
      <w:r>
        <w:rPr>
          <w:rFonts w:ascii="Times New Roman" w:hAnsi="Times New Roman"/>
          <w:sz w:val="20"/>
        </w:rPr>
        <w:t xml:space="preserve">(A) Each prospectus filed by the registrant pursuant to Rule 424(b)(3) shall be deemed to be part of the registration statement as of the date the filed prospectus was deemed part of and included in the registration statement; and </w:t>
      </w:r>
    </w:p>
    <w:p>
      <w:pPr>
        <w:pStyle w:val="TextBody"/>
        <w:spacing w:before="240" w:after="0"/>
        <w:jc w:val="left"/>
        <w:rPr>
          <w:rFonts w:ascii="Times New Roman" w:hAnsi="Times New Roman"/>
          <w:sz w:val="20"/>
        </w:rPr>
      </w:pPr>
      <w:r>
        <w:rPr>
          <w:rFonts w:ascii="Times New Roman" w:hAnsi="Times New Roman"/>
          <w:sz w:val="20"/>
        </w:rPr>
        <w:t xml:space="preserve">(B)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spacing w:before="240" w:after="0"/>
        <w:jc w:val="left"/>
        <w:rPr>
          <w:rFonts w:ascii="Times New Roman" w:hAnsi="Times New Roman"/>
          <w:sz w:val="20"/>
        </w:rPr>
      </w:pPr>
      <w:r>
        <w:rPr>
          <w:rFonts w:ascii="Times New Roman" w:hAnsi="Times New Roman"/>
          <w:sz w:val="20"/>
        </w:rPr>
        <w:t xml:space="preserve">(5) That, for the purpose of determining liability of the registrant under the Securities Act of 1933 to any purchaser in the initial distribution of securities: </w:t>
      </w:r>
    </w:p>
    <w:p>
      <w:pPr>
        <w:pStyle w:val="TextBody"/>
        <w:spacing w:before="240" w:after="0"/>
        <w:jc w:val="left"/>
        <w:rPr>
          <w:rFonts w:ascii="Times New Roman" w:hAnsi="Times New Roman"/>
          <w:sz w:val="20"/>
        </w:rPr>
      </w:pPr>
      <w:r>
        <w:rPr>
          <w:rFonts w:ascii="Times New Roman" w:hAnsi="Times New Roman"/>
          <w:sz w:val="20"/>
        </w:rPr>
        <w:t xml:space="preserve">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spacing w:before="240" w:after="0"/>
        <w:jc w:val="left"/>
        <w:rPr>
          <w:rFonts w:ascii="Times New Roman" w:hAnsi="Times New Roman"/>
          <w:sz w:val="20"/>
        </w:rPr>
      </w:pPr>
      <w:r>
        <w:rPr>
          <w:rFonts w:ascii="Times New Roman" w:hAnsi="Times New Roman"/>
          <w:sz w:val="20"/>
        </w:rPr>
        <w:t xml:space="preserve">(i) Any preliminary prospectus or prospectus of the undersigned registrant relating to the offering required to be filed pursuant to Rule 424; </w:t>
      </w:r>
    </w:p>
    <w:p>
      <w:pPr>
        <w:pStyle w:val="TextBody"/>
        <w:spacing w:before="240" w:after="0"/>
        <w:jc w:val="left"/>
        <w:rPr>
          <w:rFonts w:ascii="Times New Roman" w:hAnsi="Times New Roman"/>
          <w:sz w:val="20"/>
        </w:rPr>
      </w:pPr>
      <w:r>
        <w:rPr>
          <w:rFonts w:ascii="Times New Roman" w:hAnsi="Times New Roman"/>
          <w:sz w:val="20"/>
        </w:rPr>
        <w:t xml:space="preserve">(ii) Any free writing prospectus relating to the offering prepared by or on behalf of the undersigned registrant or used or referred to by the undersigned registrant; </w:t>
      </w:r>
    </w:p>
    <w:p>
      <w:pPr>
        <w:pStyle w:val="TextBody"/>
        <w:spacing w:before="240" w:after="0"/>
        <w:jc w:val="left"/>
        <w:rPr>
          <w:rFonts w:ascii="Times New Roman" w:hAnsi="Times New Roman"/>
          <w:sz w:val="20"/>
        </w:rPr>
      </w:pPr>
      <w:r>
        <w:rPr>
          <w:rFonts w:ascii="Times New Roman" w:hAnsi="Times New Roman"/>
          <w:sz w:val="20"/>
        </w:rPr>
        <w:t xml:space="preserve">(iii) The portion of any other free writing prospectus relating to the offering prepared by or on behalf of the undersigned registrant or its securities provided by or on behalf of the undersigned registrant; and </w:t>
      </w:r>
    </w:p>
    <w:p>
      <w:pPr>
        <w:pStyle w:val="TextBody"/>
        <w:spacing w:before="240" w:after="0"/>
        <w:jc w:val="left"/>
        <w:rPr>
          <w:rFonts w:ascii="Times New Roman" w:hAnsi="Times New Roman"/>
          <w:sz w:val="20"/>
        </w:rPr>
      </w:pPr>
      <w:r>
        <w:rPr>
          <w:rFonts w:ascii="Times New Roman" w:hAnsi="Times New Roman"/>
          <w:sz w:val="20"/>
        </w:rPr>
        <w:t xml:space="preserve">(iv) Any other communications that is an offer in the offering made by the undersigned registrant to the purchaser. </w:t>
      </w:r>
    </w:p>
    <w:p>
      <w:pPr>
        <w:pStyle w:val="TextBody"/>
        <w:spacing w:before="24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spacing w:before="240" w:after="0"/>
        <w:jc w:val="left"/>
        <w:rPr>
          <w:rFonts w:ascii="Times New Roman" w:hAnsi="Times New Roman"/>
          <w:sz w:val="20"/>
        </w:rPr>
      </w:pPr>
      <w:r>
        <w:rPr>
          <w:rFonts w:ascii="Times New Roman" w:hAnsi="Times New Roman"/>
          <w:sz w:val="20"/>
        </w:rPr>
        <w:t xml:space="preserve">(c)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EXHIBIT INDEX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811"/>
        <w:gridCol w:w="500"/>
        <w:gridCol w:w="8894"/>
      </w:tblGrid>
      <w:tr>
        <w:trPr/>
        <w:tc>
          <w:tcPr>
            <w:tcW w:w="811"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bottom"/>
          </w:tcPr>
          <w:p>
            <w:pPr>
              <w:pStyle w:val="TableContents"/>
              <w:spacing w:before="0" w:after="283"/>
              <w:rPr>
                <w:sz w:val="4"/>
                <w:szCs w:val="4"/>
              </w:rPr>
            </w:pPr>
            <w:r>
              <w:rPr>
                <w:sz w:val="4"/>
                <w:szCs w:val="4"/>
              </w:rPr>
            </w:r>
          </w:p>
        </w:tc>
        <w:tc>
          <w:tcPr>
            <w:tcW w:w="8894" w:type="dxa"/>
            <w:tcBorders/>
            <w:shd w:fill="auto" w:val="clear"/>
            <w:vAlign w:val="center"/>
          </w:tcPr>
          <w:p>
            <w:pPr>
              <w:pStyle w:val="TableContents"/>
              <w:spacing w:before="0" w:after="283"/>
              <w:rPr>
                <w:sz w:val="4"/>
                <w:szCs w:val="4"/>
              </w:rPr>
            </w:pPr>
            <w:r>
              <w:rPr>
                <w:sz w:val="4"/>
                <w:szCs w:val="4"/>
              </w:rPr>
            </w:r>
          </w:p>
        </w:tc>
      </w:tr>
      <w:tr>
        <w:trPr/>
        <w:tc>
          <w:tcPr>
            <w:tcW w:w="811" w:type="dxa"/>
            <w:tcBorders/>
            <w:shd w:fill="auto" w:val="clear"/>
            <w:vAlign w:val="bottom"/>
          </w:tcPr>
          <w:p>
            <w:pPr>
              <w:pStyle w:val="TableContents"/>
              <w:pBdr>
                <w:bottom w:val="single" w:sz="8" w:space="1" w:color="000000"/>
              </w:pBdr>
              <w:spacing w:before="0" w:after="0"/>
              <w:rPr/>
            </w:pPr>
            <w:r>
              <w:rPr/>
              <w:t> </w:t>
            </w:r>
          </w:p>
        </w:tc>
        <w:tc>
          <w:tcPr>
            <w:tcW w:w="500" w:type="dxa"/>
            <w:tcBorders/>
            <w:shd w:fill="auto" w:val="clear"/>
            <w:vAlign w:val="bottom"/>
          </w:tcPr>
          <w:p>
            <w:pPr>
              <w:pStyle w:val="TableContents"/>
              <w:spacing w:before="0" w:after="283"/>
              <w:rPr/>
            </w:pPr>
            <w:r>
              <w:rPr/>
              <w:t>  </w:t>
            </w:r>
          </w:p>
        </w:tc>
        <w:tc>
          <w:tcPr>
            <w:tcW w:w="8894" w:type="dxa"/>
            <w:tcBorders/>
            <w:shd w:fill="auto" w:val="clear"/>
            <w:vAlign w:val="bottom"/>
          </w:tcPr>
          <w:p>
            <w:pPr>
              <w:pStyle w:val="TableContents"/>
              <w:spacing w:before="0" w:after="283"/>
              <w:rPr/>
            </w:pPr>
            <w:r>
              <w:rPr/>
              <w:t> </w:t>
            </w:r>
          </w:p>
        </w:tc>
      </w:tr>
      <w:tr>
        <w:trPr/>
        <w:tc>
          <w:tcPr>
            <w:tcW w:w="811" w:type="dxa"/>
            <w:tcBorders/>
            <w:shd w:fill="auto" w:val="clear"/>
            <w:vAlign w:val="bottom"/>
          </w:tcPr>
          <w:p>
            <w:pPr>
              <w:pStyle w:val="TableContents"/>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spacing w:before="0" w:after="20"/>
              <w:jc w:val="center"/>
              <w:rPr>
                <w:rFonts w:ascii="Times New Roman" w:hAnsi="Times New Roman"/>
                <w:b/>
                <w:sz w:val="16"/>
              </w:rPr>
            </w:pPr>
            <w:r>
              <w:rPr>
                <w:rFonts w:ascii="Times New Roman" w:hAnsi="Times New Roman"/>
                <w:b/>
                <w:sz w:val="16"/>
              </w:rPr>
              <w:t>Number</w:t>
            </w:r>
          </w:p>
        </w:tc>
        <w:tc>
          <w:tcPr>
            <w:tcW w:w="500" w:type="dxa"/>
            <w:tcBorders/>
            <w:shd w:fill="auto" w:val="clear"/>
            <w:vAlign w:val="bottom"/>
          </w:tcPr>
          <w:p>
            <w:pPr>
              <w:pStyle w:val="TableContents"/>
              <w:spacing w:before="0" w:after="283"/>
              <w:rPr/>
            </w:pPr>
            <w:r>
              <w:rPr/>
              <w:t>  </w:t>
            </w:r>
          </w:p>
        </w:tc>
        <w:tc>
          <w:tcPr>
            <w:tcW w:w="8894" w:type="dxa"/>
            <w:tcBorders/>
            <w:shd w:fill="auto" w:val="clear"/>
            <w:vAlign w:val="bottom"/>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Description</w:t>
            </w:r>
          </w:p>
        </w:tc>
      </w:tr>
      <w:tr>
        <w:trPr>
          <w:trHeight w:val="120" w:hRule="atLeast"/>
        </w:trPr>
        <w:tc>
          <w:tcPr>
            <w:tcW w:w="811" w:type="dxa"/>
            <w:tcBorders/>
            <w:shd w:fill="auto" w:val="clear"/>
            <w:vAlign w:val="center"/>
          </w:tcPr>
          <w:p>
            <w:pPr>
              <w:pStyle w:val="TableContents"/>
              <w:spacing w:before="0" w:after="283"/>
              <w:rPr>
                <w:sz w:val="4"/>
                <w:szCs w:val="4"/>
              </w:rPr>
            </w:pPr>
            <w:r>
              <w:rPr>
                <w:sz w:val="4"/>
                <w:szCs w:val="4"/>
              </w:rPr>
            </w:r>
          </w:p>
        </w:tc>
        <w:tc>
          <w:tcPr>
            <w:tcW w:w="9394" w:type="dxa"/>
            <w:gridSpan w:val="2"/>
            <w:tcBorders/>
            <w:shd w:fill="auto" w:val="clear"/>
            <w:vAlign w:val="center"/>
          </w:tcPr>
          <w:p>
            <w:pPr>
              <w:pStyle w:val="TableContents"/>
              <w:spacing w:before="0" w:after="283"/>
              <w:rPr>
                <w:sz w:val="4"/>
                <w:szCs w:val="4"/>
              </w:rPr>
            </w:pPr>
            <w:r>
              <w:rPr>
                <w:sz w:val="4"/>
                <w:szCs w:val="4"/>
              </w:rPr>
            </w:r>
          </w:p>
        </w:tc>
      </w:tr>
      <w:tr>
        <w:trPr/>
        <w:tc>
          <w:tcPr>
            <w:tcW w:w="811" w:type="dxa"/>
            <w:tcBorders/>
            <w:shd w:fill="auto" w:val="clear"/>
          </w:tcPr>
          <w:p>
            <w:pPr>
              <w:pStyle w:val="TableContents"/>
              <w:spacing w:before="0" w:after="283"/>
              <w:rPr/>
            </w:pPr>
            <w:r>
              <w:rPr/>
              <w:t>    </w:t>
            </w:r>
            <w:r>
              <w:rPr/>
              <w:t>1.1*</w:t>
            </w:r>
          </w:p>
        </w:tc>
        <w:tc>
          <w:tcPr>
            <w:tcW w:w="500" w:type="dxa"/>
            <w:tcBorders/>
            <w:shd w:fill="auto" w:val="clear"/>
            <w:vAlign w:val="bottom"/>
          </w:tcPr>
          <w:p>
            <w:pPr>
              <w:pStyle w:val="TableContents"/>
              <w:spacing w:before="0" w:after="283"/>
              <w:rPr/>
            </w:pPr>
            <w:r>
              <w:rPr/>
              <w:t>  </w:t>
            </w:r>
          </w:p>
        </w:tc>
        <w:tc>
          <w:tcPr>
            <w:tcW w:w="8894" w:type="dxa"/>
            <w:tcBorders/>
            <w:shd w:fill="auto" w:val="clear"/>
          </w:tcPr>
          <w:p>
            <w:pPr>
              <w:pStyle w:val="TableContents"/>
              <w:spacing w:before="0" w:after="283"/>
              <w:rPr/>
            </w:pPr>
            <w:r>
              <w:rPr/>
              <w:t>Form of Underwriting Agreement.</w:t>
            </w:r>
          </w:p>
        </w:tc>
      </w:tr>
      <w:tr>
        <w:trPr>
          <w:trHeight w:val="120" w:hRule="atLeast"/>
        </w:trPr>
        <w:tc>
          <w:tcPr>
            <w:tcW w:w="811" w:type="dxa"/>
            <w:tcBorders/>
            <w:shd w:fill="auto" w:val="clear"/>
            <w:vAlign w:val="center"/>
          </w:tcPr>
          <w:p>
            <w:pPr>
              <w:pStyle w:val="TableContents"/>
              <w:spacing w:before="0" w:after="283"/>
              <w:rPr>
                <w:sz w:val="4"/>
                <w:szCs w:val="4"/>
              </w:rPr>
            </w:pPr>
            <w:r>
              <w:rPr>
                <w:sz w:val="4"/>
                <w:szCs w:val="4"/>
              </w:rPr>
            </w:r>
          </w:p>
        </w:tc>
        <w:tc>
          <w:tcPr>
            <w:tcW w:w="9394" w:type="dxa"/>
            <w:gridSpan w:val="2"/>
            <w:tcBorders/>
            <w:shd w:fill="auto" w:val="clear"/>
            <w:vAlign w:val="center"/>
          </w:tcPr>
          <w:p>
            <w:pPr>
              <w:pStyle w:val="TableContents"/>
              <w:spacing w:before="0" w:after="283"/>
              <w:rPr>
                <w:sz w:val="4"/>
                <w:szCs w:val="4"/>
              </w:rPr>
            </w:pPr>
            <w:r>
              <w:rPr>
                <w:sz w:val="4"/>
                <w:szCs w:val="4"/>
              </w:rPr>
            </w:r>
          </w:p>
        </w:tc>
      </w:tr>
      <w:tr>
        <w:trPr/>
        <w:tc>
          <w:tcPr>
            <w:tcW w:w="811" w:type="dxa"/>
            <w:tcBorders/>
            <w:shd w:fill="auto" w:val="clear"/>
          </w:tcPr>
          <w:p>
            <w:pPr>
              <w:pStyle w:val="TableContents"/>
              <w:spacing w:before="0" w:after="283"/>
              <w:rPr/>
            </w:pPr>
            <w:r>
              <w:rPr/>
              <w:t>    </w:t>
            </w:r>
            <w:r>
              <w:rPr/>
              <w:t>1.2**</w:t>
            </w:r>
          </w:p>
        </w:tc>
        <w:tc>
          <w:tcPr>
            <w:tcW w:w="500" w:type="dxa"/>
            <w:tcBorders/>
            <w:shd w:fill="auto" w:val="clear"/>
            <w:vAlign w:val="bottom"/>
          </w:tcPr>
          <w:p>
            <w:pPr>
              <w:pStyle w:val="TableContents"/>
              <w:spacing w:before="0" w:after="283"/>
              <w:rPr/>
            </w:pPr>
            <w:r>
              <w:rPr/>
              <w:t>  </w:t>
            </w:r>
          </w:p>
        </w:tc>
        <w:tc>
          <w:tcPr>
            <w:tcW w:w="8894" w:type="dxa"/>
            <w:tcBorders/>
            <w:shd w:fill="auto" w:val="clear"/>
          </w:tcPr>
          <w:p>
            <w:pPr>
              <w:pStyle w:val="TableContents"/>
              <w:spacing w:before="0" w:after="283"/>
              <w:rPr/>
            </w:pPr>
            <w:hyperlink r:id="rId19">
              <w:r>
                <w:rPr>
                  <w:rStyle w:val="InternetLink"/>
                </w:rPr>
                <w:t xml:space="preserve">Sales Agreement, dated as of December 17, 2021, between the Registrant, Cantor Fitzgerald  &amp; Co. and Credit Suisse Securities (USA) LLC </w:t>
              </w:r>
            </w:hyperlink>
          </w:p>
        </w:tc>
      </w:tr>
      <w:tr>
        <w:trPr>
          <w:trHeight w:val="120" w:hRule="atLeast"/>
        </w:trPr>
        <w:tc>
          <w:tcPr>
            <w:tcW w:w="811" w:type="dxa"/>
            <w:tcBorders/>
            <w:shd w:fill="auto" w:val="clear"/>
            <w:vAlign w:val="center"/>
          </w:tcPr>
          <w:p>
            <w:pPr>
              <w:pStyle w:val="TableContents"/>
              <w:spacing w:before="0" w:after="283"/>
              <w:rPr>
                <w:sz w:val="4"/>
                <w:szCs w:val="4"/>
              </w:rPr>
            </w:pPr>
            <w:r>
              <w:rPr>
                <w:sz w:val="4"/>
                <w:szCs w:val="4"/>
              </w:rPr>
            </w:r>
          </w:p>
        </w:tc>
        <w:tc>
          <w:tcPr>
            <w:tcW w:w="9394" w:type="dxa"/>
            <w:gridSpan w:val="2"/>
            <w:tcBorders/>
            <w:shd w:fill="auto" w:val="clear"/>
            <w:vAlign w:val="center"/>
          </w:tcPr>
          <w:p>
            <w:pPr>
              <w:pStyle w:val="TableContents"/>
              <w:spacing w:before="0" w:after="283"/>
              <w:rPr>
                <w:sz w:val="4"/>
                <w:szCs w:val="4"/>
              </w:rPr>
            </w:pPr>
            <w:r>
              <w:rPr>
                <w:sz w:val="4"/>
                <w:szCs w:val="4"/>
              </w:rPr>
            </w:r>
          </w:p>
        </w:tc>
      </w:tr>
      <w:tr>
        <w:trPr/>
        <w:tc>
          <w:tcPr>
            <w:tcW w:w="811" w:type="dxa"/>
            <w:tcBorders/>
            <w:shd w:fill="auto" w:val="clear"/>
          </w:tcPr>
          <w:p>
            <w:pPr>
              <w:pStyle w:val="TableContents"/>
              <w:spacing w:before="0" w:after="283"/>
              <w:rPr/>
            </w:pPr>
            <w:r>
              <w:rPr/>
              <w:t>    </w:t>
            </w:r>
            <w:r>
              <w:rPr/>
              <w:t>3.1**</w:t>
            </w:r>
          </w:p>
        </w:tc>
        <w:tc>
          <w:tcPr>
            <w:tcW w:w="500" w:type="dxa"/>
            <w:tcBorders/>
            <w:shd w:fill="auto" w:val="clear"/>
            <w:vAlign w:val="bottom"/>
          </w:tcPr>
          <w:p>
            <w:pPr>
              <w:pStyle w:val="TableContents"/>
              <w:spacing w:before="0" w:after="283"/>
              <w:rPr/>
            </w:pPr>
            <w:r>
              <w:rPr/>
              <w:t>  </w:t>
            </w:r>
          </w:p>
        </w:tc>
        <w:tc>
          <w:tcPr>
            <w:tcW w:w="8894" w:type="dxa"/>
            <w:tcBorders/>
            <w:shd w:fill="auto" w:val="clear"/>
          </w:tcPr>
          <w:p>
            <w:pPr>
              <w:pStyle w:val="TableContents"/>
              <w:spacing w:before="0" w:after="283"/>
              <w:rPr/>
            </w:pPr>
            <w:hyperlink r:id="rId20">
              <w:r>
                <w:rPr>
                  <w:rStyle w:val="InternetLink"/>
                </w:rPr>
                <w:t>Amended and Restated Certificate of Incorporation of the Registrant.</w:t>
              </w:r>
            </w:hyperlink>
          </w:p>
        </w:tc>
      </w:tr>
      <w:tr>
        <w:trPr>
          <w:trHeight w:val="120" w:hRule="atLeast"/>
        </w:trPr>
        <w:tc>
          <w:tcPr>
            <w:tcW w:w="811" w:type="dxa"/>
            <w:tcBorders/>
            <w:shd w:fill="auto" w:val="clear"/>
            <w:vAlign w:val="center"/>
          </w:tcPr>
          <w:p>
            <w:pPr>
              <w:pStyle w:val="TableContents"/>
              <w:spacing w:before="0" w:after="283"/>
              <w:rPr>
                <w:sz w:val="4"/>
                <w:szCs w:val="4"/>
              </w:rPr>
            </w:pPr>
            <w:r>
              <w:rPr>
                <w:sz w:val="4"/>
                <w:szCs w:val="4"/>
              </w:rPr>
            </w:r>
          </w:p>
        </w:tc>
        <w:tc>
          <w:tcPr>
            <w:tcW w:w="9394" w:type="dxa"/>
            <w:gridSpan w:val="2"/>
            <w:tcBorders/>
            <w:shd w:fill="auto" w:val="clear"/>
            <w:vAlign w:val="center"/>
          </w:tcPr>
          <w:p>
            <w:pPr>
              <w:pStyle w:val="TableContents"/>
              <w:spacing w:before="0" w:after="283"/>
              <w:rPr>
                <w:sz w:val="4"/>
                <w:szCs w:val="4"/>
              </w:rPr>
            </w:pPr>
            <w:r>
              <w:rPr>
                <w:sz w:val="4"/>
                <w:szCs w:val="4"/>
              </w:rPr>
            </w:r>
          </w:p>
        </w:tc>
      </w:tr>
      <w:tr>
        <w:trPr/>
        <w:tc>
          <w:tcPr>
            <w:tcW w:w="811" w:type="dxa"/>
            <w:tcBorders/>
            <w:shd w:fill="auto" w:val="clear"/>
          </w:tcPr>
          <w:p>
            <w:pPr>
              <w:pStyle w:val="TableContents"/>
              <w:spacing w:before="0" w:after="283"/>
              <w:rPr/>
            </w:pPr>
            <w:r>
              <w:rPr/>
              <w:t>    </w:t>
            </w:r>
            <w:r>
              <w:rPr/>
              <w:t>3.2**</w:t>
            </w:r>
          </w:p>
        </w:tc>
        <w:tc>
          <w:tcPr>
            <w:tcW w:w="500" w:type="dxa"/>
            <w:tcBorders/>
            <w:shd w:fill="auto" w:val="clear"/>
            <w:vAlign w:val="bottom"/>
          </w:tcPr>
          <w:p>
            <w:pPr>
              <w:pStyle w:val="TableContents"/>
              <w:spacing w:before="0" w:after="283"/>
              <w:rPr/>
            </w:pPr>
            <w:r>
              <w:rPr/>
              <w:t>  </w:t>
            </w:r>
          </w:p>
        </w:tc>
        <w:tc>
          <w:tcPr>
            <w:tcW w:w="8894" w:type="dxa"/>
            <w:tcBorders/>
            <w:shd w:fill="auto" w:val="clear"/>
          </w:tcPr>
          <w:p>
            <w:pPr>
              <w:pStyle w:val="TableContents"/>
              <w:spacing w:before="0" w:after="283"/>
              <w:rPr/>
            </w:pPr>
            <w:hyperlink r:id="rId21">
              <w:r>
                <w:rPr>
                  <w:rStyle w:val="InternetLink"/>
                </w:rPr>
                <w:t>Amended and Restated Bylaws of the Registrant.</w:t>
              </w:r>
            </w:hyperlink>
          </w:p>
        </w:tc>
      </w:tr>
      <w:tr>
        <w:trPr>
          <w:trHeight w:val="120" w:hRule="atLeast"/>
        </w:trPr>
        <w:tc>
          <w:tcPr>
            <w:tcW w:w="811" w:type="dxa"/>
            <w:tcBorders/>
            <w:shd w:fill="auto" w:val="clear"/>
            <w:vAlign w:val="center"/>
          </w:tcPr>
          <w:p>
            <w:pPr>
              <w:pStyle w:val="TableContents"/>
              <w:spacing w:before="0" w:after="283"/>
              <w:rPr>
                <w:sz w:val="4"/>
                <w:szCs w:val="4"/>
              </w:rPr>
            </w:pPr>
            <w:r>
              <w:rPr>
                <w:sz w:val="4"/>
                <w:szCs w:val="4"/>
              </w:rPr>
            </w:r>
          </w:p>
        </w:tc>
        <w:tc>
          <w:tcPr>
            <w:tcW w:w="9394" w:type="dxa"/>
            <w:gridSpan w:val="2"/>
            <w:tcBorders/>
            <w:shd w:fill="auto" w:val="clear"/>
            <w:vAlign w:val="center"/>
          </w:tcPr>
          <w:p>
            <w:pPr>
              <w:pStyle w:val="TableContents"/>
              <w:spacing w:before="0" w:after="283"/>
              <w:rPr>
                <w:sz w:val="4"/>
                <w:szCs w:val="4"/>
              </w:rPr>
            </w:pPr>
            <w:r>
              <w:rPr>
                <w:sz w:val="4"/>
                <w:szCs w:val="4"/>
              </w:rPr>
            </w:r>
          </w:p>
        </w:tc>
      </w:tr>
      <w:tr>
        <w:trPr/>
        <w:tc>
          <w:tcPr>
            <w:tcW w:w="811" w:type="dxa"/>
            <w:tcBorders/>
            <w:shd w:fill="auto" w:val="clear"/>
          </w:tcPr>
          <w:p>
            <w:pPr>
              <w:pStyle w:val="TableContents"/>
              <w:spacing w:before="0" w:after="283"/>
              <w:rPr/>
            </w:pPr>
            <w:r>
              <w:rPr/>
              <w:t>    </w:t>
            </w:r>
            <w:r>
              <w:rPr/>
              <w:t>4.1**</w:t>
            </w:r>
          </w:p>
        </w:tc>
        <w:tc>
          <w:tcPr>
            <w:tcW w:w="500" w:type="dxa"/>
            <w:tcBorders/>
            <w:shd w:fill="auto" w:val="clear"/>
            <w:vAlign w:val="bottom"/>
          </w:tcPr>
          <w:p>
            <w:pPr>
              <w:pStyle w:val="TableContents"/>
              <w:spacing w:before="0" w:after="283"/>
              <w:rPr/>
            </w:pPr>
            <w:r>
              <w:rPr/>
              <w:t>  </w:t>
            </w:r>
          </w:p>
        </w:tc>
        <w:tc>
          <w:tcPr>
            <w:tcW w:w="8894" w:type="dxa"/>
            <w:tcBorders/>
            <w:shd w:fill="auto" w:val="clear"/>
          </w:tcPr>
          <w:p>
            <w:pPr>
              <w:pStyle w:val="TableContents"/>
              <w:spacing w:before="0" w:after="283"/>
              <w:rPr/>
            </w:pPr>
            <w:hyperlink r:id="rId22">
              <w:r>
                <w:rPr>
                  <w:rStyle w:val="InternetLink"/>
                </w:rPr>
                <w:t>Amended and Restated Investors Rights Agreement among the Registrant and certain of its stockholders, dated April 1, 2020.</w:t>
              </w:r>
            </w:hyperlink>
          </w:p>
        </w:tc>
      </w:tr>
      <w:tr>
        <w:trPr>
          <w:trHeight w:val="120" w:hRule="atLeast"/>
        </w:trPr>
        <w:tc>
          <w:tcPr>
            <w:tcW w:w="811" w:type="dxa"/>
            <w:tcBorders/>
            <w:shd w:fill="auto" w:val="clear"/>
            <w:vAlign w:val="center"/>
          </w:tcPr>
          <w:p>
            <w:pPr>
              <w:pStyle w:val="TableContents"/>
              <w:spacing w:before="0" w:after="283"/>
              <w:rPr>
                <w:sz w:val="4"/>
                <w:szCs w:val="4"/>
              </w:rPr>
            </w:pPr>
            <w:r>
              <w:rPr>
                <w:sz w:val="4"/>
                <w:szCs w:val="4"/>
              </w:rPr>
            </w:r>
          </w:p>
        </w:tc>
        <w:tc>
          <w:tcPr>
            <w:tcW w:w="9394" w:type="dxa"/>
            <w:gridSpan w:val="2"/>
            <w:tcBorders/>
            <w:shd w:fill="auto" w:val="clear"/>
            <w:vAlign w:val="center"/>
          </w:tcPr>
          <w:p>
            <w:pPr>
              <w:pStyle w:val="TableContents"/>
              <w:spacing w:before="0" w:after="283"/>
              <w:rPr>
                <w:sz w:val="4"/>
                <w:szCs w:val="4"/>
              </w:rPr>
            </w:pPr>
            <w:r>
              <w:rPr>
                <w:sz w:val="4"/>
                <w:szCs w:val="4"/>
              </w:rPr>
            </w:r>
          </w:p>
        </w:tc>
      </w:tr>
      <w:tr>
        <w:trPr/>
        <w:tc>
          <w:tcPr>
            <w:tcW w:w="811" w:type="dxa"/>
            <w:tcBorders/>
            <w:shd w:fill="auto" w:val="clear"/>
          </w:tcPr>
          <w:p>
            <w:pPr>
              <w:pStyle w:val="TableContents"/>
              <w:spacing w:before="0" w:after="283"/>
              <w:rPr/>
            </w:pPr>
            <w:r>
              <w:rPr/>
              <w:t>    </w:t>
            </w:r>
            <w:r>
              <w:rPr/>
              <w:t>4.2**</w:t>
            </w:r>
          </w:p>
        </w:tc>
        <w:tc>
          <w:tcPr>
            <w:tcW w:w="500" w:type="dxa"/>
            <w:tcBorders/>
            <w:shd w:fill="auto" w:val="clear"/>
            <w:vAlign w:val="bottom"/>
          </w:tcPr>
          <w:p>
            <w:pPr>
              <w:pStyle w:val="TableContents"/>
              <w:spacing w:before="0" w:after="283"/>
              <w:rPr/>
            </w:pPr>
            <w:r>
              <w:rPr/>
              <w:t>  </w:t>
            </w:r>
          </w:p>
        </w:tc>
        <w:tc>
          <w:tcPr>
            <w:tcW w:w="8894" w:type="dxa"/>
            <w:tcBorders/>
            <w:shd w:fill="auto" w:val="clear"/>
          </w:tcPr>
          <w:p>
            <w:pPr>
              <w:pStyle w:val="TableContents"/>
              <w:spacing w:before="0" w:after="283"/>
              <w:rPr/>
            </w:pPr>
            <w:hyperlink r:id="rId23">
              <w:r>
                <w:rPr>
                  <w:rStyle w:val="InternetLink"/>
                </w:rPr>
                <w:t>Specimen common stock certificate of the Registrant.</w:t>
              </w:r>
            </w:hyperlink>
          </w:p>
        </w:tc>
      </w:tr>
      <w:tr>
        <w:trPr>
          <w:trHeight w:val="120" w:hRule="atLeast"/>
        </w:trPr>
        <w:tc>
          <w:tcPr>
            <w:tcW w:w="811" w:type="dxa"/>
            <w:tcBorders/>
            <w:shd w:fill="auto" w:val="clear"/>
            <w:vAlign w:val="center"/>
          </w:tcPr>
          <w:p>
            <w:pPr>
              <w:pStyle w:val="TableContents"/>
              <w:spacing w:before="0" w:after="283"/>
              <w:rPr>
                <w:sz w:val="4"/>
                <w:szCs w:val="4"/>
              </w:rPr>
            </w:pPr>
            <w:r>
              <w:rPr>
                <w:sz w:val="4"/>
                <w:szCs w:val="4"/>
              </w:rPr>
            </w:r>
          </w:p>
        </w:tc>
        <w:tc>
          <w:tcPr>
            <w:tcW w:w="9394" w:type="dxa"/>
            <w:gridSpan w:val="2"/>
            <w:tcBorders/>
            <w:shd w:fill="auto" w:val="clear"/>
            <w:vAlign w:val="center"/>
          </w:tcPr>
          <w:p>
            <w:pPr>
              <w:pStyle w:val="TableContents"/>
              <w:spacing w:before="0" w:after="283"/>
              <w:rPr>
                <w:sz w:val="4"/>
                <w:szCs w:val="4"/>
              </w:rPr>
            </w:pPr>
            <w:r>
              <w:rPr>
                <w:sz w:val="4"/>
                <w:szCs w:val="4"/>
              </w:rPr>
            </w:r>
          </w:p>
        </w:tc>
      </w:tr>
      <w:tr>
        <w:trPr/>
        <w:tc>
          <w:tcPr>
            <w:tcW w:w="811" w:type="dxa"/>
            <w:tcBorders/>
            <w:shd w:fill="auto" w:val="clear"/>
          </w:tcPr>
          <w:p>
            <w:pPr>
              <w:pStyle w:val="TableContents"/>
              <w:spacing w:before="0" w:after="283"/>
              <w:rPr/>
            </w:pPr>
            <w:r>
              <w:rPr/>
              <w:t>    </w:t>
            </w:r>
            <w:r>
              <w:rPr/>
              <w:t>4.3**</w:t>
            </w:r>
          </w:p>
        </w:tc>
        <w:tc>
          <w:tcPr>
            <w:tcW w:w="500" w:type="dxa"/>
            <w:tcBorders/>
            <w:shd w:fill="auto" w:val="clear"/>
            <w:vAlign w:val="bottom"/>
          </w:tcPr>
          <w:p>
            <w:pPr>
              <w:pStyle w:val="TableContents"/>
              <w:spacing w:before="0" w:after="283"/>
              <w:rPr/>
            </w:pPr>
            <w:r>
              <w:rPr/>
              <w:t>  </w:t>
            </w:r>
          </w:p>
        </w:tc>
        <w:tc>
          <w:tcPr>
            <w:tcW w:w="8894" w:type="dxa"/>
            <w:tcBorders/>
            <w:shd w:fill="auto" w:val="clear"/>
          </w:tcPr>
          <w:p>
            <w:pPr>
              <w:pStyle w:val="TableContents"/>
              <w:spacing w:before="0" w:after="283"/>
              <w:rPr/>
            </w:pPr>
            <w:hyperlink r:id="rId24">
              <w:r>
                <w:rPr>
                  <w:rStyle w:val="InternetLink"/>
                </w:rPr>
                <w:t>Description of Securities</w:t>
              </w:r>
            </w:hyperlink>
          </w:p>
        </w:tc>
      </w:tr>
      <w:tr>
        <w:trPr>
          <w:trHeight w:val="120" w:hRule="atLeast"/>
        </w:trPr>
        <w:tc>
          <w:tcPr>
            <w:tcW w:w="811" w:type="dxa"/>
            <w:tcBorders/>
            <w:shd w:fill="auto" w:val="clear"/>
            <w:vAlign w:val="center"/>
          </w:tcPr>
          <w:p>
            <w:pPr>
              <w:pStyle w:val="TableContents"/>
              <w:spacing w:before="0" w:after="283"/>
              <w:rPr>
                <w:sz w:val="4"/>
                <w:szCs w:val="4"/>
              </w:rPr>
            </w:pPr>
            <w:r>
              <w:rPr>
                <w:sz w:val="4"/>
                <w:szCs w:val="4"/>
              </w:rPr>
            </w:r>
          </w:p>
        </w:tc>
        <w:tc>
          <w:tcPr>
            <w:tcW w:w="9394" w:type="dxa"/>
            <w:gridSpan w:val="2"/>
            <w:tcBorders/>
            <w:shd w:fill="auto" w:val="clear"/>
            <w:vAlign w:val="center"/>
          </w:tcPr>
          <w:p>
            <w:pPr>
              <w:pStyle w:val="TableContents"/>
              <w:spacing w:before="0" w:after="283"/>
              <w:rPr>
                <w:sz w:val="4"/>
                <w:szCs w:val="4"/>
              </w:rPr>
            </w:pPr>
            <w:r>
              <w:rPr>
                <w:sz w:val="4"/>
                <w:szCs w:val="4"/>
              </w:rPr>
            </w:r>
          </w:p>
        </w:tc>
      </w:tr>
      <w:tr>
        <w:trPr/>
        <w:tc>
          <w:tcPr>
            <w:tcW w:w="811" w:type="dxa"/>
            <w:tcBorders/>
            <w:shd w:fill="auto" w:val="clear"/>
          </w:tcPr>
          <w:p>
            <w:pPr>
              <w:pStyle w:val="TableContents"/>
              <w:spacing w:before="0" w:after="283"/>
              <w:rPr/>
            </w:pPr>
            <w:r>
              <w:rPr/>
              <w:t>    </w:t>
            </w:r>
            <w:r>
              <w:rPr/>
              <w:t>4.4*</w:t>
            </w:r>
          </w:p>
        </w:tc>
        <w:tc>
          <w:tcPr>
            <w:tcW w:w="500" w:type="dxa"/>
            <w:tcBorders/>
            <w:shd w:fill="auto" w:val="clear"/>
            <w:vAlign w:val="bottom"/>
          </w:tcPr>
          <w:p>
            <w:pPr>
              <w:pStyle w:val="TableContents"/>
              <w:spacing w:before="0" w:after="283"/>
              <w:rPr/>
            </w:pPr>
            <w:r>
              <w:rPr/>
              <w:t>  </w:t>
            </w:r>
          </w:p>
        </w:tc>
        <w:tc>
          <w:tcPr>
            <w:tcW w:w="8894" w:type="dxa"/>
            <w:tcBorders/>
            <w:shd w:fill="auto" w:val="clear"/>
          </w:tcPr>
          <w:p>
            <w:pPr>
              <w:pStyle w:val="TableContents"/>
              <w:spacing w:before="0" w:after="283"/>
              <w:rPr/>
            </w:pPr>
            <w:r>
              <w:rPr/>
              <w:t>Form of Warrant.</w:t>
            </w:r>
          </w:p>
        </w:tc>
      </w:tr>
      <w:tr>
        <w:trPr>
          <w:trHeight w:val="120" w:hRule="atLeast"/>
        </w:trPr>
        <w:tc>
          <w:tcPr>
            <w:tcW w:w="811" w:type="dxa"/>
            <w:tcBorders/>
            <w:shd w:fill="auto" w:val="clear"/>
            <w:vAlign w:val="center"/>
          </w:tcPr>
          <w:p>
            <w:pPr>
              <w:pStyle w:val="TableContents"/>
              <w:spacing w:before="0" w:after="283"/>
              <w:rPr>
                <w:sz w:val="4"/>
                <w:szCs w:val="4"/>
              </w:rPr>
            </w:pPr>
            <w:r>
              <w:rPr>
                <w:sz w:val="4"/>
                <w:szCs w:val="4"/>
              </w:rPr>
            </w:r>
          </w:p>
        </w:tc>
        <w:tc>
          <w:tcPr>
            <w:tcW w:w="9394" w:type="dxa"/>
            <w:gridSpan w:val="2"/>
            <w:tcBorders/>
            <w:shd w:fill="auto" w:val="clear"/>
            <w:vAlign w:val="center"/>
          </w:tcPr>
          <w:p>
            <w:pPr>
              <w:pStyle w:val="TableContents"/>
              <w:spacing w:before="0" w:after="283"/>
              <w:rPr>
                <w:sz w:val="4"/>
                <w:szCs w:val="4"/>
              </w:rPr>
            </w:pPr>
            <w:r>
              <w:rPr>
                <w:sz w:val="4"/>
                <w:szCs w:val="4"/>
              </w:rPr>
            </w:r>
          </w:p>
        </w:tc>
      </w:tr>
      <w:tr>
        <w:trPr/>
        <w:tc>
          <w:tcPr>
            <w:tcW w:w="811" w:type="dxa"/>
            <w:tcBorders/>
            <w:shd w:fill="auto" w:val="clear"/>
          </w:tcPr>
          <w:p>
            <w:pPr>
              <w:pStyle w:val="TableContents"/>
              <w:spacing w:before="0" w:after="283"/>
              <w:rPr/>
            </w:pPr>
            <w:r>
              <w:rPr/>
              <w:t>    </w:t>
            </w:r>
            <w:r>
              <w:rPr/>
              <w:t>4.5*</w:t>
            </w:r>
          </w:p>
        </w:tc>
        <w:tc>
          <w:tcPr>
            <w:tcW w:w="500" w:type="dxa"/>
            <w:tcBorders/>
            <w:shd w:fill="auto" w:val="clear"/>
            <w:vAlign w:val="bottom"/>
          </w:tcPr>
          <w:p>
            <w:pPr>
              <w:pStyle w:val="TableContents"/>
              <w:spacing w:before="0" w:after="283"/>
              <w:rPr/>
            </w:pPr>
            <w:r>
              <w:rPr/>
              <w:t>  </w:t>
            </w:r>
          </w:p>
        </w:tc>
        <w:tc>
          <w:tcPr>
            <w:tcW w:w="8894" w:type="dxa"/>
            <w:tcBorders/>
            <w:shd w:fill="auto" w:val="clear"/>
          </w:tcPr>
          <w:p>
            <w:pPr>
              <w:pStyle w:val="TableContents"/>
              <w:spacing w:before="0" w:after="283"/>
              <w:rPr/>
            </w:pPr>
            <w:r>
              <w:rPr/>
              <w:t>Form of Warrant Agreement.</w:t>
            </w:r>
          </w:p>
        </w:tc>
      </w:tr>
      <w:tr>
        <w:trPr>
          <w:trHeight w:val="120" w:hRule="atLeast"/>
        </w:trPr>
        <w:tc>
          <w:tcPr>
            <w:tcW w:w="811" w:type="dxa"/>
            <w:tcBorders/>
            <w:shd w:fill="auto" w:val="clear"/>
            <w:vAlign w:val="center"/>
          </w:tcPr>
          <w:p>
            <w:pPr>
              <w:pStyle w:val="TableContents"/>
              <w:spacing w:before="0" w:after="283"/>
              <w:rPr>
                <w:sz w:val="4"/>
                <w:szCs w:val="4"/>
              </w:rPr>
            </w:pPr>
            <w:r>
              <w:rPr>
                <w:sz w:val="4"/>
                <w:szCs w:val="4"/>
              </w:rPr>
            </w:r>
          </w:p>
        </w:tc>
        <w:tc>
          <w:tcPr>
            <w:tcW w:w="9394" w:type="dxa"/>
            <w:gridSpan w:val="2"/>
            <w:tcBorders/>
            <w:shd w:fill="auto" w:val="clear"/>
            <w:vAlign w:val="center"/>
          </w:tcPr>
          <w:p>
            <w:pPr>
              <w:pStyle w:val="TableContents"/>
              <w:spacing w:before="0" w:after="283"/>
              <w:rPr>
                <w:sz w:val="4"/>
                <w:szCs w:val="4"/>
              </w:rPr>
            </w:pPr>
            <w:r>
              <w:rPr>
                <w:sz w:val="4"/>
                <w:szCs w:val="4"/>
              </w:rPr>
            </w:r>
          </w:p>
        </w:tc>
      </w:tr>
      <w:tr>
        <w:trPr/>
        <w:tc>
          <w:tcPr>
            <w:tcW w:w="811" w:type="dxa"/>
            <w:tcBorders/>
            <w:shd w:fill="auto" w:val="clear"/>
          </w:tcPr>
          <w:p>
            <w:pPr>
              <w:pStyle w:val="TableContents"/>
              <w:spacing w:before="0" w:after="283"/>
              <w:rPr/>
            </w:pPr>
            <w:r>
              <w:rPr/>
              <w:t>    </w:t>
            </w:r>
            <w:r>
              <w:rPr/>
              <w:t>4.6*</w:t>
            </w:r>
          </w:p>
        </w:tc>
        <w:tc>
          <w:tcPr>
            <w:tcW w:w="500" w:type="dxa"/>
            <w:tcBorders/>
            <w:shd w:fill="auto" w:val="clear"/>
            <w:vAlign w:val="bottom"/>
          </w:tcPr>
          <w:p>
            <w:pPr>
              <w:pStyle w:val="TableContents"/>
              <w:spacing w:before="0" w:after="283"/>
              <w:rPr/>
            </w:pPr>
            <w:r>
              <w:rPr/>
              <w:t>  </w:t>
            </w:r>
          </w:p>
        </w:tc>
        <w:tc>
          <w:tcPr>
            <w:tcW w:w="8894" w:type="dxa"/>
            <w:tcBorders/>
            <w:shd w:fill="auto" w:val="clear"/>
          </w:tcPr>
          <w:p>
            <w:pPr>
              <w:pStyle w:val="TableContents"/>
              <w:spacing w:before="0" w:after="283"/>
              <w:rPr/>
            </w:pPr>
            <w:r>
              <w:rPr/>
              <w:t>Form of Purchase Contract Agreement.</w:t>
            </w:r>
          </w:p>
        </w:tc>
      </w:tr>
      <w:tr>
        <w:trPr>
          <w:trHeight w:val="120" w:hRule="atLeast"/>
        </w:trPr>
        <w:tc>
          <w:tcPr>
            <w:tcW w:w="811" w:type="dxa"/>
            <w:tcBorders/>
            <w:shd w:fill="auto" w:val="clear"/>
            <w:vAlign w:val="center"/>
          </w:tcPr>
          <w:p>
            <w:pPr>
              <w:pStyle w:val="TableContents"/>
              <w:spacing w:before="0" w:after="283"/>
              <w:rPr>
                <w:sz w:val="4"/>
                <w:szCs w:val="4"/>
              </w:rPr>
            </w:pPr>
            <w:r>
              <w:rPr>
                <w:sz w:val="4"/>
                <w:szCs w:val="4"/>
              </w:rPr>
            </w:r>
          </w:p>
        </w:tc>
        <w:tc>
          <w:tcPr>
            <w:tcW w:w="9394" w:type="dxa"/>
            <w:gridSpan w:val="2"/>
            <w:tcBorders/>
            <w:shd w:fill="auto" w:val="clear"/>
            <w:vAlign w:val="center"/>
          </w:tcPr>
          <w:p>
            <w:pPr>
              <w:pStyle w:val="TableContents"/>
              <w:spacing w:before="0" w:after="283"/>
              <w:rPr>
                <w:sz w:val="4"/>
                <w:szCs w:val="4"/>
              </w:rPr>
            </w:pPr>
            <w:r>
              <w:rPr>
                <w:sz w:val="4"/>
                <w:szCs w:val="4"/>
              </w:rPr>
            </w:r>
          </w:p>
        </w:tc>
      </w:tr>
      <w:tr>
        <w:trPr/>
        <w:tc>
          <w:tcPr>
            <w:tcW w:w="811" w:type="dxa"/>
            <w:tcBorders/>
            <w:shd w:fill="auto" w:val="clear"/>
          </w:tcPr>
          <w:p>
            <w:pPr>
              <w:pStyle w:val="TableContents"/>
              <w:spacing w:before="0" w:after="283"/>
              <w:rPr/>
            </w:pPr>
            <w:r>
              <w:rPr/>
              <w:t>    </w:t>
            </w:r>
            <w:r>
              <w:rPr/>
              <w:t>4.7*</w:t>
            </w:r>
          </w:p>
        </w:tc>
        <w:tc>
          <w:tcPr>
            <w:tcW w:w="500" w:type="dxa"/>
            <w:tcBorders/>
            <w:shd w:fill="auto" w:val="clear"/>
            <w:vAlign w:val="bottom"/>
          </w:tcPr>
          <w:p>
            <w:pPr>
              <w:pStyle w:val="TableContents"/>
              <w:spacing w:before="0" w:after="283"/>
              <w:rPr/>
            </w:pPr>
            <w:r>
              <w:rPr/>
              <w:t>  </w:t>
            </w:r>
          </w:p>
        </w:tc>
        <w:tc>
          <w:tcPr>
            <w:tcW w:w="8894" w:type="dxa"/>
            <w:tcBorders/>
            <w:shd w:fill="auto" w:val="clear"/>
          </w:tcPr>
          <w:p>
            <w:pPr>
              <w:pStyle w:val="TableContents"/>
              <w:spacing w:before="0" w:after="283"/>
              <w:rPr/>
            </w:pPr>
            <w:r>
              <w:rPr/>
              <w:t>Form of Unit Agreement.</w:t>
            </w:r>
          </w:p>
        </w:tc>
      </w:tr>
      <w:tr>
        <w:trPr>
          <w:trHeight w:val="120" w:hRule="atLeast"/>
        </w:trPr>
        <w:tc>
          <w:tcPr>
            <w:tcW w:w="811" w:type="dxa"/>
            <w:tcBorders/>
            <w:shd w:fill="auto" w:val="clear"/>
            <w:vAlign w:val="center"/>
          </w:tcPr>
          <w:p>
            <w:pPr>
              <w:pStyle w:val="TableContents"/>
              <w:spacing w:before="0" w:after="283"/>
              <w:rPr>
                <w:sz w:val="4"/>
                <w:szCs w:val="4"/>
              </w:rPr>
            </w:pPr>
            <w:r>
              <w:rPr>
                <w:sz w:val="4"/>
                <w:szCs w:val="4"/>
              </w:rPr>
            </w:r>
          </w:p>
        </w:tc>
        <w:tc>
          <w:tcPr>
            <w:tcW w:w="9394" w:type="dxa"/>
            <w:gridSpan w:val="2"/>
            <w:tcBorders/>
            <w:shd w:fill="auto" w:val="clear"/>
            <w:vAlign w:val="center"/>
          </w:tcPr>
          <w:p>
            <w:pPr>
              <w:pStyle w:val="TableContents"/>
              <w:spacing w:before="0" w:after="283"/>
              <w:rPr>
                <w:sz w:val="4"/>
                <w:szCs w:val="4"/>
              </w:rPr>
            </w:pPr>
            <w:r>
              <w:rPr>
                <w:sz w:val="4"/>
                <w:szCs w:val="4"/>
              </w:rPr>
            </w:r>
          </w:p>
        </w:tc>
      </w:tr>
      <w:tr>
        <w:trPr/>
        <w:tc>
          <w:tcPr>
            <w:tcW w:w="811" w:type="dxa"/>
            <w:tcBorders/>
            <w:shd w:fill="auto" w:val="clear"/>
          </w:tcPr>
          <w:p>
            <w:pPr>
              <w:pStyle w:val="TableContents"/>
              <w:spacing w:before="0" w:after="283"/>
              <w:rPr/>
            </w:pPr>
            <w:r>
              <w:rPr/>
              <w:t>    </w:t>
            </w:r>
            <w:r>
              <w:rPr/>
              <w:t>5.1**</w:t>
            </w:r>
          </w:p>
        </w:tc>
        <w:tc>
          <w:tcPr>
            <w:tcW w:w="500" w:type="dxa"/>
            <w:tcBorders/>
            <w:shd w:fill="auto" w:val="clear"/>
            <w:vAlign w:val="bottom"/>
          </w:tcPr>
          <w:p>
            <w:pPr>
              <w:pStyle w:val="TableContents"/>
              <w:spacing w:before="0" w:after="283"/>
              <w:rPr/>
            </w:pPr>
            <w:r>
              <w:rPr/>
              <w:t>  </w:t>
            </w:r>
          </w:p>
        </w:tc>
        <w:tc>
          <w:tcPr>
            <w:tcW w:w="8894" w:type="dxa"/>
            <w:tcBorders/>
            <w:shd w:fill="auto" w:val="clear"/>
          </w:tcPr>
          <w:p>
            <w:pPr>
              <w:pStyle w:val="TableContents"/>
              <w:spacing w:before="0" w:after="283"/>
              <w:rPr/>
            </w:pPr>
            <w:hyperlink r:id="rId25">
              <w:r>
                <w:rPr>
                  <w:rStyle w:val="InternetLink"/>
                </w:rPr>
                <w:t xml:space="preserve">Opinion of Wilson Sonsini Goodrich &amp; Rosati, Professional Corporation. </w:t>
              </w:r>
            </w:hyperlink>
          </w:p>
        </w:tc>
      </w:tr>
      <w:tr>
        <w:trPr>
          <w:trHeight w:val="120" w:hRule="atLeast"/>
        </w:trPr>
        <w:tc>
          <w:tcPr>
            <w:tcW w:w="811" w:type="dxa"/>
            <w:tcBorders/>
            <w:shd w:fill="auto" w:val="clear"/>
            <w:vAlign w:val="center"/>
          </w:tcPr>
          <w:p>
            <w:pPr>
              <w:pStyle w:val="TableContents"/>
              <w:spacing w:before="0" w:after="283"/>
              <w:rPr>
                <w:sz w:val="4"/>
                <w:szCs w:val="4"/>
              </w:rPr>
            </w:pPr>
            <w:r>
              <w:rPr>
                <w:sz w:val="4"/>
                <w:szCs w:val="4"/>
              </w:rPr>
            </w:r>
          </w:p>
        </w:tc>
        <w:tc>
          <w:tcPr>
            <w:tcW w:w="9394" w:type="dxa"/>
            <w:gridSpan w:val="2"/>
            <w:tcBorders/>
            <w:shd w:fill="auto" w:val="clear"/>
            <w:vAlign w:val="center"/>
          </w:tcPr>
          <w:p>
            <w:pPr>
              <w:pStyle w:val="TableContents"/>
              <w:spacing w:before="0" w:after="283"/>
              <w:rPr>
                <w:sz w:val="4"/>
                <w:szCs w:val="4"/>
              </w:rPr>
            </w:pPr>
            <w:r>
              <w:rPr>
                <w:sz w:val="4"/>
                <w:szCs w:val="4"/>
              </w:rPr>
            </w:r>
          </w:p>
        </w:tc>
      </w:tr>
      <w:tr>
        <w:trPr/>
        <w:tc>
          <w:tcPr>
            <w:tcW w:w="811" w:type="dxa"/>
            <w:tcBorders/>
            <w:shd w:fill="auto" w:val="clear"/>
          </w:tcPr>
          <w:p>
            <w:pPr>
              <w:pStyle w:val="TableContents"/>
              <w:spacing w:before="0" w:after="283"/>
              <w:rPr/>
            </w:pPr>
            <w:r>
              <w:rPr/>
              <w:t>  </w:t>
            </w:r>
            <w:r>
              <w:rPr/>
              <w:t>23.1#</w:t>
            </w:r>
          </w:p>
        </w:tc>
        <w:tc>
          <w:tcPr>
            <w:tcW w:w="500" w:type="dxa"/>
            <w:tcBorders/>
            <w:shd w:fill="auto" w:val="clear"/>
            <w:vAlign w:val="bottom"/>
          </w:tcPr>
          <w:p>
            <w:pPr>
              <w:pStyle w:val="TableContents"/>
              <w:spacing w:before="0" w:after="283"/>
              <w:rPr/>
            </w:pPr>
            <w:r>
              <w:rPr/>
              <w:t>  </w:t>
            </w:r>
          </w:p>
        </w:tc>
        <w:tc>
          <w:tcPr>
            <w:tcW w:w="8894" w:type="dxa"/>
            <w:tcBorders/>
            <w:shd w:fill="auto" w:val="clear"/>
          </w:tcPr>
          <w:p>
            <w:pPr>
              <w:pStyle w:val="TableContents"/>
              <w:spacing w:before="0" w:after="283"/>
              <w:rPr/>
            </w:pPr>
            <w:hyperlink w:anchor="d293656dex231.htm">
              <w:r>
                <w:rPr>
                  <w:rStyle w:val="InternetLink"/>
                </w:rPr>
                <w:t xml:space="preserve">Consent of KPMG LLP, Independent Registered Public Accounting Firm. </w:t>
              </w:r>
            </w:hyperlink>
          </w:p>
        </w:tc>
      </w:tr>
      <w:tr>
        <w:trPr>
          <w:trHeight w:val="120" w:hRule="atLeast"/>
        </w:trPr>
        <w:tc>
          <w:tcPr>
            <w:tcW w:w="811" w:type="dxa"/>
            <w:tcBorders/>
            <w:shd w:fill="auto" w:val="clear"/>
            <w:vAlign w:val="center"/>
          </w:tcPr>
          <w:p>
            <w:pPr>
              <w:pStyle w:val="TableContents"/>
              <w:spacing w:before="0" w:after="283"/>
              <w:rPr>
                <w:sz w:val="4"/>
                <w:szCs w:val="4"/>
              </w:rPr>
            </w:pPr>
            <w:r>
              <w:rPr>
                <w:sz w:val="4"/>
                <w:szCs w:val="4"/>
              </w:rPr>
            </w:r>
          </w:p>
        </w:tc>
        <w:tc>
          <w:tcPr>
            <w:tcW w:w="9394" w:type="dxa"/>
            <w:gridSpan w:val="2"/>
            <w:tcBorders/>
            <w:shd w:fill="auto" w:val="clear"/>
            <w:vAlign w:val="center"/>
          </w:tcPr>
          <w:p>
            <w:pPr>
              <w:pStyle w:val="TableContents"/>
              <w:spacing w:before="0" w:after="283"/>
              <w:rPr>
                <w:sz w:val="4"/>
                <w:szCs w:val="4"/>
              </w:rPr>
            </w:pPr>
            <w:r>
              <w:rPr>
                <w:sz w:val="4"/>
                <w:szCs w:val="4"/>
              </w:rPr>
            </w:r>
          </w:p>
        </w:tc>
      </w:tr>
      <w:tr>
        <w:trPr/>
        <w:tc>
          <w:tcPr>
            <w:tcW w:w="811" w:type="dxa"/>
            <w:tcBorders/>
            <w:shd w:fill="auto" w:val="clear"/>
          </w:tcPr>
          <w:p>
            <w:pPr>
              <w:pStyle w:val="TableContents"/>
              <w:spacing w:before="0" w:after="283"/>
              <w:rPr/>
            </w:pPr>
            <w:r>
              <w:rPr/>
              <w:t>  </w:t>
            </w:r>
            <w:r>
              <w:rPr/>
              <w:t>23.2**</w:t>
            </w:r>
          </w:p>
        </w:tc>
        <w:tc>
          <w:tcPr>
            <w:tcW w:w="500" w:type="dxa"/>
            <w:tcBorders/>
            <w:shd w:fill="auto" w:val="clear"/>
            <w:vAlign w:val="bottom"/>
          </w:tcPr>
          <w:p>
            <w:pPr>
              <w:pStyle w:val="TableContents"/>
              <w:spacing w:before="0" w:after="283"/>
              <w:rPr/>
            </w:pPr>
            <w:r>
              <w:rPr/>
              <w:t>  </w:t>
            </w:r>
          </w:p>
        </w:tc>
        <w:tc>
          <w:tcPr>
            <w:tcW w:w="8894" w:type="dxa"/>
            <w:tcBorders/>
            <w:shd w:fill="auto" w:val="clear"/>
          </w:tcPr>
          <w:p>
            <w:pPr>
              <w:pStyle w:val="TableContents"/>
              <w:spacing w:before="0" w:after="283"/>
              <w:rPr/>
            </w:pPr>
            <w:hyperlink r:id="rId26">
              <w:r>
                <w:rPr>
                  <w:rStyle w:val="InternetLink"/>
                </w:rPr>
                <w:t xml:space="preserve">Consent of Wilson Sonsini Goodrich &amp; Rosati, Professional Corporation (included in Exhibit 5.1). </w:t>
              </w:r>
            </w:hyperlink>
          </w:p>
        </w:tc>
      </w:tr>
      <w:tr>
        <w:trPr>
          <w:trHeight w:val="120" w:hRule="atLeast"/>
        </w:trPr>
        <w:tc>
          <w:tcPr>
            <w:tcW w:w="811" w:type="dxa"/>
            <w:tcBorders/>
            <w:shd w:fill="auto" w:val="clear"/>
            <w:vAlign w:val="center"/>
          </w:tcPr>
          <w:p>
            <w:pPr>
              <w:pStyle w:val="TableContents"/>
              <w:spacing w:before="0" w:after="283"/>
              <w:rPr>
                <w:sz w:val="4"/>
                <w:szCs w:val="4"/>
              </w:rPr>
            </w:pPr>
            <w:r>
              <w:rPr>
                <w:sz w:val="4"/>
                <w:szCs w:val="4"/>
              </w:rPr>
            </w:r>
          </w:p>
        </w:tc>
        <w:tc>
          <w:tcPr>
            <w:tcW w:w="9394" w:type="dxa"/>
            <w:gridSpan w:val="2"/>
            <w:tcBorders/>
            <w:shd w:fill="auto" w:val="clear"/>
            <w:vAlign w:val="center"/>
          </w:tcPr>
          <w:p>
            <w:pPr>
              <w:pStyle w:val="TableContents"/>
              <w:spacing w:before="0" w:after="283"/>
              <w:rPr>
                <w:sz w:val="4"/>
                <w:szCs w:val="4"/>
              </w:rPr>
            </w:pPr>
            <w:r>
              <w:rPr>
                <w:sz w:val="4"/>
                <w:szCs w:val="4"/>
              </w:rPr>
            </w:r>
          </w:p>
        </w:tc>
      </w:tr>
      <w:tr>
        <w:trPr/>
        <w:tc>
          <w:tcPr>
            <w:tcW w:w="811" w:type="dxa"/>
            <w:tcBorders/>
            <w:shd w:fill="auto" w:val="clear"/>
          </w:tcPr>
          <w:p>
            <w:pPr>
              <w:pStyle w:val="TableContents"/>
              <w:spacing w:before="0" w:after="283"/>
              <w:rPr/>
            </w:pPr>
            <w:r>
              <w:rPr/>
              <w:t>  </w:t>
            </w:r>
            <w:r>
              <w:rPr/>
              <w:t>24.1**</w:t>
            </w:r>
          </w:p>
        </w:tc>
        <w:tc>
          <w:tcPr>
            <w:tcW w:w="500" w:type="dxa"/>
            <w:tcBorders/>
            <w:shd w:fill="auto" w:val="clear"/>
            <w:vAlign w:val="bottom"/>
          </w:tcPr>
          <w:p>
            <w:pPr>
              <w:pStyle w:val="TableContents"/>
              <w:spacing w:before="0" w:after="283"/>
              <w:rPr/>
            </w:pPr>
            <w:r>
              <w:rPr/>
              <w:t>  </w:t>
            </w:r>
          </w:p>
        </w:tc>
        <w:tc>
          <w:tcPr>
            <w:tcW w:w="8894" w:type="dxa"/>
            <w:tcBorders/>
            <w:shd w:fill="auto" w:val="clear"/>
          </w:tcPr>
          <w:p>
            <w:pPr>
              <w:pStyle w:val="TableContents"/>
              <w:spacing w:before="0" w:after="283"/>
              <w:rPr/>
            </w:pPr>
            <w:r>
              <w:fldChar w:fldCharType="begin"/>
            </w:r>
            <w:r>
              <w:rPr>
                <w:rStyle w:val="InternetLink"/>
              </w:rPr>
              <w:instrText> HYPERLINK "http://www.sec.gov/Archives/edgar/data/0001810182/000119312522085234/d293656ds3.htm" \l "sig"</w:instrText>
            </w:r>
            <w:r>
              <w:rPr>
                <w:rStyle w:val="InternetLink"/>
              </w:rPr>
              <w:fldChar w:fldCharType="separate"/>
            </w:r>
            <w:r>
              <w:rPr>
                <w:rStyle w:val="InternetLink"/>
              </w:rPr>
              <w:t xml:space="preserve">Powers of Attorney (additional power of attorney incorporated by reference to the signature page hereto). </w:t>
            </w:r>
            <w:r>
              <w:rPr>
                <w:rStyle w:val="InternetLink"/>
              </w:rPr>
              <w:fldChar w:fldCharType="end"/>
            </w:r>
          </w:p>
        </w:tc>
      </w:tr>
      <w:tr>
        <w:trPr>
          <w:trHeight w:val="120" w:hRule="atLeast"/>
        </w:trPr>
        <w:tc>
          <w:tcPr>
            <w:tcW w:w="811" w:type="dxa"/>
            <w:tcBorders/>
            <w:shd w:fill="auto" w:val="clear"/>
            <w:vAlign w:val="center"/>
          </w:tcPr>
          <w:p>
            <w:pPr>
              <w:pStyle w:val="TableContents"/>
              <w:spacing w:before="0" w:after="283"/>
              <w:rPr>
                <w:sz w:val="4"/>
                <w:szCs w:val="4"/>
              </w:rPr>
            </w:pPr>
            <w:r>
              <w:rPr>
                <w:sz w:val="4"/>
                <w:szCs w:val="4"/>
              </w:rPr>
            </w:r>
          </w:p>
        </w:tc>
        <w:tc>
          <w:tcPr>
            <w:tcW w:w="9394" w:type="dxa"/>
            <w:gridSpan w:val="2"/>
            <w:tcBorders/>
            <w:shd w:fill="auto" w:val="clear"/>
            <w:vAlign w:val="center"/>
          </w:tcPr>
          <w:p>
            <w:pPr>
              <w:pStyle w:val="TableContents"/>
              <w:spacing w:before="0" w:after="283"/>
              <w:rPr>
                <w:sz w:val="4"/>
                <w:szCs w:val="4"/>
              </w:rPr>
            </w:pPr>
            <w:r>
              <w:rPr>
                <w:sz w:val="4"/>
                <w:szCs w:val="4"/>
              </w:rPr>
            </w:r>
          </w:p>
        </w:tc>
      </w:tr>
      <w:tr>
        <w:trPr/>
        <w:tc>
          <w:tcPr>
            <w:tcW w:w="811" w:type="dxa"/>
            <w:tcBorders/>
            <w:shd w:fill="auto" w:val="clear"/>
          </w:tcPr>
          <w:p>
            <w:pPr>
              <w:pStyle w:val="TableContents"/>
              <w:spacing w:before="0" w:after="283"/>
              <w:rPr/>
            </w:pPr>
            <w:r>
              <w:rPr/>
              <w:t>107.1**</w:t>
            </w:r>
          </w:p>
        </w:tc>
        <w:tc>
          <w:tcPr>
            <w:tcW w:w="500" w:type="dxa"/>
            <w:tcBorders/>
            <w:shd w:fill="auto" w:val="clear"/>
            <w:vAlign w:val="bottom"/>
          </w:tcPr>
          <w:p>
            <w:pPr>
              <w:pStyle w:val="TableContents"/>
              <w:spacing w:before="0" w:after="283"/>
              <w:rPr/>
            </w:pPr>
            <w:r>
              <w:rPr/>
              <w:t>  </w:t>
            </w:r>
          </w:p>
        </w:tc>
        <w:tc>
          <w:tcPr>
            <w:tcW w:w="8894" w:type="dxa"/>
            <w:tcBorders/>
            <w:shd w:fill="auto" w:val="clear"/>
          </w:tcPr>
          <w:p>
            <w:pPr>
              <w:pStyle w:val="TableContents"/>
              <w:spacing w:before="0" w:after="283"/>
              <w:rPr/>
            </w:pPr>
            <w:hyperlink r:id="rId27">
              <w:r>
                <w:rPr>
                  <w:rStyle w:val="InternetLink"/>
                </w:rPr>
                <w:t xml:space="preserve">Filing Fee Table </w:t>
              </w:r>
            </w:hyperlink>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pPr>
            <w:r>
              <w:rPr/>
              <w:t>*</w:t>
            </w:r>
          </w:p>
        </w:tc>
        <w:tc>
          <w:tcPr>
            <w:tcW w:w="1000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be filed by amendment or incorporated by reference in connection with the offering of the securities. </w:t>
            </w:r>
          </w:p>
        </w:tc>
      </w:tr>
    </w:tbl>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pPr>
            <w:r>
              <w:rPr/>
              <w:t>#</w:t>
            </w:r>
          </w:p>
        </w:tc>
        <w:tc>
          <w:tcPr>
            <w:tcW w:w="1000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pPr>
            <w:r>
              <w:rPr/>
              <w:t>**</w:t>
            </w:r>
          </w:p>
        </w:tc>
        <w:tc>
          <w:tcPr>
            <w:tcW w:w="1000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Previously filed.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0" w:name="sig"/>
      <w:bookmarkEnd w:id="30"/>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has duly caused this Amendment No. 1 to Registration Statement to be signed on its behalf by the undersigned, thereunto duly authorized, in the City of South San Francisco, State of California, on May 13, 2022.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396"/>
        <w:gridCol w:w="60"/>
        <w:gridCol w:w="3626"/>
      </w:tblGrid>
      <w:tr>
        <w:trPr/>
        <w:tc>
          <w:tcPr>
            <w:tcW w:w="39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2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ALX ONCOLOGY HOLDINGS INC.</w:t>
            </w:r>
          </w:p>
        </w:tc>
      </w:tr>
      <w:tr>
        <w:trPr>
          <w:trHeight w:val="240" w:hRule="atLeast"/>
        </w:trPr>
        <w:tc>
          <w:tcPr>
            <w:tcW w:w="396" w:type="dxa"/>
            <w:tcBorders/>
            <w:shd w:fill="auto" w:val="clear"/>
            <w:vAlign w:val="center"/>
          </w:tcPr>
          <w:p>
            <w:pPr>
              <w:pStyle w:val="TableContents"/>
              <w:spacing w:before="0" w:after="283"/>
              <w:rPr>
                <w:sz w:val="4"/>
                <w:szCs w:val="4"/>
              </w:rPr>
            </w:pPr>
            <w:r>
              <w:rPr>
                <w:sz w:val="4"/>
                <w:szCs w:val="4"/>
              </w:rPr>
            </w:r>
          </w:p>
        </w:tc>
        <w:tc>
          <w:tcPr>
            <w:tcW w:w="3686" w:type="dxa"/>
            <w:gridSpan w:val="2"/>
            <w:tcBorders/>
            <w:shd w:fill="auto" w:val="clear"/>
            <w:vAlign w:val="center"/>
          </w:tcPr>
          <w:p>
            <w:pPr>
              <w:pStyle w:val="TableContents"/>
              <w:spacing w:before="0" w:after="283"/>
              <w:rPr>
                <w:sz w:val="4"/>
                <w:szCs w:val="4"/>
              </w:rPr>
            </w:pPr>
            <w:r>
              <w:rPr>
                <w:sz w:val="4"/>
                <w:szCs w:val="4"/>
              </w:rPr>
            </w:r>
          </w:p>
        </w:tc>
      </w:tr>
      <w:tr>
        <w:trPr/>
        <w:tc>
          <w:tcPr>
            <w:tcW w:w="396" w:type="dxa"/>
            <w:tcBorders/>
            <w:shd w:fill="auto" w:val="clear"/>
          </w:tcPr>
          <w:p>
            <w:pPr>
              <w:pStyle w:val="TableContents"/>
              <w:spacing w:before="0" w:after="283"/>
              <w:rPr/>
            </w:pPr>
            <w:r>
              <w:rPr/>
              <w:t>By:</w:t>
            </w:r>
          </w:p>
        </w:tc>
        <w:tc>
          <w:tcPr>
            <w:tcW w:w="60" w:type="dxa"/>
            <w:tcBorders/>
            <w:shd w:fill="auto" w:val="clear"/>
            <w:vAlign w:val="bottom"/>
          </w:tcPr>
          <w:p>
            <w:pPr>
              <w:pStyle w:val="TableContents"/>
              <w:spacing w:before="0" w:after="283"/>
              <w:rPr/>
            </w:pPr>
            <w:r>
              <w:rPr/>
              <w:t> </w:t>
            </w:r>
          </w:p>
        </w:tc>
        <w:tc>
          <w:tcPr>
            <w:tcW w:w="3626" w:type="dxa"/>
            <w:tcBorders/>
            <w:shd w:fill="auto" w:val="clear"/>
            <w:vAlign w:val="bottom"/>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Jaume Pons, Ph.D.</w:t>
            </w:r>
          </w:p>
        </w:tc>
      </w:tr>
      <w:tr>
        <w:trPr/>
        <w:tc>
          <w:tcPr>
            <w:tcW w:w="39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26" w:type="dxa"/>
            <w:tcBorders/>
            <w:shd w:fill="auto" w:val="clear"/>
            <w:vAlign w:val="bottom"/>
          </w:tcPr>
          <w:p>
            <w:pPr>
              <w:pStyle w:val="TableContents"/>
              <w:spacing w:before="0" w:after="283"/>
              <w:rPr/>
            </w:pPr>
            <w:r>
              <w:rPr/>
              <w:t>Jaume Pons, Ph.D.</w:t>
            </w:r>
          </w:p>
        </w:tc>
      </w:tr>
      <w:tr>
        <w:trPr/>
        <w:tc>
          <w:tcPr>
            <w:tcW w:w="396"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26" w:type="dxa"/>
            <w:tcBorders/>
            <w:shd w:fill="auto" w:val="clear"/>
            <w:vAlign w:val="bottom"/>
          </w:tcPr>
          <w:p>
            <w:pPr>
              <w:pStyle w:val="TableContents"/>
              <w:spacing w:before="0" w:after="283"/>
              <w:rPr>
                <w:i/>
              </w:rPr>
            </w:pPr>
            <w:r>
              <w:rPr>
                <w:i/>
              </w:rPr>
              <w:t>President and Chief Executive Officer</w:t>
            </w:r>
          </w:p>
        </w:tc>
      </w:tr>
    </w:tbl>
    <w:p>
      <w:pPr>
        <w:pStyle w:val="TextBody"/>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Jaume Pons, Ph.D., and Peter Garcia as his or her true and lawful attorneys-in-fact and agents, with full power of substitution and substitution, for him or her and in his or her name, place and stead, in any and all capacities (including his or her capacity as a director and/or officer of ALX Oncology Holdings Inc.) to sign this Amendment No. 1 to Registration Statement and any or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Amendment No. 1 to Registration Statement has been signed by the following persons in the capacities and on the dates indicated.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164"/>
        <w:gridCol w:w="102"/>
        <w:gridCol w:w="5001"/>
        <w:gridCol w:w="101"/>
        <w:gridCol w:w="1837"/>
      </w:tblGrid>
      <w:tr>
        <w:trPr/>
        <w:tc>
          <w:tcPr>
            <w:tcW w:w="3164"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5001"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3164" w:type="dxa"/>
            <w:tcBorders/>
            <w:shd w:fill="auto" w:val="clear"/>
            <w:vAlign w:val="bottom"/>
          </w:tcPr>
          <w:p>
            <w:pPr>
              <w:pStyle w:val="TableContents"/>
              <w:spacing w:before="0" w:after="283"/>
              <w:jc w:val="center"/>
              <w:rPr>
                <w:b/>
              </w:rPr>
            </w:pPr>
            <w:r>
              <w:rPr>
                <w:b/>
              </w:rPr>
              <w:t>Signature</w:t>
            </w:r>
          </w:p>
        </w:tc>
        <w:tc>
          <w:tcPr>
            <w:tcW w:w="102" w:type="dxa"/>
            <w:tcBorders/>
            <w:shd w:fill="auto" w:val="clear"/>
            <w:vAlign w:val="bottom"/>
          </w:tcPr>
          <w:p>
            <w:pPr>
              <w:pStyle w:val="TableContents"/>
              <w:spacing w:before="0" w:after="283"/>
              <w:rPr/>
            </w:pPr>
            <w:r>
              <w:rPr/>
              <w:t> </w:t>
            </w:r>
          </w:p>
        </w:tc>
        <w:tc>
          <w:tcPr>
            <w:tcW w:w="5001" w:type="dxa"/>
            <w:tcBorders/>
            <w:shd w:fill="auto" w:val="clear"/>
            <w:vAlign w:val="bottom"/>
          </w:tcPr>
          <w:p>
            <w:pPr>
              <w:pStyle w:val="TableContents"/>
              <w:spacing w:before="0" w:after="283"/>
              <w:jc w:val="center"/>
              <w:rPr>
                <w:b/>
              </w:rPr>
            </w:pPr>
            <w:r>
              <w:rPr>
                <w:b/>
              </w:rPr>
              <w:t>Title</w:t>
            </w:r>
          </w:p>
        </w:tc>
        <w:tc>
          <w:tcPr>
            <w:tcW w:w="101" w:type="dxa"/>
            <w:tcBorders/>
            <w:shd w:fill="auto" w:val="clear"/>
            <w:vAlign w:val="bottom"/>
          </w:tcPr>
          <w:p>
            <w:pPr>
              <w:pStyle w:val="TableContents"/>
              <w:spacing w:before="0" w:after="283"/>
              <w:rPr/>
            </w:pPr>
            <w:r>
              <w:rPr/>
              <w:t> </w:t>
            </w:r>
          </w:p>
        </w:tc>
        <w:tc>
          <w:tcPr>
            <w:tcW w:w="1837" w:type="dxa"/>
            <w:tcBorders/>
            <w:shd w:fill="auto" w:val="clear"/>
            <w:vAlign w:val="bottom"/>
          </w:tcPr>
          <w:p>
            <w:pPr>
              <w:pStyle w:val="TableContents"/>
              <w:spacing w:before="0" w:after="283"/>
              <w:jc w:val="center"/>
              <w:rPr>
                <w:b/>
              </w:rPr>
            </w:pPr>
            <w:r>
              <w:rPr>
                <w:b/>
              </w:rPr>
              <w:t>Date</w:t>
            </w:r>
          </w:p>
        </w:tc>
      </w:tr>
      <w:tr>
        <w:trPr>
          <w:trHeight w:val="240" w:hRule="atLeast"/>
        </w:trPr>
        <w:tc>
          <w:tcPr>
            <w:tcW w:w="3164" w:type="dxa"/>
            <w:tcBorders/>
            <w:shd w:fill="auto" w:val="clear"/>
            <w:vAlign w:val="center"/>
          </w:tcPr>
          <w:p>
            <w:pPr>
              <w:pStyle w:val="TableContents"/>
              <w:spacing w:before="0" w:after="283"/>
              <w:rPr>
                <w:sz w:val="4"/>
                <w:szCs w:val="4"/>
              </w:rPr>
            </w:pPr>
            <w:r>
              <w:rPr>
                <w:sz w:val="4"/>
                <w:szCs w:val="4"/>
              </w:rPr>
            </w:r>
          </w:p>
        </w:tc>
        <w:tc>
          <w:tcPr>
            <w:tcW w:w="5103" w:type="dxa"/>
            <w:gridSpan w:val="2"/>
            <w:tcBorders/>
            <w:shd w:fill="auto" w:val="clear"/>
            <w:vAlign w:val="center"/>
          </w:tcPr>
          <w:p>
            <w:pPr>
              <w:pStyle w:val="TableContents"/>
              <w:spacing w:before="0" w:after="283"/>
              <w:rPr>
                <w:sz w:val="4"/>
                <w:szCs w:val="4"/>
              </w:rPr>
            </w:pPr>
            <w:r>
              <w:rPr>
                <w:sz w:val="4"/>
                <w:szCs w:val="4"/>
              </w:rPr>
            </w:r>
          </w:p>
        </w:tc>
        <w:tc>
          <w:tcPr>
            <w:tcW w:w="1938" w:type="dxa"/>
            <w:gridSpan w:val="2"/>
            <w:tcBorders/>
            <w:shd w:fill="auto" w:val="clear"/>
            <w:vAlign w:val="center"/>
          </w:tcPr>
          <w:p>
            <w:pPr>
              <w:pStyle w:val="TableContents"/>
              <w:spacing w:before="0" w:after="283"/>
              <w:rPr>
                <w:sz w:val="4"/>
                <w:szCs w:val="4"/>
              </w:rPr>
            </w:pPr>
            <w:r>
              <w:rPr>
                <w:sz w:val="4"/>
                <w:szCs w:val="4"/>
              </w:rPr>
            </w:r>
          </w:p>
        </w:tc>
      </w:tr>
      <w:tr>
        <w:trPr/>
        <w:tc>
          <w:tcPr>
            <w:tcW w:w="3164"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Jaume Pons, Ph.D.</w:t>
            </w:r>
          </w:p>
          <w:p>
            <w:pPr>
              <w:pStyle w:val="TableContents"/>
              <w:spacing w:before="0" w:after="20"/>
              <w:rPr>
                <w:rFonts w:ascii="Times New Roman" w:hAnsi="Times New Roman"/>
                <w:sz w:val="20"/>
              </w:rPr>
            </w:pPr>
            <w:r>
              <w:rPr>
                <w:rFonts w:ascii="Times New Roman" w:hAnsi="Times New Roman"/>
                <w:sz w:val="20"/>
              </w:rPr>
              <w:t>Jaume Pons, Ph.D.</w:t>
            </w:r>
          </w:p>
        </w:tc>
        <w:tc>
          <w:tcPr>
            <w:tcW w:w="102" w:type="dxa"/>
            <w:tcBorders/>
            <w:shd w:fill="auto" w:val="clear"/>
            <w:vAlign w:val="bottom"/>
          </w:tcPr>
          <w:p>
            <w:pPr>
              <w:pStyle w:val="TableContents"/>
              <w:spacing w:before="0" w:after="283"/>
              <w:rPr/>
            </w:pPr>
            <w:r>
              <w:rPr/>
              <w:t> </w:t>
            </w:r>
          </w:p>
        </w:tc>
        <w:tc>
          <w:tcPr>
            <w:tcW w:w="5001" w:type="dxa"/>
            <w:tcBorders/>
            <w:shd w:fill="auto" w:val="clear"/>
          </w:tcPr>
          <w:p>
            <w:pPr>
              <w:pStyle w:val="TableContents"/>
              <w:spacing w:before="0" w:after="0"/>
              <w:rPr>
                <w:rFonts w:ascii="Times New Roman" w:hAnsi="Times New Roman"/>
                <w:sz w:val="20"/>
              </w:rPr>
            </w:pPr>
            <w:r>
              <w:rPr>
                <w:rFonts w:ascii="Times New Roman" w:hAnsi="Times New Roman"/>
                <w:sz w:val="20"/>
              </w:rPr>
              <w:t>President, Chief Executive Officer and Director</w:t>
            </w:r>
          </w:p>
          <w:p>
            <w:pPr>
              <w:pStyle w:val="TableContents"/>
              <w:spacing w:before="0" w:after="20"/>
              <w:rPr>
                <w:rFonts w:ascii="Times New Roman" w:hAnsi="Times New Roman"/>
                <w:i/>
                <w:sz w:val="20"/>
              </w:rPr>
            </w:pPr>
            <w:r>
              <w:rPr>
                <w:rFonts w:ascii="Times New Roman" w:hAnsi="Times New Roman"/>
                <w:i/>
                <w:sz w:val="20"/>
              </w:rPr>
              <w:t>(Principal Executive Officer)</w:t>
            </w:r>
          </w:p>
        </w:tc>
        <w:tc>
          <w:tcPr>
            <w:tcW w:w="101"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pPr>
            <w:r>
              <w:rPr/>
              <w:t>May 13, 2022</w:t>
            </w:r>
          </w:p>
        </w:tc>
      </w:tr>
      <w:tr>
        <w:trPr>
          <w:trHeight w:val="240" w:hRule="atLeast"/>
        </w:trPr>
        <w:tc>
          <w:tcPr>
            <w:tcW w:w="3164" w:type="dxa"/>
            <w:tcBorders/>
            <w:shd w:fill="auto" w:val="clear"/>
            <w:vAlign w:val="center"/>
          </w:tcPr>
          <w:p>
            <w:pPr>
              <w:pStyle w:val="TableContents"/>
              <w:spacing w:before="0" w:after="283"/>
              <w:rPr>
                <w:sz w:val="4"/>
                <w:szCs w:val="4"/>
              </w:rPr>
            </w:pPr>
            <w:r>
              <w:rPr>
                <w:sz w:val="4"/>
                <w:szCs w:val="4"/>
              </w:rPr>
            </w:r>
          </w:p>
        </w:tc>
        <w:tc>
          <w:tcPr>
            <w:tcW w:w="5103" w:type="dxa"/>
            <w:gridSpan w:val="2"/>
            <w:tcBorders/>
            <w:shd w:fill="auto" w:val="clear"/>
            <w:vAlign w:val="center"/>
          </w:tcPr>
          <w:p>
            <w:pPr>
              <w:pStyle w:val="TableContents"/>
              <w:spacing w:before="0" w:after="283"/>
              <w:rPr>
                <w:sz w:val="4"/>
                <w:szCs w:val="4"/>
              </w:rPr>
            </w:pPr>
            <w:r>
              <w:rPr>
                <w:sz w:val="4"/>
                <w:szCs w:val="4"/>
              </w:rPr>
            </w:r>
          </w:p>
        </w:tc>
        <w:tc>
          <w:tcPr>
            <w:tcW w:w="1938" w:type="dxa"/>
            <w:gridSpan w:val="2"/>
            <w:tcBorders/>
            <w:shd w:fill="auto" w:val="clear"/>
            <w:vAlign w:val="center"/>
          </w:tcPr>
          <w:p>
            <w:pPr>
              <w:pStyle w:val="TableContents"/>
              <w:spacing w:before="0" w:after="283"/>
              <w:rPr>
                <w:sz w:val="4"/>
                <w:szCs w:val="4"/>
              </w:rPr>
            </w:pPr>
            <w:r>
              <w:rPr>
                <w:sz w:val="4"/>
                <w:szCs w:val="4"/>
              </w:rPr>
            </w:r>
          </w:p>
        </w:tc>
      </w:tr>
      <w:tr>
        <w:trPr/>
        <w:tc>
          <w:tcPr>
            <w:tcW w:w="3164"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Peter Garcia</w:t>
            </w:r>
          </w:p>
          <w:p>
            <w:pPr>
              <w:pStyle w:val="TableContents"/>
              <w:spacing w:before="0" w:after="20"/>
              <w:rPr>
                <w:rFonts w:ascii="Times New Roman" w:hAnsi="Times New Roman"/>
                <w:sz w:val="20"/>
              </w:rPr>
            </w:pPr>
            <w:r>
              <w:rPr>
                <w:rFonts w:ascii="Times New Roman" w:hAnsi="Times New Roman"/>
                <w:sz w:val="20"/>
              </w:rPr>
              <w:t>Peter Garcia</w:t>
            </w:r>
          </w:p>
        </w:tc>
        <w:tc>
          <w:tcPr>
            <w:tcW w:w="102" w:type="dxa"/>
            <w:tcBorders/>
            <w:shd w:fill="auto" w:val="clear"/>
            <w:vAlign w:val="bottom"/>
          </w:tcPr>
          <w:p>
            <w:pPr>
              <w:pStyle w:val="TableContents"/>
              <w:spacing w:before="0" w:after="283"/>
              <w:rPr/>
            </w:pPr>
            <w:r>
              <w:rPr/>
              <w:t> </w:t>
            </w:r>
          </w:p>
        </w:tc>
        <w:tc>
          <w:tcPr>
            <w:tcW w:w="5001" w:type="dxa"/>
            <w:tcBorders/>
            <w:shd w:fill="auto" w:val="clear"/>
          </w:tcPr>
          <w:p>
            <w:pPr>
              <w:pStyle w:val="TableContents"/>
              <w:spacing w:before="0" w:after="0"/>
              <w:rPr>
                <w:rFonts w:ascii="Times New Roman" w:hAnsi="Times New Roman"/>
                <w:sz w:val="20"/>
              </w:rPr>
            </w:pPr>
            <w:r>
              <w:rPr>
                <w:rFonts w:ascii="Times New Roman" w:hAnsi="Times New Roman"/>
                <w:sz w:val="20"/>
              </w:rPr>
              <w:t>Chief Financial Officer</w:t>
            </w:r>
          </w:p>
          <w:p>
            <w:pPr>
              <w:pStyle w:val="TableContents"/>
              <w:spacing w:before="0" w:after="20"/>
              <w:rPr>
                <w:rFonts w:ascii="Times New Roman" w:hAnsi="Times New Roman"/>
                <w:i/>
                <w:sz w:val="20"/>
              </w:rPr>
            </w:pPr>
            <w:r>
              <w:rPr>
                <w:rFonts w:ascii="Times New Roman" w:hAnsi="Times New Roman"/>
                <w:i/>
                <w:sz w:val="20"/>
              </w:rPr>
              <w:t>(Principal Financial Officer)</w:t>
            </w:r>
          </w:p>
        </w:tc>
        <w:tc>
          <w:tcPr>
            <w:tcW w:w="101"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pPr>
            <w:r>
              <w:rPr/>
              <w:t>May 13, 2022</w:t>
            </w:r>
          </w:p>
        </w:tc>
      </w:tr>
      <w:tr>
        <w:trPr>
          <w:trHeight w:val="240" w:hRule="atLeast"/>
        </w:trPr>
        <w:tc>
          <w:tcPr>
            <w:tcW w:w="3164" w:type="dxa"/>
            <w:tcBorders/>
            <w:shd w:fill="auto" w:val="clear"/>
            <w:vAlign w:val="center"/>
          </w:tcPr>
          <w:p>
            <w:pPr>
              <w:pStyle w:val="TableContents"/>
              <w:spacing w:before="0" w:after="283"/>
              <w:rPr>
                <w:sz w:val="4"/>
                <w:szCs w:val="4"/>
              </w:rPr>
            </w:pPr>
            <w:r>
              <w:rPr>
                <w:sz w:val="4"/>
                <w:szCs w:val="4"/>
              </w:rPr>
            </w:r>
          </w:p>
        </w:tc>
        <w:tc>
          <w:tcPr>
            <w:tcW w:w="5103" w:type="dxa"/>
            <w:gridSpan w:val="2"/>
            <w:tcBorders/>
            <w:shd w:fill="auto" w:val="clear"/>
            <w:vAlign w:val="center"/>
          </w:tcPr>
          <w:p>
            <w:pPr>
              <w:pStyle w:val="TableContents"/>
              <w:spacing w:before="0" w:after="283"/>
              <w:rPr>
                <w:sz w:val="4"/>
                <w:szCs w:val="4"/>
              </w:rPr>
            </w:pPr>
            <w:r>
              <w:rPr>
                <w:sz w:val="4"/>
                <w:szCs w:val="4"/>
              </w:rPr>
            </w:r>
          </w:p>
        </w:tc>
        <w:tc>
          <w:tcPr>
            <w:tcW w:w="1938" w:type="dxa"/>
            <w:gridSpan w:val="2"/>
            <w:tcBorders/>
            <w:shd w:fill="auto" w:val="clear"/>
            <w:vAlign w:val="center"/>
          </w:tcPr>
          <w:p>
            <w:pPr>
              <w:pStyle w:val="TableContents"/>
              <w:spacing w:before="0" w:after="283"/>
              <w:rPr>
                <w:sz w:val="4"/>
                <w:szCs w:val="4"/>
              </w:rPr>
            </w:pPr>
            <w:r>
              <w:rPr>
                <w:sz w:val="4"/>
                <w:szCs w:val="4"/>
              </w:rPr>
            </w:r>
          </w:p>
        </w:tc>
      </w:tr>
      <w:tr>
        <w:trPr/>
        <w:tc>
          <w:tcPr>
            <w:tcW w:w="3164"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Shelly Pinto</w:t>
            </w:r>
          </w:p>
          <w:p>
            <w:pPr>
              <w:pStyle w:val="TableContents"/>
              <w:spacing w:before="0" w:after="20"/>
              <w:rPr>
                <w:rFonts w:ascii="Times New Roman" w:hAnsi="Times New Roman"/>
                <w:sz w:val="20"/>
              </w:rPr>
            </w:pPr>
            <w:r>
              <w:rPr>
                <w:rFonts w:ascii="Times New Roman" w:hAnsi="Times New Roman"/>
                <w:sz w:val="20"/>
              </w:rPr>
              <w:t>Shelly Pinto</w:t>
            </w:r>
          </w:p>
        </w:tc>
        <w:tc>
          <w:tcPr>
            <w:tcW w:w="102" w:type="dxa"/>
            <w:tcBorders/>
            <w:shd w:fill="auto" w:val="clear"/>
            <w:vAlign w:val="bottom"/>
          </w:tcPr>
          <w:p>
            <w:pPr>
              <w:pStyle w:val="TableContents"/>
              <w:spacing w:before="0" w:after="283"/>
              <w:rPr/>
            </w:pPr>
            <w:r>
              <w:rPr/>
              <w:t> </w:t>
            </w:r>
          </w:p>
        </w:tc>
        <w:tc>
          <w:tcPr>
            <w:tcW w:w="5001" w:type="dxa"/>
            <w:tcBorders/>
            <w:shd w:fill="auto" w:val="clear"/>
          </w:tcPr>
          <w:p>
            <w:pPr>
              <w:pStyle w:val="TableContents"/>
              <w:spacing w:before="0" w:after="0"/>
              <w:rPr>
                <w:rFonts w:ascii="Times New Roman" w:hAnsi="Times New Roman"/>
                <w:sz w:val="20"/>
              </w:rPr>
            </w:pPr>
            <w:r>
              <w:rPr>
                <w:rFonts w:ascii="Times New Roman" w:hAnsi="Times New Roman"/>
                <w:sz w:val="20"/>
              </w:rPr>
              <w:t>Vice President, Finance and Chief Accounting Officer</w:t>
            </w:r>
          </w:p>
          <w:p>
            <w:pPr>
              <w:pStyle w:val="TableContents"/>
              <w:spacing w:before="0" w:after="20"/>
              <w:rPr>
                <w:rFonts w:ascii="Times New Roman" w:hAnsi="Times New Roman"/>
                <w:i/>
                <w:sz w:val="20"/>
              </w:rPr>
            </w:pPr>
            <w:r>
              <w:rPr>
                <w:rFonts w:ascii="Times New Roman" w:hAnsi="Times New Roman"/>
                <w:i/>
                <w:sz w:val="20"/>
              </w:rPr>
              <w:t>(Principal Accounting Officer)</w:t>
            </w:r>
          </w:p>
        </w:tc>
        <w:tc>
          <w:tcPr>
            <w:tcW w:w="101"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pPr>
            <w:r>
              <w:rPr/>
              <w:t>May 13, 2022</w:t>
            </w:r>
          </w:p>
        </w:tc>
      </w:tr>
      <w:tr>
        <w:trPr>
          <w:trHeight w:val="240" w:hRule="atLeast"/>
        </w:trPr>
        <w:tc>
          <w:tcPr>
            <w:tcW w:w="3164" w:type="dxa"/>
            <w:tcBorders/>
            <w:shd w:fill="auto" w:val="clear"/>
            <w:vAlign w:val="center"/>
          </w:tcPr>
          <w:p>
            <w:pPr>
              <w:pStyle w:val="TableContents"/>
              <w:spacing w:before="0" w:after="283"/>
              <w:rPr>
                <w:sz w:val="4"/>
                <w:szCs w:val="4"/>
              </w:rPr>
            </w:pPr>
            <w:r>
              <w:rPr>
                <w:sz w:val="4"/>
                <w:szCs w:val="4"/>
              </w:rPr>
            </w:r>
          </w:p>
        </w:tc>
        <w:tc>
          <w:tcPr>
            <w:tcW w:w="5103" w:type="dxa"/>
            <w:gridSpan w:val="2"/>
            <w:tcBorders/>
            <w:shd w:fill="auto" w:val="clear"/>
            <w:vAlign w:val="center"/>
          </w:tcPr>
          <w:p>
            <w:pPr>
              <w:pStyle w:val="TableContents"/>
              <w:spacing w:before="0" w:after="283"/>
              <w:rPr>
                <w:sz w:val="4"/>
                <w:szCs w:val="4"/>
              </w:rPr>
            </w:pPr>
            <w:r>
              <w:rPr>
                <w:sz w:val="4"/>
                <w:szCs w:val="4"/>
              </w:rPr>
            </w:r>
          </w:p>
        </w:tc>
        <w:tc>
          <w:tcPr>
            <w:tcW w:w="1938" w:type="dxa"/>
            <w:gridSpan w:val="2"/>
            <w:tcBorders/>
            <w:shd w:fill="auto" w:val="clear"/>
            <w:vAlign w:val="center"/>
          </w:tcPr>
          <w:p>
            <w:pPr>
              <w:pStyle w:val="TableContents"/>
              <w:spacing w:before="0" w:after="283"/>
              <w:rPr>
                <w:sz w:val="4"/>
                <w:szCs w:val="4"/>
              </w:rPr>
            </w:pPr>
            <w:r>
              <w:rPr>
                <w:sz w:val="4"/>
                <w:szCs w:val="4"/>
              </w:rPr>
            </w:r>
          </w:p>
        </w:tc>
      </w:tr>
      <w:tr>
        <w:trPr/>
        <w:tc>
          <w:tcPr>
            <w:tcW w:w="3164"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/s/ Itziar Canamasas, Ph.D.</w:t>
            </w:r>
          </w:p>
          <w:p>
            <w:pPr>
              <w:pStyle w:val="TableContents"/>
              <w:spacing w:before="0" w:after="20"/>
              <w:rPr>
                <w:rFonts w:ascii="Times New Roman" w:hAnsi="Times New Roman"/>
                <w:sz w:val="20"/>
              </w:rPr>
            </w:pPr>
            <w:r>
              <w:rPr>
                <w:rFonts w:ascii="Times New Roman" w:hAnsi="Times New Roman"/>
                <w:sz w:val="20"/>
              </w:rPr>
              <w:t>Itziar Canamasas, Ph.D.</w:t>
            </w:r>
          </w:p>
        </w:tc>
        <w:tc>
          <w:tcPr>
            <w:tcW w:w="102" w:type="dxa"/>
            <w:tcBorders/>
            <w:shd w:fill="auto" w:val="clear"/>
            <w:vAlign w:val="bottom"/>
          </w:tcPr>
          <w:p>
            <w:pPr>
              <w:pStyle w:val="TableContents"/>
              <w:spacing w:before="0" w:after="283"/>
              <w:rPr/>
            </w:pPr>
            <w:r>
              <w:rPr/>
              <w:t> </w:t>
            </w:r>
          </w:p>
        </w:tc>
        <w:tc>
          <w:tcPr>
            <w:tcW w:w="5001" w:type="dxa"/>
            <w:tcBorders/>
            <w:shd w:fill="auto" w:val="clear"/>
          </w:tcPr>
          <w:p>
            <w:pPr>
              <w:pStyle w:val="TableContents"/>
              <w:spacing w:before="0" w:after="20"/>
              <w:rPr>
                <w:rFonts w:ascii="Times New Roman" w:hAnsi="Times New Roman"/>
                <w:sz w:val="20"/>
              </w:rPr>
            </w:pPr>
            <w:r>
              <w:rPr>
                <w:rFonts w:ascii="Times New Roman" w:hAnsi="Times New Roman"/>
                <w:sz w:val="20"/>
              </w:rPr>
              <w:t>Director</w:t>
            </w:r>
          </w:p>
        </w:tc>
        <w:tc>
          <w:tcPr>
            <w:tcW w:w="101"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pPr>
            <w:r>
              <w:rPr/>
              <w:t>May 13, 2022</w:t>
            </w:r>
          </w:p>
        </w:tc>
      </w:tr>
      <w:tr>
        <w:trPr>
          <w:trHeight w:val="240" w:hRule="atLeast"/>
        </w:trPr>
        <w:tc>
          <w:tcPr>
            <w:tcW w:w="3164" w:type="dxa"/>
            <w:tcBorders/>
            <w:shd w:fill="auto" w:val="clear"/>
            <w:vAlign w:val="center"/>
          </w:tcPr>
          <w:p>
            <w:pPr>
              <w:pStyle w:val="TableContents"/>
              <w:spacing w:before="0" w:after="283"/>
              <w:rPr>
                <w:sz w:val="4"/>
                <w:szCs w:val="4"/>
              </w:rPr>
            </w:pPr>
            <w:r>
              <w:rPr>
                <w:sz w:val="4"/>
                <w:szCs w:val="4"/>
              </w:rPr>
            </w:r>
          </w:p>
        </w:tc>
        <w:tc>
          <w:tcPr>
            <w:tcW w:w="5103" w:type="dxa"/>
            <w:gridSpan w:val="2"/>
            <w:tcBorders/>
            <w:shd w:fill="auto" w:val="clear"/>
            <w:vAlign w:val="center"/>
          </w:tcPr>
          <w:p>
            <w:pPr>
              <w:pStyle w:val="TableContents"/>
              <w:spacing w:before="0" w:after="283"/>
              <w:rPr>
                <w:sz w:val="4"/>
                <w:szCs w:val="4"/>
              </w:rPr>
            </w:pPr>
            <w:r>
              <w:rPr>
                <w:sz w:val="4"/>
                <w:szCs w:val="4"/>
              </w:rPr>
            </w:r>
          </w:p>
        </w:tc>
        <w:tc>
          <w:tcPr>
            <w:tcW w:w="1938" w:type="dxa"/>
            <w:gridSpan w:val="2"/>
            <w:tcBorders/>
            <w:shd w:fill="auto" w:val="clear"/>
            <w:vAlign w:val="center"/>
          </w:tcPr>
          <w:p>
            <w:pPr>
              <w:pStyle w:val="TableContents"/>
              <w:spacing w:before="0" w:after="283"/>
              <w:rPr>
                <w:sz w:val="4"/>
                <w:szCs w:val="4"/>
              </w:rPr>
            </w:pPr>
            <w:r>
              <w:rPr>
                <w:sz w:val="4"/>
                <w:szCs w:val="4"/>
              </w:rPr>
            </w:r>
          </w:p>
        </w:tc>
      </w:tr>
      <w:tr>
        <w:trPr/>
        <w:tc>
          <w:tcPr>
            <w:tcW w:w="3164"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w:t>
            </w:r>
          </w:p>
          <w:p>
            <w:pPr>
              <w:pStyle w:val="TableContents"/>
              <w:spacing w:before="0" w:after="20"/>
              <w:rPr>
                <w:rFonts w:ascii="Times New Roman" w:hAnsi="Times New Roman"/>
                <w:sz w:val="20"/>
              </w:rPr>
            </w:pPr>
            <w:r>
              <w:rPr>
                <w:rFonts w:ascii="Times New Roman" w:hAnsi="Times New Roman"/>
                <w:sz w:val="20"/>
              </w:rPr>
              <w:t>Corey Goodman, Ph.D.</w:t>
            </w:r>
          </w:p>
        </w:tc>
        <w:tc>
          <w:tcPr>
            <w:tcW w:w="102" w:type="dxa"/>
            <w:tcBorders/>
            <w:shd w:fill="auto" w:val="clear"/>
            <w:vAlign w:val="bottom"/>
          </w:tcPr>
          <w:p>
            <w:pPr>
              <w:pStyle w:val="TableContents"/>
              <w:spacing w:before="0" w:after="283"/>
              <w:rPr/>
            </w:pPr>
            <w:r>
              <w:rPr/>
              <w:t> </w:t>
            </w:r>
          </w:p>
        </w:tc>
        <w:tc>
          <w:tcPr>
            <w:tcW w:w="5001" w:type="dxa"/>
            <w:tcBorders/>
            <w:shd w:fill="auto" w:val="clear"/>
          </w:tcPr>
          <w:p>
            <w:pPr>
              <w:pStyle w:val="TableContents"/>
              <w:spacing w:before="0" w:after="0"/>
              <w:rPr>
                <w:rFonts w:ascii="Times New Roman" w:hAnsi="Times New Roman"/>
                <w:sz w:val="20"/>
              </w:rPr>
            </w:pPr>
            <w:r>
              <w:rPr>
                <w:rFonts w:ascii="Times New Roman" w:hAnsi="Times New Roman"/>
                <w:sz w:val="20"/>
              </w:rPr>
              <w:t>Executive Chairman of the Board of Directors</w:t>
            </w:r>
          </w:p>
        </w:tc>
        <w:tc>
          <w:tcPr>
            <w:tcW w:w="101"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pPr>
            <w:r>
              <w:rPr/>
              <w:t>May 13, 2022</w:t>
            </w:r>
          </w:p>
        </w:tc>
      </w:tr>
      <w:tr>
        <w:trPr>
          <w:trHeight w:val="240" w:hRule="atLeast"/>
        </w:trPr>
        <w:tc>
          <w:tcPr>
            <w:tcW w:w="3164" w:type="dxa"/>
            <w:tcBorders/>
            <w:shd w:fill="auto" w:val="clear"/>
            <w:vAlign w:val="center"/>
          </w:tcPr>
          <w:p>
            <w:pPr>
              <w:pStyle w:val="TableContents"/>
              <w:spacing w:before="0" w:after="283"/>
              <w:rPr>
                <w:sz w:val="4"/>
                <w:szCs w:val="4"/>
              </w:rPr>
            </w:pPr>
            <w:r>
              <w:rPr>
                <w:sz w:val="4"/>
                <w:szCs w:val="4"/>
              </w:rPr>
            </w:r>
          </w:p>
        </w:tc>
        <w:tc>
          <w:tcPr>
            <w:tcW w:w="5103" w:type="dxa"/>
            <w:gridSpan w:val="2"/>
            <w:tcBorders/>
            <w:shd w:fill="auto" w:val="clear"/>
            <w:vAlign w:val="center"/>
          </w:tcPr>
          <w:p>
            <w:pPr>
              <w:pStyle w:val="TableContents"/>
              <w:spacing w:before="0" w:after="283"/>
              <w:rPr>
                <w:sz w:val="4"/>
                <w:szCs w:val="4"/>
              </w:rPr>
            </w:pPr>
            <w:r>
              <w:rPr>
                <w:sz w:val="4"/>
                <w:szCs w:val="4"/>
              </w:rPr>
            </w:r>
          </w:p>
        </w:tc>
        <w:tc>
          <w:tcPr>
            <w:tcW w:w="1938" w:type="dxa"/>
            <w:gridSpan w:val="2"/>
            <w:tcBorders/>
            <w:shd w:fill="auto" w:val="clear"/>
            <w:vAlign w:val="center"/>
          </w:tcPr>
          <w:p>
            <w:pPr>
              <w:pStyle w:val="TableContents"/>
              <w:spacing w:before="0" w:after="283"/>
              <w:rPr>
                <w:sz w:val="4"/>
                <w:szCs w:val="4"/>
              </w:rPr>
            </w:pPr>
            <w:r>
              <w:rPr>
                <w:sz w:val="4"/>
                <w:szCs w:val="4"/>
              </w:rPr>
            </w:r>
          </w:p>
        </w:tc>
      </w:tr>
      <w:tr>
        <w:trPr/>
        <w:tc>
          <w:tcPr>
            <w:tcW w:w="3164"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w:t>
            </w:r>
          </w:p>
          <w:p>
            <w:pPr>
              <w:pStyle w:val="TableContents"/>
              <w:spacing w:before="0" w:after="20"/>
              <w:rPr>
                <w:rFonts w:ascii="Times New Roman" w:hAnsi="Times New Roman"/>
                <w:sz w:val="20"/>
              </w:rPr>
            </w:pPr>
            <w:r>
              <w:rPr>
                <w:rFonts w:ascii="Times New Roman" w:hAnsi="Times New Roman"/>
                <w:sz w:val="20"/>
              </w:rPr>
              <w:t>Rekha Hemrajani</w:t>
            </w:r>
          </w:p>
        </w:tc>
        <w:tc>
          <w:tcPr>
            <w:tcW w:w="102" w:type="dxa"/>
            <w:tcBorders/>
            <w:shd w:fill="auto" w:val="clear"/>
            <w:vAlign w:val="bottom"/>
          </w:tcPr>
          <w:p>
            <w:pPr>
              <w:pStyle w:val="TableContents"/>
              <w:spacing w:before="0" w:after="283"/>
              <w:rPr/>
            </w:pPr>
            <w:r>
              <w:rPr/>
              <w:t> </w:t>
            </w:r>
          </w:p>
        </w:tc>
        <w:tc>
          <w:tcPr>
            <w:tcW w:w="5001" w:type="dxa"/>
            <w:tcBorders/>
            <w:shd w:fill="auto" w:val="clear"/>
          </w:tcPr>
          <w:p>
            <w:pPr>
              <w:pStyle w:val="TableContents"/>
              <w:spacing w:before="0" w:after="0"/>
              <w:rPr>
                <w:rFonts w:ascii="Times New Roman" w:hAnsi="Times New Roman"/>
                <w:sz w:val="20"/>
              </w:rPr>
            </w:pPr>
            <w:r>
              <w:rPr>
                <w:rFonts w:ascii="Times New Roman" w:hAnsi="Times New Roman"/>
                <w:sz w:val="20"/>
              </w:rPr>
              <w:t>Director</w:t>
            </w:r>
          </w:p>
        </w:tc>
        <w:tc>
          <w:tcPr>
            <w:tcW w:w="101"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pPr>
            <w:r>
              <w:rPr/>
              <w:t>May 13, 2022</w:t>
            </w:r>
          </w:p>
        </w:tc>
      </w:tr>
      <w:tr>
        <w:trPr>
          <w:trHeight w:val="240" w:hRule="atLeast"/>
        </w:trPr>
        <w:tc>
          <w:tcPr>
            <w:tcW w:w="3164" w:type="dxa"/>
            <w:tcBorders/>
            <w:shd w:fill="auto" w:val="clear"/>
            <w:vAlign w:val="center"/>
          </w:tcPr>
          <w:p>
            <w:pPr>
              <w:pStyle w:val="TableContents"/>
              <w:spacing w:before="0" w:after="283"/>
              <w:rPr>
                <w:sz w:val="4"/>
                <w:szCs w:val="4"/>
              </w:rPr>
            </w:pPr>
            <w:r>
              <w:rPr>
                <w:sz w:val="4"/>
                <w:szCs w:val="4"/>
              </w:rPr>
            </w:r>
          </w:p>
        </w:tc>
        <w:tc>
          <w:tcPr>
            <w:tcW w:w="5103" w:type="dxa"/>
            <w:gridSpan w:val="2"/>
            <w:tcBorders/>
            <w:shd w:fill="auto" w:val="clear"/>
            <w:vAlign w:val="center"/>
          </w:tcPr>
          <w:p>
            <w:pPr>
              <w:pStyle w:val="TableContents"/>
              <w:spacing w:before="0" w:after="283"/>
              <w:rPr>
                <w:sz w:val="4"/>
                <w:szCs w:val="4"/>
              </w:rPr>
            </w:pPr>
            <w:r>
              <w:rPr>
                <w:sz w:val="4"/>
                <w:szCs w:val="4"/>
              </w:rPr>
            </w:r>
          </w:p>
        </w:tc>
        <w:tc>
          <w:tcPr>
            <w:tcW w:w="1938" w:type="dxa"/>
            <w:gridSpan w:val="2"/>
            <w:tcBorders/>
            <w:shd w:fill="auto" w:val="clear"/>
            <w:vAlign w:val="center"/>
          </w:tcPr>
          <w:p>
            <w:pPr>
              <w:pStyle w:val="TableContents"/>
              <w:spacing w:before="0" w:after="283"/>
              <w:rPr>
                <w:sz w:val="4"/>
                <w:szCs w:val="4"/>
              </w:rPr>
            </w:pPr>
            <w:r>
              <w:rPr>
                <w:sz w:val="4"/>
                <w:szCs w:val="4"/>
              </w:rPr>
            </w:r>
          </w:p>
        </w:tc>
      </w:tr>
      <w:tr>
        <w:trPr/>
        <w:tc>
          <w:tcPr>
            <w:tcW w:w="3164"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w:t>
            </w:r>
          </w:p>
          <w:p>
            <w:pPr>
              <w:pStyle w:val="TableContents"/>
              <w:spacing w:before="0" w:after="20"/>
              <w:rPr>
                <w:rFonts w:ascii="Times New Roman" w:hAnsi="Times New Roman"/>
                <w:sz w:val="20"/>
              </w:rPr>
            </w:pPr>
            <w:r>
              <w:rPr>
                <w:rFonts w:ascii="Times New Roman" w:hAnsi="Times New Roman"/>
                <w:sz w:val="20"/>
              </w:rPr>
              <w:t>Jason Lettmann</w:t>
            </w:r>
          </w:p>
        </w:tc>
        <w:tc>
          <w:tcPr>
            <w:tcW w:w="102" w:type="dxa"/>
            <w:tcBorders/>
            <w:shd w:fill="auto" w:val="clear"/>
            <w:vAlign w:val="bottom"/>
          </w:tcPr>
          <w:p>
            <w:pPr>
              <w:pStyle w:val="TableContents"/>
              <w:spacing w:before="0" w:after="283"/>
              <w:rPr/>
            </w:pPr>
            <w:r>
              <w:rPr/>
              <w:t> </w:t>
            </w:r>
          </w:p>
        </w:tc>
        <w:tc>
          <w:tcPr>
            <w:tcW w:w="5001" w:type="dxa"/>
            <w:tcBorders/>
            <w:shd w:fill="auto" w:val="clear"/>
          </w:tcPr>
          <w:p>
            <w:pPr>
              <w:pStyle w:val="TableContents"/>
              <w:spacing w:before="0" w:after="0"/>
              <w:rPr>
                <w:rFonts w:ascii="Times New Roman" w:hAnsi="Times New Roman"/>
                <w:sz w:val="20"/>
              </w:rPr>
            </w:pPr>
            <w:r>
              <w:rPr>
                <w:rFonts w:ascii="Times New Roman" w:hAnsi="Times New Roman"/>
                <w:sz w:val="20"/>
              </w:rPr>
              <w:t>Director</w:t>
            </w:r>
          </w:p>
        </w:tc>
        <w:tc>
          <w:tcPr>
            <w:tcW w:w="101"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pPr>
            <w:r>
              <w:rPr/>
              <w:t>May 13, 2022</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164"/>
        <w:gridCol w:w="101"/>
        <w:gridCol w:w="5002"/>
        <w:gridCol w:w="101"/>
        <w:gridCol w:w="1837"/>
      </w:tblGrid>
      <w:tr>
        <w:trPr/>
        <w:tc>
          <w:tcPr>
            <w:tcW w:w="3164"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5002"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837" w:type="dxa"/>
            <w:tcBorders/>
            <w:shd w:fill="auto" w:val="clear"/>
            <w:vAlign w:val="center"/>
          </w:tcPr>
          <w:p>
            <w:pPr>
              <w:pStyle w:val="TableContents"/>
              <w:spacing w:before="0" w:after="283"/>
              <w:rPr>
                <w:sz w:val="4"/>
                <w:szCs w:val="4"/>
              </w:rPr>
            </w:pPr>
            <w:r>
              <w:rPr>
                <w:sz w:val="4"/>
                <w:szCs w:val="4"/>
              </w:rPr>
            </w:r>
          </w:p>
        </w:tc>
      </w:tr>
      <w:tr>
        <w:trPr/>
        <w:tc>
          <w:tcPr>
            <w:tcW w:w="3164"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w:t>
            </w:r>
          </w:p>
          <w:p>
            <w:pPr>
              <w:pStyle w:val="TableContents"/>
              <w:spacing w:before="0" w:after="20"/>
              <w:rPr>
                <w:rFonts w:ascii="Times New Roman" w:hAnsi="Times New Roman"/>
                <w:sz w:val="20"/>
              </w:rPr>
            </w:pPr>
            <w:r>
              <w:rPr>
                <w:rFonts w:ascii="Times New Roman" w:hAnsi="Times New Roman"/>
                <w:sz w:val="20"/>
              </w:rPr>
              <w:t>Jack Nielsen</w:t>
            </w:r>
          </w:p>
        </w:tc>
        <w:tc>
          <w:tcPr>
            <w:tcW w:w="101" w:type="dxa"/>
            <w:tcBorders/>
            <w:shd w:fill="auto" w:val="clear"/>
            <w:vAlign w:val="bottom"/>
          </w:tcPr>
          <w:p>
            <w:pPr>
              <w:pStyle w:val="TableContents"/>
              <w:spacing w:before="0" w:after="283"/>
              <w:rPr/>
            </w:pPr>
            <w:r>
              <w:rPr/>
              <w:t> </w:t>
            </w:r>
          </w:p>
        </w:tc>
        <w:tc>
          <w:tcPr>
            <w:tcW w:w="5002" w:type="dxa"/>
            <w:tcBorders/>
            <w:shd w:fill="auto" w:val="clear"/>
          </w:tcPr>
          <w:p>
            <w:pPr>
              <w:pStyle w:val="TableContents"/>
              <w:spacing w:before="0" w:after="0"/>
              <w:rPr>
                <w:rFonts w:ascii="Times New Roman" w:hAnsi="Times New Roman"/>
                <w:sz w:val="20"/>
              </w:rPr>
            </w:pPr>
            <w:r>
              <w:rPr>
                <w:rFonts w:ascii="Times New Roman" w:hAnsi="Times New Roman"/>
                <w:sz w:val="20"/>
              </w:rPr>
              <w:t>Director</w:t>
            </w:r>
          </w:p>
        </w:tc>
        <w:tc>
          <w:tcPr>
            <w:tcW w:w="101"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pPr>
            <w:r>
              <w:rPr/>
              <w:t>May 13, 2022</w:t>
            </w:r>
          </w:p>
        </w:tc>
      </w:tr>
      <w:tr>
        <w:trPr>
          <w:trHeight w:val="240" w:hRule="atLeast"/>
        </w:trPr>
        <w:tc>
          <w:tcPr>
            <w:tcW w:w="3164" w:type="dxa"/>
            <w:tcBorders/>
            <w:shd w:fill="auto" w:val="clear"/>
            <w:vAlign w:val="center"/>
          </w:tcPr>
          <w:p>
            <w:pPr>
              <w:pStyle w:val="TableContents"/>
              <w:spacing w:before="0" w:after="283"/>
              <w:rPr>
                <w:sz w:val="4"/>
                <w:szCs w:val="4"/>
              </w:rPr>
            </w:pPr>
            <w:r>
              <w:rPr>
                <w:sz w:val="4"/>
                <w:szCs w:val="4"/>
              </w:rPr>
            </w:r>
          </w:p>
        </w:tc>
        <w:tc>
          <w:tcPr>
            <w:tcW w:w="5103" w:type="dxa"/>
            <w:gridSpan w:val="2"/>
            <w:tcBorders/>
            <w:shd w:fill="auto" w:val="clear"/>
            <w:vAlign w:val="center"/>
          </w:tcPr>
          <w:p>
            <w:pPr>
              <w:pStyle w:val="TableContents"/>
              <w:spacing w:before="0" w:after="283"/>
              <w:rPr>
                <w:sz w:val="4"/>
                <w:szCs w:val="4"/>
              </w:rPr>
            </w:pPr>
            <w:r>
              <w:rPr>
                <w:sz w:val="4"/>
                <w:szCs w:val="4"/>
              </w:rPr>
            </w:r>
          </w:p>
        </w:tc>
        <w:tc>
          <w:tcPr>
            <w:tcW w:w="1938" w:type="dxa"/>
            <w:gridSpan w:val="2"/>
            <w:tcBorders/>
            <w:shd w:fill="auto" w:val="clear"/>
            <w:vAlign w:val="center"/>
          </w:tcPr>
          <w:p>
            <w:pPr>
              <w:pStyle w:val="TableContents"/>
              <w:spacing w:before="0" w:after="283"/>
              <w:rPr>
                <w:sz w:val="4"/>
                <w:szCs w:val="4"/>
              </w:rPr>
            </w:pPr>
            <w:r>
              <w:rPr>
                <w:sz w:val="4"/>
                <w:szCs w:val="4"/>
              </w:rPr>
            </w:r>
          </w:p>
        </w:tc>
      </w:tr>
      <w:tr>
        <w:trPr/>
        <w:tc>
          <w:tcPr>
            <w:tcW w:w="3164" w:type="dxa"/>
            <w:tcBorders/>
            <w:shd w:fill="auto" w:val="clear"/>
          </w:tcPr>
          <w:p>
            <w:pPr>
              <w:pStyle w:val="TableContents"/>
              <w:pBdr>
                <w:bottom w:val="single" w:sz="2" w:space="1" w:color="000000"/>
              </w:pBdr>
              <w:spacing w:before="0" w:after="0"/>
              <w:rPr>
                <w:rFonts w:ascii="Times New Roman" w:hAnsi="Times New Roman"/>
                <w:sz w:val="20"/>
              </w:rPr>
            </w:pPr>
            <w:r>
              <w:rPr>
                <w:rFonts w:ascii="Times New Roman" w:hAnsi="Times New Roman"/>
                <w:sz w:val="20"/>
              </w:rPr>
              <w:t>*</w:t>
            </w:r>
          </w:p>
          <w:p>
            <w:pPr>
              <w:pStyle w:val="TableContents"/>
              <w:spacing w:before="0" w:after="20"/>
              <w:rPr>
                <w:rFonts w:ascii="Times New Roman" w:hAnsi="Times New Roman"/>
                <w:sz w:val="20"/>
              </w:rPr>
            </w:pPr>
            <w:r>
              <w:rPr>
                <w:rFonts w:ascii="Times New Roman" w:hAnsi="Times New Roman"/>
                <w:sz w:val="20"/>
              </w:rPr>
              <w:t>Sophia Randolph, M.D., Ph.D.</w:t>
            </w:r>
          </w:p>
        </w:tc>
        <w:tc>
          <w:tcPr>
            <w:tcW w:w="101" w:type="dxa"/>
            <w:tcBorders/>
            <w:shd w:fill="auto" w:val="clear"/>
            <w:vAlign w:val="bottom"/>
          </w:tcPr>
          <w:p>
            <w:pPr>
              <w:pStyle w:val="TableContents"/>
              <w:spacing w:before="0" w:after="283"/>
              <w:rPr/>
            </w:pPr>
            <w:r>
              <w:rPr/>
              <w:t> </w:t>
            </w:r>
          </w:p>
        </w:tc>
        <w:tc>
          <w:tcPr>
            <w:tcW w:w="5002" w:type="dxa"/>
            <w:tcBorders/>
            <w:shd w:fill="auto" w:val="clear"/>
          </w:tcPr>
          <w:p>
            <w:pPr>
              <w:pStyle w:val="TableContents"/>
              <w:spacing w:before="0" w:after="0"/>
              <w:rPr>
                <w:rFonts w:ascii="Times New Roman" w:hAnsi="Times New Roman"/>
                <w:sz w:val="20"/>
              </w:rPr>
            </w:pPr>
            <w:r>
              <w:rPr>
                <w:rFonts w:ascii="Times New Roman" w:hAnsi="Times New Roman"/>
                <w:sz w:val="20"/>
              </w:rPr>
              <w:t>Director</w:t>
            </w:r>
          </w:p>
        </w:tc>
        <w:tc>
          <w:tcPr>
            <w:tcW w:w="101" w:type="dxa"/>
            <w:tcBorders/>
            <w:shd w:fill="auto" w:val="clear"/>
            <w:vAlign w:val="bottom"/>
          </w:tcPr>
          <w:p>
            <w:pPr>
              <w:pStyle w:val="TableContents"/>
              <w:spacing w:before="0" w:after="283"/>
              <w:rPr/>
            </w:pPr>
            <w:r>
              <w:rPr/>
              <w:t> </w:t>
            </w:r>
          </w:p>
        </w:tc>
        <w:tc>
          <w:tcPr>
            <w:tcW w:w="1837" w:type="dxa"/>
            <w:tcBorders/>
            <w:shd w:fill="auto" w:val="clear"/>
          </w:tcPr>
          <w:p>
            <w:pPr>
              <w:pStyle w:val="TableContents"/>
              <w:spacing w:before="0" w:after="283"/>
              <w:jc w:val="center"/>
              <w:rPr/>
            </w:pPr>
            <w:r>
              <w:rPr/>
              <w:t>May 13, 2022</w:t>
            </w:r>
          </w:p>
        </w:tc>
      </w:tr>
    </w:tbl>
    <w:p>
      <w:pPr>
        <w:pStyle w:val="TextBody"/>
        <w:spacing w:before="0" w:after="0"/>
        <w:jc w:val="left"/>
        <w:rPr/>
      </w:pPr>
      <w:r>
        <w:rPr/>
        <w:t> </w:t>
      </w:r>
    </w:p>
    <w:tbl>
      <w:tblPr>
        <w:tblW w:w="1550" w:type="pct"/>
        <w:jc w:val="left"/>
        <w:tblInd w:w="0" w:type="dxa"/>
        <w:tblCellMar>
          <w:top w:w="0" w:type="dxa"/>
          <w:left w:w="0" w:type="dxa"/>
          <w:bottom w:w="0" w:type="dxa"/>
          <w:right w:w="0" w:type="dxa"/>
        </w:tblCellMar>
      </w:tblPr>
      <w:tblGrid>
        <w:gridCol w:w="485"/>
        <w:gridCol w:w="64"/>
        <w:gridCol w:w="2614"/>
      </w:tblGrid>
      <w:tr>
        <w:trPr/>
        <w:tc>
          <w:tcPr>
            <w:tcW w:w="485"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2614"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tcPr>
          <w:p>
            <w:pPr>
              <w:pStyle w:val="TableContents"/>
              <w:spacing w:before="0" w:after="283"/>
              <w:rPr/>
            </w:pPr>
            <w:r>
              <w:rPr/>
              <w:t>* By:</w:t>
            </w:r>
          </w:p>
        </w:tc>
        <w:tc>
          <w:tcPr>
            <w:tcW w:w="64" w:type="dxa"/>
            <w:tcBorders/>
            <w:shd w:fill="auto" w:val="clear"/>
            <w:vAlign w:val="bottom"/>
          </w:tcPr>
          <w:p>
            <w:pPr>
              <w:pStyle w:val="TableContents"/>
              <w:spacing w:before="0" w:after="283"/>
              <w:rPr/>
            </w:pPr>
            <w:r>
              <w:rPr/>
              <w:t> </w:t>
            </w:r>
          </w:p>
        </w:tc>
        <w:tc>
          <w:tcPr>
            <w:tcW w:w="2614" w:type="dxa"/>
            <w:tcBorders/>
            <w:shd w:fill="auto" w:val="clear"/>
            <w:vAlign w:val="bottom"/>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Jaume Pons, Ph.D.</w:t>
            </w:r>
          </w:p>
        </w:tc>
      </w:tr>
      <w:tr>
        <w:trPr/>
        <w:tc>
          <w:tcPr>
            <w:tcW w:w="485" w:type="dxa"/>
            <w:tcBorders/>
            <w:shd w:fill="auto" w:val="clea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pPr>
            <w:r>
              <w:rPr/>
              <w:t> </w:t>
            </w:r>
          </w:p>
        </w:tc>
        <w:tc>
          <w:tcPr>
            <w:tcW w:w="261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Jaume Pons, Ph.D.</w:t>
            </w:r>
          </w:p>
          <w:p>
            <w:pPr>
              <w:pStyle w:val="TableContents"/>
              <w:spacing w:before="0" w:after="20"/>
              <w:rPr>
                <w:rFonts w:ascii="Times New Roman" w:hAnsi="Times New Roman"/>
                <w:sz w:val="20"/>
              </w:rPr>
            </w:pPr>
            <w:r>
              <w:rPr>
                <w:rFonts w:ascii="Times New Roman" w:hAnsi="Times New Roman"/>
                <w:sz w:val="20"/>
              </w:rPr>
              <w:t>Attorney-in-Fact</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II-6 </w:t>
      </w:r>
      <w:r>
        <w:br w:type="page"/>
      </w:r>
    </w:p>
    <w:p>
      <w:pPr>
        <w:pStyle w:val="TextBody"/>
        <w:spacing w:before="0" w:after="0"/>
        <w:jc w:val="right"/>
        <w:rPr>
          <w:rFonts w:ascii="Times New Roman" w:hAnsi="Times New Roman"/>
          <w:b/>
          <w:sz w:val="20"/>
        </w:rPr>
      </w:pPr>
      <w:bookmarkStart w:id="31" w:name="d293656dex231.htm"/>
      <w:bookmarkStart w:id="32" w:name="ksd293656dex231"/>
      <w:bookmarkEnd w:id="31"/>
      <w:bookmarkEnd w:id="32"/>
      <w:r>
        <w:rPr>
          <w:rFonts w:ascii="Times New Roman" w:hAnsi="Times New Roman"/>
          <w:b/>
          <w:sz w:val="20"/>
        </w:rPr>
        <w:t xml:space="preserve">Exhibit 23.1 </w:t>
      </w:r>
    </w:p>
    <w:p>
      <w:pPr>
        <w:pStyle w:val="TextBody"/>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We consent to the use of our report dated February 28, 2022, with respect to the consolidated financial statements of ALX Oncology Holdings Inc., and the effectiveness of internal control over financial reporting, incorporated herein by reference and to the reference to our firm under the heading Experts in the prospectus. </w:t>
      </w:r>
    </w:p>
    <w:p>
      <w:pPr>
        <w:pStyle w:val="TextBody"/>
        <w:spacing w:before="240" w:after="0"/>
        <w:jc w:val="left"/>
        <w:rPr>
          <w:rFonts w:ascii="Times New Roman" w:hAnsi="Times New Roman"/>
          <w:sz w:val="20"/>
        </w:rPr>
      </w:pPr>
      <w:r>
        <w:rPr>
          <w:rFonts w:ascii="Times New Roman" w:hAnsi="Times New Roman"/>
          <w:sz w:val="20"/>
        </w:rPr>
        <w:t xml:space="preserve">/s/ KPMG LLP </w:t>
      </w:r>
    </w:p>
    <w:p>
      <w:pPr>
        <w:pStyle w:val="TextBody"/>
        <w:spacing w:before="240" w:after="0"/>
        <w:jc w:val="left"/>
        <w:rPr>
          <w:rFonts w:ascii="Times New Roman" w:hAnsi="Times New Roman"/>
          <w:sz w:val="20"/>
        </w:rPr>
      </w:pPr>
      <w:r>
        <w:rPr>
          <w:rFonts w:ascii="Times New Roman" w:hAnsi="Times New Roman"/>
          <w:sz w:val="20"/>
        </w:rPr>
        <w:t xml:space="preserve">San Francisco, California </w:t>
      </w:r>
    </w:p>
    <w:p>
      <w:pPr>
        <w:pStyle w:val="TextBody"/>
        <w:spacing w:before="240" w:after="0"/>
        <w:jc w:val="left"/>
        <w:rPr>
          <w:rFonts w:ascii="Times New Roman" w:hAnsi="Times New Roman"/>
          <w:sz w:val="20"/>
        </w:rPr>
      </w:pPr>
      <w:r>
        <w:rPr>
          <w:rFonts w:ascii="Times New Roman" w:hAnsi="Times New Roman"/>
          <w:sz w:val="20"/>
        </w:rPr>
        <w:t xml:space="preserve">May 13, 2022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Arial Narrow">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0001810182/000156459022007364/alxo-10k_20211231.htm" TargetMode="External"/><Relationship Id="rId4" Type="http://schemas.openxmlformats.org/officeDocument/2006/relationships/hyperlink" Target="http://www.sec.gov/Archives/edgar/data/../../../ix?doc=/Archives/edgar/data/0001810182/000095017022008499/alxo-20220331.htm" TargetMode="External"/><Relationship Id="rId5" Type="http://schemas.openxmlformats.org/officeDocument/2006/relationships/hyperlink" Target="http://www.sec.gov/Archives/edgar/data/0001810182/000095017022005982/alxo-def_14a-2022_proxy.htm" TargetMode="External"/><Relationship Id="rId6" Type="http://schemas.openxmlformats.org/officeDocument/2006/relationships/hyperlink" Target="http://www.sec.gov/Archives/edgar/data/../../../ix?doc=/Archives/edgar/data/0001810182/000095017022005597/alxo-20220411.htm" TargetMode="External"/><Relationship Id="rId7" Type="http://schemas.openxmlformats.org/officeDocument/2006/relationships/hyperlink" Target="http://www.sec.gov/Archives/edgar/data/0001810182/000119312520191878/d936945d8a12b.htm" TargetMode="External"/><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hyperlink" Target="http://www.sec.gov/Archives/edgar/data/../../../ix?doc=/Archives/edgar/data/1810182/000156459022007364/alxo-10k_20211231.htm" TargetMode="External"/><Relationship Id="rId12" Type="http://schemas.openxmlformats.org/officeDocument/2006/relationships/hyperlink" Target="http://www.sec.gov/Archives/edgar/data/../../../ix?doc=/Archives/edgar/data/0001810182/000095017022008499/alxo-20220331.htm" TargetMode="External"/><Relationship Id="rId13" Type="http://schemas.openxmlformats.org/officeDocument/2006/relationships/hyperlink" Target="http://www.sec.gov/Archives/edgar/data/1810182/000119312521140336/d170160ddef14a.htm" TargetMode="External"/><Relationship Id="rId14" Type="http://schemas.openxmlformats.org/officeDocument/2006/relationships/hyperlink" Target="http://www.sec.gov/Archives/edgar/data/../../../ix?doc=/Archives/edgar/data/0001810182/000095017022005597/alxo-20220411.htm" TargetMode="External"/><Relationship Id="rId15" Type="http://schemas.openxmlformats.org/officeDocument/2006/relationships/hyperlink" Target="http://www.sec.gov/Archives/edgar/data/1810182/000119312520191878/d936945d8a12b.htm" TargetMode="External"/><Relationship Id="rId16" Type="http://schemas.openxmlformats.org/officeDocument/2006/relationships/image" Target="media/image5.jpeg"/><Relationship Id="rId17" Type="http://schemas.openxmlformats.org/officeDocument/2006/relationships/image" Target="media/image6.jpeg"/><Relationship Id="rId18" Type="http://schemas.openxmlformats.org/officeDocument/2006/relationships/image" Target="media/image7.jpeg"/><Relationship Id="rId19" Type="http://schemas.openxmlformats.org/officeDocument/2006/relationships/hyperlink" Target="http://www.sec.gov/Archives/edgar/data/1810182/000119312521361275/d227281dex11.htm" TargetMode="External"/><Relationship Id="rId20" Type="http://schemas.openxmlformats.org/officeDocument/2006/relationships/hyperlink" Target="http://www.sec.gov/Archives/edgar/data/1810182/000119312520196288/d47591dex31.htm" TargetMode="External"/><Relationship Id="rId21" Type="http://schemas.openxmlformats.org/officeDocument/2006/relationships/hyperlink" Target="http://www.sec.gov/Archives/edgar/data/1810182/000119312520196288/d47591dex32.htm" TargetMode="External"/><Relationship Id="rId22" Type="http://schemas.openxmlformats.org/officeDocument/2006/relationships/hyperlink" Target="http://www.sec.gov/Archives/edgar/data/1810182/000119312520181021/d913838dex41.htm" TargetMode="External"/><Relationship Id="rId23" Type="http://schemas.openxmlformats.org/officeDocument/2006/relationships/hyperlink" Target="http://www.sec.gov/Archives/edgar/data/1810182/000119312520181021/d913838dex42.htm" TargetMode="External"/><Relationship Id="rId24" Type="http://schemas.openxmlformats.org/officeDocument/2006/relationships/hyperlink" Target="http://www.sec.gov/Archives/edgar/data/0001810182/000156459022007364/alxo-ex43_11.htm" TargetMode="External"/><Relationship Id="rId25" Type="http://schemas.openxmlformats.org/officeDocument/2006/relationships/hyperlink" Target="http://www.sec.gov/Archives/edgar/data/0001810182/000119312522085234/d293656dex51.htm" TargetMode="External"/><Relationship Id="rId26" Type="http://schemas.openxmlformats.org/officeDocument/2006/relationships/hyperlink" Target="http://www.sec.gov/Archives/edgar/data/0001810182/000119312522085234/d293656dex51.htm" TargetMode="External"/><Relationship Id="rId27" Type="http://schemas.openxmlformats.org/officeDocument/2006/relationships/hyperlink" Target="http://www.sec.gov/Archives/edgar/data/0001810182/000119312522085234/d293656dexfilingfees.htm"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46</Pages>
  <Words>19196</Words>
  <CharactersWithSpaces>121218</CharactersWithSpaces>
  <Paragraphs>1479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