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31231.htm"/>
      <w:bookmarkStart w:id="1" w:name="ksalxo20231231"/>
      <w:bookmarkEnd w:id="0"/>
      <w:bookmarkEnd w:id="1"/>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386" w:type="dxa"/>
            <w:tcBorders/>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0" w:after="283"/>
              <w:jc w:val="left"/>
              <w:rPr>
                <w:color w:val="000000"/>
              </w:rPr>
            </w:pPr>
            <w:r>
              <w:rPr>
                <w:color w:val="000000"/>
              </w:rPr>
              <w:t>☐</w:t>
            </w:r>
          </w:p>
        </w:tc>
        <w:tc>
          <w:tcPr>
            <w:tcW w:w="9874" w:type="dxa"/>
            <w:tcBorders/>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001-39386</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323 Allerton Avenue</w:t>
            </w:r>
          </w:p>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48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94080</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Registrant’s telephone number, including area code: 650-466-7125</w:t>
      </w:r>
    </w:p>
    <w:p>
      <w:pPr>
        <w:pStyle w:val="TextBody"/>
        <w:bidi w:val="0"/>
        <w:spacing w:before="4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ALXO</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aggregate market value of the registrant’s common stock held by non-affiliates of the registrant on June 30, 2023, the last business day of its most recently completed second fiscal quarter, was $161.4</w:t>
      </w:r>
      <w:r>
        <w:rPr>
          <w:rFonts w:ascii="Times New Roman" w:hAnsi="Times New Roman"/>
          <w:color w:val="000000"/>
          <w:sz w:val="20"/>
        </w:rPr>
        <w:t xml:space="preserve"> </w:t>
      </w:r>
      <w:r>
        <w:rPr>
          <w:rFonts w:ascii="Times New Roman" w:hAnsi="Times New Roman"/>
          <w:color w:val="000000"/>
          <w:sz w:val="16"/>
        </w:rPr>
        <w:t>million based on the closing sales price of the registrant’s common stock on that date.</w:t>
      </w:r>
    </w:p>
    <w:p>
      <w:pPr>
        <w:pStyle w:val="TextBody"/>
        <w:bidi w:val="0"/>
        <w:spacing w:before="40" w:after="283"/>
        <w:jc w:val="left"/>
        <w:rPr>
          <w:rFonts w:ascii="Times New Roman" w:hAnsi="Times New Roman"/>
          <w:sz w:val="20"/>
        </w:rPr>
      </w:pPr>
      <w:r>
        <w:rPr>
          <w:rFonts w:ascii="Times New Roman" w:hAnsi="Times New Roman"/>
          <w:color w:val="000000"/>
          <w:sz w:val="16"/>
        </w:rPr>
        <w:t>The number of shares of registrant’s Common Stock outstanding as of February 29, 2024 was 50,152,082.</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Certain portions of the registrant’s definitive proxy statement relating to the Company’s 2024 Annual Meeting of Stockholders, to be filed with the Securities and Exchange Commission within 120 days of the registrant’s fiscal year ended December 31, 2023, are incorporated by reference into Part III of this Annual Report on Form 10-K where indicated.</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existing cash to fund our future operating expenses and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including the geographic areas of focus and our ability to grow a sales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preclinical research activities, and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beneficial characteristics, mechanisms of action, safety profile, efficacy and therapeutic effects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and focus of our current and future clinical trials, and the reporting of data from those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clinical trials, including collaborations and investigator sponsored trials, to demonstrate the safety and efficacy of our product candidates, and other positive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competing product candidates and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the further development and manufacturing of our product candidates, including additional indications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regulations and regulatory developments in the United States and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and ability to successfully manufacture and supply our product candidates for clinical trials and for commercial use,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reliance on third parties to conduct clinical trials of our product candidates, and for the manufacture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including our technology platform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continued service of our key personnel, the impacts of any executive officer changes, and to identify, hire, and then retain additional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the COVID-19 pandemic, rising interest rates, bank failures or instability in the financial services sector, or geopolitical risks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for and prospects of our acquisitions and other business development activities, and our ability to successfully capitalize on these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financial and internal controls;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and cash equivalents, short-term and long-term investments, and the funds available from our term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EE"/>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EE"/>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EE"/>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EE"/>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EE"/>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EE"/>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EE"/>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EE"/>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EE"/>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EE"/>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EE"/>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EE"/>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EE"/>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EE"/>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EE"/>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EE"/>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EE"/>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EE"/>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EE"/>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EE"/>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EE"/>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EE"/>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EE"/>
                  <w:sz w:val="20"/>
                  <w:u w:val="single"/>
                </w:rPr>
                <w:t>SIGNATURES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BUSINESS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ALX Oncology was founded to address fundamental challenges in blocking CD47 and to realize the full potential of this therapeutic target. Clinical data on competing CD47 blockers to date have come from molecules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Evorpacept’s design has several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 Additionally, the molecular weight of evorpacept is half that of a typical antibody, therefore allowing for higher dosing (10mg/kg of evorpacept is equivalent to 20 mg/kg of a regular antibody). The relatively smaller size of our molecule may facilitate increased penetrance into the tumor microenvironment. We believe these properties may enable evorpacept to provide superior therapeutic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data to date in evorpacept have not shown the dose-dependent hematologic toxicities characteristic of other CD47 blockers that incorporate an active Fc domain. Over 500 subjects have been treated with evorpacept in combination with targeted anti-cancer agents, small molecules, and checkpoint inhibitors to date. Evorpacept has not reached a maximum tolerated dose in any of the combinations evaluated to date.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 as discussed below. In April 2020, we began exploring a third less well-validated mechanism of action, which led us to test the combination of evorpacept with azacitidine in myelodysplastic syndromes (MDS) patients, but our data failed to validate this third mechanism as discussed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distinct mechanism of actions and examples of the combinations of priority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Anti-cancer antibodies (the “</w:t>
      </w:r>
      <w:r>
        <w:rPr>
          <w:rFonts w:ascii="Times New Roman" w:hAnsi="Times New Roman"/>
          <w:b/>
          <w:i/>
          <w:color w:val="000000"/>
          <w:sz w:val="20"/>
        </w:rPr>
        <w:t>don’t eat me</w:t>
      </w:r>
      <w:r>
        <w:rPr>
          <w:color w:val="000000"/>
        </w:rPr>
        <w:t xml:space="preserve">” </w:t>
      </w:r>
      <w:r>
        <w:rPr>
          <w:rFonts w:ascii="Times New Roman" w:hAnsi="Times New Roman"/>
          <w:b/>
          <w:color w:val="000000"/>
          <w:sz w:val="20"/>
        </w:rPr>
        <w:t>signal)</w:t>
      </w:r>
      <w:r>
        <w:rPr>
          <w:rFonts w:ascii="Times New Roman" w:hAnsi="Times New Roman"/>
          <w:color w:val="000000"/>
          <w:sz w:val="20"/>
        </w:rPr>
        <w:t xml:space="preserve">: </w:t>
      </w:r>
      <w:r>
        <w:rPr>
          <w:rFonts w:ascii="Times New Roman" w:hAnsi="Times New Roman"/>
          <w:b/>
          <w:color w:val="000000"/>
          <w:sz w:val="20"/>
        </w:rPr>
        <w:t>Combining with anti-cancer targeted antibodies with an active Fc domain, where evorpacept enables the Fc-mediated antibody dependent phagocytosis that is impaired by the expression of CD47 on cancer cells</w:t>
      </w:r>
      <w:r>
        <w:rPr>
          <w:rFonts w:ascii="Times New Roman" w:hAnsi="Times New Roman"/>
          <w:color w:val="000000"/>
          <w:sz w:val="20"/>
        </w:rPr>
        <w:t xml:space="preserve">. </w:t>
        <w:br/>
        <w:t>The positive interim data in our randomized ASPEN-06 clinical trial supports the clinical validation of this mechanism of action. ASPEN-06 evaluates the contribution of evorpacept to HERCEPTIN</w:t>
      </w:r>
      <w:r>
        <w:rPr>
          <w:rFonts w:ascii="Times New Roman" w:hAnsi="Times New Roman"/>
          <w:color w:val="000000"/>
          <w:sz w:val="13"/>
        </w:rPr>
        <w:t xml:space="preserve">® </w:t>
      </w:r>
      <w:r>
        <w:rPr>
          <w:rFonts w:ascii="Times New Roman" w:hAnsi="Times New Roman"/>
          <w:color w:val="000000"/>
          <w:sz w:val="20"/>
        </w:rPr>
        <w:t>(trastuzumab) plus standard of care (CYRAMZA</w:t>
      </w:r>
      <w:r>
        <w:rPr>
          <w:rFonts w:ascii="Times New Roman" w:hAnsi="Times New Roman"/>
          <w:color w:val="000000"/>
          <w:sz w:val="13"/>
        </w:rPr>
        <w:t>®</w:t>
      </w:r>
      <w:r>
        <w:rPr>
          <w:color w:val="000000"/>
        </w:rPr>
        <w:t xml:space="preserve"> </w:t>
      </w:r>
      <w:r>
        <w:rPr>
          <w:rFonts w:ascii="Times New Roman" w:hAnsi="Times New Roman"/>
          <w:color w:val="000000"/>
          <w:sz w:val="20"/>
        </w:rPr>
        <w:t xml:space="preserve">(ramucirumab) + paclitaxel) versus standard of care plus HERCEPTIN in second line or later HER2-positive gastric/gastroesophageal junction (GEJ) cancer.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Demonstrated evorpacept + trastuzumab + ramucirumab + paclitaxel improved response activity (52% overall response rate (ORR), median duration of response (mDOR) not reached) compared to that of the trastuzumab + ramucirumab + paclitaxel backbone (22% ORR, mDOR 7.4 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Clinical activity of evorpacept + trastuzumab + ramucirumab + paclitaxel compares favorably to the RAINBOW historical data where ramucirumab + paclitaxel demonstrated a 28% confirmed ORR and 4.4 month mDOR, as well as to DESTINY-Gastric01 where ENHERTU</w:t>
      </w:r>
      <w:r>
        <w:rPr>
          <w:rFonts w:ascii="Times New Roman" w:hAnsi="Times New Roman"/>
          <w:color w:val="000000"/>
          <w:sz w:val="13"/>
        </w:rPr>
        <w:t>®</w:t>
      </w:r>
      <w:r>
        <w:rPr>
          <w:color w:val="000000"/>
        </w:rPr>
        <w:t xml:space="preserve"> </w:t>
      </w:r>
      <w:r>
        <w:rPr>
          <w:rFonts w:ascii="Times New Roman" w:hAnsi="Times New Roman"/>
          <w:color w:val="000000"/>
          <w:sz w:val="20"/>
        </w:rPr>
        <w:t>(fam-trastuzumab deruxtecan-nxki) reported a 41% confirmed ORR and mDOR of 11.3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Initial magnitude of improvement in ORR over available therapy and over the concurrent control arm with this well-tolerated combination suggests that evorpacept in combination with trastuzumab, ramucirumab, and paclitaxel could benefit patients with HER2-overexpressing advanced gastric/GEJ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earlier ASPEN-01 Phase 1 positive data in combination with rituximab in non-Hodgkin lymphoma (NHL) provide additional support for the clinical validation of this mechanism of action and support exploring combinations of evorpacept with other anti-cancer antibodies.</w:t>
      </w:r>
    </w:p>
    <w:p>
      <w:pPr>
        <w:pStyle w:val="TextBody"/>
        <w:bidi w:val="0"/>
        <w:spacing w:before="120" w:after="283"/>
        <w:jc w:val="left"/>
        <w:rPr>
          <w:rFonts w:ascii="Times New Roman" w:hAnsi="Times New Roman"/>
          <w:sz w:val="20"/>
        </w:rPr>
      </w:pPr>
      <w:r>
        <w:rPr>
          <w:rFonts w:ascii="Times New Roman" w:hAnsi="Times New Roman"/>
          <w:color w:val="000000"/>
          <w:sz w:val="20"/>
        </w:rPr>
        <w:t>This mechanism of action may also apply to antibody-drug conjugates (ADCs), which are being investigated in two separate Phase 1 trials: one in combination with PADCEV</w:t>
      </w:r>
      <w:r>
        <w:rPr>
          <w:rFonts w:ascii="Times New Roman" w:hAnsi="Times New Roman"/>
          <w:color w:val="000000"/>
          <w:sz w:val="13"/>
        </w:rPr>
        <w:t>®</w:t>
      </w:r>
      <w:r>
        <w:rPr>
          <w:rFonts w:ascii="Times New Roman" w:hAnsi="Times New Roman"/>
          <w:color w:val="000000"/>
          <w:sz w:val="20"/>
        </w:rPr>
        <w:t xml:space="preserve"> (enfortumab vedotin-ejfv) in patients with urothelial cancer (ASPEN-07), and the other in combination with fam-trastuzumab deruxtecan-nxki in patients with unresectable or metastatic HER2-positive and HER2-low breast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PD-1/PD-L1 immune checkpoint inhibitors (the “</w:t>
      </w:r>
      <w:r>
        <w:rPr>
          <w:rFonts w:ascii="Times New Roman" w:hAnsi="Times New Roman"/>
          <w:b/>
          <w:i/>
          <w:color w:val="000000"/>
          <w:sz w:val="20"/>
        </w:rPr>
        <w:t>don’t activate T-cells</w:t>
      </w:r>
      <w:r>
        <w:rPr>
          <w:color w:val="000000"/>
        </w:rPr>
        <w:t xml:space="preserve">” </w:t>
      </w:r>
      <w:r>
        <w:rPr>
          <w:rFonts w:ascii="Times New Roman" w:hAnsi="Times New Roman"/>
          <w:b/>
          <w:color w:val="000000"/>
          <w:sz w:val="20"/>
        </w:rPr>
        <w:t>signal):</w:t>
      </w:r>
      <w:r>
        <w:rPr>
          <w:color w:val="000000"/>
        </w:rPr>
        <w:t xml:space="preserve"> </w:t>
      </w:r>
      <w:r>
        <w:rPr>
          <w:rFonts w:ascii="Times New Roman" w:hAnsi="Times New Roman"/>
          <w:b/>
          <w:color w:val="000000"/>
          <w:sz w:val="20"/>
        </w:rPr>
        <w:t>Combining with PD-1/PD-L1 checkpoint inhibitor, where evorpacept activates dendritic cells that are constitutively inhibited by the CD47/ SIRP alpha pathway.</w:t>
      </w:r>
      <w:r>
        <w:rPr>
          <w:color w:val="000000"/>
        </w:rPr>
        <w:t xml:space="preserve"> </w:t>
      </w:r>
      <w:r>
        <w:rPr>
          <w:rFonts w:ascii="Times New Roman" w:hAnsi="Times New Roman"/>
          <w:color w:val="000000"/>
          <w:sz w:val="20"/>
        </w:rPr>
        <w:b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This mechanism of action includes our clinical trials, ASPEN-03 and ASPEN-04, two randomized Phase 2 studies in combination with KEYTRUDA</w:t>
      </w:r>
      <w:r>
        <w:rPr>
          <w:rFonts w:ascii="Times New Roman" w:hAnsi="Times New Roman"/>
          <w:color w:val="000000"/>
          <w:sz w:val="13"/>
        </w:rPr>
        <w:t>®</w:t>
      </w:r>
      <w:r>
        <w:rPr>
          <w:color w:val="000000"/>
        </w:rPr>
        <w:t xml:space="preserve"> </w:t>
      </w:r>
      <w:r>
        <w:rPr>
          <w:rFonts w:ascii="Times New Roman" w:hAnsi="Times New Roman"/>
          <w:color w:val="000000"/>
          <w:sz w:val="20"/>
        </w:rPr>
        <w:t xml:space="preserve">(pembrolizumab),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b/>
          <w:color w:val="000000"/>
          <w:sz w:val="20"/>
        </w:rPr>
        <w:t>Hypomethylation agents:</w:t>
      </w:r>
      <w:r>
        <w:rPr>
          <w:color w:val="000000"/>
        </w:rPr>
        <w:t xml:space="preserve"> </w:t>
      </w:r>
      <w:r>
        <w:rPr>
          <w:rFonts w:ascii="Times New Roman" w:hAnsi="Times New Roman"/>
          <w:b/>
          <w:color w:val="000000"/>
          <w:sz w:val="20"/>
        </w:rPr>
        <w:t>Combining with azacitidine, which is described to upregulate calreticulin and potentially promote macrophage dependent phagocytosis that is inhibited by CD47. We now consider this a failed mechanistic hypothesis.</w:t>
      </w:r>
      <w:r>
        <w:rPr>
          <w:rFonts w:ascii="Times New Roman" w:hAnsi="Times New Roman"/>
          <w:color w:val="000000"/>
          <w:sz w:val="20"/>
        </w:rPr>
        <w:br/>
        <w:t xml:space="preserve">This mechanistic hypothesis was tested and ultimately not supported in our clinical trial, ASPEN-02, a Phase 1b dose optimization study evaluating evorpacept in combination with azacitidine for the treatment of MDS. Initial support for exploring this mechanism was provided by Phase 1b initial clinical data of magrolimab, an anti CD47 antibody with active Fc, being developed by Gilead, which showed improvements in complete response (CR) rate compared to historical data in addition to a significant increase in cytopenias. As we reported in August 2023, in our preliminary data review of our Phase 1 study, ASPEN-02, despite being well tolerated, evorpacept did not yield sufficient activity to support progression to Phase 2 trials. Gilead has since discontinued its Phase 3 magrolimab trials with this combination in both acute myeloid leukemia (AML) and MDS due to lack of efficacy. Based upon trial results, we are no longer planning to pursue combinations based upon this mechanism of action. Resources originally earmarked for these trials will be allocated to support our ongoing programs evaluating combinations with anti-cancer antibodies and PD-1/PD-L1 immune checkpoint inhibitors.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pursuing the following clinical programs, collaborations, and investigator sponsored trials: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ASPEN-06 trial, a randomized Phase 2/3 trial of evorpacept in combination with trastuzumab, ramucirumab and paclitaxel for the treatment of second- and third-line advanced HER2-overexpressing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2023, the European Commission granted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overall response rate (ORR) of 52% was demonstrated for evorpacept in combination with trastuzumab + ramucirumab + paclitaxel compared to 22% for the control group of trastuzumab + ramucirumab + paclitaxel. Median duration of response (mDOR) was not reached for the evorpacept combination treatment arm compared to 7.4 months for the control group. The safety profile of evorpacept was consistent with previous clinical trials and was well-tolerated.</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antibody drug conjugate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ASPEN-07 - Urothelial Cancer (UC)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2023, we announced the dosing of the first patient in the ASPEN-07 trial, a Phase 1 study evaluating evorpacept in combination with an ADC, enfortumab vedotin-ejfv, for the second-line treatment of locally advanced or metastatic UC.</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ASPEN-03 -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2021, we announced the dosing of the first patient in the ASPEN-03 trial, a randomized Phase 2 trial of evorpacept in combination with pembrolizumab for the treatment of first-line advanced PD-L1 positive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2022, the Food and Drug Administration (FDA) granted Fast Track designation for evorpacept in combination with pembrolizumab for first-line treatment of adult patients with metastatic or unresectable, recurrent HNSCC whose tumors express PD-L1.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ASPEN-04 -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2020, the FDA granted Fast Track designation for evorpacept in combination with pembrolizumab, platinum, and fluorouracil for the first-line treatment of adult patients with metastatic or unresectable, recurrent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July 2021, we announced the dosing of the first patient in the ASPEN-04 trial, a randomized Phase 2 trial of evorpacept in combination with pembrolizumab, platinum, and fluorouracil for the treatment of first-line advanced HNSCC.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is sponsoring and managing an ongoing Phase 1 trial of zanidatamab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initial collaborator for the Zanidatamab Trial was Zymeworks Inc. (Zymeworks), however in a series of transactions commencing in October 2022, Jazz assumed responsibility from Zymeworks for the development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commercialization of zanidatamab in the United States, Europe, Japan and certain other territories, including responsibility for the Zanidatamab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Quantum Leap Healthcare Collaborative - I-SPY Trial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Quantum Leap Healthcare Collaborative (Quantum Leap), is sponsoring and managing an ongoing Phase 1 trial (I-SPY) to evaluate evorpacept in combination with an ADC, fam-trastuzumab deruxtecan-nxki, for the treatment of patients with unresectable or metastatic HER2-positive and HER2-low breast cancer. We announced the dosing of the first patient in March 2023.</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2021, an IST of evorpacept was initiated in combination with rituximab and lenalidomide for the treatment of patients with indolent and aggressive NHL, sponsored by MD Anderson Cancer Center in Texas. We announced the dosing of the first patient in September 2021.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2023, we announced a collaboration with Sanofi who will sponsor and manage a Phase 1/2 trial of isatuximab and dexamethasone in combination with evorpacept for the treatment of patients with relapsed or refractory multiple myeloma.</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anti-cancer antibody and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Academic Gastrointestinal Cancer Consortium - Colorectal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2022, a Phase 2 IST of evorpacept was initiated in combination with pembrolizumab and cetuximab in patients with refractory microsatellite stable metastatic colorectal cancer, sponsored by the Academic Gastrointestinal Cancer Consortium (AGICC) in New York. We announced the dosing of the first patient in August 2022.</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Pittsburgh - Ovarian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Pre-clinical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Tallac Therapeutics - ALTA-002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our clinical results to date in multiple oncology indications that show encouraging anti-tumor activity and tolerability and our clinical development plans, our strategy is to pursue evorpacept as a potentially critical component of future oncology combination treatments.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Additionally, with our acquisition of ScalmiBio, Inc. (ScalmiBio) in October 2021, we are developing ADC drug candidates based on our expertise in protein engineering and oncology.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team of industry veterans plans to continue to advance a broad development plan for evorpacept that balances speed to market, scale of unmet need and existing clinical evidence for evorpacept’s combination mechanisms. Members of our management team have brought multiple drugs to the FDA approval. Our Chief Executive Officer, Jason Lettmann, brings a broad suite of expertise as an institutional healthcare investor, most recently at Lightstone Ventures, and has been involved with ALX Oncology for nearly a decade since its founding, having co-led the Company’s first institutional financing and serving as a member of the Company’s Board of Directors. He also previously served as Chief Executive Officer of Promedior, Inc. During his tenure, Promedior was acquired by Roche in 2020 for up to $1.39 billion. Our President, Chief Scientific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initial global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25 years of experience guiding public and private life science companies and has raised over $2.0 billion in debt and equity offerings. We have funded our operations to date primarily through the issuance and sale of our convertible preferred stock, the issuance and sale of our common stock through an initial public offering in July 2020 and a follow-on public offering in December 2020, a term loan facility in October 2022, and a follow-on public offering in October 2023. </w:t>
      </w:r>
    </w:p>
    <w:p>
      <w:pPr>
        <w:pStyle w:val="TextBody"/>
        <w:bidi w:val="0"/>
        <w:spacing w:before="36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goal is to transform treatment options for patients with cancer by developing evorpacept as a foundational checkpoint immunotherapy.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Key elements of our strategy to support this goal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Expanding the therapeutic potential of CD47 blockade by combining with anti-cancer antibodies and ADCs. </w:t>
      </w:r>
      <w:r>
        <w:rPr>
          <w:rFonts w:ascii="Times New Roman" w:hAnsi="Times New Roman"/>
          <w:color w:val="000000"/>
          <w:sz w:val="20"/>
        </w:rPr>
        <w:t>We believe evorpacept can overcome the limitations</w:t>
      </w:r>
      <w:r>
        <w:rPr>
          <w:color w:val="000000"/>
        </w:rPr>
        <w:t xml:space="preserve"> </w:t>
      </w:r>
      <w:r>
        <w:rPr>
          <w:rFonts w:ascii="Times New Roman" w:hAnsi="Times New Roman"/>
          <w:color w:val="000000"/>
          <w:sz w:val="20"/>
        </w:rPr>
        <w:t xml:space="preserve">of other CD47 blocking approaches.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Expanding the therapeutic potential of CD47 blockade by combining with PD-1/PD-L1 immune checkpoint inhibitors. </w:t>
      </w:r>
      <w:r>
        <w:rPr>
          <w:rFonts w:ascii="Times New Roman" w:hAnsi="Times New Roman"/>
          <w:color w:val="000000"/>
          <w:sz w:val="20"/>
        </w:rPr>
        <w:t xml:space="preserve">Based on encouraging early Phase 1 clinical data in our ASPEN-01 study in subjects with advanced HNSCC treated with evorpacept in combination with a PD-1 checkpoint inhibitor with and without chemotherapy, we are conducting two randomized Phase 2 trials (ASPEN-03 and ASPEN-04) of evorpacept for the treatment of first-line advanced HNSCC.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Continuing development of a pipeline of innovative therapeutics based on our protein engineering expertise and knowledge of the immune system and cancer biology.</w:t>
      </w:r>
      <w:r>
        <w:rPr>
          <w:color w:val="000000"/>
        </w:rPr>
        <w:t xml:space="preserve"> </w:t>
      </w:r>
      <w:r>
        <w:rPr>
          <w:rFonts w:ascii="Times New Roman" w:hAnsi="Times New Roman"/>
          <w:color w:val="000000"/>
          <w:sz w:val="20"/>
        </w:rPr>
        <w:t>We are developing a pipeline of immuno-oncology programs that represent complementary, but differentiated, approaches to engaging the innate and adaptive immune systems.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Continuing to develop strategic partnerships to broaden the potential impact of our current and future product candidates across patient populations.</w:t>
      </w:r>
      <w:r>
        <w:rPr>
          <w:color w:val="000000"/>
        </w:rPr>
        <w:t xml:space="preserve"> </w:t>
      </w:r>
      <w:r>
        <w:rPr>
          <w:rFonts w:ascii="Times New Roman" w:hAnsi="Times New Roman"/>
          <w:color w:val="000000"/>
          <w:sz w:val="20"/>
        </w:rPr>
        <w:t>In order to advance treatment options for the most patients, we have in the past and may in the future partner with other companies with complementary resources that will maximize the value of our current and future product candidates. Such partnerships may allow us to pair evorpacept and any future product candidates with other novel agents owned fully or in part by strategic partners. Partnerships may and will also help realize the full potential of our product candidates in markets where we are unlikely to pursue development or commercialization on our own. We intend to maintain significant economic interests in our product candidates and selectively consider partnership opportunities.</w:t>
      </w:r>
    </w:p>
    <w:p>
      <w:pPr>
        <w:pStyle w:val="TextBody"/>
        <w:bidi w:val="0"/>
        <w:spacing w:before="360" w:after="283"/>
        <w:jc w:val="left"/>
        <w:rPr>
          <w:rFonts w:ascii="Times New Roman" w:hAnsi="Times New Roman"/>
          <w:sz w:val="20"/>
        </w:rPr>
      </w:pPr>
      <w:r>
        <w:rPr>
          <w:rFonts w:ascii="Times New Roman" w:hAnsi="Times New Roman"/>
          <w:b/>
          <w:color w:val="000000"/>
          <w:sz w:val="20"/>
        </w:rPr>
        <w:t>Pipeline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initial programs are focused on targeting CD47 across various oncology indications. Many forms of cancer use CD47 expression as a means of evading immune response. We are targeting solid tumor and hematologic malignancies indications where we believe we have the greatest potential to address unmet medical needs.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chart below summarizes the development status of our product candidate pipeline. </w:t>
      </w:r>
    </w:p>
    <w:p>
      <w:pPr>
        <w:pStyle w:val="TextBody"/>
        <w:bidi w:val="0"/>
        <w:jc w:val="left"/>
        <w:rPr/>
      </w:pPr>
      <w:r>
        <w:rPr/>
        <w:t> </w:t>
      </w:r>
    </w:p>
    <w:p>
      <w:pPr>
        <w:pStyle w:val="TextBody"/>
        <w:bidi w:val="0"/>
        <w:jc w:val="center"/>
        <w:rPr/>
      </w:pPr>
      <w:r>
        <w:rPr/>
        <w:drawing>
          <wp:inline distT="0" distB="0" distL="0" distR="0">
            <wp:extent cx="6858000" cy="3686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68617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a preclinical program focused on developing ALTA-002, a SIRPα TRAAC that may offer additional ways to engage the innate and adaptive immune response to cancer. An IND for ALTA-002 is planned for the first quarter of 2024.</w:t>
      </w:r>
    </w:p>
    <w:p>
      <w:pPr>
        <w:pStyle w:val="TextBody"/>
        <w:bidi w:val="0"/>
        <w:spacing w:before="360" w:after="283"/>
        <w:jc w:val="left"/>
        <w:rPr>
          <w:rFonts w:ascii="Times New Roman" w:hAnsi="Times New Roman"/>
          <w:sz w:val="20"/>
        </w:rPr>
      </w:pPr>
      <w:r>
        <w:rPr>
          <w:rFonts w:ascii="Times New Roman" w:hAnsi="Times New Roman"/>
          <w:b/>
          <w:color w:val="000000"/>
          <w:sz w:val="20"/>
        </w:rPr>
        <w:t>CD47 Scientific Background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cells evade phagocytosis by up-regulating CD47, a transmembrane protein that mainly functions as an anti-phagocytic “don’t eat me” signal for healthy cells. CD47 interacts with its cognate receptor SIRPα,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 CD47 expression in cancer cells has been shown to be a prognostic indicator of decreased survival in multiple oncology indications. A study published by Majeti, et al. in 2009, assessed this association in a validation cohort of 137 subjects with AML. As shown in the figure below, normal karyotype AML, or NK-AML, subjects with high levels of CD47 expression had shorter median overall survival, or mOS, of 9.1 months compared to subjects with low levels of CD47 expression who had an mOS of 22.1 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248275" cy="2952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48275" cy="2952750"/>
                    </a:xfrm>
                    <a:prstGeom prst="rect">
                      <a:avLst/>
                    </a:prstGeom>
                  </pic:spPr>
                </pic:pic>
              </a:graphicData>
            </a:graphic>
          </wp:inline>
        </w:drawing>
      </w: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CD47 as a therapeutic checkpoint target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anti-cancer therapeutics can increase “eat me” signals on cancer cells. Therapeutic antibodies that target tumor-specific antigens, such as the HER2 receptor, also induce cellular phagocytosis. These antibodies direct macrophages to cancer cells by binding to the tumor-specific antigen and activating the macrophage by engaging the Fcγ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 </w:t>
      </w:r>
    </w:p>
    <w:p>
      <w:pPr>
        <w:pStyle w:val="TextBody"/>
        <w:bidi w:val="0"/>
        <w:spacing w:before="360" w:after="283"/>
        <w:jc w:val="left"/>
        <w:rPr>
          <w:rFonts w:ascii="Times New Roman" w:hAnsi="Times New Roman"/>
          <w:sz w:val="20"/>
        </w:rPr>
      </w:pPr>
      <w:r>
        <w:rPr>
          <w:rFonts w:ascii="Times New Roman" w:hAnsi="Times New Roman"/>
          <w:i/>
          <w:color w:val="000000"/>
          <w:sz w:val="20"/>
        </w:rPr>
        <w:t>Our lead product candidate, evorpacept, targets CD47 to maximize phagocytosis of cancer cells and activation of the adaptive immune system.</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6858000" cy="2714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2714625"/>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Cancer cells can also modulate their environment to suppress detection by immune cells. Overexpression of CD47 helps cancer cells avoid innate immune system detection by dendritic cells and subsequent antigen presentation to T cells, thereby limiting anti-tumor immune response. PD-1/PD-L1 targeting immunotherapies are designed to reduce the suppression of T cells but do not address the initial evasion of the innate immune system by cancer cells. By removing the suppression of dendritic cells, CD47 blocking therapies in combination with PD-1/PD-L1 targeted therapies can complement their T cell stimulatory activities.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Evorpacept, also activates dendritic cells and enhances the cross-priming of T cells.</w:t>
      </w:r>
    </w:p>
    <w:p>
      <w:pPr>
        <w:pStyle w:val="TextBody"/>
        <w:bidi w:val="0"/>
        <w:jc w:val="left"/>
        <w:rPr/>
      </w:pPr>
      <w:r>
        <w:rPr/>
        <w:t> </w:t>
      </w:r>
    </w:p>
    <w:p>
      <w:pPr>
        <w:pStyle w:val="TextBody"/>
        <w:bidi w:val="0"/>
        <w:jc w:val="left"/>
        <w:rPr/>
      </w:pPr>
      <w:r>
        <w:rPr/>
        <w:drawing>
          <wp:inline distT="0" distB="0" distL="0" distR="0">
            <wp:extent cx="6858000" cy="2562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2562225"/>
                    </a:xfrm>
                    <a:prstGeom prst="rect">
                      <a:avLst/>
                    </a:prstGeom>
                  </pic:spPr>
                </pic:pic>
              </a:graphicData>
            </a:graphic>
          </wp:inline>
        </w:drawing>
      </w: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of Current Approaches to Blocking CD47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 number of approaches to blocking CD47, including monoclonal antibodies and fusion proteins that include an active Fc region. These approaches have encountered limitations that have challenged their ability to maximize the full potential of CD47 blockade. These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Limited dosing and therapeutic window</w:t>
      </w:r>
      <w:r>
        <w:rPr>
          <w:rFonts w:ascii="Times New Roman" w:hAnsi="Times New Roman"/>
          <w:color w:val="000000"/>
          <w:sz w:val="20"/>
        </w:rPr>
        <w:t>: The majority of clinical data to date from other CD47 blocking agents have come from approaches</w:t>
      </w:r>
      <w:r>
        <w:rPr>
          <w:color w:val="000000"/>
        </w:rPr>
        <w:t xml:space="preserve"> </w:t>
      </w:r>
      <w:r>
        <w:rPr>
          <w:rFonts w:ascii="Times New Roman" w:hAnsi="Times New Roman"/>
          <w:color w:val="000000"/>
          <w:sz w:val="20"/>
        </w:rPr>
        <w:t>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Limited ability to combine with other anti-cancer agents</w:t>
      </w:r>
      <w:r>
        <w:rPr>
          <w:rFonts w:ascii="Times New Roman" w:hAnsi="Times New Roman"/>
          <w:color w:val="000000"/>
          <w:sz w:val="20"/>
        </w:rPr>
        <w:t>: Combination therapies continue to play an important role in treating</w:t>
      </w:r>
      <w:r>
        <w:rPr>
          <w:color w:val="000000"/>
        </w:rPr>
        <w:t xml:space="preserve"> </w:t>
      </w:r>
      <w:r>
        <w:rPr>
          <w:rFonts w:ascii="Times New Roman" w:hAnsi="Times New Roman"/>
          <w:color w:val="000000"/>
          <w:sz w:val="20"/>
        </w:rPr>
        <w:t>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Fcγ receptors on immune cells.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Limited efficacy in solid tumors</w:t>
      </w:r>
      <w:r>
        <w:rPr>
          <w:rFonts w:ascii="Times New Roman" w:hAnsi="Times New Roman"/>
          <w:color w:val="000000"/>
          <w:sz w:val="20"/>
        </w:rPr>
        <w:t>: To date, other CD47 blocking agents have failed to achieve meaningful clinical activity in the</w:t>
      </w:r>
      <w:r>
        <w:rPr>
          <w:color w:val="000000"/>
        </w:rPr>
        <w:t xml:space="preserve"> </w:t>
      </w:r>
      <w:r>
        <w:rPr>
          <w:rFonts w:ascii="Times New Roman" w:hAnsi="Times New Roman"/>
          <w:color w:val="000000"/>
          <w:sz w:val="20"/>
        </w:rPr>
        <w:t>treatment of solid tumors, as the balance between managing cytopenias and maximizing efficacy may lead to tolerable doses that are too low to facilitate tumor penetration and efficacy.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Limited indications due to patient selection</w:t>
      </w:r>
      <w:r>
        <w:rPr>
          <w:rFonts w:ascii="Times New Roman" w:hAnsi="Times New Roman"/>
          <w:color w:val="000000"/>
          <w:sz w:val="20"/>
        </w:rPr>
        <w:t>: Toxicities associated with other CD47 blocking agents may require careful patient</w:t>
      </w:r>
      <w:r>
        <w:rPr>
          <w:color w:val="000000"/>
        </w:rPr>
        <w:t xml:space="preserve"> </w:t>
      </w:r>
      <w:r>
        <w:rPr>
          <w:rFonts w:ascii="Times New Roman" w:hAnsi="Times New Roman"/>
          <w:color w:val="000000"/>
          <w:sz w:val="20"/>
        </w:rPr>
        <w:t>selection when evaluating potential indications. In some cases, only subjects with lower risk of hematologic complications have been selected for treatment for other CD47 blocking agents due to drug related risk of severe cytopenias.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858000" cy="2819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2819400"/>
                    </a:xfrm>
                    <a:prstGeom prst="rect">
                      <a:avLst/>
                    </a:prstGeom>
                  </pic:spPr>
                </pic:pic>
              </a:graphicData>
            </a:graphic>
          </wp:inline>
        </w:drawing>
      </w: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Advantages of ALX’s Approach to Blocking CD47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founded ALX Oncology because we believed the limitations described above would prevent CD47 blockade from reaching its full potential as a therapy for patients with cancer. From our inception, we designed evorpacept to overcome these limitations and to maximize the utility of CD47 blockade as an effective anti-cancer therapeutic for a broad range of tumors. Specifically, we believe evorpacept may provide the following significant advantages: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Broader therapeutic window</w:t>
      </w:r>
      <w:r>
        <w:rPr>
          <w:rFonts w:ascii="Times New Roman" w:hAnsi="Times New Roman"/>
          <w:color w:val="000000"/>
          <w:sz w:val="20"/>
        </w:rPr>
        <w:t>: We believe evorpacept’s broader therapeutic window will allow for greater drug exposure than other</w:t>
      </w:r>
      <w:r>
        <w:rPr>
          <w:color w:val="000000"/>
        </w:rPr>
        <w:t xml:space="preserve"> </w:t>
      </w:r>
      <w:r>
        <w:rPr>
          <w:rFonts w:ascii="Times New Roman" w:hAnsi="Times New Roman"/>
          <w:color w:val="000000"/>
          <w:sz w:val="20"/>
        </w:rPr>
        <w:t>CD47 blocking agents potentially translating into improved efficacy across a range of cancers compared to other CD47 blocking agents. Furthermore, flexibility in dosing has allowed for several administration schedules (weekly, bi-weekly, every three weeks, monthly) that are more amenable to combination therapy dosing schedules.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Strong potential for combination with other anti-cancer agents</w:t>
      </w:r>
      <w:r>
        <w:rPr>
          <w:rFonts w:ascii="Times New Roman" w:hAnsi="Times New Roman"/>
          <w:color w:val="000000"/>
          <w:sz w:val="20"/>
        </w:rPr>
        <w:t>: CD47 blocking agents are combined with other therapeutics in</w:t>
      </w:r>
      <w:r>
        <w:rPr>
          <w:color w:val="000000"/>
        </w:rPr>
        <w:t xml:space="preserve"> </w:t>
      </w:r>
      <w:r>
        <w:rPr>
          <w:rFonts w:ascii="Times New Roman" w:hAnsi="Times New Roman"/>
          <w:color w:val="000000"/>
          <w:sz w:val="20"/>
        </w:rPr>
        <w:t>order to maximize their potential in treating patients with cancer. Unlike other CD47 blocking agents, evorpacept was specifically designed to be combined with other anti-cancer agents. We believe evorpacept’s favorable toxicity profile will enable it to be combined with a wider range of anti-cancer agents, including chemotherapy and cytotoxic containing regimens, compared to other CD47 blocking agents. Furthermore, we believe that evorpacept’s inactive Fc domain will neither compete with nor potentially limit the efficacy of anti-cancer antibodies when used in combination treatments.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Encouraging responses in solid tumors</w:t>
      </w:r>
      <w:r>
        <w:rPr>
          <w:rFonts w:ascii="Times New Roman" w:hAnsi="Times New Roman"/>
          <w:color w:val="000000"/>
          <w:sz w:val="20"/>
        </w:rPr>
        <w:t>: Evorpacept has demonstrated encouraging first-in-human (FIH) Phase 1b and Phase 2 clinical data in the treatment of solid tumors. While other CD47 blocking agents have failed to demonstrate meaningful clinical activity in solid tumors, evorpacept’s differentiated properties may underlie its encouraging results. Based on the data generated with evorpacept in combination with anti-cancer antibodies and checkpoint inhibitors with and without chemotherapy, our strategy is to pursue evorpacept as a potentially important component for future combination treatment of solid tumors.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Broader potential indications</w:t>
      </w:r>
      <w:r>
        <w:rPr>
          <w:rFonts w:ascii="Times New Roman" w:hAnsi="Times New Roman"/>
          <w:color w:val="000000"/>
          <w:sz w:val="20"/>
        </w:rPr>
        <w:t>: We believe evorpacept’s tolerability profile will allow for broad treatment of patient populations in a</w:t>
      </w:r>
      <w:r>
        <w:rPr>
          <w:color w:val="000000"/>
        </w:rPr>
        <w:t xml:space="preserve"> </w:t>
      </w:r>
      <w:r>
        <w:rPr>
          <w:rFonts w:ascii="Times New Roman" w:hAnsi="Times New Roman"/>
          <w:color w:val="000000"/>
          <w:sz w:val="20"/>
        </w:rPr>
        <w:t>wide range of oncology indications. Toxicities such as cytopenias associated with other CD47 blocking agents may potentially constrain their development strategies. We believe evorpacept is well positioned to expand the therapeutic potential of CD47 blockade across a broad spectrum of hematologic and solid tumor indications.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Evorpacept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 product candidate, evorpacept, is a CD47 blocking biologic in development as a combination therapy with other anti-cancer agents for treatment of various oncology indications, including HNSCC, gastric/GEJ, breast cancer, urothelial cancer, multiple myeloma, and NHL. We engineered evorpacept to maximize CD47 blockade and to avoid hematologic toxicities. We believe evorpacept enhances the efficacy of both anti-cancer targeted antibodies, numerous small molecule drugs and T cell checkpoint inhibitors and exhibits no dose-dependent cytopenias. Evorpacept has demonstrated encouraging clinical responses in combination with multiple anti-cancer regimens for both hematologic and solid malignancies.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have pursued CD47 blocking approaches that prioritize single-agent activity, albeit with limited success in efficacy and significant toxicity. Rather than designing a molecule for monotherapy activity that has been associated with cytopenias, we designed evorpacept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Fusion Protein Design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 is a fusion protein designed to provide a high CD47 blocking potency while potentially eliminating any associated toxicities. Our fusion protein comprises an engineered CD47-binding domain of SIRPα that has been genetically linked to a modified human immunoglobulin-derived Fc domain that does not bind to Fcγ receptors. We engineered evorpacept in two important ways: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mutated the binding domain to optimize CD47 affinity. Evorpacept binding domain demonstrates an affinity that is over 3,000 times stronger than wildtype SIRPα.</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fused the CD47-binding region of SIRPα to an inactive Fc domain. Incorporating an inactive Fc domain was intended to eliminate single-agent activation of macrophages while still maintaining an antibody-like pharmacokinetic, or PK,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design of evorpacept required in-house generation of approximately 280 different protein constructs to thoroughly evaluate and optimize the impact of differing designs on multiple important evaluation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optimize evorpacept’s properties we conducted the following processes: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high-affinity CD47 binding domain: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Optimization of binding affinity for human CD47;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Optimization of cross-reactivity to rodent and monkey CD47 to enable key translational experiments;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Elimination of partially glycosylated sites in SIRPα to remove heterogeneity and enable consistent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optimal fusion combination for PK extension: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an immunoglobulin isotype to prevent hemagglutination;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mutations to immunoglobulin G1, or IgG1, to functionally eliminate Fcγ binding and avoid associated cytopenias while maintaining neonatal Fc receptor binding that enables antibody-like PK.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illustrated in the figure below, evorpacept comprises: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SIRPα binding domain optimized to bind to CD47 with high affinity at a picomolar level;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inactive Fc domain that reduces cytopenias while preserving the desired PK properties of antibodies with an active Fc domain.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resulting fusion protein has approximately one-half the molecular weight of a typical antibody. Evorpacept’s lower molecular weight enables it to deliver the molar equivalent of an antibody at one half the dose. For example, a 10mg/kg of evorpacept is equivalent to 20 mg/kg of a regular antibody. Evorpacept’s lower molecular weight may also facilitate increased solid tumor penetration and provide greater potency within the tumor microenvironment. Furthermore, evorpacept can be efficiently and consistently produced at high yield at commercial scale utilizing standard monoclonal antibody manufacturing techniques. We believe evorpacept’s differentiated properties potentially overcome the limitations of other CD47 blocking agents and may have utility as a combination agent in oncology.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Our lead candidate, evorpacept, is a fusion protein that potently and selectively binds CD47 to block the SIRP</w:t>
      </w:r>
      <w:r>
        <w:rPr>
          <w:rFonts w:ascii="Times New Roman" w:hAnsi="Times New Roman"/>
          <w:color w:val="000000"/>
          <w:sz w:val="20"/>
        </w:rPr>
        <w:t xml:space="preserve">α </w:t>
      </w:r>
      <w:r>
        <w:rPr>
          <w:rFonts w:ascii="Times New Roman" w:hAnsi="Times New Roman"/>
          <w:i/>
          <w:color w:val="000000"/>
          <w:sz w:val="20"/>
        </w:rPr>
        <w:t>interaction.</w:t>
      </w:r>
    </w:p>
    <w:p>
      <w:pPr>
        <w:pStyle w:val="TextBody"/>
        <w:bidi w:val="0"/>
        <w:jc w:val="left"/>
        <w:rPr/>
      </w:pPr>
      <w:r>
        <w:rPr/>
        <w:t> </w:t>
      </w:r>
    </w:p>
    <w:p>
      <w:pPr>
        <w:pStyle w:val="TextBody"/>
        <w:bidi w:val="0"/>
        <w:jc w:val="center"/>
        <w:rPr/>
      </w:pPr>
      <w:r>
        <w:rPr/>
        <w:drawing>
          <wp:inline distT="0" distB="0" distL="0" distR="0">
            <wp:extent cx="6858000" cy="2895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2895600"/>
                    </a:xfrm>
                    <a:prstGeom prst="rect">
                      <a:avLst/>
                    </a:prstGeom>
                  </pic:spPr>
                </pic:pic>
              </a:graphicData>
            </a:graphic>
          </wp:inline>
        </w:drawing>
      </w:r>
      <w:r>
        <w:rPr/>
        <w:t>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Pre-Clinical Differentiation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preclinical studies of evorpacept support a target product profile of favorable tolerability, the ability to be dosed at high levels and increased anti-tumor activity as compared to other CD47 blocking agents. These data include the following: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Lack of hematologic side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preclinical data demonstrate that CD47 blocking agents with an active Fc domain directly cause adverse hematologic side effects. To support this hypothesis, we engineered a fusion protein with a SIRPα CD47-binding domain identical to evorpacept’s binding domain but fused to an active, wild-type IgG1 Fc domain, ALX377. We administered 30 mg/kg evorpacept and 30 mg/kg ALX377 in mouse models and measured red blood cell, or RBC, platelet and white blood cell (lymphocyte, monocytes and granulocytes) counts. As shown in the figure below, mice treated with evorpacept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The inactive Fc domain on evorpacept is responsible for improved hematologic tolerability in preclinical models.</w:t>
      </w:r>
    </w:p>
    <w:p>
      <w:pPr>
        <w:pStyle w:val="TextBody"/>
        <w:bidi w:val="0"/>
        <w:jc w:val="left"/>
        <w:rPr/>
      </w:pPr>
      <w:r>
        <w:rPr/>
        <w:t> </w:t>
      </w:r>
    </w:p>
    <w:p>
      <w:pPr>
        <w:pStyle w:val="TextBody"/>
        <w:bidi w:val="0"/>
        <w:jc w:val="center"/>
        <w:rPr/>
      </w:pPr>
      <w:r>
        <w:rPr/>
        <w:drawing>
          <wp:inline distT="0" distB="0" distL="0" distR="0">
            <wp:extent cx="6600825" cy="2419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00825" cy="2419350"/>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vitro and in vivo toxicology studies in monkeys show that evorpacept was well-tolerated at intravenous doses of up to 100 mg/kg/week in the 1-month study and up to 30 mg/kg every other week in the 3-month study with no target organ toxicity or toxicity related to the exaggerated pharmacology of evorpacept. Together, these preclinical studies demonstrate that inactivation of the Fc domain of evorpacept avoids adverse effects on normal blood cells seen on other CD47 blocking agents with an active Fc domain. They also support our expectation that evorpacept’s lack of overlapping toxicities with other anti-cancer therapies may result in fewer adverse outcomes in the clinic when combined with these therapies than combinations with conventional CD47 blocking agents.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Evorpacept elicits superior phagocytosis in combination with anti-cancer antibodies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inactive Fc of evorpacept does not compete with the active Fc domain of other therapeutic antibodies for binding with Fcγ receptors on effector cells of the immune system. This fact, coupled with the high-affinity CD47 binding of our agent, results in enhanced phagocytosis from evorpacept in combination with other anti-cancer antibodies to a greater extent than other CD47 blockers. We believe this will allow us to explore evorpacept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evorpacept with cetuximab, an epidermal growth factor receptor, or EGFR, inhibitor that is the FDA approved for several solid tumors, to assess phagocytic activity as compared to single-agent cetuximab. Both cetuximab and the active Fc domain of a CD47 blocking agent bind to the same cell surface Fcγ receptors on a macrophage, potentially creating competition. IgG1 binds to receptors with higher affinity than IgG4 does, and evorpacept’s inactive Fc does not bind. This experiment shows that CD47 blocking agents with active Fc domains and lower affinity, combined with cetuximab result in lower phagocytic activity from macrophages as compared to evorpacept with cetuximab. This experiment suggests evorpacept, the only clinical CD47 blocking agent with an inactive Fc domain and high-affinity CD47 binding, may be unique in its anti-tumor activity when combined with anti-tumor antibodies.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Evorpacept has shown superior antibody-dependent cellular phagocytosis, or ADCP, of solid tumor cells compared to CD47 blockers with an active Fc domain and lower CD47 affinity when combined with an anti-tumor antibody.</w:t>
      </w:r>
    </w:p>
    <w:p>
      <w:pPr>
        <w:pStyle w:val="TextBody"/>
        <w:bidi w:val="0"/>
        <w:jc w:val="left"/>
        <w:rPr/>
      </w:pPr>
      <w:r>
        <w:rPr/>
        <w:t> </w:t>
      </w:r>
    </w:p>
    <w:p>
      <w:pPr>
        <w:pStyle w:val="TextBody"/>
        <w:bidi w:val="0"/>
        <w:jc w:val="center"/>
        <w:rPr/>
      </w:pPr>
      <w:r>
        <w:rPr/>
        <w:drawing>
          <wp:inline distT="0" distB="0" distL="0" distR="0">
            <wp:extent cx="6858000" cy="3248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248025"/>
                    </a:xfrm>
                    <a:prstGeom prst="rect">
                      <a:avLst/>
                    </a:prstGeom>
                  </pic:spPr>
                </pic:pic>
              </a:graphicData>
            </a:graphic>
          </wp:inline>
        </w:drawing>
      </w:r>
      <w:r>
        <w:rPr/>
        <w:t>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Data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Favorable tolerability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to date continue to support evorpacept’s differentiated approach to CD47 blockade. Evorpacept has been administered in over 500 subjects with advanced solid or hematologic malignancies, including in combination with a range of standard of care anti-cancer regimens. Based on ALX’s routine and ongoing reviews of safety data, evorpacept has been consistently well-tolerated, with low occurrences of cytopenias and other toxicities.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reached a maximum tolerated dose in any trial of evorpacept. Because the half-life of evorpacept is longer with higher dose levels, such dosing may allow up to every four weeks, or Q4W, administration schedule. Furthermore, evorpacept’s tolerability profile could potentially result in a broad therapeutic window. We believe its tolerability profile to date supports initiation of trials in combination with highly effective, but more toxic, standard of care agents, such as chemotherapies that can cause cytopenias. Many other CD47 blocking agents are unable to combine with these anti-cancer agents due to overlapping toxicity profiles. We believe evorpacept may be uniquely positioned in its ability to combine with standard of care agents including those with associated cytopenias.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CD47 blockers that have reported clinical data have reported high rates of both all grade and high grade cytopenias. A clinical trial of magrolimab, a competitive CD47 blockade program, in solid tumors resulted in 56% anemia in the first 48 subjects dosed, despite each subject receiving an initial priming dose to mitigate anemia. A trial of magrolimab in 68 subjects with higher-risk MDS or AML presented in November 2020 (Sallman, SITC 2020, Session 304) reported over 35% grade 3 or 4 treatment-related anemia, over 15% grade 3 or 4 treatment-related neutropenia and over 10% grade 4 treatment-related thrombocytopenia. Such a tolerability profile could present challenges to the administration of this compound as a single agent and in combination. In contrast, evorpacept’s tolerability profile may enhance the breadth of clinical development by providing better treatment options for patients with cancer.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Evorpacept in Solid Tumors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generated clinical data with evorpacept in combination with multiple anti-cancer agents in solid tumors. We believe the smaller molecular weight of evorpacept as compared to a typical antibody may facilitate greater penetration into solid tumors. In addition, we believe the favorable tolerability profile of evorpacept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activity with evorpacept in combination treatment in two solid tumor settings in the FIH Phase 1 clinical trial: HNSCC and HER2-positive gastric/GEJ cancer. We believe these indications offer registration pathways in combination with existing approved therapies and have advanced evorpacept into randomized Phase 2 trials (ASPEN-03 and ASPEN-04) in HNSCC in 2021, and initiated a randomized Phase 2 trial (ASPEN-06) in HER2-positive gastric/GEJ cancer in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 can be combined with PD-1/programmed death-ligand 1, or PD-1/PD-L1, agents in a broad range of solid tumors. As part of our development strategy, we are exploring the use of evorpacept in combination with a PD-1 inhibitor with and without chemotherapy in HNSCC. PD-1/PD-L1 inhibitors are currently approved by the FDA for over 20 indications and had over $30 billion in 2021 sales. Other CD47 blocking approaches may be limited in their ability to combine with PD-1/PD-L1 inhibitors due to cumulative or overlapping toxicities.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investigated evorpacept in subjects with solid tumors in additional cohorts as part of an extensive Phase 1 FIH trial. Part 1 was a dose escalation trial of single-agent evorpacept intended to examine tolerability and recommended dosing and was not expected to show single-agent activity. Sixteen subjects with solid tumors received evorpacept as a single-agent on a QW schedule at doses ranging from 0.1 mg/kg to 10 mg/kg and 12 subjects received evorpacept as a single-agent on a QoW dosing schedule at a dose of 30 mg/kg. The maximum tolerated dose was not determined on either schedule. However, the maximum administered dose was 30 mg/kg for the Q2W dosing schedule and 10 mg/kg for the QW schedule.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FIH Phase 1 Part 2 was comprised of evorpacept escalation and expansion cohorts. In subjects with solid tumors, evorpacept was combined with various anti-cancer agents including pembrolizumab, trastuzumab and chemotherapy. Adverse events from these cohorts are reported above. As previously discussed, evorpacept has consistently displayed a favorable tolerability profile. Many of the reported adverse events have been associated with either pembrolizumab or trastuzumab.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HNSCC, our initial FIH Phase 1b expansion trial combined evorpacept with pembrolizumab, an anti-PD-1 agent, which is a standard of care for subjects with HNSCC. Final results from the cohort of evorpacept combined with pembrolizumab were reported at the 2020 American Society of Clinical Oncology, Virtual Scientific Program, or ASCO 2020, and provided the first demonstration of evorpacept’s ability to enhance checkpoint inhibitor antibody activity in solid tumors and is the basis for the FDA granting Fast Track designation for evorpacept in combination with pembrolizumab, platinum, and fluorouracil for the first-line treatment of adult patients with metastatic or unresectable, recurrent HNSCC (February 2020). Data from this trial supported our second trial in HNSCC that adds chemotherapy (5-fluoropyrimidine plus cisplatin) to the combination of pembrolizumab and evorpacept and preliminary data for this cohort was presented at the Society for Immunotherapy of Cancer’s 35th Anniversary Annual Meeting, or SITC 2020. We also entered into a clinical trial collaboration with Merck to study the combination of evorpacept and pembrolizumab with and without chemotherapy in a randomized Phase 2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HER2-positive gastric/GEJ cancer, our FIH Phase 1b expansion trial included a combination with trastuzumab, an anti-HER2 agent, that is the standard of care for subjects with HER2-positive gastric/GEJ cancer and is FDA-approved for other HER2-expressing tumors. Final results from the cohort of evorpacept combined with trastuzumab were reported at ASCO 2020 and provided the first demonstration of evorpacept activity with an anti-tumor targeted antibody in subjects with solid tumors. Data from this trial formed the basis for the FDA granting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Preliminary data for this cohort was also presented at SITC 2020. In January 2022, the FDA’s Office of Orphan Products Development granted Orphan Drug Designation to evorpacept for the treatment of patients with gastric/GEJ cancer. 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2022, the FDA granted Fast Track designation for evorpacept in combination with pembrolizumab for first-line treatment of adult patients with metastatic or unresectable, recurrent HNSCC whose tumors express PD-L1.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2021, an IST of evorpacept was initiated in combination with rituximab and lenalidomide for the treatment of patients with indolent and aggressive NHL at MD Anderson Cancer Center. In 2022, an IST of evorpacept was initiated in combination with pembrolizumab and cetuximab for the treatment of patients with refractory microsatellite stable metastatic colorectal cancer at the University of Colorado. In 2023, a Phase 2 IST of evorpacept was initiated in combination with liposomal doxorubicin and pembrolizumab in patients with recurrent platinum-resistant ovarian cancer, sponsored by the University of Pittsburgh in Pennsylvania.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we believe our development plan focused on two distinct mechanisms of action for evorpacept in solid tumors has significant potential and represents a strong complement to our programs in hematologic malignancies. With encouraging data in multiple drug combinations initially evaluated in the clinic, we plan to advance trials to assess efficacy in the solid tumor indications in combination with anti-cancer antibodies and ADCs, and in combination with PD-1/PD-L1 checkpoint inhibitors.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Evorpacept in HNSCC (combining with a PD-1/PD-L1 immune checkpoint inhibitor)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Disease background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≥1 and approval of pembrolizumab plus chemotherapy as a first-line treatment in patients with HNSCC regardless of CPS. In KEYNOTE-048, pembrolizumab monotherapy achieved 17% ORR with a median progression-free survival, or mPFS, of 2.3 months in subjects with HNSCC regardless of CPS. Of particular note, in subjects with CPS &lt;1 pembrolizumab monotherapy only achieved a 5% ORR.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approval of pembrolizumab, we believe that there is significant unmet need remaining for patients with HNSCC. The addition of evorpacept to pembrolizumab, or pembrolizumab plus chemotherapy, may have the potential to improve response rates and provide additional clinical benefit to patients with metastatic HNSCC. We have evaluated evorpacept in subjects with metastatic HNSCC and continue to develop evorpacept in this setting.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Trial design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 was investigated in two combinations and lines of therapy in subjects with recurrent/metastatic HNSCC. First, evorpacept was investigated in combination with pembrolizumab in subjects with recurrent/metastatic HNSCC who had received at least one prior systemic therapy. The clinical evaluation of evorpacept in HNSCC was an open-label, multisite expansion of our FIH Phase 1 trial to assess safety and tolerability with response rate and duration as secondary endpoints. There was no requirement for PD-L1 expression. Subjects received evorpacept 10 mg/kg QW in combination with pembrolizumab 200 mg on a Q3W dosing schedule. Subject response was evaluated based on RECIST version 1.1. Twenty subjects were dosed with evorpacept and as of October 1, 2020, all subjects in the evorpacept with pembrolizumab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evorpacept was investigated in the ongoing trial of evorpacept in combination with pembrolizumab, 5FU and platinum therapy in subjects with recurrent/metastatic HNSCC who had received no prior treatment for advanced disease.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Outcomes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 of the FIH Phase 1 trial was to assess safety. Final results of the fully enrolled evorpacept with pembrolizumab cohort and partially enrolled evorpacept plus pembrolizumab and chemotherapy cohort were reported at SITC 2020. As reported above in the summary tables of treatment-related adverse events from all evorpacept trials, the combination was well tolerated. As of October 1, 2020, evorpacept with pembrolizumab achieved an ORR of 40% (4/10) in checkpoint inhibitor naïve subjects while maintaining a tolerability profile consistent with earlier trials. Some of the 20 subjects had a CPS of zero and a response was also observed within this subject population. We believe the addition of evorpacept to pembrolizumab represents a potentially significant advance over pembrolizumab monotherapy based on a review of the KEYNOTE-040 trial results that showed an ORR of 15% in a similar checkpoint inhibitor therapy naïve population. Based on our clinical trial data, the FDA granted Fast Track designation for evorpacept in combination with pembrolizumab, platinum, and fluorouracil for the first-line treatment of adult patients with metastatic or unresectable, recurrent HNSCC (February 2020).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Updated results for evorpacept with pembrolizumab and chemotherapy were reported at SITC 2021. As of September 1, 2021 in the thirteen evaluable subjects with first line (1L) HNSCC who have not received prior treatment for their advanced disease, evorpacept demonstrated an initial ORR of 38.5% with a 12-month OS rate of 87.5% and mOS not reached. These results compare favorably with benchmark survival data from standard pembrolizumab plus chemotherapy in the 1L HNSCC setting where ORR is a less reliable predictor for clinical benefit compared to longer-term metrics such as 12-month OS rate and mOS (the gold standard of clinical benefit) in patients with aggressive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analyzed paired pre- and on-treatment tumor biopsies from subjects for the presence of CD8+ T cells, CD68+ and CD163+ myeloid cells. After treatment with evorpacept, tumor samples showed increased infiltration of CD8+, CD68+ and CD163+ cells in the tumor, which suggests that evorpacept also engages the innate and adaptive immune system consistent with its mechanism of action.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Clinical development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HNSCC development plan is to build on the initial results of evorpacept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and pembrolizumab plus chemotherapy, in the front-line metastatic HNSCC setting at investigational sites in the USA, Canada, UK, Europe, and Asia Pacific region. In September 2020, we announced a clinical trial collaboration with Merck to evaluate evorpacept in combination with pembrolizumab with and without chemotherapy in two randomized international Phase 2 trials in subjects with HNSCC who have not received prior therapy for advanced disease. The first trial (ASPEN-03), with the first patient enrolled in May 2021, is evaluating the efficacy of evorpacept in combination with pembrolizumab for the first-line treatment of patients with PD-L1 expressing metastatic or unresectable, recurrent HNSCC. The second trial (ASPEN-04), with the first patient enrolled in July 2021, is evaluating evorpacept in combination with pembrolizumab and standard chemotherapy for the first-line treatment of patients with metastatic or unresectable, recurrent HNSCC. We expect to announce top line results of ASPEN-03 and ASPEN-04 in the fourth quarter of 2024 or first quarter of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center"/>
        <w:rPr/>
      </w:pPr>
      <w:r>
        <w:rPr/>
        <w:drawing>
          <wp:inline distT="0" distB="0" distL="0" distR="0">
            <wp:extent cx="6858000" cy="3267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3267075"/>
                    </a:xfrm>
                    <a:prstGeom prst="rect">
                      <a:avLst/>
                    </a:prstGeom>
                  </pic:spPr>
                </pic:pic>
              </a:graphicData>
            </a:graphic>
          </wp:inline>
        </w:drawing>
      </w: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Evorpacept in HER2-Positive Gastric/GEJ (combining with an anti-cancer antibody)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Disease background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25,000 people are estimated to be living in the United States with diagnosed metastatic gastric/GEJ carcinoma. A large, international Phase 3 trial of trastuzumab in gastric/GEJ cancer found that of the nearly 4,000 subjects screened for inclusion in the trial, 17%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pStyle w:val="TextBody"/>
        <w:bidi w:val="0"/>
        <w:spacing w:before="120" w:after="283"/>
        <w:jc w:val="left"/>
        <w:rPr>
          <w:rFonts w:ascii="Times New Roman" w:hAnsi="Times New Roman"/>
          <w:sz w:val="20"/>
        </w:rPr>
      </w:pPr>
      <w:r>
        <w:rPr>
          <w:rFonts w:ascii="Times New Roman" w:hAnsi="Times New Roman"/>
          <w:color w:val="000000"/>
          <w:sz w:val="20"/>
        </w:rPr>
        <w:t>First-line standard of care treatment includes trastuzumab combined with the chemotherapy agents platinum and fluoropyrimidine with or without a checkpoint inhibitor. Trastuzumab, marketed as HERCEPTIN, is an anti-HER2 antibody that has multiple FDA approvals in patients with HER2-positive cancers. A standard of care 2</w:t>
      </w:r>
      <w:r>
        <w:rPr>
          <w:rFonts w:ascii="Times New Roman" w:hAnsi="Times New Roman"/>
          <w:color w:val="000000"/>
          <w:sz w:val="13"/>
        </w:rPr>
        <w:t>nd</w:t>
      </w:r>
      <w:r>
        <w:rPr>
          <w:rFonts w:ascii="Times New Roman" w:hAnsi="Times New Roman"/>
          <w:color w:val="000000"/>
          <w:sz w:val="20"/>
        </w:rPr>
        <w:t xml:space="preserve"> line regimen in the U.S. is ramucirumab, marketed as Cyramza, a vascular endothelial growth factor 2 receptor monoclonal antibody, in combination with paclitaxel, a widely used chemotherapy, regardless of HER2 expression. In a Phase 3 trial leading to FDA approval, ramucirumab plus paclitaxel achieved a 28% ORR with a 9.6 month mOS in subjects with previously treated gastric/GEJ cancer. Fam-trastuzumab deruxtecan-nxki, marketed as ENHERTU, is a HER2-directed antibody and topoisomerase inhibitor conjugate that is also FDA approved for patients with HER2-overexpressing gastric/GEJ cancer who have received a prior trastuzumab-based regimen.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HER2-positive patients with gastric/GEJ cancers in second-line treatment are likely to have received an anti-HER2 antibody-based treatment in their first line of treatment. A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observed responses when treating a similar subject population with evorpacept paired with trastuzumab, to a combination effect of the two agents and not simply a response to trastuzumab alone.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Trial design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 was investigated in two combinations in subjects with HER2-positive gastric/GEJ cancer in the Phase 1 FIH study. First, evorpacept was investigated with trastuzumab in subjects with relapsed/refractory HER2-positive gastric/GEJ cancer. This trial was an open-label, multisite expansion of our FIH Phase 1 trial to assess safety and tolerability with response rate and duration as secondary endpoints. Twenty subjects from the gastric/GEJ expansion cohort received evorpacept 10 mg/kg QW in combination with trastuzumab at an initial dose of 8 mg/kg followed by 6 mg/kg intravenous infusion Q3W.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we announced initiation of ASPEN-06, a Phase 2/3 study evaluating the combination of evorpacept and trastuzumab, added to ramucirumab and paclitaxel for the treatment of patients with HER2-positive gastric/GEJ cancer. ASPEN-06 is a randomized phase 2 (open-label) / phase 3 (double-blind), international, multi-center study to evaluate the efficacy of evorpacept in combination with trastuzumab, ramucirumab and paclitaxel for the treatment of patients whose tumors have progressed following treatment with HER2-targeted therapy and chemotherapy. The Phase 2 portion of the trial has 122 patients randomized 1:1 with 61 patients receiving evorpacept 30 mg/kg 2QW in combination with trastuzumab, in addition to ramucirumab and paclitaxel compared to the control arm of 61 patients who received the combination of trastuzumab, ramucirumab and paclitaxel.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Outcomes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primary objective of the FIH Phase 1 trial was to assess safety and the combination regimen was well tolerated. Results of the fully enrolled evorpacept + trastuzumab cohort were reported at SITC 2020, and the fully enrolled evorpacept + trastuzumab + ramucirumab + paclitaxel cohort were reported at SITC 2021. Importantly, evorpacept with trastuzumab achieved an ORR of 21.1% (4/19) in subjects treated with the doublet and an ORR of 72.2% (13/18) in subjects treated with evorpacept with trastuzumab, ramucirumab, and paclitaxel.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partly due to the data with evorpacept in combination with trastuzumab alone for the treatment of gastric cancer. In January 2022, the FDA’s Office of Orphan Products Development granted Orphan Drug Designation to evorpacept for the treatment of patients with gastric/GEJ cancer. Based on prior studies, one of which is described above, observed responses can likely be attributed to the combination effect and not a response to single-agent trastuzumab. As described above, ramucirumab and paclitaxel in a second-line setting resulted in an ORR of 28% in a Phase 3 trial leading to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objective of the Phase 2 portion of the ASPEN-06 trial is to evaluate ORR of the evorpacept combination compared to the control arm. Results of a prespecified interim Phase 2 from our ongoing ASPEN-06 trial were presented in October 2023. This prespecified interim analysis reported results from 54 randomized patients with second and third line gastric/GEJ cancer, including patients previously treated with fam-trastuzumab deruxtecan-nxki and checkpoint inhibitors. A confirmed ORR of 52% was demonstrated for evorpacept in combination with trastuzumab + ramucirumab + paclitaxel compared to 22% for the control group of trastuzumab + ramucirumab + paclitaxel. mDOR was not reached for the evorpacept combination treatment arm compared to 7.4 months for the control group. The safety profile of evorpacept was consistent with previous clinical trials and was well-tolerated. The initial magnitude of improvement in ORR over available therapy and over the concurrent control arm with this well-tolerated combination suggests that evorpacept in combination with trastuzumab, ramucirumab, and paclitaxel could benefit patients with HER2-overexpressing advanced gastric/GEJ cancer.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2581275" cy="3076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81275" cy="3076575"/>
                    </a:xfrm>
                    <a:prstGeom prst="rect">
                      <a:avLst/>
                    </a:prstGeom>
                  </pic:spPr>
                </pic:pic>
              </a:graphicData>
            </a:graphic>
          </wp:inline>
        </w:drawing>
      </w:r>
      <w:r>
        <w:rPr/>
        <w:t> </w:t>
      </w:r>
    </w:p>
    <w:p>
      <w:pPr>
        <w:pStyle w:val="TextBody"/>
        <w:bidi w:val="0"/>
        <w:spacing w:before="120" w:after="283"/>
        <w:jc w:val="center"/>
        <w:rPr/>
      </w:pPr>
      <w:r>
        <w:rPr/>
        <w:drawing>
          <wp:inline distT="0" distB="0" distL="0" distR="0">
            <wp:extent cx="3514725" cy="533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514725" cy="533400"/>
                    </a:xfrm>
                    <a:prstGeom prst="rect">
                      <a:avLst/>
                    </a:prstGeom>
                  </pic:spPr>
                </pic:pic>
              </a:graphicData>
            </a:graphic>
          </wp:inline>
        </w:drawing>
      </w: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Clinical development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announce top line results of ASPEN-06 in June or July of 2024. This study is conducted at investigational sites in the USA, UK, Europe, and Asia Pacific region. Preliminary data from this trial has confirmed that evorpacept improves the response rate to anti-HER2-based therapy in patients with HER2-positive gastric/GEJ cancer. Based upon the final results of the Phase 2 portion of ASPEN-06, we will evaluate strategic options in moving towards a registrational Phase 3 trial. </w:t>
      </w:r>
    </w:p>
    <w:p>
      <w:pPr>
        <w:pStyle w:val="TextBody"/>
        <w:bidi w:val="0"/>
        <w:spacing w:before="360" w:after="283"/>
        <w:jc w:val="center"/>
        <w:rPr/>
      </w:pPr>
      <w:r>
        <w:rPr/>
        <w:drawing>
          <wp:inline distT="0" distB="0" distL="0" distR="0">
            <wp:extent cx="6858000" cy="2752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2752725"/>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multiple emerging agents, predominantly antibody-based therapies, in development for patients with HER2-positive cancer. Because these agents target HER2 as does trastuzumab, we believe that evorpacept has the potential to maximize the anti-cancer activity of these novel agents should they supplant trastuzumab in the treatment paradigm for these patients, however, clinical trials may be required to demonstrate this.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Evorpacept in HER2-expressing breast cancer and other solid tumors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continue developing evorpacept in a broad range of tumor types and in novel combinations. In November 2020, we announced a clinical trial collaboration with Zymeworks to investigate evorpacept in combination with Zymeworks’ HER2-targeted bispecific antibody, zanidatamab, in patients with advanced HER2-expressing tumors.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agreement, Zymeworks sponsors and manages an open label, multi-center Phase 1b trial to assess the safety and efficacy of the combination of zanidatamab and evorpacept in a two-part trial. The first part of the trial will evaluate the safety of the combination treatment. The second part of the trial will evaluate the safety, tolerability and anti-tumor activity of the combination in separate cohorts of subjects with HER2-overexpressing breast cancer, HER2-low breast cancer and non-breast HER2-expressing solid tumors. The first patient in this trial was enrolled in October 2021. In October 2022, Zymeworks entered into a license agreement with Jazz and in December 2022 Jazz exercised its option to continue with an exclusive license to develop and commercialize zanidatamab in the United States, Europe, Japan and other certain territories.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2022, we announced a collaboration with the Quantum Leap Healthcare Collaborative who will sponsor and manage a Phase 1 trial (I-SPY) to evaluate evorpacept in combination with fam-trastuzumab deruxtecan-nxki for the treatment of patients with unresectable or metastatic HER2-positive and HER2-low breast cancer.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evorpacept in Hematologic Malignancies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therapeutic role of CD47 blockade to date has also been demonstrated in hematologic malignancies. This includes both our trials of evorpacept as well as trials by other CD47 blockade programs. Based on our initial trials in the relapsed/refractory NHL clinical setting, preclinical studies and evidence for the clinical utility of the CD47 blockade from other programs. The combination of evorpacept with rituximab in NHL, where evorpacept enables the Fc-mediated antibody dependent phagocytosis that is impaired by the expression of CD47 on cancer cells provides additional support for the clinical validation of this mechanism of action and support exploring combinations of evorpacept with other anti-cancer antibodies in hematologic malignancies. We currently have a collaboration with Sanofi who is sponsoring and managing a Phase 1/2 trial of isatuximab and dexamethasone in combination with evorpacept for the treatment of patients with relapsed or refractory multiple myeloma. In addition, an investigator sponsored trial (IST) of evorpacept was initiated in combination with rituximab and lenalidomide for the treatment of patients with indolent and aggressive NHL.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initiated a Phase 1 clinical trial (ASPEN-02) of evorpacept in patients with MDS in 2020 and in 2021 initiated a Phase 1 trial (ASPEN-05) in patients with AML as part of a less well-validated mechanism of action, which led us to test the combination of evorpacept with azacitidine, which is described to upregulate calreticulin and potentially promote macrophage dependent phagocytosis that is inhibited by CD47. This mechanistic hypothesis was tested and ultimately not supported in our clinical trial, ASPEN-02. Based upon trial results, we are no longer planning to pursue combinations based upon this mechanism of 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NHL Proof-of-Principle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Evorpacept’s initial hematologic clinical trial was a FIH Phase 1b expansion trial in combination with rituximab to treat subjects with relapsed/refractory NHL. This was an open-label, multisite trial to assess safety. Subjects received evorpacept 10 mg/kg QW or 15 mg/kg QW in combination with rituximab 375 mg/m2 administered as an intravenous infusion QW for four doses followed by once monthly for eight doses. In order to meet inclusion criteria, subjects must have had no curative therapy or standard approved therapy option available to them. Across all cohorts, as of October 1, 2020, subjects had received a median of three lines of therapy prior to enrollment in the evorpacept trial. These were heavily pre-treated subjects, all of whom had progressed on previous rituximab-containing regimens.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Responses were evaluated according to the Lugano 2014 response criteria and reported as of October 1, 2020. As of October 1, 2020, evorpacept had been administered to 33 subjects. Thirty-two subjects were response evaluable. Eleven subjects had indolent lymphomas and 22 had aggressive lymphomas. There were 11 subjects enrolled to the higher dose 15 mg/kg QW cohort, 10 of whom were response evaluable. This cohort achieved an ORR of 70.0% (7/10). The ORR reported in the lower dose 10 mg/kg QW cohort was 40.9% (9/22).</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2990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2990850"/>
                    </a:xfrm>
                    <a:prstGeom prst="rect">
                      <a:avLst/>
                    </a:prstGeom>
                  </pic:spPr>
                </pic:pic>
              </a:graphicData>
            </a:graphic>
          </wp:inline>
        </w:drawing>
      </w: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Aggressive includes relapsed/refractory Diffuse Large B Cell and Mantle Cell Lymphomas. Indolent includes Follicular and Marginal Zone.</w:t>
      </w:r>
    </w:p>
    <w:p>
      <w:pPr>
        <w:pStyle w:val="TextBody"/>
        <w:bidi w:val="0"/>
        <w:jc w:val="left"/>
        <w:rPr>
          <w:rFonts w:ascii="Times New Roman" w:hAnsi="Times New Roman"/>
          <w:i/>
          <w:color w:val="000000"/>
          <w:sz w:val="20"/>
        </w:rPr>
      </w:pPr>
      <w:r>
        <w:rPr>
          <w:rFonts w:ascii="Times New Roman" w:hAnsi="Times New Roman"/>
          <w:i/>
          <w:color w:val="000000"/>
          <w:sz w:val="20"/>
        </w:rPr>
        <w:t>Lymphomas; N: Response evaluable patients; ORR: Objective response rate (complete + partial response rates). Data cutoff: October 1, 2020.</w:t>
      </w:r>
    </w:p>
    <w:p>
      <w:pPr>
        <w:pStyle w:val="TextBody"/>
        <w:bidi w:val="0"/>
        <w:jc w:val="left"/>
        <w:rPr/>
      </w:pPr>
      <w:r>
        <w:rPr/>
        <w:t> </w:t>
      </w:r>
    </w:p>
    <w:p>
      <w:pPr>
        <w:pStyle w:val="TextBody"/>
        <w:bidi w:val="0"/>
        <w:jc w:val="center"/>
        <w:rPr/>
      </w:pPr>
      <w:r>
        <w:rPr/>
        <w:drawing>
          <wp:inline distT="0" distB="0" distL="0" distR="0">
            <wp:extent cx="6858000" cy="2962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2962275"/>
                    </a:xfrm>
                    <a:prstGeom prst="rect">
                      <a:avLst/>
                    </a:prstGeom>
                  </pic:spPr>
                </pic:pic>
              </a:graphicData>
            </a:graphic>
          </wp:inline>
        </w:drawing>
      </w: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Data cutoff October 1, 2020; Response evaluable patients; Responses include metabolic response per Lugano Response Criteria.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more than 80% increase from baseline.</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 patient with rapid fatal progressive disease not represented in plot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view evorpacept’s initial activity in heavily pre-treated subjects with NHL as compelling evidence for the role of evorpacept in combining with anti-cancer antibodies to treat hematologic malignancies and as a favorable comparison to outcomes reported by other CD47 blocking agents in similar subjects. We believe the initial data in our 10 and 15 mg/kg QW cohorts, which showed a statistically significant exposure-dependent response, demonstrates evorpacept’s activity and supports higher dose administration.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activities seen at the 10 and 15 mg/kg QW doses coupled with a favorable tolerability profile, we proceeded to test higher doses, up to 60 mg/kg Q4W. We believe this dosing schedule may be unique among CD47 blockade programs and can potentially provide a more convenient regimen in combination with monthly azacitidine for patients. This data set also supported our decision to advance evorpacept into solid tumor indications at higher doses of 45 mg/kg once every three weeks, or Q3W, in combination with standard agents also administered Q3W.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2021, an IST of evorpacept was initiated in combination with rituximab and lenalidomide for the treatment of patients with indolent and aggressive NHL, sponsored by MD Anderson Cancer Center in Texas.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a preclinical program focused on developing ALTA-002, a SIRPα TRAAC, that may offer additional ways to engage the innate and adaptive immune response to cancer. SIRPα TRAAC is complementary to our CD47 blocker approach. SIRPα is expressed on myeloid cells and dendritic cells which have toll-like receptor 9, or TLR9, an intracellular receptor present in a wide variety of immune cells, including B-cells, myeloid cells and dendritic cells. TRAAC, or TLR9 agonist antibody conjugate, is designed specifically for compatibility with antibody conjugation, superior pharmacokinetics, receptor-mediated uptake, and TLR9 stimulation with the potential for intravenous administration. SIRPα TRAAC is an agonistic molecule targeting myeloid cells and directly activates them, resulting in cytokine release, antigen presentation, and initiation of a coordinated innate and adaptive immune response against cancer. An IND for ALTA-002 is planned for the first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we acquired ScalmiBio and intend to further expand our pipeline with plans to develop new anti-cancer drug candidates based on ScalmiBio’s SHIELD technology platform; these new molecules will be designed to address unmet cancer patient needs as stand-alone therapeutics and in combination with our lead product candidate, evorpacept, a next-generation CD47 blocker designed to leverage the immune activation of broadly used anti-cancer agents through combination strategies. ScalmiBio’s SHIELD technology is designed to minimize interaction of an antibody therapeutic with normal tissue and maximize its target binding capability within tumor microenvironment. ScalmiBio’s conditional activation technology aims to increase therapeutic index by minimizing dose limiting toxicities of existing checkpoint inhibitors and other targeted anti-cancer biologics as well as enable the design of ADCs with higher drug-to-antibody ratios for improved anti-cancer activity. We also acquired ScalmiBio’s proprietary cytotoxic payloads for the development of ADCs.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Licensing and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 2024, we own nine issued U.S. patents, 60 foreign issued patents, 17 pending U.S. nonprovisional patent applications and a portfolio of national patent application filings in a variety of non-U.S. jurisdictions, including Europe, Hong Kong, Brazil, Mexico, New Zealand, Japan, Australia, Canada, China, India, Israel, Republic of Korea, Singapore, Taiwan and Russia. Of these patents and patent applications, the following relate to evorpacept: five issued U.S. patents, 10 pending U.S. nonprovisional patent applications, one pending PCT application, and a portfolio of national patent application filings in a variety of non-U.S. jurisdictions, including Europe, Hong Kong, Brazil, Mexico, New Zealand, Japan, Australia, Canada, China, India, Israel, Republic of Korea, Singapore and Russia. The following relate to antibody shielding technology and exatecan derivatives: one issued (allowed) U.S. patent, two pending U.S. nonprovisional patent applications, 29 pending foreign patent applications, and one pending PCT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individual patents depends upon the legal term for patents in the countries in which they are granted. Our nine U.S. issued patents and, if issued as U.S. patents, our 17 U.S. nonprovisional patent applications are expected to expire between August 2036 and November 2043 excluding any additional term for patent term adjustments or patent term extensions, with an expiration of between August 2036 and May 2043 with respect to our patent and patent applications related to evorpacept, excluding any additional term for patent term extensions.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obtained a worldwide, royalty-bearing, sublicensable license from the Board of Trustees of the Leland Stanford Junior University, or Stanford, under certain patents relating to high-affinity SIRPα variant polypeptides, to develop, manufacture and commercialize products for use in certain licensed fields, the scope of which would include the application of the licensed intellectual property in oncology. For more information regarding our license agreement with Stanford, please see “—Exclusive (Equity) Agreement with Stanford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portfolio we have exclusively licensed from Stanford contains patent families relating to high-affinity SIRPα variant polypeptides, which includes two issued patents in the U.S. and one each in Australia, Canada, China, Europe, Hong Kong and four in Japan. The European patent has been validated as national patents in 37 different European countries. The patent family includes one pending patent application in each of U.S., Europe, and China and two pending patent applications in Hong Kong.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European patent (EP 2 429 574) owned by UHN and The Hospital for Sick Children that relates to the treatment of hematologic cancers with polypeptides comprising soluble human SIRPα, or a CD47-binding fragment thereof. This patent, which was originally granted on May 6, 2015,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Board’s ruling regarding sufficiency of disclosure. A date for the appeal hearing has not yet been announced.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SIRPα, or a CD47-binding fragment thereof. On February 27, 2024, the Opposition Division announced that it had received a notice of opposition with respect to EP 2 995 315. A date for the opposition hearing has not yet been announced. The patent claims of both EP 2 429 574 and EP 2 995 315, if not revoked or otherwise limited by the European Patent Office, could potentially limit our ability to pursue evorpacept in certain indications in certain geographies in the future. The U.S. counterpart to EP 2 429 574 was granted in 2021 as US patent 10,907,209. However, we believe that we do not infringe claims listed in this U.S. patent.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regarding the risks related to our intellectual property, including the above referenced intellectual property proceedings, see “Risk Factors—Risks Related to Our Intellectual Property.”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(Equity) Agreement with Stanford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2015, we entered into a license agreement, or the Stanford Agreement, with The Board of Trustees of the Leland Stanford Junior University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to us under the Stanford Agreement, we paid Stanford a nonrefundable license royalty and reimbursed Stanford for past patent expenses, together totaling less than $0.1 million, and granted Stanford a specified number of our common stock.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We recorded the first milestone payment of $0.2 million during the year ended December 31, 2021. There have been no milestones met during the year ended December 31, 2023.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Third-Party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license agreements with third parties related to the development and commercialization of our product candidates, including evorpacept, and SIRPα antibodies which we are exploring in our research program. In consideration of the foregoing, we have agreed to customary payment terms in these agreements, including certain milestone payments upon the achievement of clinical and commercial milestones and low single-digit royalties. See the section titled “Management’s Discussion and Analysis of Financial Condition and Results of Operations—Contractual Obligations and Commitments—License and Collaboration Agreements.”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pStyle w:val="TextBody"/>
        <w:bidi w:val="0"/>
        <w:spacing w:before="360" w:after="283"/>
        <w:jc w:val="left"/>
        <w:rPr>
          <w:rFonts w:ascii="Times New Roman" w:hAnsi="Times New Roman"/>
          <w:sz w:val="20"/>
        </w:rPr>
      </w:pPr>
      <w:r>
        <w:rPr>
          <w:rFonts w:ascii="Times New Roman" w:hAnsi="Times New Roman"/>
          <w:b/>
          <w:color w:val="000000"/>
          <w:sz w:val="20"/>
        </w:rPr>
        <w:t>Manufacturing and Supply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and do not intend to establish our own manufacturing facilities. We rely on, and will continue to rely on, CMOs for both drug substance and drug product. Both evorpacept bulk drug substance and finished drug product are produced in accordance with current good manufacturing practices, or cGMPs.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supply of evorpacept is sufficient to complete our clinical trials through the second quarter of 2025. We plan to manufacture additional supplies with our existing CMOs to produce evorpacept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(now PCI Pharma Services) in 2016 for all evorpacept drug product used in clinical trials. We subsequently entered into a drug product manufacturing agreement with Patheon UK Limited in 2022 for additional drug product production of evorpacept drug product used in clinical trials.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but are not limited to, AstraZeneca, Bristol Myers Squibb, Gilead Sciences, Merck, Novartis, Pfizer and Roche/Genentech.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competitive products and therapies are based on scientific approaches that are the same as or similar to our approach, including with respect to the targeting of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the level of biosimilar or generic competition and the availability of reimbursement from government and other third-party payors.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Biologics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product candidates must be approved by the FDA through the BLA process before they may be legally marketed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extensive preclinical laboratory tests and animal studies performed in accordance with the FDA’s current Good Laboratory Practices, or GLP,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investigational new drug, or IND, application, which must become effective before clinical trials may begin and must be updated annually or when significant changes are made.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an independent institutional review board, or IRB, or ethics committee at each clinical site before the trial is commenced.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Performance of adequate and well-controlled human clinical trials in accordance with the applicable IND regulations, good clinical practice, or GCP, requirements to establish the safety, purity and potency (</w:t>
      </w:r>
      <w:r>
        <w:rPr>
          <w:rFonts w:ascii="Times New Roman" w:hAnsi="Times New Roman"/>
          <w:i/>
          <w:color w:val="000000"/>
          <w:sz w:val="20"/>
        </w:rPr>
        <w:t>i.e.</w:t>
      </w:r>
      <w:r>
        <w:rPr>
          <w:rFonts w:ascii="Times New Roman" w:hAnsi="Times New Roman"/>
          <w:color w:val="000000"/>
          <w:sz w:val="20"/>
        </w:rPr>
        <w:t>, safety and effectiveness) of the proposed biologic product candidate for its intended purpose.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PREA, BPCA and FDARA regarding development of certain molecularly targeted oncology drugs for pediatric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Preparation of and submission to the FDA of a BLA after completion of all pivotal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by the FDA within 60 days of its receipt of a BLA to file the application for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any FDA audit of preclinical studies and/or clinical trial sites that generated the data in support of the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a BLA to permit commercial marketing of the product for particular indications for use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the combination partner NDA/BLA to address any necessary cross-labeling requirements to permit commercial marketing of the combination product for the particular indications for use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any post-approval requirements, including the potential requirement to implement a Risk Evaluation and Mitigation Strategy, or REMS, and the potential requirement to conduct post-approval studies.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and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beginning the first clinical trial with a product candidate, we must submit an IND to the FDA. An IND is a request for authorization from the FDA to administer an investigational new biopharmaceutical product to humans.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trial was conducted in accordance with GCP requirements, the clinical data are relevant to the US patient population in terms of medical practice, standard of care, and patient population definition, and the FDA is able to validate the data through an onsite inspection if deemed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purposes of BLA approval, human clinical trials are typically conducted in three sequential phases that may overlap.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For biologics being studied in oncology indications, the investigational product is initially introduced into patients with the target disease or condition. These trials are generally designed to test the safety, dosage tolerance, absorption, metabolism and distribution of the investigational product in humans, to identify possible side effects associated with increasing doses, and, if possible, to gain early evidence on 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BLA Submission and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regulatory approval of a product is granted, such approval will be granted for particular indications and may entail limitations on the indicated uses for which such product may be marketed. For example, the FDA may approve the BLA with a Risk Evaluation and Management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 2021 court case, the court expanded the scope of orphan drug exclusivity by finding that orphan drug exclusivity applies to all uses or indications within an entire disease or condition. This position was in contrast to the FDA’s longstanding view which ties the scope of orphan drug exclusivity to the uses or indications for which a drug is approved, and thus permits other sponsors to obtain approval of a drug for new uses or indications within the same orphan designated disease or condition that have not yet been approved. Following the case, the FDA has indicated that while the agency complies with the court’s order it intends to continue taking a more limited view of orphan designation. As a result, it is unclear how future litigation, legislation, agency decisions, and administrative actions will impact the scope of the orphan drug exclusivity.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a product,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post-approval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existing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of the FDA to permit the import or export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Biosimilars and Reference Product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Regulation Outside of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regulations in the United States, we are subject to a variety of regulations in other jurisdictions where we seek to commercialize any of our product candidates, including countries in Europe and Asia. Such foreign regulations govern,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 candidates. Because biologically sourced raw materials are subject to unique contamination risks, their use may be restricted in some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we obtain FDA approval for a product candidate, we must obtain the requisite approvals from regulatory authorities in foreign countries prior to the commencement of a clinical trial or marketing of a product in those countries. Certain countries outside of the United States have a similar approval process that requires the submission of a clinical trial application, or CTA, much like the IND prior to the commencement of human clinical trials. In the European Union, for example, a CTA must be submitted for each clinical trial to each country’s national health authority and an independent ethics committee, much like the FDA and an IRB, respectively. Once the CTA is approved in accordance with a country’s requirements, the corresponding clinical trial may proceed. The requirements and process governing the conduct of clinical trials, product licensing, pricing and reimbursement vary from country to country. In all cases, the clinical trials must be conducted in accordance with GCP requirements, applicable regulatory requirements and the ethical principles that have their origin in the Declaration of Helsinki.</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European Union Drug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 Recently enacted Clinical Trials Regulation EU No 536/2014 aims at harmonizing and streamlining clinical-trial authorization, simplifying adverse-event reporting procedures, improving the supervision of clinical trials and increasing their transparency.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European Economic Area (EEA), which is comprised of the 27 Member States of the European Union (excluding Croatia), Norway, Iceland and Liechtenstein, medicinal products can only be commercialized after obtaining a Marketing Authorization (MA). There are two types of Marketing Authorizations: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Community MA is issued by the European Commission through the Centralized Procedure, based on the opinion of the Committee for 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U.S Healthcare Laws and Compliance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the U.S.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or FCA. In addition, the intent standard under the federal Anti-Kickback Statute was amended by the ACA to eliminate the need to prove specific intent and actual knowledge to establish an Anti-Kickback Statute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FDCA, which prohibits, among other things, the adulteration or misbranding of drugs, biologics and medical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Coverage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Healthcare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 Healthcare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There have been legislative and judicial efforts to repeal, replace, or change some or all of the ACA, including measures taken during the Trump administration.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Biden administration will impact the ACA,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legislative changes have been proposed and adopted since the ACA was enacted. These changes include aggregate reductions to Medicare payments to providers of up to 2% per fiscal year, effective April 1, 2013, which will stay in effect through 2032, unless additional congressional action is taken.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under the American Rescue Plan Act of 2021, Medicaid statutory rebates are no longer capped at 100% of the average manufacturer price.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Various industry stakeholders have initiated lawsuits against the federal government asserting that the price negotiation provisions of the Inflation Reduction Act are unconstitutional. The impact of these judicial challenges and future regulations, healthcare measures and agency rules by the government on us and the pharmaceutical industry as a whole is currently unknown.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affect the prices we may obtain for any of our product candidates for which we may obtain regulatory approval or the frequency with which any such product candidate, if approved, is prescribed or used.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72 employees, 27 of whom hold Ph.D. or M.D. degrees and 59 of whom were engaged in research and development activities. None of our employees are represented by a labor union and we believe we maintain good relations with our employees. We rely on skilled, innovative, and passionate employees to conduct our research, development and business activities. Our employees are united by our goal of developing therapies that help patients fight cancer. Developing a diverse, equitable and inclusive culture is essential to our success and we are committed to building a workplace where all individuals feel welcomed and valued.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biopharmaceutical industry is highly competitive and recruiting and retaining employees is critical to the continued success of our business.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also offer a collaborative work environment, flexible or remote work arrangements, ongoing professional development opportunities, career advancement opportunities, and a culture that values diversity and inclusion.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We present the information included in this Annual Report on Form 10-K as that of ALX Oncology Holdings Inc. unless such information refers to a date prior to April 1, 2020, in which case it reflects that of our predecessor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offices are located at 323 Allerton Avenue, South San Francisco, California, 94080. Our telephone number is 650-466-7125. Our website address is alxoncology.com.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ALX Oncology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Annual Reports on Form 10</w:t>
        <w:noBreakHyphen/>
        <w:t>K, Quarterly Reports on Form 10</w:t>
        <w:noBreakHyphen/>
        <w:t>Q, Current Reports on Form 8</w:t>
        <w:noBreakHyphen/>
        <w:t>K, proxy and information statements and amendments to reports filed pursuant to Sections 13(a), and 15(d) of the Securities Exchange Act of 1934, as amended (the Exchange Act) are filed with the U.S. Securities and Exchange Commission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the Investor section of our website (ir.alxoncology.com) when such reports are available on the SEC’s website.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and others should note that we may announce material information to the public through filings with the SEC, our website (alxoncology.com),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together with the other information contained elsewhere in this Annual Report on Form 10-K, including our consolidated financial statements and the related notes, Part II, Item 7.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since our inception, and we expect to continue to incur significant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such capital may not be available to us when needed or may only be available on terms that are unfavorable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no products approved for commercial sale, and have not generated any revenue from product sales, licenses or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preclinical testing and early clinical trials may not be predictive of the success of later clinical trials, and the results of our clinical trials may not satisfy the requirements of the Food and Drug Administration, or FDA, or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significant adverse events or other undesirable side effects when used alone or in combination with other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preclinical research for evorpacept is conducted primarily by a third-party service provider, Tallac Therapeutics, Inc., formerly known as Tollnine, Inc., or Tallac Therapeutics, and we rely on Tallac Therapeutics to perform its contractual research obligations on an effective and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manufacturers for clinical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levels of our debt and compliance with the terms of our loan agreement could restrict our ability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COVID-19 pandemic, geopolitical unrest related to Russia’s war with Ukraine, and war and instability in Israel and the surrounding region could adversely impact our business including our ongoing and planned clinical trials and preclinical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stock may be volatile, and you could lose all or part of your investment;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we have identified material weaknesses in our internal control over financial reporting, and if we are unable to implement and maintain effective internal control over financial reporting in the future, investors may lose confidence in our financial reports.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$160.8 million, $123.5 million and $83.5 million for the years ended December 31, 2023, 2022 and 2021, respectively. As of December 31, 2023, we had an accumulated deficit of $486.3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cash, cash equivalents and investments of $218.1 million. Based on our current operating plan, we believe that our existing cash, cash equivalents, investments, and ability to draw down an additional $40 million of our term loan at our discretion, will be sufficient to fund our operations into early 2026.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obtain further funding through public or private equity offerings, debt financings, collaborations and licensing arrangements or other sources, which may dilute our stockholders or restrict our operating activities.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and clinical development of our lead product candidate,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relationships with contract research organizations, or CROs, and clinical sites for the clinical development of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acceptance of evorpacept and any future product candidates as viable treatment options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favorable coverage and adequate reimbursement by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patent protection,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including our licensed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or infringement claims,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our Loan Agreement require us to meet certain operating and financial covenants, place restrictions on our operating and financial flexibility, and may subject us to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most recently amended in December 2023, under which we have borrowed $10.0 million and we have access to draw an additional $40.0 million through June 2024 under certain conditions. A further $50.0 million may become available to us, with $12.5 million available in each of two tranches based upon the achievement of milestones related to the development of evorpacept and one preclinical product candidate, and $25.0 million at the Lenders’ sole discretion. The proceeds of the loans may be used by us for working capital and to fund our general business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mature on October 1, 2027. The Company will begin to make principal payments in equal monthly installments beginning on December 1, 2025, and if either of the milestone related tranche term loans are funded, then the Company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are secured by substantially all of our assets, except our intellectual property, which is the subject of a negative pledge, and will be guaranteed by our future subsidiaries, subject to certain limitations. Upon the outstanding balance of the term loans reaching $75.0 million or greater, our intellectual property will become collateral.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head and neck squamous cell carcinoma, or HNSCC, gastric/gastroesophageal junction, or GEJ, carcinoma, urothelial cancer, breast cancer, or multiple myeloma.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our clinical timelines may be delayed.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our future clinical trials will begin or enroll subjects on time or whether our ongoing and/or future clinical trials will be completed on schedule or at all. Clinical trials can be delayed for a variety of reasons, including delays related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reaching agreement on acceptable terms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institutional review board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adding necessary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subjects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site or trial subjects withdrawing or dropping out of clinical trials at a higher rate than anticipated;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sufficient quantities of product candidate for use in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receipt of marketing approval or our ability to commercialize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are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being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demonstrate consistent or adequate safety and efficacy sufficient to obtain marketing approval of our product candidates or to market our drugs after any such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eligibility criteria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by us and the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subjects adequately during and after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of clinical trial sites to prospective subjects;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of subjects enrolled in clinical trials dropping out before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delay in enrollment of subjects due to a variety of reasons, including outbreaks and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appropriately enroll an ethnically and racially diverse patient population representative of the target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adverse effects related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such as our October 2023 announcement of interim Phase 2 ASPEN-06 clinical trial results of evorpacept for the treatment of advanced HER2-Positive gastric cancer.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our clinical program in a heavily pre-treated group of subjects who are typical participants in early-stage cancer trials and are often hematologically fragile at baseline. Subjects in our evorpacept combination clinical trials experienced a number of treatment-related adverse events that were mostly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Newly approved therapeutics could change the treatment paradigm or standard of care, which could negatively impact the design of our clinical trials and the prospects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our product candidates receive regulatory approval, they will be subject to significant post-marketing regulatory requirements and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hAnsi="Times New Roman"/>
          <w:i/>
          <w:color w:val="000000"/>
          <w:sz w:val="20"/>
        </w:rPr>
        <w:t>e.g.</w:t>
      </w:r>
      <w:r>
        <w:rPr>
          <w:rFonts w:ascii="Times New Roman" w:hAnsi="Times New Roman"/>
          <w:color w:val="000000"/>
          <w:sz w:val="20"/>
        </w:rPr>
        <w:t xml:space="preserve">,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the rejection of product approvals;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products, manufacturers or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civil and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seizures, detentions or import bans;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product recalls and publicity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restrictions on operations, including costly new manufacturing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Tallac Therapeutics, a third-party service provider, to conduct substantially all of our preclinical research activities for evorpacept. If Tallac Therapeutics does not successfully carry out its contractual duties or meet expected deadlines, there may be disruptions or delays to our evorpacept development pipeline and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the ability to independently conduct our preclinical research activities but we rely on a third-party service provider to conduct all of our preclinical research activities for evorpacept. Effective as of July 1, 2020, we transferred our preclinical research capabilities at such time and nine of our employees, including a former Chief Scientific Officer,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Tallac Therapeutics’ employees are not our employees, and we will not be able to control, other than by contract, the amount of resources, including time, that they devote to our evorpacept preclinical research efforts and studies. If Tallac Therapeutics fails to devote sufficient resources to the research and development of our evorpacept preclinical research programs and studies, or if its performance is substandard, there may be disruptions or delays to our evorpacept development pipeline.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relationship with Tallac Therapeutics terminates, 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Since Tallac Therapeutics is an early-stage company with a limited operating history, it may face challenges to its business and cease to operate, and we may need to hire employees on an accelerated timeline and on less favorable terms.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 </w:t>
      </w:r>
    </w:p>
    <w:p>
      <w:pPr>
        <w:pStyle w:val="TextBody"/>
        <w:bidi w:val="0"/>
        <w:spacing w:before="120" w:after="283"/>
        <w:jc w:val="left"/>
        <w:rPr>
          <w:rFonts w:ascii="Times New Roman" w:hAnsi="Times New Roman"/>
          <w:sz w:val="20"/>
        </w:rPr>
      </w:pPr>
      <w:r>
        <w:rPr>
          <w:rFonts w:ascii="Times New Roman" w:hAnsi="Times New Roman"/>
          <w:b/>
          <w:i/>
          <w:color w:val="000000"/>
          <w:sz w:val="20"/>
        </w:rPr>
        <w:t>Material modifications in the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and Phase 2/3 clinical trials of evorpacept in combination with pembrolizumab for HNSCC and trastuzumab for gastric/GEJ carcinoma, respectively. As a result, both the results of our clinical trials and the sales of our drugs may be affected by the availability of these third-party drugs. For instance, we entered into clinical trial collaboration and supply agreements with Merck, Eli Lilly and Jazz,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Jazz is terminated before the trials are completed, our ability to continue the trials with zanidatamab would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also may be implicated if any of our CROs violates fraud and abuse or false claims laws and regulations or healthcare privacy and security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evorpacept and our other product candidates to treat cancer or other applicable targeted diseases, as compared with other available drugs, treatments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other new therapies for the same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adverse side effects associated with evorpacept and our other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for evorpacept or our other product candidates by the FDA or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alternative treatments and 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target patient population and 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and effectiveness of marketing and distribution support and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for our product candidates and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cost-effectiveness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sufficient third-party coverage or reimbursement, and the willingness of patients to pay out-of-pocket in the absence of third-party coverage;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is approved but does not achieve an adequate level of acceptance by patients, physicians and/or third-party payors, we may not generate sufficient revenue to become or remain profitable and our business may be harmed.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opportunities for the product candidates we develop, if approved, may be limited to certain smaller patient subsets.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receive marketing approval, if we or others later identify undesirable or unacceptable side effects caused by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us to take our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contraindication, precaution or field alerts to physicians and pharmacies;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coverage and adequate reimbursement for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w:t>
      </w:r>
    </w:p>
    <w:p>
      <w:pPr>
        <w:pStyle w:val="TextBody"/>
        <w:bidi w:val="0"/>
        <w:spacing w:before="12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drug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product seizure or detention, or refusal to permit the import or export of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the design, implementation or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potency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or comparable international regulatory authorities that a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international foreign regulatory authorities may significantly change in a manner rendering our clinical data insufficient for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granted Fast Track designation for evorpacept in combination with pembrolizumab, platinum, and fluorouracil for the first-line treatment of adult patients with metastatic or unresectable, recurrent HNSCC in February 2020,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and for evorpacept in combination with pembrolizumab for first-line treatment of adult patients with metastatic or unresectable, recurrent HNSCC whose tumors express PD-L1 in July 2022.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 </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if the Supreme Court reverses or curtails the </w:t>
      </w:r>
      <w:r>
        <w:rPr>
          <w:rFonts w:ascii="Times New Roman" w:hAnsi="Times New Roman"/>
          <w:i/>
          <w:color w:val="000000"/>
          <w:sz w:val="20"/>
        </w:rPr>
        <w:t xml:space="preserve">Chevron </w:t>
      </w:r>
      <w:r>
        <w:rPr>
          <w:rFonts w:ascii="Times New Roman" w:hAnsi="Times New Roman"/>
          <w:color w:val="000000"/>
          <w:sz w:val="20"/>
        </w:rPr>
        <w:t xml:space="preserve">doctrine, which gives deference to regulatory agencies in litigation against FDA and other 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drugs,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Biden administration will impact the ACA. Complying with any new legislation or reversing changes implemented under the ACA could be time-intensive and expensive, resulting in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legislative, executive, and administrative actions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hAnsi="Times New Roman"/>
          <w:i/>
          <w:color w:val="000000"/>
          <w:sz w:val="20"/>
        </w:rPr>
        <w:t>i.e.</w:t>
      </w:r>
      <w:r>
        <w:rPr>
          <w:rFonts w:ascii="Times New Roman" w:hAnsi="Times New Roman"/>
          <w:color w:val="000000"/>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Food, Drug and Cosmetic Act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European and other foreign law equivalents of each of the laws also impose legal requirements, including reporting requirements detailing interactions with and payments to healthcare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Foreign Corrupt Practices Act, or FCPA, and similar anti-bribery or anti-corruption laws, regulations or rules of other countries in which we operate. These laws generally prohibit companies and their employees and third-party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collect, process, use or transfer personal information from individuals located in the European Economic Area, or EEA, Switzerland and the United Kingdom in connection with our business, including in connection with conducting clinical trials in these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alleged 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GDPR, UK GDPR and FADP also restrict the transfer of personal information outside of the EEA, United Kingdom and Switzerland respectively, unless appropriate safeguards are in 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primary safeguards, the Standard Contractual Clauses adopted by the European Commission, has been recently updated. With regard to data transfers outside of the EEA to the United States, in March 2022, the European Union and United States announced a political agreement on a new framework for personal information transfers, the EU-U.S. Data Privacy Framework, or the EU-U.S. DPF.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may be modified or revoked in the interim. In addition, in February 2022, the United Kingdom’s Information Commissioner’s Office issued new Standard Contractual Clauses for the transfer of personal information outside of the United Kingdom. Any existing data transfer arrangement that relies on the previous version of the Standard Contractual Clauses needs to be updated by March 21, 2024, which could increase our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therefore, incur liabilities, expenses, costs, and other operational losses under the GDPR, UK GDPR, the FADP and applicable laws and regulations of European Union member states in connection with any measures we take to comply with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a new privacy law, the California Privacy Rights Act, or the CPRA, was approved by California voters in November 2020. The CPRA modifies the CCPA significantly, potentially resulting in further uncertainty and requiring us to incur additional costs and expenses in an effort to comply. Other states are beginning to consider and pass similar laws, including laws enacted in Colorado, Connecticut, Delaware, Florida, Indiana, Iowa, Montana, Oregon, Tennessee, Texas, Utah, and Virginia.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and enforce patent protection for our product candidates and related technology, our business could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challenging our patent rights or the patent rights of others.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as well as maintenance of Eurasian patents in Russia. These actions could result in abandonment or lapse of our patents or patent applications, resulting in partial or complete loss of patent rights in Russia. Currently our portfolio includes two granted patents in Russia, one granted patent in Eurasia, and one pending application in Eurasia.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hAnsi="Times New Roman"/>
          <w:i/>
          <w:color w:val="000000"/>
          <w:sz w:val="20"/>
        </w:rPr>
        <w:t>e.g.</w:t>
      </w:r>
      <w:r>
        <w:rPr>
          <w:rFonts w:ascii="Times New Roman" w:hAnsi="Times New Roman"/>
          <w:color w:val="000000"/>
          <w:sz w:val="20"/>
        </w:rPr>
        <w:t xml:space="preserve">, via post-grant reviews or </w:t>
      </w:r>
      <w:r>
        <w:rPr>
          <w:rFonts w:ascii="Times New Roman" w:hAnsi="Times New Roman"/>
          <w:i/>
          <w:color w:val="000000"/>
          <w:sz w:val="20"/>
        </w:rPr>
        <w:t>inter partes</w:t>
      </w:r>
      <w:r>
        <w:rPr>
          <w:rFonts w:ascii="Times New Roman" w:hAnsi="Times New Roman"/>
          <w:color w:val="000000"/>
          <w:sz w:val="20"/>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patents covering one or more of our product candidates could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protection, prosecution, assertion and defense for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and trade secrets,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are examples of litigation and other adversarial proceedings or disputes that we could become a party to involving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initiate litigation or other proceedings against third parties to enforce our patent and trade secret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commercial success depends in part on our ability to operate without infringing the patents and other proprietary rights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Board’s ruling regarding sufficiency of disclosure. A date for the appeal hearing has not yet been announced.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SIRPα, or a CD47-binding fragment thereof. On February 27, 2024, the Opposition Division announced that it had received a notice of opposition with respect to EP 2 995 315. A date for the opposition hearing has not yet been announced. The patent claims of both EP 2 429 574 and EP 2 995 315, if not revoked or otherwise limited by the European Patent Office, could potentially limit our ability to pursue evorpacept in certain indications in certain geographies in the future. With respect to U.S. patent 10,907,209,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time-consuming and unsuccessful.” 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obtain FDA approval for any proposed product candidate names, and any failure or delay associated with product candidate name approval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rights to develop and commercialize our product candidates may be subject, in part, to the terms and conditions of agreements with others.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disputes may arise regarding intellectual property subject to a collaboration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the option or license rights granted under the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under the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72 employees, including 59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evorpacept and any other future product candidates, while complying with applicable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updating our operational, financial and management controls, reporting systems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are based on a novel technology, which makes it difficult to predict the time and cost of product candidate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pausing recruiting efforts, or employee attrition could also create delays in the development of our product candidates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international operations may expose us to business, regulatory, political, operational, financial, pricing and reimbursement risks associated with doing business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obtain and maintain regulatory approvals for the use of our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rejection or qualification of foreign clinical trial data by the competent authorities of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staffing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multiple payor reimbursement regimes, government payors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in our ability to penetrate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such as the geopolitical unrest and regional economic disruptions caused by Russia’s war with Ukraine, and war and instability in Israel and the surrounding region, and including wars, terrorism and political unrest, boycotts, curtailment of trade and other business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such as a fire, an earthquake or a flood, or outbreaks or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breach or incident or a related breach of our information systems or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expenses including, among others, expenses for travel, translation and insurance;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factors could harm our future international expansion and operations and, consequently,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I-SPY,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acquire businesses or assets and we may not realize the benefits of such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U.S. Internal Revenue Code of 1986, as amended, if a corporation undergoes an “ownership change” (generally defined as a greater than 50 percentage points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2023, we had net operating loss carryforwards of approximately $93.5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Irish net operating loss carryforwards of approximately $4.9 million. These Irish net operating loss carryforwards do not expire but may not be fully utilized unless we generate sufficient income in Ireland. We may also be limited in the amount of loss carryforwards that we can use in the future to offset taxable income for Irish corporation tax purposes if we experience ownership changes in the future as a result of subsequent movements in our share ownership, some of which are outside of our control, or if we experience a major change in the nature or conduct of our trade or our trade becomes small or negligible. Furthermore, in the event we incur net income in certain jurisdictions but incur losses (or have loss carryforwards) in other jurisdictions, we cannot offset the income from one jurisdiction with the loss from another, which could increase our effective tax rate.</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w:t>
      </w:r>
      <w:r>
        <w:rPr>
          <w:rFonts w:ascii="Times New Roman" w:hAnsi="Times New Roman"/>
          <w:color w:val="000000"/>
          <w:sz w:val="20"/>
        </w:rPr>
        <w:t xml:space="preserve"> </w:t>
      </w:r>
      <w:r>
        <w:rPr>
          <w:rFonts w:ascii="Times New Roman" w:hAnsi="Times New Roman"/>
          <w:b/>
          <w:i/>
          <w:color w:val="000000"/>
          <w:sz w:val="20"/>
        </w:rPr>
        <w:t>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eliminated the option to deduct domestic research and development costs in the year incurred and instead requires taxpayers to amortize such costs over five or fifteen years. The United States has also enacted the Inflation Reduction Act of 2022, which introduced, among other provisions, a 15% minimum tax on book income and a 1% excise tax on certain stock buybacks by U.S. publicly-traded corporations on or after January 1, 2023. The Organization for Economic Cooperation and Development has proposed implementing a global minimum tax of 15%, which has been adopted by the Council of European Union for implementation into the domestic laws of European Union member countries.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know whether an active, liquid and orderly trading market will be sustained for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sell shares of our common stock in future financings, stockholders may experience immediate dilution and, as a result, our stock price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Company’s securities inclusive of up to $150.0 million of shares of our common stock through at-the-market offerings. On October 10, 2023, we completed the October 2023 Offering for the issuance and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If we issue common stock or securities convertible into common stock, our stockholders will experience additional dilution and our stock price may decline.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may be highly volatile and subject to wide fluctuations in response to various factors, some of which are beyond our control. In addition to those discussed in this “Risk Factors” section and elsewhere in this Annual Report on Form 10-K, the following factors may cause the market price of our common stock to fluctuate: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and timing of our preclinical studies and clinical trials and studies and trials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manufacturing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or enforcement in the United States and foreign countries with respect to our product candidates or our competitors’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products or new products that may emerge;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our growth and development relative to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 candidates or technological innovations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our future strategic partners or our competitors of significant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or recommendations by securities analysts, if any cover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concern over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our common stock by us, our insiders or our other stockholders including pursuant to the existing primary and secondary shelf registration statements that we have filed with the SEC;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price and volume fluctuations attributable to inconsistent trading volume levels of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 care payment systems in the United States or overseas;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any of our product candidates, if approved, to achieve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such as inflation, economic downturns, disasters, and medical or public health crises, such as the COVID-19 pandemic, including the impact of recent bank failures, the ongoing geopolitical unrest related to Russia’s war with Ukraine, and war and instability in Israel and the surrounding region;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or expectations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fluctuations in U.S. equity markets, general market conditions and market conditions for biotechnology stocks;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may be unanticipated or out of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operating results may fluctuate due to a variety of other factors, many of which are outside of our control and may be difficult to predict,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subjects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product candidates and technologies or other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outcomes of clinical trials for evorpacept, and any of our other product candidates, or competing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conduct unanticipated clinical trials or trials that are larger or more complex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products that compete with evorpacept and any of our other product candidates, and changes in the competitive landscape of our industry, including consolidation among our competitors or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regulatory review or approval of evorpacept or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evorpacept and any of our other product candidates, if approved, which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products that compete with evorpacept and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evorpacept and any of our other product candidates, if approved, inside and outside of the United States, either independently or working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increase in interest expense due to an increase in the floating rate under the Loan Agreement as described elsewhere in this Annual Report on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weak or declining economy resulting from adverse macroeconomic conditions such as inflation, rising interest rates, uncertainty in the financial services industry, and any U.S. federal government debt default due to a failure to increase the debt ceiling;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the COVID-19 pandemic, geopolitical unrest related to Russia’s conflict with Ukraine, war and instability in Israel and the surrounding region, and bank failures or instability in the financial services sector on the global economy.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October 10, 2023, we completed the October 2023 Offering for </w:t>
      </w:r>
      <w:r>
        <w:rPr>
          <w:rFonts w:ascii="Times New Roman" w:hAnsi="Times New Roman"/>
          <w:color w:val="231F20"/>
          <w:sz w:val="20"/>
        </w:rPr>
        <w:t>the sale of</w:t>
      </w:r>
      <w:r>
        <w:rPr>
          <w:rFonts w:ascii="Times New Roman" w:hAnsi="Times New Roman"/>
          <w:color w:val="000000"/>
          <w:sz w:val="20"/>
        </w:rPr>
        <w:t xml:space="preserve">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Shelf Registration Statement, including pursuant to our at-the-market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and will continue to incur significant increased costs and management resources as a result of operating as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were a large-accelerated filer for fiscal year 2022, we are a “non-accelerated filer” for fiscal year 2023 and we anticipate we will continue to be one throughout 2024. This status could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year, we re-evaluate our SEC filing status. Accordingly, due to our public float as of June 30, 2022, we became a non-accelerated filer for fiscal year 2023, and due to our public float as of June 30, 2023, we anticipate we will be a non-accelerated filer throughout fiscal year 2024.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Our affiliated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our executive officers, directors, and affiliated holders of 5% or more of our capital stock and their respective affiliates beneficially owned approximately 33.7% of our outstanding voting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anticipate paying cash dividends and, accordingly, stockholders must rely on share appreciation for any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substantial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at-the-market facility described therein. Additionally, our stockholders may be further diluted by the exercise of the pre-funded warrants issued in the follow-on public offering.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that our board of directors is divided into three classes, with each class serving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only be removed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behalf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a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 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Securities Exchange Act of 1934, as amended, or Exchange Act, or any other claim for which the U.S. federal courts have exclusive jurisdiction.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further provide that the federal district courts of the United States will be the exclusive forum for resolving any complaint asserting a cause of action arising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2023 and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effective internal control over financial reporting could have a material adverse effect on our business, financial condition and results of operations and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disruptions and delays or incur financial damages as a result of system failures or security breaches or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our information security and data protection policies for those employees. Also, ongoing geopolitical unrest and related events such as Russia’s war with Ukraine may subject us and our CROs and other third-party service providers to heightened risks of cybersecurity incidents and security and privacy breaches, including attacks that could materially disrupt our drug discovery and development programs or other aspects of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system failure or security breach or incident that leads to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5" w:name="item_1b_unresolved_staff_comments"/>
      <w:bookmarkEnd w:id="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6" w:name="item_1c_cybersecurity"/>
      <w:bookmarkEnd w:id="6"/>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policies and processes for assessing, identifying, and managing material risk from cybersecurity threats, and have integrated these processes into our overall risk management systems and processes. We periodically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to manage our risk assessment and mitigation processes, including our Vice President of Operations (VPO), who serves as our acting Chief Information Security Officer (CISO), as well as external information technology consultants who help manage our information technology systems and our information 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overall risk management system, we monitor and test our safeguards and train our employees on these safeguards, in collaboration with our information technology consultants. Employees at all levels and departments are made aware of our cybersecurity policies through trainings.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engage our information technology consultants, including dedicated on-site consultants as well as other third parties, in connection with our risk assessment processes. These partners assist us to help design, implement, monitor, and test our cybersecurity policies and procedures. We also require key third-party service providers to certify that they have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key functions of our board of directors is informed oversight of our risk management process, including risks from cybersecurity threats. Our board of directors, which is responsible for monitoring and assessing strategic risk exposure, has delegated primary oversight responsibility for cybersecurity to our 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VPO and acting CISO, who reports to our President, is responsible for the day-to-day management of our cybersecurity policies and processes, including those described in “Risk Management and Strategy” above, with the assistance of and informed by our consultants. Our VPO and acting CISO, who has many years of senior management and operational oversight at emerging technology companies, is informed about and monitors the prevention, detection, mitigation, and remediation of cybersecurity incidents through the day-to-day management of our information technology consultants, which includes engaging with information provided by the consultants, automated monitoring and detection systems, and other tools and processes defined by our cybersecurity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VPO and acting CISO provides periodic briefings to our executive officers regarding our company’s cybersecurity risks and activities, including any recent cybersecurity incidents and related responses, cybersecurity systems testing, activities of third parties, and the like. Our VPO and acting CISO also provides periodic briefings to the board of directors, including the audit committee, on cybersecurity risks and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item_2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 is located in South San Francisco, California. We currently lease 10,000 square feet of office space in South San Francisco, California, under a lease that expires in 2026. We believe that this space is sufficient to meet our needs for the foreseeable future and that any additional space we may require will be available on commercially reasonable terms.</w:t>
      </w:r>
    </w:p>
    <w:p>
      <w:pPr>
        <w:pStyle w:val="TextBody"/>
        <w:bidi w:val="0"/>
        <w:spacing w:before="360" w:after="283"/>
        <w:jc w:val="left"/>
        <w:rPr>
          <w:rFonts w:ascii="Times New Roman" w:hAnsi="Times New Roman"/>
          <w:sz w:val="20"/>
        </w:rPr>
      </w:pPr>
      <w:bookmarkStart w:id="8" w:name="item_3_legal_proceedings"/>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w:t>
      </w:r>
    </w:p>
    <w:p>
      <w:pPr>
        <w:pStyle w:val="TextBody"/>
        <w:bidi w:val="0"/>
        <w:spacing w:before="3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 for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“ALXO” since July 17, 2020. Prior to that date, there was no public trading market for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29, 2024, there were 81 holders of record of our common stock. Certain shares are held in “street” name and, accordingly, the number of beneficial owners of such shares is not known or included in the foregoing number.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2" w:name="item_6_reserved"/>
      <w:bookmarkEnd w:id="12"/>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together with our consolidated financial statements and related notes included elsewhere in this Annual Report on Form 10-K. This discussion and analysis generally addresses 2023 and 2022 items and year-over-year comparisons between 2023 and 2022. Discussions of 2021 items and year-over-year comparisons between 2022 and 2021 that are not included in this Annual Report on Form 10-K can be found in “Item 7. Management’s Discussion and Analysis of Financial Condition and Results of Operations” in our Annual Report on Form 10-K for the fiscal year ended December 31, 2022, filed with the SEC on March 9, 2023.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Evorpacept’s design has several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 as discussed below. In April 2020, we began exploring a third less well-validated mechanism of action, which led us to test the combination of evorpacept with azacitidine in myelodysplastic syndromes (MDS) patients, but our data failed to validate this third mechanism as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distinct mechanism of actions and examples of the combinations of priority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Anti-cancer antibodies (the “</w:t>
      </w:r>
      <w:r>
        <w:rPr>
          <w:rFonts w:ascii="Times New Roman" w:hAnsi="Times New Roman"/>
          <w:b/>
          <w:i/>
          <w:color w:val="000000"/>
          <w:sz w:val="20"/>
        </w:rPr>
        <w:t>don’t eat me</w:t>
      </w:r>
      <w:r>
        <w:rPr>
          <w:color w:val="000000"/>
        </w:rPr>
        <w:t xml:space="preserve">” </w:t>
      </w:r>
      <w:r>
        <w:rPr>
          <w:rFonts w:ascii="Times New Roman" w:hAnsi="Times New Roman"/>
          <w:b/>
          <w:color w:val="000000"/>
          <w:sz w:val="20"/>
        </w:rPr>
        <w:t>signal)</w:t>
      </w:r>
      <w:r>
        <w:rPr>
          <w:rFonts w:ascii="Times New Roman" w:hAnsi="Times New Roman"/>
          <w:color w:val="000000"/>
          <w:sz w:val="20"/>
        </w:rPr>
        <w:t xml:space="preserve">: </w:t>
      </w:r>
      <w:r>
        <w:rPr>
          <w:rFonts w:ascii="Times New Roman" w:hAnsi="Times New Roman"/>
          <w:b/>
          <w:color w:val="000000"/>
          <w:sz w:val="20"/>
        </w:rPr>
        <w:t>Combining with anti-cancer targeted antibodies with an active Fc domain, where evorpacept enables the Fc-mediated antibody dependent phagocytosis that is impaired by the expression of CD47 on cancer cells</w:t>
      </w:r>
      <w:r>
        <w:rPr>
          <w:rFonts w:ascii="Times New Roman" w:hAnsi="Times New Roman"/>
          <w:color w:val="000000"/>
          <w:sz w:val="20"/>
        </w:rPr>
        <w:t xml:space="preserve">. </w:t>
        <w:br/>
        <w:t>The positive interim data in our randomized ASPEN-06 clinical trial supports the clinical validation of this mechanism of action. ASPEN-06 evaluates the contribution of evorpacept to HERCEPTIN</w:t>
      </w:r>
      <w:r>
        <w:rPr>
          <w:rFonts w:ascii="Times New Roman" w:hAnsi="Times New Roman"/>
          <w:color w:val="000000"/>
          <w:sz w:val="13"/>
        </w:rPr>
        <w:t xml:space="preserve">® </w:t>
      </w:r>
      <w:r>
        <w:rPr>
          <w:rFonts w:ascii="Times New Roman" w:hAnsi="Times New Roman"/>
          <w:color w:val="000000"/>
          <w:sz w:val="20"/>
        </w:rPr>
        <w:t>(trastuzumab) plus standard of care (CYRAMZA</w:t>
      </w:r>
      <w:r>
        <w:rPr>
          <w:rFonts w:ascii="Times New Roman" w:hAnsi="Times New Roman"/>
          <w:color w:val="000000"/>
          <w:sz w:val="13"/>
        </w:rPr>
        <w:t>®</w:t>
      </w:r>
      <w:r>
        <w:rPr>
          <w:color w:val="000000"/>
        </w:rPr>
        <w:t xml:space="preserve"> </w:t>
      </w:r>
      <w:r>
        <w:rPr>
          <w:rFonts w:ascii="Times New Roman" w:hAnsi="Times New Roman"/>
          <w:color w:val="000000"/>
          <w:sz w:val="20"/>
        </w:rPr>
        <w:t xml:space="preserve">(ramucirumab) + paclitaxel) versus standard of care plus HERCEPTIN in second line or later HER2-positive gastric/gastroesophageal junction (GEJ) cancer.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Demonstrated evorpacept + trastuzumab + ramucirumab + paclitaxel improved response activity (52% overall response rate (ORR), median duration of response (mDOR) not reached) compared to that of the trastuzumab + ramucirumab + paclitaxel backbone (22% ORR, mDOR 7.4 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Clinical activity of evorpacept + trastuzumab + ramucirumab + paclitaxel compares favorably to the RAINBOW historical data where ramucirumab + paclitaxel demonstrated a 28% confirmed ORR and 4.4 month mDOR, as well as to DESTINY-Gastric01 where ENHERTU</w:t>
      </w:r>
      <w:r>
        <w:rPr>
          <w:rFonts w:ascii="Times New Roman" w:hAnsi="Times New Roman"/>
          <w:color w:val="000000"/>
          <w:sz w:val="13"/>
        </w:rPr>
        <w:t>®</w:t>
      </w:r>
      <w:r>
        <w:rPr>
          <w:color w:val="000000"/>
        </w:rPr>
        <w:t xml:space="preserve"> </w:t>
      </w:r>
      <w:r>
        <w:rPr>
          <w:rFonts w:ascii="Times New Roman" w:hAnsi="Times New Roman"/>
          <w:color w:val="000000"/>
          <w:sz w:val="20"/>
        </w:rPr>
        <w:t>(fam-trastuzumab deruxtecan-nxki) reported a 41% confirmed ORR and mDOR of 11.3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Initial magnitude of improvement in ORR over available therapy and over the concurrent control arm with this well-tolerated combination suggests that evorpacept in combination with trastuzumab, ramucirumab, and paclitaxel could benefit patients with HER2-overexpressing advanced gastric/GEJ cancer.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earlier ASPEN-01 Phase 1 positive data in combination with rituximab in non-Hodgkin lymphoma (NHL) provide additional support for the clinical validation of this mechanism of action and support exploring combinations of evorpacept with other anti-cancer antibodies.</w:t>
      </w:r>
    </w:p>
    <w:p>
      <w:pPr>
        <w:pStyle w:val="TextBody"/>
        <w:bidi w:val="0"/>
        <w:spacing w:before="120" w:after="283"/>
        <w:jc w:val="left"/>
        <w:rPr>
          <w:rFonts w:ascii="Times New Roman" w:hAnsi="Times New Roman"/>
          <w:sz w:val="20"/>
        </w:rPr>
      </w:pPr>
      <w:r>
        <w:rPr>
          <w:rFonts w:ascii="Times New Roman" w:hAnsi="Times New Roman"/>
          <w:color w:val="000000"/>
          <w:sz w:val="20"/>
        </w:rPr>
        <w:t>This mechanism of action may also apply to antibody-drug conjugates (ADCs), which are being investigated in two separate Phase 1 trials: one in combination with PADCEV</w:t>
      </w:r>
      <w:r>
        <w:rPr>
          <w:rFonts w:ascii="Times New Roman" w:hAnsi="Times New Roman"/>
          <w:color w:val="000000"/>
          <w:sz w:val="13"/>
        </w:rPr>
        <w:t>®</w:t>
      </w:r>
      <w:r>
        <w:rPr>
          <w:rFonts w:ascii="Times New Roman" w:hAnsi="Times New Roman"/>
          <w:color w:val="000000"/>
          <w:sz w:val="20"/>
        </w:rPr>
        <w:t xml:space="preserve"> (enfortumab vedotin-ejfv) in patients with urothelial cancer (ASPEN-07), and the other in combination with fam-trastuzumab deruxtecan-nxki in patients with unresectable or metastatic HER2-positive and HER2-low breast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PD-1/PD-L1 immune checkpoint inhibitors (the “</w:t>
      </w:r>
      <w:r>
        <w:rPr>
          <w:rFonts w:ascii="Times New Roman" w:hAnsi="Times New Roman"/>
          <w:b/>
          <w:i/>
          <w:color w:val="000000"/>
          <w:sz w:val="20"/>
        </w:rPr>
        <w:t>don’t activate T-cells</w:t>
      </w:r>
      <w:r>
        <w:rPr>
          <w:color w:val="000000"/>
        </w:rPr>
        <w:t xml:space="preserve">” </w:t>
      </w:r>
      <w:r>
        <w:rPr>
          <w:rFonts w:ascii="Times New Roman" w:hAnsi="Times New Roman"/>
          <w:b/>
          <w:color w:val="000000"/>
          <w:sz w:val="20"/>
        </w:rPr>
        <w:t>signal):</w:t>
      </w:r>
      <w:r>
        <w:rPr>
          <w:color w:val="000000"/>
        </w:rPr>
        <w:t xml:space="preserve"> </w:t>
      </w:r>
      <w:r>
        <w:rPr>
          <w:rFonts w:ascii="Times New Roman" w:hAnsi="Times New Roman"/>
          <w:b/>
          <w:color w:val="000000"/>
          <w:sz w:val="20"/>
        </w:rPr>
        <w:t>Combining with PD-1/PD-L1 checkpoint inhibitor, where evorpacept activates dendritic cells that are constitutively inhibited by the CD47/ SIRP alpha pathway.</w:t>
      </w:r>
      <w:r>
        <w:rPr>
          <w:color w:val="000000"/>
        </w:rPr>
        <w:t xml:space="preserve"> </w:t>
      </w:r>
      <w:r>
        <w:rPr>
          <w:rFonts w:ascii="Times New Roman" w:hAnsi="Times New Roman"/>
          <w:color w:val="000000"/>
          <w:sz w:val="20"/>
        </w:rPr>
        <w:b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This mechanism of action includes our clinical trials, ASPEN-03 and ASPEN-04, two randomized Phase 2 studies in combination with KEYTRUDA</w:t>
      </w:r>
      <w:r>
        <w:rPr>
          <w:rFonts w:ascii="Times New Roman" w:hAnsi="Times New Roman"/>
          <w:color w:val="000000"/>
          <w:sz w:val="13"/>
        </w:rPr>
        <w:t>®</w:t>
      </w:r>
      <w:r>
        <w:rPr>
          <w:color w:val="000000"/>
        </w:rPr>
        <w:t xml:space="preserve"> </w:t>
      </w:r>
      <w:r>
        <w:rPr>
          <w:rFonts w:ascii="Times New Roman" w:hAnsi="Times New Roman"/>
          <w:color w:val="000000"/>
          <w:sz w:val="20"/>
        </w:rPr>
        <w:t xml:space="preserve">(pembrolizumab),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b/>
          <w:color w:val="000000"/>
          <w:sz w:val="20"/>
        </w:rPr>
        <w:t>Hypomethylation agents:</w:t>
      </w:r>
      <w:r>
        <w:rPr>
          <w:color w:val="000000"/>
        </w:rPr>
        <w:t xml:space="preserve"> </w:t>
      </w:r>
      <w:r>
        <w:rPr>
          <w:rFonts w:ascii="Times New Roman" w:hAnsi="Times New Roman"/>
          <w:b/>
          <w:color w:val="000000"/>
          <w:sz w:val="20"/>
        </w:rPr>
        <w:t>Combining with azacitidine, which is described to upregulate calreticulin and potentially promote macrophage dependent phagocytosis that is inhibited by CD47. We now consider this a failed mechanistic hypothesis.</w:t>
      </w:r>
      <w:r>
        <w:rPr>
          <w:rFonts w:ascii="Times New Roman" w:hAnsi="Times New Roman"/>
          <w:color w:val="000000"/>
          <w:sz w:val="20"/>
        </w:rPr>
        <w:br/>
        <w:t xml:space="preserve">This mechanistic hypothesis was tested and ultimately not supported in our clinical trial, ASPEN-02, a Phase 1b dose optimization study evaluating evorpacept in combination with azacitidine for the treatment of MDS. Initial support for exploring this mechanism was provided by Phase 1b initial clinical data of magrolimab, an anti CD47 antibody with active Fc, being developed by Gilead, which showed improvements in complete response (CR) rate compared to historical data in addition to a significant increase in cytopenias. As we reported in August 2023, in our preliminary data review of our Phase 1 study, ASPEN-02, despite being well tolerated, evorpacept did not yield sufficient activity to support progression to Phase 2 trials. Gilead has since discontinued its Phase 3 magrolimab trials with this combination in both acute myeloid leukemia (AML) and MDS due to lack of efficacy. Based upon trial results, we are no longer planning to pursue combinations based upon this mechanism of action. Resources originally earmarked for these trials will be allocated to support our ongoing programs evaluating combinations with anti-cancer antibodies and PD-1/PD-L1 immune checkpoint inhibitors.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pursuing the following clinical programs, collaborations, and investigator sponsored trials: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ASPEN-06 trial, a randomized Phase 2/3 trial of evorpacept in combination with trastuzumab, ramucirumab and paclitaxel for the treatment of second- and third-line advanced HER2-overexpressing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2023, the European Commission granted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overall response rate (ORR) of 52% was demonstrated for evorpacept in combination with trastuzumab + ramucirumab + paclitaxel compared to 22% for the control group of trastuzumab + ramucirumab + paclitaxel. Median duration of response (mDOR) was not reached for the evorpacept combination treatment arm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compared to 7.4 months for the control group. The safety profile of evorpacept was consistent with previous clinical trials and was well-tolerated.</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antibody drug conjugate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ASPEN-07 - Urothelial Cancer (UC)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2023, we announced the dosing of the first patient in the ASPEN-07 trial, a Phase 1 study evaluating evorpacept in combination with an ADC, enfortumab vedotin-ejfv, for the second-line treatment of locally advanced or metastatic UC.</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ASPEN-03 -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2021, we announced the dosing of the first patient in the ASPEN-03 trial, a randomized Phase 2 trial of evorpacept in combination with pembrolizumab for the treatment of first-line advanced PD-L1 positive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2022, the Food and Drug Administration (FDA) granted Fast Track designation for evorpacept in combination with pembrolizumab for first-line treatment of adult patients with metastatic or unresectable, recurrent HNSCC whose tumors express PD-L1.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ASPEN-04 -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2020, the FDA granted Fast Track designation for evorpacept in combination with pembrolizumab, platinum, and fluorouracil for the first-line treatment of adult patients with metastatic or unresectable, recurrent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2021, we announced the dosing of the first patient in the ASPEN-04 trial, a randomized Phase 2 trial of evorpacept in combination with pembrolizumab, platinum, and fluorouracil for the treatment of first-line advanced HNSCC.</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is sponsoring and managing an ongoing Phase 1 trial of zanidatamab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Quantum Leap Healthcare Collaborative - I-SPY Trial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Quantum Leap Healthcare Collaborative (Quantum Leap), is sponsoring and managing an ongoing Phase 1 trial (I-SPY) to evaluate evorpacept in combination with an ADC, fam-trastuzumab deruxtecan-nxki, for the treatment of patients with unresectable or metastatic HER2-positive and HER2-low breast cancer. We announced the dosing of the first patient in March 2023.</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2021, an IST of evorpacept was initiated in combination with rituximab and lenalidomide for the treatment of patients with indolent and aggressive NHL, sponsored by MD Anderson Cancer Center in Texas. We announced the dosing of the first patient in September 2021.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2023, we announced a collaboration with Sanofi who will sponsor and manage a Phase 1/2 trial of isatuximab and dexamethasone in combination with evorpacept for the treatment of patients with relapsed or refractory multiple myeloma.</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anti-cancer antibody and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Academic Gastrointestinal Cancer Consortium - Colorectal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2022, a Phase 2 IST of evorpacept was initiated in combination with pembrolizumab and cetuximab in patients with refractory microsatellite stable metastatic colorectal cancer, sponsored by the Academic Gastrointestinal Cancer Consortium (AGICC) in New York. We announced the dosing of the first patient in August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Pittsburgh - Ovarian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Pre-clinical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Tallac Therapeutics - ALTA-002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our clinical results to date in multiple oncology indications that show encouraging anti-tumor activity and tolerability and our clinical development plans, our strategy is to pursue evorpacept as a potentially critical component of future oncology combination treatments.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Additionally, with our acquisition of ScalmiBio, Inc. (ScalmiBio) in October 2021, we are developing ADC drug candidates based on our expertise in protein engineering and oncology.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founding, we have devoted substantially all of our resources to developing evorpacept, identifying and advancing preclinical programs, scaling up manufacturing, conducting clinical trials and providing general and administrative support for these operations. We have no products approved for marketing and we have never received any revenue from drug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2022, we filed a universal shelf registration statement (Shelf Registration Statement), which provides for aggregate offerings of up to $450.0 million of the Company’s securities. In May 2022, we filed an amendment to the Shelf Registration Statement, which was declared effective by the Securities and Exchange Commission (SEC) on May 31, 2022. We believe that our Shelf Registration Statement provides us with flexibility to raise additional capital to finance our operations as needed. In December 2021, we entered into a sales agreement (Sales Agreement) with Cantor Fitzgerald &amp; Co. and Credit Suisse Securities (USA) LLC (Credit Suisse), under which we may, subject to the effectiveness of the Shelf Registration Statement, offer and sell our common stock, having aggregate gross proceeds of up to $150.0 million, from time to time through them as our sales agents in an at-the-market offering. In August 2023, we entered into an amendment to the Sales Agreement to include UBS Securities LLC as an additional sales agent and to remove Credit Suisse as a sales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we entered into a loan and security agreement (Loan Agreement) with Oxford Finance LLC, Oxford Finance Credit Fund II LP, and Silicon Valley Bank (SVB) (collectively, the Lenders).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The Company received net proceeds of $9.3 million from the issuance of the term loan, after deducting debt issuance costs of approximately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completed an underwritten follow-on public offering pursuant to the Shelf Registration Statement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and $6.379 per pre-funded warrant. Net proceeds were approximately $58.9 million, after deducting underwriting discounts and commissions of $3.8 million and offering-related expenses of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inception through December 31, 2023, we have raised an aggregate of $613.6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$9.3 million were net proceeds from borrowings under the Loan Agreement, and $58.9 million were net proceeds from our follow-on offering in October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in each year since inception. Our net losses were $160.8 million, $123.5 million and $83.5 million for the years ended December 31, 2023, 2022 and 2021, respectively. As of December 31, 2023, we had an accumulated deficit of $486.3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evorpacept through multiple clinical trials in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evorpacept in solid tumors and hematological malignancies;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discovery and preclinical and clinical development efforts, including our collaborations with Sanofi, Tallac, Jazz, and Quantum Leap and our acquisition of ScalmiBio;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supplies for our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add operational, financial and management information systems to support ongoing operations as a public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the development of our lead product candidate, evorpacept,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related benefits, travel and stock-based compensation expenses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production of clinical materials, including fees paid to contract manufacturing organizations, or CMOs;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vendor expenses and third-party drugs related to the execution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expenses, which include expenses for rent and maintenance of facilities, depreciation and amortization expense and other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acquired in-process research and development (IPR&amp;D) and milestone payments related to our ScalmiBio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Almost all of our research and development expenses to date have been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11 to our consolidated financial statements appearing elsewhere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current and future product candidates is highly uncertain. This is due to numerous risks and uncertainties,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regulators or institutional review boards authorizing us or our investigators to commence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agreements with clinical trial sites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third-party manufacturers for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enforcing our rights in our intellectual property portfolio, including, if necessary,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income consists primarily of interest income on cash, cash equivalents and short-term and long-term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expense consists primarily of interest expense on the term loan, amortization of deferred debt issuance costs, and interest related to finance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other income (expense), net consists primarily of realized foreign currency transaction gains and losses and other income from an immaterial service contract.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and Net Loss</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Years Ended December 31, 2023 and 2022</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years ended December 31, 2023 and 2022 (in thousands):</w:t>
      </w:r>
    </w:p>
    <w:tbl>
      <w:tblPr>
        <w:tblW w:w="8167" w:type="dxa"/>
        <w:jc w:val="left"/>
        <w:tblInd w:w="0" w:type="dxa"/>
        <w:tblLayout w:type="fixed"/>
        <w:tblCellMar>
          <w:top w:w="28" w:type="dxa"/>
          <w:left w:w="28" w:type="dxa"/>
          <w:bottom w:w="28" w:type="dxa"/>
          <w:right w:w="28" w:type="dxa"/>
        </w:tblCellMar>
      </w:tblPr>
      <w:tblGrid>
        <w:gridCol w:w="2586"/>
        <w:gridCol w:w="146"/>
        <w:gridCol w:w="211"/>
        <w:gridCol w:w="841"/>
        <w:gridCol w:w="166"/>
        <w:gridCol w:w="146"/>
        <w:gridCol w:w="211"/>
        <w:gridCol w:w="841"/>
        <w:gridCol w:w="166"/>
        <w:gridCol w:w="146"/>
        <w:gridCol w:w="211"/>
        <w:gridCol w:w="736"/>
        <w:gridCol w:w="166"/>
        <w:gridCol w:w="146"/>
        <w:gridCol w:w="146"/>
        <w:gridCol w:w="586"/>
        <w:gridCol w:w="716"/>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for the years ended December 31, 2023 and 2022 (in thousands):</w:t>
      </w:r>
    </w:p>
    <w:tbl>
      <w:tblPr>
        <w:tblW w:w="8542" w:type="dxa"/>
        <w:jc w:val="left"/>
        <w:tblInd w:w="0" w:type="dxa"/>
        <w:tblLayout w:type="fixed"/>
        <w:tblCellMar>
          <w:top w:w="28" w:type="dxa"/>
          <w:left w:w="28" w:type="dxa"/>
          <w:bottom w:w="28" w:type="dxa"/>
          <w:right w:w="28" w:type="dxa"/>
        </w:tblCellMar>
      </w:tblPr>
      <w:tblGrid>
        <w:gridCol w:w="3696"/>
        <w:gridCol w:w="146"/>
        <w:gridCol w:w="211"/>
        <w:gridCol w:w="781"/>
        <w:gridCol w:w="146"/>
        <w:gridCol w:w="146"/>
        <w:gridCol w:w="211"/>
        <w:gridCol w:w="676"/>
        <w:gridCol w:w="146"/>
        <w:gridCol w:w="146"/>
        <w:gridCol w:w="211"/>
        <w:gridCol w:w="676"/>
        <w:gridCol w:w="166"/>
        <w:gridCol w:w="146"/>
        <w:gridCol w:w="146"/>
        <w:gridCol w:w="376"/>
        <w:gridCol w:w="51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expenses increased by $43.4 million for the year ended December 31, 2023 compared to the year ended December 31, 2022. The increase was primarily attributable to (i) an increase of $35.9 million in clinical and development costs primarily due to increase of $39.9 million in costs to support a higher number of active clinical trials and future expected patient enrollment for the advancement of our lead product candidate, evorpacept, including costs to manufacture clinical trial materials, and an increase of $0.9 million related to the Zymeworks/Jazz Collaboration due to increase in patient enrollment, offset by a $4.8 million decrease related to the Tallac Collaboration for costs related to the IND filing planned for the first quarter of 2024, for which the primary work was completed in 2022, (ii) an increase of $4.9 million in personnel and related costs due primarily to a $6.4 million increase driven by headcount growth offset by a $1.5 million decrease due to absence of retention bonus paid to ScalmiBio stockholders in the current year compared to prior year, (iii) an increase of $3.9 million in stock-based compensation expense primarily due to a full year of expense for awards granted during the year ended December 31, 2022 as well as additional awards granted since December 31, 2022 and a change in role for our former Chief Executive Officer who transitioned in September 2023 to the Chief Scientific Officer role, which is solely focused on R&amp;D activities, resulting in additional R&amp;D stock-based compensation, and (iv) a decrease of $1.2 million in other research costs due primarily to a decrease of $2.5 million in VAT fees related to companion drugs purchase for use in our clinical trials offset by an increase of $1.5 million in facility and IT costs due to substantial increase in R&amp;D headcount as compared to G&amp;A headcount leading to higher percentage of allocation of costs to R&amp;D.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general and administrative expenses incurred for the years ended December 31, 2023 and 2022 (in thousands):</w:t>
      </w:r>
    </w:p>
    <w:tbl>
      <w:tblPr>
        <w:tblW w:w="8437" w:type="dxa"/>
        <w:jc w:val="left"/>
        <w:tblInd w:w="0" w:type="dxa"/>
        <w:tblLayout w:type="fixed"/>
        <w:tblCellMar>
          <w:top w:w="28" w:type="dxa"/>
          <w:left w:w="28" w:type="dxa"/>
          <w:bottom w:w="28" w:type="dxa"/>
          <w:right w:w="28" w:type="dxa"/>
        </w:tblCellMar>
      </w:tblPr>
      <w:tblGrid>
        <w:gridCol w:w="3741"/>
        <w:gridCol w:w="146"/>
        <w:gridCol w:w="211"/>
        <w:gridCol w:w="676"/>
        <w:gridCol w:w="146"/>
        <w:gridCol w:w="146"/>
        <w:gridCol w:w="211"/>
        <w:gridCol w:w="676"/>
        <w:gridCol w:w="146"/>
        <w:gridCol w:w="146"/>
        <w:gridCol w:w="211"/>
        <w:gridCol w:w="631"/>
        <w:gridCol w:w="166"/>
        <w:gridCol w:w="146"/>
        <w:gridCol w:w="146"/>
        <w:gridCol w:w="376"/>
        <w:gridCol w:w="516"/>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$0.6 million for the year ended December 31, 2023 compared to the year ended December 31, 2022. The decrease was primarily attributable to (i) a decrease of $1.5 million in stock-based compensation expense due to a change in role for our former Chief Executive Officer who transitioned in September 2023 to the Chief Scientific Officer role, which is solely focused on R&amp;D activities, resulting in reduction in G&amp;A stock-based compensation, (ii) a decrease of $0.4 million in other costs primarily driven by decrease in business insurance costs, and (iii) an increase of $1.3 million in personnel and related costs primarily driven by merit increases.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increased by $6.4 million for the year ended December 31, 2023 compared to the year ended December 31, 2022. The increases were primarily attributable to higher interest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$1.3 million for the year ended December 31, 2023 compared to the year ended December 31, 2022. The increase was primarily attributable to interest expense associated with the Loan Agreement, which the Company entered into in October 2022. There was a full twelve months of interest expense in 2023 as compared to 2022, when the Company only incurred interest expense from October to December.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increased by $0.4 million for the year ended December 31, 2023 compared to the year ended December 31, 2022. The increase was primarily attributable to other income from an immaterial service contract, under which the Company provides R&amp;D services for another company. There was no comparable other income during the nine months ended December 31,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 Plan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December 31, 2023, we had cash, cash equivalents and short-term and long-term investments of $218.1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and negative cash flows from operations since inception and anticipate that we will continue to incur net losses for the foreseeable future. As of December 31, 2023, we had an accumulated deficit of $486.3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agreements with third-party manufacturers for clinical supply for our clinical trials and, if any of our product candidates are approved,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and retention of key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financial and information management systems, and hire additional personnel, including personnel to support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patent costs involved in prosecuting patent applications and enforcing patent claims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collaboration, license or other arrangement, including the terms and timing of any milestone and royalty payments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such as inflation, economic downturns, disasters, and medical or public health crises;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COVID-19 pandemic, bank failures or instability in the financial services sector, or geopolitical risks, which may exacerbate the magnitude of the factors discussed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we entered into a sales agreement with Cantor Fitzgerald &amp; Co. and Credit Suisse Securities (USA) LLC, under which we may offer and sell our common stock, having aggregate gross proceeds of up to $150.0 million, from time to time through them as our sales agents in our at-the-market equity offering program. In March 2022, we filed a Shelf Registration Statement with the SEC. In May 2022, we filed an amended Shelf Registration Statement, which was declared effective by the SEC on May 31, 2022. In August 2023, we entered into an amendment to the Sales Agreement to include UBS Securities LLC as an additional sales agent and to remove Credit Suisse as a sales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as described above.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For a description of the terms of the Loan Agreement, see “Note 7. Term Loan” to our consolidated financial statements included elsewhere in this Annual Report on Form 10-K.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FDIC to act as receiver. The FDIC created SVBB as successor to SVB. First Citizens Bank acquired SVBB from the FDIC and operates SVBB as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completed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existing cash, cash equivalents, short-term and long-term investments along with the ability to draw down an additional $40 million of our term loan at our discretion will enable us to fund our operating expenses and capital expenditure requirements into early 2026. We have based these estimates on assumptions in which actuals may materially differ, and we could utilize our available capital resources sooner than we expect.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a summary of the net cash flow activity for the years ended December 31, 2023 and 2022 (in thousands):</w:t>
      </w:r>
    </w:p>
    <w:p>
      <w:pPr>
        <w:pStyle w:val="TextBody"/>
        <w:bidi w:val="0"/>
        <w:jc w:val="left"/>
        <w:rPr/>
      </w:pPr>
      <w:r>
        <w:rPr/>
        <w:t> </w:t>
      </w:r>
    </w:p>
    <w:tbl>
      <w:tblPr>
        <w:tblW w:w="8973" w:type="dxa"/>
        <w:jc w:val="left"/>
        <w:tblInd w:w="0" w:type="dxa"/>
        <w:tblLayout w:type="fixed"/>
        <w:tblCellMar>
          <w:top w:w="28" w:type="dxa"/>
          <w:left w:w="28" w:type="dxa"/>
          <w:bottom w:w="28" w:type="dxa"/>
          <w:right w:w="28" w:type="dxa"/>
        </w:tblCellMar>
      </w:tblPr>
      <w:tblGrid>
        <w:gridCol w:w="4741"/>
        <w:gridCol w:w="146"/>
        <w:gridCol w:w="211"/>
        <w:gridCol w:w="841"/>
        <w:gridCol w:w="166"/>
        <w:gridCol w:w="146"/>
        <w:gridCol w:w="211"/>
        <w:gridCol w:w="841"/>
        <w:gridCol w:w="166"/>
        <w:gridCol w:w="146"/>
        <w:gridCol w:w="211"/>
        <w:gridCol w:w="736"/>
        <w:gridCol w:w="4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411" w:type="dxa"/>
            <w:tcBorders/>
            <w:shd w:fill="FFFFFF" w:val="cle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(68,101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ended December 31, 2023, net cash used in operating activities of $130.4 million was attributable to a net loss of $160.8 million, offset by non-cash charges of $22.1 million and an increase in net operating assets and liabilities of $8.3 million. Non-cash charges consisted primarily of stock-based compensation expense of $26.3 million, non-cash lease costs of $1.3 million, and depreciation and amortization costs of $0.8 million offset by net amortization of premiums and accretion of discounts on investments of $6.5 million. The change in operating assets and liabilities was primarily due to an increase in accounts payable and accrued expenses and other current liabilities of $10.6 million primarily due to timing of invoices and payments and a decrease in other assets of $1.4 million offset by an increase in prepaid and other current assets of $1.3 million and a decrease in other non-current liabilities of $2.4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year ended December 31, 2022, net cash used in operating activities of $89.2 million was attributable to a net loss of $123.5 million, offset by non-cash charges of $24.4 million and an increase in net operating assets and liabilities of $9.9 million. Non-cash charges consisted primarily of stock-based compensation expense of $23.8 million and non-cash lease costs of $1.1 million. The change in operating assets and liabilities was primarily due to an increase in accounts payable and accrued expenses and other current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of $11.6 million primarily due to timing of invoices and payments and a decrease in other assets of $0.8 million offset by an increase in prepaid and other current assets of $1.5 million and a decrease in other non-current liabilities of $1.0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ended December 31, 2023, net cash used in investing activities of $44.7 million was attributable to purchases of short-term and long-term investments of $246.6 million and purchases of property and equipment of $1.3 million, offset by cash received for maturities of investments of $292.6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ended December 31, 2022, net cash used in investing activities of $235.4 million was attributable to purchases of short-term and long-term investments of $376.8 million and purchases of property and equipment of $1.4 million, offset by cash received for maturities of investments of $142.8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ended December 31, 2023, net cash provided by financing activities of $59.3 million was attributable to proceeds from equity offerings, net of underwriter discounts and issuance costs, of $58.9 million, proceeds from issuance of common stock pursuant to employee stock purchase plan of $0.5 million, and proceeds from the exercise of stock options under equity incentive plans of $0.3 million, offset by principal payments on finance leases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ended December 31, 2022, net cash provided by financing activities of $9.9 million was attributable to proceeds from issuance of the term loan of $10.0 million offset by payments for debt issuance costs of $0.7 million, proceeds from the exercise of stock options under equity incentive plans of $0.6 million, and proceeds from issuance of common stock pursuant to employee stock purchase plan of $0.3 million, offset by principal payments on finance leases of $0.4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presented, we did not have, nor do we currently have,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financial statements, which have been prepared in accordance with generally accepted accounting principles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are more fully described in the notes to our audited consolidated financial statements elsewhere in this Annual Report on Form 10-K. We believe that the following accounting policy reflects the most critical judgments and estimation uncertainty used in the preparation of our Consolidated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and Contract Manufacturing Accruals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accruals for estimated costs of research, preclinical studies and clinical trials, and manufacturing development, which are a significant component of research and development expenses. A substantial portion of our ongoing research and development activities are conducted by third-party service providers, including CROs and contract manufacturing organizations, or CMOs. Our contracts with CROs generally include pass-through fees such as regulatory expenses, investigator fees, travel costs and other miscellaneous costs, including shipping and printing fees. Similarly, our contracts with CMOs generally include pass-through fees such as raw materials and other miscellaneous costs, including shipping.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but not yet invoiced in accordance with the respective agreements. We determine the estimated costs through discussions with internal personnel and external service providers as to the progress or stage of completion of the services and the agreed-upon fees to be paid for such services. To assist in our estimates, we rely upon the receipt of timely and accurate reporting from our clinical and non-clinical studies and other third-party vendors.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significant judgments and estimates in determining the accrual balance related to our CMOs at the end of each reporting period based on discussion with internal personnel who work directly and meet regularly with the CMOs.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our reporting amounts that are too high or too low in any particular period. Through December 31, 2023, there have been no material differences from our accrued estimated expenses to the actual clinical trial and manufacturing development expenses. However, variations in the assumptions used to estimate accruals, including, but not limited to, the number of patients enrolled, the rate of patient enrollment, the actual services performed, and related costs may vary from our estimates, resulting in adjustments to clinical trial expense and manufacturing costs in future periods. Changes in these estimates that result in material changes to our accruals could materially affect our financial position and results of our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Significant Accounting Policies” of the Notes to Consolidated Financial Statements in “Item 8. Financial Statements and Supplementary Data” for a full description of recent accounting pronouncements, including the respective expected dates of adoption and estimated effects, if any, on our consolidated financial statements. </w:t>
      </w:r>
    </w:p>
    <w:p>
      <w:pPr>
        <w:pStyle w:val="TextBody"/>
        <w:bidi w:val="0"/>
        <w:spacing w:before="360" w:after="283"/>
        <w:jc w:val="left"/>
        <w:rPr>
          <w:rFonts w:ascii="Times New Roman" w:hAnsi="Times New Roman"/>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These risks primarily include interest rate sensitivities.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cash, cash equivalents and investments of $218.1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borrowings of $10.0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 (FDIC).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In March 2023, SVB, where the Company maintained operating accounts with a cash balance of less than 1% of the Company’s total cash, cash equivalents and investments, was closed by the California Department of Financial Protection and Innovation, which appointed the FDIC to act as receiver. The FDIC created Silicon Valley Bridge Bank, N.A. (SVBB) as successor to SVB. First Citizens BancShares, Inc. (First Citizens Bank) acquired SVBB from the FDIC and assumed all of SVB’s deposits and loans. In light of the foregoing, the Company does not believe that it had exposure to loss as a result of SVB’s receivership.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periods presented, the Company has not experienced any realized losses on its deposits of cash, cash equivalents or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effect on our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5" w:name="item_8_financial_statements_supplementar"/>
      <w:bookmarkEnd w:id="15"/>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6797" w:type="dxa"/>
        <w:jc w:val="left"/>
        <w:tblInd w:w="0" w:type="dxa"/>
        <w:tblLayout w:type="fixed"/>
        <w:tblCellMar>
          <w:top w:w="28" w:type="dxa"/>
          <w:left w:w="28" w:type="dxa"/>
          <w:bottom w:w="28" w:type="dxa"/>
          <w:right w:w="28" w:type="dxa"/>
        </w:tblCellMar>
      </w:tblPr>
      <w:tblGrid>
        <w:gridCol w:w="6331"/>
        <w:gridCol w:w="466"/>
      </w:tblGrid>
      <w:tr>
        <w:trPr/>
        <w:tc>
          <w:tcPr>
            <w:tcW w:w="63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185)</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EE"/>
                  <w:sz w:val="20"/>
                  <w:u w:val="single"/>
                </w:rPr>
                <w:t>Consolidated Balance Sheets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EE"/>
                  <w:sz w:val="20"/>
                  <w:u w:val="single"/>
                </w:rPr>
                <w:t>Consolidated 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r_loss">
              <w:r>
                <w:rPr>
                  <w:rStyle w:val="InternetLink"/>
                  <w:rFonts w:ascii="Times New Roman" w:hAnsi="Times New Roman"/>
                  <w:color w:val="0000FF"/>
                  <w:sz w:val="20"/>
                  <w:u w:val="single"/>
                </w:rPr>
                <w:t>Consolidated Statements of Comprehensive Loss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stockholders">
              <w:r>
                <w:rPr>
                  <w:rStyle w:val="InternetLink"/>
                  <w:rFonts w:ascii="Times New Roman" w:hAnsi="Times New Roman"/>
                  <w:color w:val="0000FF"/>
                  <w:sz w:val="20"/>
                  <w:u w:val="single"/>
                </w:rPr>
                <w:t>Consolidated Statements of Stockholders’ Equity (Deficit)</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EE"/>
                  <w:sz w:val="20"/>
                  <w:u w:val="single"/>
                </w:rPr>
                <w:t>Consolidated 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EE"/>
                  <w:sz w:val="20"/>
                  <w:u w:val="single"/>
                </w:rPr>
                <w:t>Notes to Consolidated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report_independent_registered_public_acc"/>
      <w:bookmarkEnd w:id="1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w:t>
      </w:r>
    </w:p>
    <w:p>
      <w:pPr>
        <w:pStyle w:val="TextBody"/>
        <w:bidi w:val="0"/>
        <w:jc w:val="left"/>
        <w:rPr>
          <w:rFonts w:ascii="Times New Roman" w:hAnsi="Times New Roman"/>
          <w:color w:val="000000"/>
          <w:sz w:val="20"/>
        </w:rPr>
      </w:pPr>
      <w:r>
        <w:rPr>
          <w:rFonts w:ascii="Times New Roman" w:hAnsi="Times New Roman"/>
          <w:color w:val="000000"/>
          <w:sz w:val="20"/>
        </w:rPr>
        <w:t>ALX Oncology Holdings Inc.:</w:t>
      </w:r>
    </w:p>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Opinion on the Consolidated Financial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ALX Oncology Holdings Inc. and subsidiaries (the Company) as of December 31, 2023 and December 31, 2022, the related consolidated statements of operations, comprehensive loss, stockholders’ equity (deficit),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December 31, 2022, and the results of its operations and its cash flows for each of the years in the three-year period ended December 31, 2023, in conformity with U.S. generally accepted accounting principles.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Assessment of contract manufacturing accruals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discussed in Notes 2 and 5 to the consolidated financial statements, the Company has contract manufacturing accruals of $9,543 thousand. The Company accrues the costs incurred under agreements with contract manufacturing organizations (CMOs) based on estimates of actual work completed but not yet invoiced in accordance with the respective agreements. The Company determines the estimated costs incurred through discussions with internal personnel and external service providers as to the progress or stage of completion of the services and the agreed-upon fees to be paid for such services.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identified the assessment of contract manufacturing accruals as a critical audit matter. Specifically, assessing the estimate of contract manufacturing activities completed but not yet invoiced required a higher degree of auditor judgment. Changes to the estimate of contract manufacturing activities completed but not yet invoiced could have had a significant impact on the contract manufacturing accrual recorded by the Company.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following are the primary procedures we performed to address this critical audit matter. We assessed the Company’s estimate of the related contract manufacturing activities completed but not yet invoiced for a sample of the Company’s contract manufacturing accruals by: (1) inquiring of Company personnel responsible for overseeing the respective manufacturing activities to understand their progress; (2) inspecting correspondence received by the Company from CMOs, if any, and comparing the reported information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Company’s estimate; and (3) inspecting the terms of the contract and any executed change orders and comparing them to the Company’s contract manufacturing accruals.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San Francisco, California</w:t>
        <w:br/>
        <w:t>March 7,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r>
        <w:rPr/>
        <w:t> </w:t>
      </w:r>
    </w:p>
    <w:tbl>
      <w:tblPr>
        <w:tblW w:w="9565" w:type="dxa"/>
        <w:jc w:val="left"/>
        <w:tblInd w:w="0" w:type="dxa"/>
        <w:tblLayout w:type="fixed"/>
        <w:tblCellMar>
          <w:top w:w="28" w:type="dxa"/>
          <w:left w:w="28" w:type="dxa"/>
          <w:bottom w:w="28" w:type="dxa"/>
          <w:right w:w="28" w:type="dxa"/>
        </w:tblCellMar>
      </w:tblPr>
      <w:tblGrid>
        <w:gridCol w:w="5976"/>
        <w:gridCol w:w="146"/>
        <w:gridCol w:w="252"/>
        <w:gridCol w:w="1008"/>
        <w:gridCol w:w="166"/>
        <w:gridCol w:w="146"/>
        <w:gridCol w:w="252"/>
        <w:gridCol w:w="1008"/>
        <w:gridCol w:w="611"/>
      </w:tblGrid>
      <w:tr>
        <w:trPr/>
        <w:tc>
          <w:tcPr>
            <w:tcW w:w="5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vAlign w:val="center"/>
          </w:tcPr>
          <w:p>
            <w:pPr>
              <w:pStyle w:val="TableContents"/>
              <w:bidi w:val="0"/>
              <w:spacing w:before="0" w:after="283"/>
              <w:jc w:val="center"/>
              <w:rPr/>
            </w:pPr>
            <w:r>
              <w:rPr/>
              <w:t> </w:t>
            </w:r>
          </w:p>
        </w:tc>
      </w:tr>
      <w:tr>
        <w:trPr/>
        <w:tc>
          <w:tcPr>
            <w:tcW w:w="5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217,385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270,969</w:t>
            </w:r>
          </w:p>
        </w:tc>
        <w:tc>
          <w:tcPr>
            <w:tcW w:w="611" w:type="dxa"/>
            <w:tcBorders/>
            <w:shd w:fill="FFFFFF" w:val="clear"/>
            <w:vAlign w:val="center"/>
          </w:tcPr>
          <w:p>
            <w:pPr>
              <w:pStyle w:val="TableContents"/>
              <w:bidi w:val="0"/>
              <w:spacing w:before="0" w:after="283"/>
              <w:jc w:val="left"/>
              <w:rPr/>
            </w:pPr>
            <w:r>
              <w:rPr/>
              <w:t> </w:t>
            </w:r>
          </w:p>
        </w:tc>
      </w:tr>
      <w:tr>
        <w:trPr/>
        <w:tc>
          <w:tcPr>
            <w:tcW w:w="5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611" w:type="dxa"/>
            <w:tcBorders/>
            <w:shd w:fill="CFF0FC" w:val="clear"/>
            <w:vAlign w:val="center"/>
          </w:tcPr>
          <w:p>
            <w:pPr>
              <w:pStyle w:val="TableContents"/>
              <w:bidi w:val="0"/>
              <w:spacing w:before="0" w:after="283"/>
              <w:jc w:val="left"/>
              <w:rPr/>
            </w:pPr>
            <w:r>
              <w:rPr/>
              <w:t> </w:t>
            </w:r>
          </w:p>
        </w:tc>
      </w:tr>
      <w:tr>
        <w:trPr/>
        <w:tc>
          <w:tcPr>
            <w:tcW w:w="5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16,699</w:t>
            </w:r>
          </w:p>
        </w:tc>
        <w:tc>
          <w:tcPr>
            <w:tcW w:w="611" w:type="dxa"/>
            <w:tcBorders/>
            <w:shd w:fill="FFFFFF" w:val="clear"/>
            <w:vAlign w:val="center"/>
          </w:tcPr>
          <w:p>
            <w:pPr>
              <w:pStyle w:val="TableContents"/>
              <w:bidi w:val="0"/>
              <w:spacing w:before="0" w:after="283"/>
              <w:jc w:val="left"/>
              <w:rPr/>
            </w:pPr>
            <w:r>
              <w:rPr/>
              <w:t> </w:t>
            </w:r>
          </w:p>
        </w:tc>
      </w:tr>
      <w:tr>
        <w:trPr/>
        <w:tc>
          <w:tcPr>
            <w:tcW w:w="5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306,489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and accrued liabilities due to related party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28,325</w:t>
            </w:r>
          </w:p>
        </w:tc>
        <w:tc>
          <w:tcPr>
            <w:tcW w:w="611" w:type="dxa"/>
            <w:tcBorders/>
            <w:shd w:fill="CFF0FC" w:val="clear"/>
            <w:vAlign w:val="center"/>
          </w:tcPr>
          <w:p>
            <w:pPr>
              <w:pStyle w:val="TableContents"/>
              <w:bidi w:val="0"/>
              <w:spacing w:before="0" w:after="283"/>
              <w:jc w:val="left"/>
              <w:rPr/>
            </w:pPr>
            <w:r>
              <w:rPr/>
              <w:t> </w:t>
            </w:r>
          </w:p>
        </w:tc>
      </w:tr>
      <w:tr>
        <w:trPr/>
        <w:tc>
          <w:tcPr>
            <w:tcW w:w="5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w:t>
            </w:r>
          </w:p>
        </w:tc>
        <w:tc>
          <w:tcPr>
            <w:tcW w:w="611" w:type="dxa"/>
            <w:tcBorders/>
            <w:shd w:fill="FFFFFF" w:val="clear"/>
            <w:vAlign w:val="center"/>
          </w:tcPr>
          <w:p>
            <w:pPr>
              <w:pStyle w:val="TableContents"/>
              <w:bidi w:val="0"/>
              <w:spacing w:before="0" w:after="283"/>
              <w:jc w:val="left"/>
              <w:rPr/>
            </w:pPr>
            <w:r>
              <w:rPr/>
              <w:t> </w:t>
            </w:r>
          </w:p>
        </w:tc>
      </w:tr>
      <w:tr>
        <w:trPr/>
        <w:tc>
          <w:tcPr>
            <w:tcW w:w="5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$0.001 par value; 1,000,000,000 shares authorized </w:t>
              <w:br/>
              <w:t xml:space="preserve">     as of December 31, 2023 and December 31, 2022; 49,951,989 and </w:t>
              <w:br/>
              <w:t>     40,861,386 shares issued and outstanding as of December 31, 2023</w:t>
              <w:br/>
              <w:t>     and December 31, 2022, respectively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589,735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306,489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18" w:name="consolidated_statements_operations_compr"/>
      <w:bookmarkEnd w:id="18"/>
      <w:r>
        <w:rPr>
          <w:rFonts w:ascii="Times New Roman" w:hAnsi="Times New Roman"/>
          <w:b/>
          <w:color w:val="000000"/>
          <w:sz w:val="20"/>
        </w:rPr>
        <w:t>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9363" w:type="dxa"/>
        <w:jc w:val="left"/>
        <w:tblInd w:w="0" w:type="dxa"/>
        <w:tblLayout w:type="fixed"/>
        <w:tblCellMar>
          <w:top w:w="28" w:type="dxa"/>
          <w:left w:w="28" w:type="dxa"/>
          <w:bottom w:w="28" w:type="dxa"/>
          <w:right w:w="28" w:type="dxa"/>
        </w:tblCellMar>
      </w:tblPr>
      <w:tblGrid>
        <w:gridCol w:w="4261"/>
        <w:gridCol w:w="146"/>
        <w:gridCol w:w="211"/>
        <w:gridCol w:w="1036"/>
        <w:gridCol w:w="166"/>
        <w:gridCol w:w="146"/>
        <w:gridCol w:w="211"/>
        <w:gridCol w:w="1036"/>
        <w:gridCol w:w="166"/>
        <w:gridCol w:w="146"/>
        <w:gridCol w:w="211"/>
        <w:gridCol w:w="1036"/>
        <w:gridCol w:w="5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591" w:type="dxa"/>
            <w:tcBorders/>
            <w:shd w:fill="FFFFFF" w:val="cle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(83,484</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used to </w:t>
              <w:br/>
              <w:t>    compute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42,987,767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40,699,612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40,308,050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consolidated_statements_of_compr_loss"/>
      <w:bookmarkEnd w:id="19"/>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9033" w:type="dxa"/>
        <w:jc w:val="left"/>
        <w:tblInd w:w="0" w:type="dxa"/>
        <w:tblLayout w:type="fixed"/>
        <w:tblCellMar>
          <w:top w:w="28" w:type="dxa"/>
          <w:left w:w="28" w:type="dxa"/>
          <w:bottom w:w="28" w:type="dxa"/>
          <w:right w:w="28" w:type="dxa"/>
        </w:tblCellMar>
      </w:tblPr>
      <w:tblGrid>
        <w:gridCol w:w="4821"/>
        <w:gridCol w:w="146"/>
        <w:gridCol w:w="211"/>
        <w:gridCol w:w="841"/>
        <w:gridCol w:w="166"/>
        <w:gridCol w:w="146"/>
        <w:gridCol w:w="211"/>
        <w:gridCol w:w="841"/>
        <w:gridCol w:w="166"/>
        <w:gridCol w:w="146"/>
        <w:gridCol w:w="211"/>
        <w:gridCol w:w="736"/>
        <w:gridCol w:w="39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7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(83,463</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 net of tax:</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available-for-sale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consolidated_statements_of_stockholders"/>
      <w:bookmarkEnd w:id="20"/>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46"/>
        <w:gridCol w:w="146"/>
        <w:gridCol w:w="146"/>
        <w:gridCol w:w="916"/>
        <w:gridCol w:w="146"/>
        <w:gridCol w:w="146"/>
        <w:gridCol w:w="249"/>
        <w:gridCol w:w="442"/>
        <w:gridCol w:w="146"/>
        <w:gridCol w:w="146"/>
        <w:gridCol w:w="196"/>
        <w:gridCol w:w="691"/>
        <w:gridCol w:w="146"/>
        <w:gridCol w:w="146"/>
        <w:gridCol w:w="337"/>
        <w:gridCol w:w="879"/>
        <w:gridCol w:w="166"/>
        <w:gridCol w:w="146"/>
        <w:gridCol w:w="217"/>
        <w:gridCol w:w="834"/>
        <w:gridCol w:w="166"/>
        <w:gridCol w:w="146"/>
        <w:gridCol w:w="226"/>
        <w:gridCol w:w="868"/>
        <w:gridCol w:w="412"/>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vAlign w:val="center"/>
          </w:tcPr>
          <w:p>
            <w:pPr>
              <w:pStyle w:val="TableContents"/>
              <w:bidi w:val="0"/>
              <w:spacing w:before="0" w:after="283"/>
              <w:jc w:val="center"/>
              <w:rPr/>
            </w:pPr>
            <w:r>
              <w:rPr/>
              <w:t> </w:t>
            </w:r>
          </w:p>
        </w:tc>
      </w:tr>
      <w:tr>
        <w:trPr/>
        <w:tc>
          <w:tcPr>
            <w:tcW w:w="2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39,844,522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548,327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(118,522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429,845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13,914</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(83,463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40,587,067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(201,985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363,049</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225,612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23,839</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(123,482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40,861,386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(325,467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263,464</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Issuance of common stock and pre-funded</w:t>
              <w:br/>
              <w:t>   warrants in connection with equity</w:t>
              <w:br/>
              <w:t>   offerings, net of underwriter discounts ($3.8</w:t>
            </w:r>
            <w:r>
              <w:rPr>
                <w:rFonts w:ascii="Times New Roman" w:hAnsi="Times New Roman"/>
                <w:color w:val="000000"/>
                <w:sz w:val="20"/>
              </w:rPr>
              <w:t> </w:t>
            </w:r>
            <w:r>
              <w:rPr>
                <w:rFonts w:ascii="Times New Roman" w:hAnsi="Times New Roman"/>
                <w:color w:val="000000"/>
                <w:sz w:val="16"/>
              </w:rPr>
              <w:br/>
              <w:t>   million) and issuance costs ($0.6</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8,663,793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58,887</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available-for-sale</w:t>
              <w:br/>
              <w:t>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49,951,989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189,712</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21" w:name="consolidated_statements_cash_flows"/>
      <w:bookmarkEnd w:id="21"/>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843"/>
        <w:gridCol w:w="146"/>
        <w:gridCol w:w="196"/>
        <w:gridCol w:w="751"/>
        <w:gridCol w:w="166"/>
        <w:gridCol w:w="146"/>
        <w:gridCol w:w="196"/>
        <w:gridCol w:w="751"/>
        <w:gridCol w:w="166"/>
        <w:gridCol w:w="146"/>
        <w:gridCol w:w="196"/>
        <w:gridCol w:w="691"/>
        <w:gridCol w:w="811"/>
      </w:tblGrid>
      <w:tr>
        <w:trPr/>
        <w:tc>
          <w:tcPr>
            <w:tcW w:w="5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8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811" w:type="dxa"/>
            <w:tcBorders/>
            <w:shd w:fill="FFFFFF" w:val="clear"/>
            <w:vAlign w:val="center"/>
          </w:tcPr>
          <w:p>
            <w:pPr>
              <w:pStyle w:val="TableContents"/>
              <w:bidi w:val="0"/>
              <w:spacing w:before="0" w:after="283"/>
              <w:jc w:val="center"/>
              <w:rPr/>
            </w:pPr>
            <w:r>
              <w:rPr/>
              <w:t> </w:t>
            </w:r>
          </w:p>
        </w:tc>
      </w:tr>
      <w:tr>
        <w:trPr/>
        <w:tc>
          <w:tcPr>
            <w:tcW w:w="58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8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(83,463</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lease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Acquired in-process research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13,914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amortization of premiums and accretion of discounts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term loan discount and issuance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584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4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(9,682</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4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3,290</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84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Payable and accrued liabilities due to related party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84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3,306</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84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84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(68,101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4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(246,629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(376,789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292,560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Acquisition of in-process research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4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Proceeds from equity offerings, net of underwriter discounts ($3.8</w:t>
            </w:r>
            <w:r>
              <w:rPr>
                <w:rFonts w:ascii="Times New Roman" w:hAnsi="Times New Roman"/>
                <w:color w:val="000000"/>
                <w:sz w:val="20"/>
              </w:rPr>
              <w:t> </w:t>
            </w:r>
            <w:r>
              <w:rPr>
                <w:rFonts w:ascii="Times New Roman" w:hAnsi="Times New Roman"/>
                <w:color w:val="000000"/>
                <w:sz w:val="16"/>
              </w:rPr>
              <w:t>million) and issuance costs ($0.6</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stock options under equity incentive plan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finance leases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term loan,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Payments of debt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(314,779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(70,552</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year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434,219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363,667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84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58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811" w:type="dxa"/>
            <w:tcBorders/>
            <w:shd w:fill="CFF0FC" w:val="clear"/>
            <w:vAlign w:val="center"/>
          </w:tcPr>
          <w:p>
            <w:pPr>
              <w:pStyle w:val="TableContents"/>
              <w:bidi w:val="0"/>
              <w:spacing w:before="0" w:after="283"/>
              <w:jc w:val="left"/>
              <w:rPr/>
            </w:pPr>
            <w:r>
              <w:rPr/>
              <w:t> </w:t>
            </w:r>
          </w:p>
        </w:tc>
      </w:tr>
      <w:tr>
        <w:trPr/>
        <w:tc>
          <w:tcPr>
            <w:tcW w:w="58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taxes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811" w:type="dxa"/>
            <w:tcBorders/>
            <w:shd w:fill="FFFFFF" w:val="clear"/>
            <w:vAlign w:val="center"/>
          </w:tcPr>
          <w:p>
            <w:pPr>
              <w:pStyle w:val="TableContents"/>
              <w:bidi w:val="0"/>
              <w:spacing w:before="0" w:after="283"/>
              <w:jc w:val="left"/>
              <w:rPr/>
            </w:pPr>
            <w:r>
              <w:rPr/>
              <w:t> </w:t>
            </w:r>
          </w:p>
        </w:tc>
      </w:tr>
      <w:tr>
        <w:trPr/>
        <w:tc>
          <w:tcPr>
            <w:tcW w:w="584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84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Acquisition of in-process research and development in accounts payable and</w:t>
              <w:br/>
              <w:t>     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Right-of-use asset acquired under operating leases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Right-of-use asset acquired under finance leases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w:t>
            </w:r>
          </w:p>
        </w:tc>
        <w:tc>
          <w:tcPr>
            <w:tcW w:w="811" w:type="dxa"/>
            <w:tcBorders/>
            <w:shd w:fill="FFFFFF" w:val="clear"/>
            <w:vAlign w:val="center"/>
          </w:tcPr>
          <w:p>
            <w:pPr>
              <w:pStyle w:val="TableContents"/>
              <w:bidi w:val="0"/>
              <w:spacing w:before="0" w:after="283"/>
              <w:jc w:val="left"/>
              <w:rPr/>
            </w:pPr>
            <w:r>
              <w:rPr/>
              <w:t> </w:t>
            </w:r>
          </w:p>
        </w:tc>
      </w:tr>
      <w:tr>
        <w:trPr/>
        <w:tc>
          <w:tcPr>
            <w:tcW w:w="584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84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8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363,667</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(included in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and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363,667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22" w:name="notes_to_consolidated_financial_statemen"/>
      <w:bookmarkEnd w:id="22"/>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is incorporated in Delaware. ALX Oncology Limited, incorporated in Ireland, is a wholly-owned subsidiary of ALX Oncology Holdings Inc. ALX Oncology Inc., incorporated in Delaware, is a wholly-owned subsidiary of ALX Oncology Limited. Alexo International Holdings Limited, incorporated in Malta, is a wholly-owned subsidiary of ALX Oncology Inc. All the companies are collectively known as the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Preparation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consolidated financial statements have been prepared in accordance with accounting principles generally accepted in the United States of America, or U.S. GAAP, and the applicable rules and regulations of the U.S. Securities and Exchange Commission, or SEC.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reclassifications have also been made within the consolidated statements of operations for the years ended December 31, 2022 and 2021 to conform to the current year presentation. For the year ended December 31, 2022, the Company reclassified approximately $0.2 million out of other expense, net into a separate interest expense financial statement line item and renamed other expense, net to other income (expense), net. For the year ended December 31, 2021, the Company reclassified less than $0.1 million out of other expense, net into a separate interest income financial statement line item and renamed other expense, net to other income (expense), net. Total loss before income taxes as of December 31, 2022 and 2021 did not change as a result of these reclassifications.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intercompany balances and transactions have been eliminated in consolidation.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but not limited to, those related to the estimated useful lives of long-lived assets, clinical and contract manufacturing accruals, fair value of assets and liabilities, fair value of investments, valuation of the Company’s common stock in periods prior to its initial public offering and stock-based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funds and U.S. government agency securities that are stated at cost, which approximate fair value.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consist of money market funds, U.S. Treasury securities, U.S. government agency securities, corporate debt securities, commercial paper and asset-backed securities. The Company’s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 classifications at each balance sheet date. Investments with contractual maturities greater than 12 months are considered long-term investments. Management has elected to use transaction settlement date as the purchase date of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income (expense), net in the consolidated statements of operations, and an allowance for credit loss is recorded on the consolidated balance sheets. In circumstances when the decline in fair value is non-credit related, the difference is reported in accumulated other comprehensive loss, net of tax as a separate component of consolidated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 Credit Losses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a concentration of credit risk consist primarily of cash, cash equivalents, and investments. The primary objectives for the Company’s investment portfolio are the preservation of capital and the maintenance of liquidity. The Company maintains deposits in federally insured financial institutions in excess of federally insured limits. The Company is exposed to credit risk in the event of default by the financial institutions holding its cash, cash equivalents and investments and issuers of investments. The Company manages its credit risk by holding its cash, cash equivalents and investments in large financial institutions within the U.S. In addition, the Company’s investment policy limits investments to certain types of instruments such as money market funds, debt securities issued by the U.S. government and its agencies, corporate debt securities, commercial paper as well as asset-backed securities, and places restrictions on the credit ratings, maturities and concentration by type and issuer. The Company has not experienced any realized losses on its deposits of cash, cash equivalents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Depreciation of property and equipment is provided using the straight-line method over the estimated useful lives of the assets. Leasehold improvements are amortized on a straight-line basis over the shorter of the term of the lease, or the useful life of the assets. Upon sale or retirement of assets, the cost and related accumulated depreciation or amortization are removed from the consolidated balance sheets and the resulting gain or loss is reflected in the consolidated statements of operations. Maintenance and repairs are charged to the consolidated statements of operations as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2021, the Company adopted Accounting Standards Update No. 2016-02, Leases, Topic 842, or Accounting Standards Codification (ASC) 842, using the alternative modified transition method, which applies the standard as of the adoption date. Results and disclosure requirements for reporting periods beginning after January 1, 2021 are presented under ASC 842.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contains a lease at inception. For arrangements where the Company is the lessee, leases are included in operating or finance lease right-of-use, or ROU, assets; current operating or finance lease liabilities; and non-current operating or finance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ROU assets and lease liabilities are recognized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The Company considered information available at the adoption date of ASC 842 to determine the incremental borrowing rate for leases in existence as of this date. Lease terms may include options to extend or terminate the lease when the Company is reasonably certain that the option will be exercised. Lease expense for operating leases is recognized on a straight-line basis over the lease term. For finance leases, ROU assets are amortized on a straight-line basis over the shorter of the expected useful life or the lease term, and the carrying amount of the lease liability is adjusted to reflect interest, which is recorded in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to apply each of the practical expedients described in ASC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 term leases. A short-term lease is a lease that, at the commencement date, has a lease term of 12 months or less and does not include an option to purchase the underlying asset that the lessee is reasonably certain to exercise.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long-lived assets for impairment whenever events or changes in circumstances indicate that the carrying amount of an asset or asset group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 Company has not recorded impairment of any long-lived assets.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are determined in accordance with the fair value hierarchy established in ASC 820, Fair Value Measurements and Disclosures.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 such as quoted prices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in which there is little or no market data, which require the reporting entity to develop its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in their entirety based on the lowest level of input that is significant to the fair value measurement.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the carrying amount of cash equivalents, accounts receivable, prepaid expenses and other current assets, accounts payable and accrued liabilities approximated their estimated fair value due to their relatively short maturities. The carrying amount of our non-current debt approximates fair value based on Level 2 inputs since the debt carries a variable interest rate that is tied to the current SOFR rate plus a spread.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money market funds and U.S. treasury securities as Level 1 within the fair value hierarchy as the fair value is based on quoted prices. The Company classifies its investments in U.S. government agency securities, corporate debt securities, commercial paper, and asset-backed securities as Level 2 within the fair value hierarchy as the fair value is estimated by third-party pricing sources using quoted prices for identical or similar instruments in markets that are not active and industry-standard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issuance costs consist of certain legal, professional accounting and third-party fees directly associated with in-process equity financings. These amounts are capitalized as deferred offering costs until such financings are consummated. After consummation of the equity financing, these costs are recorded in stockholders’ equity (deficit) as a reduction of additional paid-in capital generated as a result of the equity financing. In the event an anticipated offering is terminated or significantly delayed, deferred offering costs will be immediately expensed as part of general and administrative expenses. As of December 31, 2023 and 2022, no deferred offering costs were included as prepaid expenses and other current assets on the consolidated balance sheets, and all offering costs were offset against offering proceeds and reclassified to additional paid-in capital on the consolidated balance sheets.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are expensed as incurred and consist primarily of salaries and benefits, stock-based compensation expense, lab supplies and facility costs, as well as fees paid to nonemployees and external entities on behalf of the Company, such as consultants, central laboratories, contractors, collaborators, CMOs and CROs, in connection with our preclinical and clinical development activities and expenses incurred in connection with license agreements.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Asset Acquisition including Acquired In-Process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determining whether a transaction gives rise to an acquisition of a business or asset group, the Company applies a screening test to determine whether substantially all of the fair value of the gross assets acquired in the transaction is concentrated in a single identifiable asset or group of similar identifiable assets. If so, then the assets are not considered a business and the transaction is accounted for as an asset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and recognizes asset acquisitions that are not deemed to be business combinations based on the cost to acquire the asset or group of assets, which includes transaction costs. Goodwill is not recognized in asset acquisitions or transactions to license intellectual property. In an asset acquisition, the cost allocated to acquired in-process research and development (IPR&amp;D) with no alternative future use is recognized as an expense on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a transaction is accounted for as an asset acquisition, an in-process research and development, or IPR&amp;D asset is only capitalized if it has an alternative future use other than in a particular research and development project. Otherwise, amounts allocated to IPR&amp;D that have no alternative use are expensed.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Upfront and milestone payments made related to an asset acquisition are accrued for and expensed when the achievement of the milestone is considered probable.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and Contract Manufacturing Accruals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 To assist in its estimates the Company relies upon the receipt of timely and accurate reporting from its clinical and non-clinical studies and other third-party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Through December 31, 2023,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incurs stock-based compensation expense primarily from stock options, restricted stock units, and ESPP purchase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 of stock options granted to employees, directors and non-employees and ESPP purchase rights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Prior to the Company’s initial public offering, the fair value of the common stock underlying the stock-based awards was determined on each grant date by the board of directors, with input from management, considering the most recently available third-party valuation of common shares. The grant-date fair value of restricted stock units is the fair value of the underlying stock on the award’s grant date. The Company uses the straight-line method to allocate compensation expense to reporting periods over the requisite service period, which is generally the vesting period. The Company accounts for the effect of forfeitures as they occur.</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manages its operations as a single operating segment for the purposes of assessing performance and making operating decisions. All of the Company’s long-lived assets are located in the United States.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statements of operations and recorded in other income (expense), net, and were immaterial for the years December 31, 2023, 2022 and 2021.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income taxes comprise the impact of temporary differences between assets and liabilities recognized for financial reporting purposes and the amounts recognized for income tax reporting purposes, net operating loss carryforwards, and other tax credits measured by applying currently enacted tax laws. A valuation allowance is provided when necessary to reduce deferred tax assets to an amount that is more likely than not to be realized.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consists of net loss and changes in unrealized gains and losses on investments for all periods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and pre-funded warrants outstanding during the period, without consideration for common stock equivalents. Shares of common stock into which the pre-funded warrants may be exercised are considered outstanding for the purposes of computing net loss per share because the shares may be issued for little or no consideration, are fully vested, and are exercisable after the original issuance date. Diluted net loss per share is the same as basic net loss per share, since the effects of potentially dilutive securities are antidilutive given the net loss for each period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the FASB issued ASU 2020-06, Debt - Debt with Conversion and Other Options (Subtopic 470-20) and Derivatives and Hedging - Contracts in Entity’s Own Equity (Subtopic 815-40) (ASU 2020-06). ASU 2020-06 eliminates the beneficial conversion and cash conversion accounting models for convertible instruments. It also amends the accounting for certain contracts in an entity’s own equity that are currently accounted for as derivatives because of specific settlement provisions. The new guidance also modifies how particular convertible instruments and certain contracts that may be settled in cash or shares impact the diluted EPS computation. ASU 2020-06 is effective for annual periods beginning after December 15, 2023, including interim periods within those annual periods. Early adoption is permitted. ASU 2020-06 allows companies to adopt the guidance through either a modified retrospective method of transition or a fully retrospective method of transition. The Company is evaluating the impact of this guidance on its consolidated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the FASB issued ASU 2023-07, Segment Reporting (Topic 280): Improvements to Reportable Segment Disclosures (ASU 2023-07). The amendments in ASU 2023-07 are intended to improve reportable segment disclosure, primarily through enhanced disclosures about significant segment expenses. ASU 2023-07 is effective for annual periods beginning after December 15, 2023, and interim periods beginning after December 15, 2024. The amendments in this ASU should be applied retrospectively to all prior periods presented in the financial statements. Early adoption is permitted. The Company is evaluating the impact of this guidance on its consolidated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ACQUISITION OF ASSETS AND OWNERSHIP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4, 2021, the Company entered into a stock purchase agreement with ScalmiBio, Inc., or ScalmiBio, as the Company expands its pipeline with plans to develop new anti-cancer drug candidates based on ScalmiBio’s platform. Under the terms of the stock purchase agreement, the Company made an initial payment to the stockholders of ScalmiBio at closing on October 4, 2021 of approximately $4.5 million in cash, net of certain expenses and adjustments, and made an additional payment of $2.0 million at the one-year anniversary of the transaction on October 4, 2022 to the stockholders of ScalmiBio. This additional payment was recorded as research and development costs within the consolidated statements of operations and consolidated statements of comprehensive loss over the one-year period given the payment was contingent on the majority stockholder remaining employed with the Company through the one-year anniversary of the closing. In addition, the Company has agreed to pay up to $35.0 million, in aggregate, in certain milestones based on the clinical development of the acquired ScalmiBio technology and has also agreed to pay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 single digit royalty on net sales of any products developed from the ScalmiBio acquired technology for a defined term. The Company has the option to buy-out the royalty payment, prior to the first marketing approval of the developed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former Chief Executive Officer and current President and Chief Scientific Officer, who is also a director, was also a director of ScalmiBio prior to the acquisition, and owned 31.7% of ScalmiBio stock. As a result, he received or will receive a proportional share of the consideration to ScalmiBio stockholders as described above. He also received approximately $87,000 out of the closing proceeds for the repayment of a note and accrued interest for a loan to ScalmiBio. Given his interest in the ScalmiBio acquisition, the Company’s audit committee approved the acquisition under its related-party transaction policy and the Company’s former Chief Executive Officer recused himself from the negotiation and approval of the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determine the accounting for this transaction, an assessment was made as to whether an integrated set of assets and activities should be accounted for as a business combination or an asset acquisition. The guidance requires an initial screen test to determine if substantially all of the fair value of the gross assets acquired is concentrated in a single asset or group of similar assets. If that screen is met, the set is not considered a business. The Company concluded that substantially all of the fair value is concentrated in a group of similar identifiable assets. Pursuant to asset acquisition accounting, acquired IPR&amp;D with no alternative future use is expensed at acquisition. Accordingly, $4.7 million including $0.2 million of legal and other professional fees related to the acquisition, was recognized in “Research and development” expenses in the consolidated statements of operations and consolidated statements of comprehensive loss for the year ended December 31, 2021.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Company’s financial assets that are measured at fair value on a recurring basis by level within the fair value hierarchy as of December 31, 2023 and 2022 (in thousands):</w:t>
      </w:r>
    </w:p>
    <w:tbl>
      <w:tblPr>
        <w:tblW w:w="10205" w:type="dxa"/>
        <w:jc w:val="left"/>
        <w:tblInd w:w="0" w:type="dxa"/>
        <w:tblLayout w:type="fixed"/>
        <w:tblCellMar>
          <w:top w:w="28" w:type="dxa"/>
          <w:left w:w="28" w:type="dxa"/>
          <w:bottom w:w="28" w:type="dxa"/>
          <w:right w:w="28" w:type="dxa"/>
        </w:tblCellMar>
      </w:tblPr>
      <w:tblGrid>
        <w:gridCol w:w="2513"/>
        <w:gridCol w:w="146"/>
        <w:gridCol w:w="1010"/>
        <w:gridCol w:w="146"/>
        <w:gridCol w:w="270"/>
        <w:gridCol w:w="1008"/>
        <w:gridCol w:w="146"/>
        <w:gridCol w:w="146"/>
        <w:gridCol w:w="461"/>
        <w:gridCol w:w="925"/>
        <w:gridCol w:w="146"/>
        <w:gridCol w:w="146"/>
        <w:gridCol w:w="511"/>
        <w:gridCol w:w="913"/>
        <w:gridCol w:w="166"/>
        <w:gridCol w:w="146"/>
        <w:gridCol w:w="214"/>
        <w:gridCol w:w="795"/>
        <w:gridCol w:w="397"/>
      </w:tblGrid>
      <w:tr>
        <w:trPr/>
        <w:tc>
          <w:tcPr>
            <w:tcW w:w="2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9"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397" w:type="dxa"/>
            <w:tcBorders/>
            <w:shd w:fill="CFF0FC" w:val="clear"/>
            <w:vAlign w:val="center"/>
          </w:tcPr>
          <w:p>
            <w:pPr>
              <w:pStyle w:val="TableContents"/>
              <w:bidi w:val="0"/>
              <w:spacing w:before="0" w:after="283"/>
              <w:ind w:left="0" w:right="0" w:firstLine="200"/>
              <w:jc w:val="righ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15,591</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397" w:type="dxa"/>
            <w:tcBorders/>
            <w:shd w:fill="CFF0FC"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ind w:left="0" w:right="0" w:firstLine="200"/>
              <w:jc w:val="righ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74,850</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28,177</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21,902</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34,980</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97" w:type="dxa"/>
            <w:tcBorders/>
            <w:shd w:fill="CFF0FC"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ind w:left="0" w:right="0" w:firstLine="200"/>
              <w:jc w:val="righ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14,812</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3"/>
        <w:gridCol w:w="146"/>
        <w:gridCol w:w="1010"/>
        <w:gridCol w:w="146"/>
        <w:gridCol w:w="270"/>
        <w:gridCol w:w="1008"/>
        <w:gridCol w:w="146"/>
        <w:gridCol w:w="146"/>
        <w:gridCol w:w="524"/>
        <w:gridCol w:w="862"/>
        <w:gridCol w:w="146"/>
        <w:gridCol w:w="146"/>
        <w:gridCol w:w="433"/>
        <w:gridCol w:w="992"/>
        <w:gridCol w:w="166"/>
        <w:gridCol w:w="146"/>
        <w:gridCol w:w="214"/>
        <w:gridCol w:w="795"/>
        <w:gridCol w:w="396"/>
      </w:tblGrid>
      <w:tr>
        <w:trPr/>
        <w:tc>
          <w:tcPr>
            <w:tcW w:w="2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50"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13"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36,690</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396" w:type="dxa"/>
            <w:tcBorders/>
            <w:shd w:fill="CFF0FC"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72,623</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55,951</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62,087</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10,461</w:t>
            </w:r>
          </w:p>
        </w:tc>
        <w:tc>
          <w:tcPr>
            <w:tcW w:w="396" w:type="dxa"/>
            <w:tcBorders/>
            <w:shd w:fill="CFF0FC"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274,258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did not have any outstanding financial liabilities to be re-measured on a recurring basis as of December 31, 2023 and 2022.</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classification included in the consolidated balance sheets was as follows as of December 31, 2023 and 2022 (in thousands):</w:t>
      </w:r>
    </w:p>
    <w:tbl>
      <w:tblPr>
        <w:tblW w:w="5415" w:type="dxa"/>
        <w:jc w:val="left"/>
        <w:tblInd w:w="0" w:type="dxa"/>
        <w:tblLayout w:type="fixed"/>
        <w:tblCellMar>
          <w:top w:w="28" w:type="dxa"/>
          <w:left w:w="28" w:type="dxa"/>
          <w:bottom w:w="28" w:type="dxa"/>
          <w:right w:w="28" w:type="dxa"/>
        </w:tblCellMar>
      </w:tblPr>
      <w:tblGrid>
        <w:gridCol w:w="2266"/>
        <w:gridCol w:w="146"/>
        <w:gridCol w:w="268"/>
        <w:gridCol w:w="992"/>
        <w:gridCol w:w="146"/>
        <w:gridCol w:w="146"/>
        <w:gridCol w:w="268"/>
        <w:gridCol w:w="992"/>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40,174</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217,385</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and cash equivalents in the above table excludes bank account cash of $2.3 million and $8.6 million as of December 31, 2023 and 2022,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contractual maturity was as follows as of December 31, 2023 and 2022 (in thousands):</w:t>
      </w:r>
    </w:p>
    <w:tbl>
      <w:tblPr>
        <w:tblW w:w="6690" w:type="dxa"/>
        <w:jc w:val="left"/>
        <w:tblInd w:w="0" w:type="dxa"/>
        <w:tblLayout w:type="fixed"/>
        <w:tblCellMar>
          <w:top w:w="28" w:type="dxa"/>
          <w:left w:w="28" w:type="dxa"/>
          <w:bottom w:w="28" w:type="dxa"/>
          <w:right w:w="28" w:type="dxa"/>
        </w:tblCellMar>
      </w:tblPr>
      <w:tblGrid>
        <w:gridCol w:w="3541"/>
        <w:gridCol w:w="146"/>
        <w:gridCol w:w="268"/>
        <w:gridCol w:w="992"/>
        <w:gridCol w:w="146"/>
        <w:gridCol w:w="146"/>
        <w:gridCol w:w="268"/>
        <w:gridCol w:w="99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year or less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257,559</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after one year through five years</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of assets or liabilities between the fair value measurement levels during the years ended December 31, 2023 and 2022 and there were no financial instruments classified as Level 3 as of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accrued interest receivable related to the Company’s investments of $1.0 million and $1.0 million, respectively, was included in prepaid expenses and other current assets as well as other assets on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unrealized losses for available-for-sale investments were non-credit related and the Company does not intend to sell the investments that were in an unrealized loss position, nor will it be required to sell those investments before recovery of their amortized costs basis, which may be maturity. As of December 31, 2023 and 2022, no allowance for credit losses for the Company’s investments was recorded. As of December 31, 2023 and 2022, securities with a fair value of $5.9 million and zero, respectively, were in a continuous net unrealized loss position for more than 12 months. As of December 31, 2023 and 2022, the Company has not recognized any impairment losses on available-for-sale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components of property and equipment, net as of December 31, 2023 and 2022 (in thousands):</w:t>
      </w:r>
    </w:p>
    <w:p>
      <w:pPr>
        <w:pStyle w:val="TextBody"/>
        <w:bidi w:val="0"/>
        <w:jc w:val="left"/>
        <w:rPr/>
      </w:pPr>
      <w:r>
        <w:rPr/>
        <w:t> </w:t>
      </w:r>
    </w:p>
    <w:tbl>
      <w:tblPr>
        <w:tblW w:w="6170" w:type="dxa"/>
        <w:jc w:val="left"/>
        <w:tblInd w:w="0" w:type="dxa"/>
        <w:tblLayout w:type="fixed"/>
        <w:tblCellMar>
          <w:top w:w="28" w:type="dxa"/>
          <w:left w:w="28" w:type="dxa"/>
          <w:bottom w:w="28" w:type="dxa"/>
          <w:right w:w="28" w:type="dxa"/>
        </w:tblCellMar>
      </w:tblPr>
      <w:tblGrid>
        <w:gridCol w:w="2781"/>
        <w:gridCol w:w="146"/>
        <w:gridCol w:w="314"/>
        <w:gridCol w:w="946"/>
        <w:gridCol w:w="166"/>
        <w:gridCol w:w="146"/>
        <w:gridCol w:w="339"/>
        <w:gridCol w:w="92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was $0.8 million, $0.3 million, and nominal for years ended December 31, 2023, 2022 and 2021,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components of other assets, net as of December 31, 2023 and 2022 (in thousands): </w:t>
      </w:r>
    </w:p>
    <w:p>
      <w:pPr>
        <w:pStyle w:val="TextBody"/>
        <w:bidi w:val="0"/>
        <w:jc w:val="left"/>
        <w:rPr/>
      </w:pPr>
      <w:r>
        <w:rPr/>
        <w:t> </w:t>
      </w:r>
    </w:p>
    <w:tbl>
      <w:tblPr>
        <w:tblW w:w="7370" w:type="dxa"/>
        <w:jc w:val="left"/>
        <w:tblInd w:w="0" w:type="dxa"/>
        <w:tblLayout w:type="fixed"/>
        <w:tblCellMar>
          <w:top w:w="28" w:type="dxa"/>
          <w:left w:w="28" w:type="dxa"/>
          <w:bottom w:w="28" w:type="dxa"/>
          <w:right w:w="28" w:type="dxa"/>
        </w:tblCellMar>
      </w:tblPr>
      <w:tblGrid>
        <w:gridCol w:w="4021"/>
        <w:gridCol w:w="146"/>
        <w:gridCol w:w="299"/>
        <w:gridCol w:w="961"/>
        <w:gridCol w:w="146"/>
        <w:gridCol w:w="146"/>
        <w:gridCol w:w="299"/>
        <w:gridCol w:w="96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clinical expenses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5,626</w:t>
            </w:r>
          </w:p>
        </w:tc>
        <w:tc>
          <w:tcPr>
            <w:tcW w:w="3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contract manufacturing costs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3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components of accrued expenses and other current liabilities as of December 31, 2023 and 2022 (in thousands):</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4461"/>
        <w:gridCol w:w="146"/>
        <w:gridCol w:w="299"/>
        <w:gridCol w:w="961"/>
        <w:gridCol w:w="146"/>
        <w:gridCol w:w="146"/>
        <w:gridCol w:w="299"/>
        <w:gridCol w:w="96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nonclinical study costs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adoption of ASC 842 on January 1, 2021, the Company evaluated its vendor contracts to identify embedded leases, if any, and noted that a pharmaceutical support services agreement entered into in May 2016 included leases under ASC 842 because the Company has the right to direct the use of certain equipment. The embedded leases commenced in September 2020 and were set to expire in August 2023 with no stated option to extend the term. In May 2023, the Company entered into an addendum to extend the existing lease through May 2026 and lease additional number of certain equipment. In October 2023, the Company entered into an additional addendum to lease an additional number of certain equipment through May 2026. The Company classified the leases as 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Company entered into a lease agreement for approximately 10,000 square feet of office space located in South San Francisco, California. The lease commenced on June 6, 2021 and expires on August 31, 2026. The lease does not provide an option to extend after it expires. The total lease payments for the life of the lease are approximately $2.0 million. The Company classified the lease as an operating lease.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the Company entered into a lease agreement totaling approximately 11,074 square feet of office and laboratory space located in Palo Alto, California. The lease consists of two premises and expires in February 2030. The lease provides for an option to extend for two years after expiration. The lease for one of the premises commenced in February 2022 and the lease for the second premises commenced in April 2022. The lease provides for an annual base rent of approximately $0.8 million, which increases on an annual basis by 3%. The total lease payments for the life of the lease are approximately $6.9 million. The Company is also responsible for leasehold improvement costs related to the second premises, which totaled to $2.3 million, of which $1.5 million is to be paid with interest at a rate of 7% per annum as additional payments over the life of the lease. The Company classified the lease as an operating lease. Under the terms of the lease agreement, the Company issued a letter of credit to the landlord in the amount of $0.1 million, which is collateralized by a restricted cash deposit of $0.1 million (see Note 5 “Other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ROU assets recorded for operating leases and finance leases were $4.8 million and $2.4 million, respectively. As of December 31, 2022, the ROU assets recorded for operating leases and finance leases were $5.6 million and $0.3 million, respectively. The amounts were included in the other assets on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maturities and balance sheet information of the Company’s operating and finance lease liabilities as of December 31, 2023 (in thousands, except lease term and discount rate):</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4111"/>
        <w:gridCol w:w="146"/>
        <w:gridCol w:w="341"/>
        <w:gridCol w:w="1024"/>
        <w:gridCol w:w="271"/>
        <w:gridCol w:w="146"/>
        <w:gridCol w:w="320"/>
        <w:gridCol w:w="865"/>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current </w:t>
            </w:r>
            <w:r>
              <w:rPr>
                <w:rFonts w:ascii="Times New Roman" w:hAnsi="Times New Roman"/>
                <w:color w:val="000000"/>
                <w:sz w:val="13"/>
              </w:rPr>
              <w:t>(i)</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non-current </w:t>
            </w:r>
            <w:r>
              <w:rPr>
                <w:rFonts w:ascii="Times New Roman" w:hAnsi="Times New Roman"/>
                <w:color w:val="000000"/>
                <w:sz w:val="13"/>
              </w:rPr>
              <w:t>(ii)</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Current lease liabilities are presented within accrued expenses and other current liabilities on the consolidated balance sheets.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(ii)</w:t>
      </w:r>
    </w:p>
    <w:p>
      <w:pPr>
        <w:pStyle w:val="TextBody"/>
        <w:bidi w:val="0"/>
        <w:jc w:val="left"/>
        <w:rPr>
          <w:rFonts w:ascii="Times New Roman" w:hAnsi="Times New Roman"/>
          <w:color w:val="000000"/>
          <w:sz w:val="18"/>
        </w:rPr>
      </w:pPr>
      <w:r>
        <w:rPr>
          <w:rFonts w:ascii="Times New Roman" w:hAnsi="Times New Roman"/>
          <w:color w:val="000000"/>
          <w:sz w:val="18"/>
        </w:rPr>
        <w:t>Non-current lease liabilities are presented within other non-current liabilities on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components of lease costs for the years ended December 31, 2023, 2022, and 2021 (in thousands):</w:t>
      </w:r>
    </w:p>
    <w:p>
      <w:pPr>
        <w:pStyle w:val="TextBody"/>
        <w:bidi w:val="0"/>
        <w:jc w:val="left"/>
        <w:rPr/>
      </w:pPr>
      <w:r>
        <w:rPr/>
        <w:t> </w:t>
      </w:r>
    </w:p>
    <w:tbl>
      <w:tblPr>
        <w:tblW w:w="6428" w:type="dxa"/>
        <w:jc w:val="left"/>
        <w:tblInd w:w="0" w:type="dxa"/>
        <w:tblLayout w:type="fixed"/>
        <w:tblCellMar>
          <w:top w:w="28" w:type="dxa"/>
          <w:left w:w="28" w:type="dxa"/>
          <w:bottom w:w="28" w:type="dxa"/>
          <w:right w:w="28" w:type="dxa"/>
        </w:tblCellMar>
      </w:tblPr>
      <w:tblGrid>
        <w:gridCol w:w="3111"/>
        <w:gridCol w:w="146"/>
        <w:gridCol w:w="211"/>
        <w:gridCol w:w="571"/>
        <w:gridCol w:w="146"/>
        <w:gridCol w:w="146"/>
        <w:gridCol w:w="211"/>
        <w:gridCol w:w="571"/>
        <w:gridCol w:w="146"/>
        <w:gridCol w:w="146"/>
        <w:gridCol w:w="211"/>
        <w:gridCol w:w="421"/>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cost and other, net </w:t>
            </w:r>
            <w:r>
              <w:rPr>
                <w:rFonts w:ascii="Times New Roman" w:hAnsi="Times New Roman"/>
                <w:color w:val="000000"/>
                <w:sz w:val="13"/>
              </w:rPr>
              <w:t>(i)</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shd w:fill="FFFFFF" w:val="clear"/>
            <w:vAlign w:val="center"/>
          </w:tcPr>
          <w:p>
            <w:pPr>
              <w:pStyle w:val="TableContents"/>
              <w:bidi w:val="0"/>
              <w:spacing w:before="0" w:after="283"/>
              <w:jc w:val="lef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w:t>
      </w:r>
    </w:p>
    <w:p>
      <w:pPr>
        <w:pStyle w:val="TextBody"/>
        <w:bidi w:val="0"/>
        <w:jc w:val="left"/>
        <w:rPr>
          <w:rFonts w:ascii="Times New Roman" w:hAnsi="Times New Roman"/>
          <w:color w:val="000000"/>
          <w:sz w:val="18"/>
        </w:rPr>
      </w:pPr>
      <w:r>
        <w:rPr>
          <w:rFonts w:ascii="Times New Roman" w:hAnsi="Times New Roman"/>
          <w:color w:val="000000"/>
          <w:sz w:val="18"/>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supplemental cash flow disclosures for cash paid for the years ended December 31, 2023, 2022, and 2021 (in thousands):</w:t>
      </w:r>
    </w:p>
    <w:p>
      <w:pPr>
        <w:pStyle w:val="TextBody"/>
        <w:bidi w:val="0"/>
        <w:jc w:val="left"/>
        <w:rPr/>
      </w:pPr>
      <w:r>
        <w:rPr/>
        <w:t> </w:t>
      </w:r>
    </w:p>
    <w:tbl>
      <w:tblPr>
        <w:tblW w:w="9333" w:type="dxa"/>
        <w:jc w:val="left"/>
        <w:tblInd w:w="0" w:type="dxa"/>
        <w:tblLayout w:type="fixed"/>
        <w:tblCellMar>
          <w:top w:w="28" w:type="dxa"/>
          <w:left w:w="28" w:type="dxa"/>
          <w:bottom w:w="28" w:type="dxa"/>
          <w:right w:w="28" w:type="dxa"/>
        </w:tblCellMar>
      </w:tblPr>
      <w:tblGrid>
        <w:gridCol w:w="5866"/>
        <w:gridCol w:w="146"/>
        <w:gridCol w:w="211"/>
        <w:gridCol w:w="571"/>
        <w:gridCol w:w="146"/>
        <w:gridCol w:w="146"/>
        <w:gridCol w:w="211"/>
        <w:gridCol w:w="571"/>
        <w:gridCol w:w="146"/>
        <w:gridCol w:w="146"/>
        <w:gridCol w:w="211"/>
        <w:gridCol w:w="57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91" w:type="dxa"/>
            <w:tcBorders/>
            <w:shd w:fill="FFFFFF" w:val="clear"/>
            <w:vAlign w:val="center"/>
          </w:tcPr>
          <w:p>
            <w:pPr>
              <w:pStyle w:val="TableContents"/>
              <w:bidi w:val="0"/>
              <w:spacing w:before="0" w:after="283"/>
              <w:jc w:val="left"/>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acquired under leases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(7) TERM LOAN</w:t>
      </w:r>
      <w:r>
        <w:rPr>
          <w:rFonts w:ascii="Times New Roman" w:hAnsi="Times New Roman"/>
          <w:color w:val="000000"/>
          <w:sz w:val="20"/>
        </w:rPr>
        <w:b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Oxford Finance and Silicon Valley Bank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Company entered into a loan and security agreement, or the Loan Agreement, with Oxford Finance LLC, Oxford Finance Credit Fund II LP, and Silicon Valley Bank, or Lenders, for a secured term loan facility of up to $100.0 million. Pursuant to the Loan Agreement, the Company drew an initial loan of $10.0 million and has access to draw an additional $40.0 million through the end of 2023. The Loan Agreement provides for an additional $50.0 million over three tranches, with $12.5 million available in each of two tranches based upon the achievement of milestones related to the development of evorpacept and one preclinical product candidate, and $25.0 million at the Lenders’ sole discretion. The proceeds of the loans may be used by the Company for working capital and to fund its general business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Borrowings under the Loan Agreement bear interest at a floating rate per annum equal to the greater of (i) 1-month term Secured Overnight Financing Rate, or SOFR, and (ii) 2.33%, plus 6.25%. The minimum per annum interest rate is 8.58%. Interest on the term loans is payable monthly in arrears. The Company will begin to make principal payments in equal monthly installments beginning on December 1, 2025. However, if either of the milestone related tranche term loans are funded, then the Company will begin to make principal payments in equal monthly installments beginning on December 1, 2026. The term loans mature on October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may be prepaid in full or in part, in increments of $10.0 million, with various prepayment premiums. Upon the earlier prepayment or maturity of any term loan, the Company is required to pay a final payment fee of 6.0% of the original principal amount of such funded term loan. The final payment will be accreted to the final payment amount as interest expense using the effective interest method over the term of the loan through maturity date. The term loans once repaid or prepaid may not be reborrowed. The Company is also obligated to pay other customary fees for a loan facility of this size and type.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are secured by substantially all of the Company’s assets, except the Company’s intellectual property, which is the subject of a negative pledge, and will be guaranteed by the Company’s future subsidiaries, subject to certain limitations. Upon the outstanding balance of the term loans reaching $75.0 million or greater, the Company’s intellectual property will become collateral. The Company and its subsidiary, ALX Oncology Limited, have guaranteed the obligations under the Loan Agreement. The Loan Agreement contains customary affirmative and negative covenants, including covenants limiting the ability of the Company to, among other things, dispose of assets, effect certain mergers, incur debt, grant liens, pay dividends and distributions on its capital stock, make investments and acquisitions, and enter into transactions with affiliates, in each case subject to customary exceptions for a loan facility of this size and type.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customary events of default, which include, but are not limited to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net proceeds from issuance of the term loan of $9.3 million after deducting debt issuance costs of approximately $0.7 million. Debt issuance costs were recorded as debt discount on the term loan, offsetting term loan, non-current on the consolidated balance sheets. The debt discount will be amortized over the term of the loan as interest expense using the effective interest method. During the years ended December 31, 2023 and 2022, interest expense incurred in connection with the Loan Agreement was $1.1 million and $0.2 million respectively. We had no outstanding debt and did not incur interest expense in 2021.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As of December 31, 2023, the value of the embedded derivative is not material, but could become material in future periods if an event of default became more probable than is currently estimated. As of December 31, 2023, we were in compliance with all financial reporting covenants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Silicon Valley Bank (SVB) was closed by the California Department of Financial Protection and Innovation, which appointed the Federal Deposit Insurance Corporation, or FDIC, to act as receiver. The FDIC created Silicon Valley Bridge Bank, N.A., or SVBB, as successor to SVB. First Citizens BancShares, Inc., or First Citizens Bank, acquired SVBB from the FDIC and operates SVBB as Silicon Valley Bank, a division of First Citizens Bank, or SVB-First Citizens.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future maturities under the Loan Agreement are as follows (in thousands):</w:t>
      </w:r>
    </w:p>
    <w:p>
      <w:pPr>
        <w:pStyle w:val="TextBody"/>
        <w:bidi w:val="0"/>
        <w:jc w:val="left"/>
        <w:rPr/>
      </w:pPr>
      <w:r>
        <w:rPr/>
        <w:t> </w:t>
      </w:r>
    </w:p>
    <w:tbl>
      <w:tblPr>
        <w:tblW w:w="5278" w:type="dxa"/>
        <w:jc w:val="left"/>
        <w:tblInd w:w="0" w:type="dxa"/>
        <w:tblLayout w:type="fixed"/>
        <w:tblCellMar>
          <w:top w:w="28" w:type="dxa"/>
          <w:left w:w="28" w:type="dxa"/>
          <w:bottom w:w="28" w:type="dxa"/>
          <w:right w:w="28" w:type="dxa"/>
        </w:tblCellMar>
      </w:tblPr>
      <w:tblGrid>
        <w:gridCol w:w="3196"/>
        <w:gridCol w:w="146"/>
        <w:gridCol w:w="409"/>
        <w:gridCol w:w="131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2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maturities</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term loan</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 net of current portion</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unaccreted final payment costs</w:t>
            </w:r>
          </w:p>
        </w:tc>
        <w:tc>
          <w:tcPr>
            <w:tcW w:w="1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 net</w:t>
            </w:r>
          </w:p>
        </w:tc>
        <w:tc>
          <w:tcPr>
            <w:tcW w:w="146" w:type="dxa"/>
            <w:tcBorders/>
            <w:shd w:fill="FFFFFF" w:val="clear"/>
            <w:vAlign w:val="center"/>
          </w:tcPr>
          <w:p>
            <w:pPr>
              <w:pStyle w:val="TableContents"/>
              <w:bidi w:val="0"/>
              <w:spacing w:before="0" w:after="283"/>
              <w:jc w:val="righ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2020, the Company’s amended and restated certificate of incorporation became effective, authorizing 1,000,000,000 shares of common stock, $0.001 par value per share, and 100,000,000 shares of undesignated preferred stock, $0.001 par value per share. As of December 31, 2023 and 2022, the Company had 49,951,989 and 40,861,386 shares of common stock outstanding,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the Company consummated its initial public offering and issued 9,775,000 shares of common stock for net proceeds of approximately $169.5 million, after deducting underwriting discounts and commissions of $13.0 million and offering-related expenses of $3.2 million. Upon the closing of the initial public offering, all shares of convertible preferred stock outstanding and accrued cumulative dividends were automatically converted into 23,934,533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2020, the Company consummated its follow-on public offering and issued 2,737,000 shares of common stock for net proceeds of approximately $194.9 million, after deducting underwriting discounts and commissions of $12.5 million and offering-related expenses of $0.7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completed an underwritten follow-on public offering and issued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reserved for future issuance as of December 31, 2023 consists of the following:</w:t>
      </w:r>
    </w:p>
    <w:p>
      <w:pPr>
        <w:pStyle w:val="TextBody"/>
        <w:bidi w:val="0"/>
        <w:jc w:val="left"/>
        <w:rPr/>
      </w:pPr>
      <w:r>
        <w:rPr/>
        <w:t> </w:t>
      </w:r>
    </w:p>
    <w:tbl>
      <w:tblPr>
        <w:tblW w:w="7727" w:type="dxa"/>
        <w:jc w:val="left"/>
        <w:tblInd w:w="0" w:type="dxa"/>
        <w:tblLayout w:type="fixed"/>
        <w:tblCellMar>
          <w:top w:w="28" w:type="dxa"/>
          <w:left w:w="28" w:type="dxa"/>
          <w:bottom w:w="28" w:type="dxa"/>
          <w:right w:w="28" w:type="dxa"/>
        </w:tblCellMar>
      </w:tblPr>
      <w:tblGrid>
        <w:gridCol w:w="5611"/>
        <w:gridCol w:w="213"/>
        <w:gridCol w:w="1512"/>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213" w:type="dxa"/>
            <w:tcBorders/>
            <w:shd w:fill="CFF0FC" w:val="clear"/>
            <w:vAlign w:val="center"/>
          </w:tcPr>
          <w:p>
            <w:pPr>
              <w:pStyle w:val="TableContents"/>
              <w:bidi w:val="0"/>
              <w:spacing w:before="0" w:after="283"/>
              <w:jc w:val="left"/>
              <w:rPr/>
            </w:pPr>
            <w:r>
              <w:rPr/>
              <w:t> </w:t>
            </w:r>
          </w:p>
        </w:tc>
        <w:tc>
          <w:tcPr>
            <w:tcW w:w="1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8,984,671</w:t>
            </w:r>
          </w:p>
        </w:tc>
        <w:tc>
          <w:tcPr>
            <w:tcW w:w="391" w:type="dxa"/>
            <w:tcBorders/>
            <w:shd w:fill="CFF0FC" w:val="cle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authorized for future issuance</w:t>
            </w:r>
          </w:p>
        </w:tc>
        <w:tc>
          <w:tcPr>
            <w:tcW w:w="213"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1,305,386</w:t>
            </w:r>
          </w:p>
        </w:tc>
        <w:tc>
          <w:tcPr>
            <w:tcW w:w="391" w:type="dxa"/>
            <w:tcBorders/>
            <w:shd w:fill="FFFFFF" w:val="clear"/>
            <w:vAlign w:val="center"/>
          </w:tcPr>
          <w:p>
            <w:pPr>
              <w:pStyle w:val="TableContents"/>
              <w:bidi w:val="0"/>
              <w:spacing w:before="0" w:after="283"/>
              <w:jc w:val="left"/>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shares authorized for future issuance</w:t>
            </w:r>
          </w:p>
        </w:tc>
        <w:tc>
          <w:tcPr>
            <w:tcW w:w="2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1,065,389</w:t>
            </w:r>
          </w:p>
        </w:tc>
        <w:tc>
          <w:tcPr>
            <w:tcW w:w="391" w:type="dxa"/>
            <w:tcBorders/>
            <w:shd w:fill="CCEEFF" w:val="cle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issued and outstanding</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12,305,115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Company entered into a sales agreement with Cantor Fitzgerald &amp; Co. and Credit Suisse Securities (USA) LLC (Sales Agreement), under which it may offer and sell shares of the Company's common stock, having aggregate gross proceeds of up to $150.0 million, from time to time through them as the Company's sales agents in its at-the-market equity offering program (ATM Offering). In March 2022, the Company filed a Shelf Registration Statement with the SEC. In May 2022, the Company filed an amended Shelf Registration Statement, which was declared effective by the SEC on May 31, 2022. In August 2023, the Company entered into an amendment to the Sales Agreement to include UBS Securities LLC as an additional sales agent and to remove Credit Suisse as a sales agent. No securities have been sold under the ATM Offering as of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October 2023 underwritten public offering, the Company issued pre-funded warrants to certain investors to purchase 1,250,000 shares of common stock in an underwritten public offering at a public offering price of $6.379 per pre-funded warrant. Each pre-funded warrant entitles the holder to purchase one share of common stock at an exercise price of $0.001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to purchase shares of common stock are exercisable at any time after their original issuance. However, the pre-funded warrants include a separate provision whereby the exercisability of the pre-funded warrants may be limited if, upon exercise, the warrant holder or any of its affiliates would beneficially own more than 9.99% of the Company’s common stock. This threshold is subject to the warrant holder’s rights under the pre-funded warrants to increase or decrease such percentage to any other percentage not in excess of 19.99% upon at least 61 days’ prior notice from the warrant holder to the Company. The pre-funded warrants will expire on the date the warrants are exercised in full.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were classified as equity and accounted for as a component of additional paid-in capital. The pre-funded warrants were classified as equity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Company valued the pre-funded warrants at issuance, concluding that their offering price approximated their fair value, and allocated the aggregate net proceeds from the offering proportionately to the common stock and pre-funded warrants, including approximately $7.4 million allocated to the pre-funded warrants and recorded as a component of additional paid-in capital on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no shares underlying the pre-funded warrants had been exercised. All of the outstanding pre-funded warrants are included in the weighted-average number of shares of common stock used to calculate basic net loss per share attributable to common stockholders (see Note 12 “Net Loss Per Share Attributable to Common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Company’s initial public offering, cumulative dividends of 6.0% per annum of the original issue price for each convertible preferred stock series were payable when and as declared by the Company’s Board of Directors, or Board of Directors, upon the occurrence of a liquidation event or upon a contingent mandatory conversion of the convertible preferred stock in connection with a qualified initial public offering as described below. The Series A original issue price was $6.58, and the Series B and Series C original issue price was $9.4972. The original issue price was subject to adjustment in the event of any share dividend, share split, combination, consolidation or other recapitalization. The dividends accrued from day to day from the issue date of such preferred stock whether or not declared and were cumulative. In addition, the preferred stockholders participated on an as-converted basis in any dividends payable to common stockholders. As of July 20, 2020, there were approximately $18.0 million of accrued cumulative dividends on the Series A, Series B and Series C convertible preferred stock, which became payable upon the consummation of the Company’s initial public offering and automatically converted into 2,564,759 shares of the Company’s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 2020, the Board of Directors approved a new equity incentive plan, or the 2020 Equity Incentive Plan, that replaced the Company’s existing equity compensation plan, 2015 Share Award Scheme. The 2020 Equity Incentive Plan permitted the issuance of up to 4,379,139 shares of the Company’s common stock pursuant to awards granted under it, and authorized the award of stock options, restricted stock awards, stock appreciation rights and restricted stock units to employees, directors, and consultants.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Amended and Restated 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the Company adopted the Amended and Restated 2020 Equity Incentive Plan, or the 2020 Plan. The 2020 Plan replaced the Company’s 2020 Equity Incentive Plan and a total of 7,874,862 shares were reserved under the 2020 Plan. Unless the Board of Directors provides otherwise, beginning on January 1, 2021, the maximum number of shares which shall be made available for issuance under the 2020 Plan will automatically increase on the first day in January of each calendar year (i.e., the first day of our fiscal year) by an amount equal to the least of: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4,000,000</w:t>
      </w:r>
      <w:r>
        <w:rPr>
          <w:color w:val="000000"/>
        </w:rPr>
        <w:t xml:space="preserve"> </w:t>
      </w:r>
      <w:r>
        <w:rPr>
          <w:rFonts w:ascii="Times New Roman" w:hAnsi="Times New Roman"/>
          <w:color w:val="000000"/>
          <w:sz w:val="20"/>
        </w:rPr>
        <w:t>shares;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four</w:t>
      </w:r>
      <w:r>
        <w:rPr>
          <w:color w:val="000000"/>
        </w:rPr>
        <w:t xml:space="preserve"> </w:t>
      </w:r>
      <w:r>
        <w:rPr>
          <w:rFonts w:ascii="Times New Roman" w:hAnsi="Times New Roman"/>
          <w:color w:val="000000"/>
          <w:sz w:val="20"/>
        </w:rPr>
        <w:t xml:space="preserve">percent of the outstanding shares of our common stock on the last day of our immediately preceding fiscal year;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number of shares as our board of directors may determine no later than the last day of our immediately preceding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stock option agreements, including vesting requirements, are determined by the Board of Directors, subject to the provisions of the 2020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per share exercise price of the incentive stock options must equal at least the fair market value of a share underlying such options on the date of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awards that are canceled, forfeited or expired are returned to the 2020 Plan and are available for grant in conjunction with the issuance of new awards. Stock options granted are exercisable over a maximum term of 10 years from the date of grant and generally vest over an agreed service period, usually four years. Certain stock options granted under the 2020 Plan provide option holders the right to elect to exercise unvested options in exchange for common stock. Such unvested common stock is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2023, there was no such unvested early exercised options and related liability.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Shares Available for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shares available for grant under the 2020 Plan:</w:t>
      </w:r>
    </w:p>
    <w:p>
      <w:pPr>
        <w:pStyle w:val="TextBody"/>
        <w:bidi w:val="0"/>
        <w:jc w:val="left"/>
        <w:rPr/>
      </w:pPr>
      <w:r>
        <w:rPr/>
        <w:t> </w:t>
      </w:r>
    </w:p>
    <w:tbl>
      <w:tblPr>
        <w:tblW w:w="8583" w:type="dxa"/>
        <w:jc w:val="left"/>
        <w:tblInd w:w="0" w:type="dxa"/>
        <w:tblLayout w:type="fixed"/>
        <w:tblCellMar>
          <w:top w:w="28" w:type="dxa"/>
          <w:left w:w="28" w:type="dxa"/>
          <w:bottom w:w="28" w:type="dxa"/>
          <w:right w:w="28" w:type="dxa"/>
        </w:tblCellMar>
      </w:tblPr>
      <w:tblGrid>
        <w:gridCol w:w="3991"/>
        <w:gridCol w:w="146"/>
        <w:gridCol w:w="518"/>
        <w:gridCol w:w="3517"/>
        <w:gridCol w:w="4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Amended and Restated 2020 Equity Incentive Plan</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at December 31, 2022</w:t>
            </w:r>
          </w:p>
        </w:tc>
        <w:tc>
          <w:tcPr>
            <w:tcW w:w="146"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left"/>
              <w:rPr/>
            </w:pPr>
            <w:r>
              <w:rPr/>
              <w:t> </w:t>
            </w:r>
          </w:p>
        </w:tc>
        <w:tc>
          <w:tcPr>
            <w:tcW w:w="3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2,932,309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w:t>
            </w:r>
          </w:p>
        </w:tc>
        <w:tc>
          <w:tcPr>
            <w:tcW w:w="146"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3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1,634,456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left"/>
              <w:rPr/>
            </w:pPr>
            <w:r>
              <w:rPr/>
              <w:t> </w:t>
            </w:r>
          </w:p>
        </w:tc>
        <w:tc>
          <w:tcPr>
            <w:tcW w:w="3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(3,703,150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at December 31, 2023</w:t>
            </w:r>
          </w:p>
        </w:tc>
        <w:tc>
          <w:tcPr>
            <w:tcW w:w="146" w:type="dxa"/>
            <w:tcBorders/>
            <w:shd w:fill="CFF0FC" w:val="clear"/>
            <w:vAlign w:val="center"/>
          </w:tcPr>
          <w:p>
            <w:pPr>
              <w:pStyle w:val="TableContents"/>
              <w:bidi w:val="0"/>
              <w:spacing w:before="0" w:after="283"/>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Modification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stock option modifications for the years ended December 31, 2023 and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the Board of Directors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an offering period, whichever is less. An offering period consists of a six-month purchase period, with a look back feature to our stock price at the commencement of the offering period. Eligible employees can purchase the Company’s common stock at the end of the offering period at 85% of the lower of the closing price of our common stock on The Nasdaq Global Select Market on the first and last day of the offering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initial number of shares of common stock available for issuance under the ESPP was 400,000. Unless the Board of Directors provides otherwise, beginning on January 1, 2021, the maximum number of shares which shall be made available for sale under the ESPP will automatically increase on the first day in January of each calendar year (i.e., the first day of our fiscal year) during the term of the ESPP by an amount equal to the least of: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800,000</w:t>
      </w:r>
      <w:r>
        <w:rPr>
          <w:color w:val="000000"/>
        </w:rPr>
        <w:t xml:space="preserve"> </w:t>
      </w:r>
      <w:r>
        <w:rPr>
          <w:rFonts w:ascii="Times New Roman" w:hAnsi="Times New Roman"/>
          <w:color w:val="000000"/>
          <w:sz w:val="20"/>
        </w:rPr>
        <w:t>shares;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one</w:t>
      </w:r>
      <w:r>
        <w:rPr>
          <w:color w:val="000000"/>
        </w:rPr>
        <w:t xml:space="preserve"> </w:t>
      </w:r>
      <w:r>
        <w:rPr>
          <w:rFonts w:ascii="Times New Roman" w:hAnsi="Times New Roman"/>
          <w:color w:val="000000"/>
          <w:sz w:val="20"/>
        </w:rPr>
        <w:t xml:space="preserve">percent of the outstanding shares of our common stock on the last day of our immediately preceding fiscal year;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number of shares as our board of directors may determine no later than the last day of our immediately preceding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on January 1, 2023 and 2022, the number of shares available under the ESPP was increased by zero and 405,871 shares respectively. As of December 31, 2023, 138,927 shares of common stock have been purchased under the ESPP, and the number of shares of common stock available for issuance under the ESPP was 1,065,389.</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stock option activity under the 2020 Plan and related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8"/>
        <w:gridCol w:w="146"/>
        <w:gridCol w:w="173"/>
        <w:gridCol w:w="1107"/>
        <w:gridCol w:w="166"/>
        <w:gridCol w:w="146"/>
        <w:gridCol w:w="409"/>
        <w:gridCol w:w="1114"/>
        <w:gridCol w:w="146"/>
        <w:gridCol w:w="146"/>
        <w:gridCol w:w="550"/>
        <w:gridCol w:w="1759"/>
        <w:gridCol w:w="146"/>
        <w:gridCol w:w="146"/>
        <w:gridCol w:w="430"/>
        <w:gridCol w:w="1388"/>
        <w:gridCol w:w="395"/>
      </w:tblGrid>
      <w:tr>
        <w:trPr/>
        <w:tc>
          <w:tcPr>
            <w:tcW w:w="1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8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 Options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Intrinsic Value (in thousands)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6,196,848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left"/>
              <w:rPr/>
            </w:pPr>
            <w:r>
              <w:rPr/>
              <w:t> </w:t>
            </w:r>
          </w:p>
        </w:tc>
        <w:tc>
          <w:tcPr>
            <w:tcW w:w="17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19,872</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8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8" w:type="dxa"/>
            <w:gridSpan w:val="2"/>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183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1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8" w:type="dxa"/>
            <w:gridSpan w:val="2"/>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8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8" w:type="dxa"/>
            <w:gridSpan w:val="2"/>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r>
      <w:tr>
        <w:trPr/>
        <w:tc>
          <w:tcPr>
            <w:tcW w:w="18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8,984,671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left"/>
              <w:rPr/>
            </w:pPr>
            <w:r>
              <w:rPr/>
              <w:t> </w:t>
            </w:r>
          </w:p>
        </w:tc>
        <w:tc>
          <w:tcPr>
            <w:tcW w:w="17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59,900</w:t>
            </w:r>
          </w:p>
        </w:tc>
        <w:tc>
          <w:tcPr>
            <w:tcW w:w="395" w:type="dxa"/>
            <w:tcBorders/>
            <w:shd w:fill="CFF0FC" w:val="clear"/>
            <w:vAlign w:val="center"/>
          </w:tcPr>
          <w:p>
            <w:pPr>
              <w:pStyle w:val="TableContents"/>
              <w:bidi w:val="0"/>
              <w:spacing w:before="0" w:after="283"/>
              <w:jc w:val="left"/>
              <w:rPr/>
            </w:pPr>
            <w:r>
              <w:rPr/>
              <w:t> </w:t>
            </w:r>
          </w:p>
        </w:tc>
      </w:tr>
      <w:tr>
        <w:trPr/>
        <w:tc>
          <w:tcPr>
            <w:tcW w:w="18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17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30,924</w:t>
            </w:r>
          </w:p>
        </w:tc>
        <w:tc>
          <w:tcPr>
            <w:tcW w:w="395"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values represent the total pre-tax intrinsic value, of options outstanding and exercisable calculated as the difference between the exercise price of the options and the fair value of the Company’s common stock as of December 31, 2023 and 2022. The total intrinsic value of options exercised during the years ended December 31, 2023, 2022 and 2021 were $0.2 million, $1.7 million and $48.1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Valuation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Black-Scholes option pricing model to determine the estimated fair value of stock options at the date of the grant, and stock-based compensation is adjusted for actual forfeitures as they occur. The fair value of each option grant during the years ended December 31, 2023, 2022 and 2021 was estimated with the following assumptions:</w:t>
      </w:r>
    </w:p>
    <w:p>
      <w:pPr>
        <w:pStyle w:val="TextBody"/>
        <w:bidi w:val="0"/>
        <w:jc w:val="left"/>
        <w:rPr/>
      </w:pPr>
      <w:r>
        <w:rPr/>
        <w:t> </w:t>
      </w:r>
    </w:p>
    <w:tbl>
      <w:tblPr>
        <w:tblW w:w="7027" w:type="dxa"/>
        <w:jc w:val="left"/>
        <w:tblInd w:w="0" w:type="dxa"/>
        <w:tblLayout w:type="fixed"/>
        <w:tblCellMar>
          <w:top w:w="28" w:type="dxa"/>
          <w:left w:w="28" w:type="dxa"/>
          <w:bottom w:w="28" w:type="dxa"/>
          <w:right w:w="28" w:type="dxa"/>
        </w:tblCellMar>
      </w:tblPr>
      <w:tblGrid>
        <w:gridCol w:w="2626"/>
        <w:gridCol w:w="146"/>
        <w:gridCol w:w="1306"/>
        <w:gridCol w:w="146"/>
        <w:gridCol w:w="1306"/>
        <w:gridCol w:w="146"/>
        <w:gridCol w:w="135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c>
          <w:tcPr>
            <w:tcW w:w="146" w:type="dxa"/>
            <w:tcBorders/>
            <w:shd w:fill="CFF0FC" w:val="clear"/>
            <w:vAlign w:val="center"/>
          </w:tcPr>
          <w:p>
            <w:pPr>
              <w:pStyle w:val="TableContents"/>
              <w:bidi w:val="0"/>
              <w:spacing w:before="0" w:after="283"/>
              <w:jc w:val="center"/>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- 4.7%</w:t>
            </w:r>
          </w:p>
        </w:tc>
        <w:tc>
          <w:tcPr>
            <w:tcW w:w="146" w:type="dxa"/>
            <w:tcBorders/>
            <w:shd w:fill="FFFFFF" w:val="clear"/>
            <w:vAlign w:val="center"/>
          </w:tcPr>
          <w:p>
            <w:pPr>
              <w:pStyle w:val="TableContents"/>
              <w:bidi w:val="0"/>
              <w:spacing w:before="0" w:after="283"/>
              <w:jc w:val="center"/>
              <w:rPr/>
            </w:pPr>
            <w:r>
              <w:rPr/>
              <w:t> </w:t>
            </w:r>
          </w:p>
        </w:tc>
        <w:tc>
          <w:tcPr>
            <w:tcW w:w="13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 - 4.4%</w:t>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 - 1.4%</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83.6% - 88.6%</w:t>
            </w:r>
          </w:p>
        </w:tc>
        <w:tc>
          <w:tcPr>
            <w:tcW w:w="146" w:type="dxa"/>
            <w:tcBorders/>
            <w:shd w:fill="FFFFFF" w:val="clear"/>
            <w:vAlign w:val="center"/>
          </w:tcPr>
          <w:p>
            <w:pPr>
              <w:pStyle w:val="TableContents"/>
              <w:bidi w:val="0"/>
              <w:spacing w:before="0" w:after="283"/>
              <w:jc w:val="center"/>
              <w:rPr/>
            </w:pPr>
            <w:r>
              <w:rPr/>
              <w:t> </w:t>
            </w:r>
          </w:p>
        </w:tc>
        <w:tc>
          <w:tcPr>
            <w:tcW w:w="13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 - 84.7%</w:t>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79.7% - 86.9%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Expected Term. </w:t>
      </w:r>
      <w:r>
        <w:rPr>
          <w:rFonts w:ascii="Times New Roman" w:hAnsi="Times New Roman"/>
          <w:color w:val="000000"/>
          <w:sz w:val="20"/>
        </w:rPr>
        <w:t>The expected term of the options represents the average period the stock options are expected to remain outstanding. As 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Risk-Free Interest Rate. </w:t>
      </w:r>
      <w:r>
        <w:rPr>
          <w:rFonts w:ascii="Times New Roman" w:hAnsi="Times New Roman"/>
          <w:color w:val="000000"/>
          <w:sz w:val="20"/>
        </w:rPr>
        <w:t>The risk-free interest rate is based on the yield of U.S. Treasury notes as of the grant date with terms commensurate with the expected term of the option.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Dividend Yield. </w:t>
      </w:r>
      <w:r>
        <w:rPr>
          <w:rFonts w:ascii="Times New Roman" w:hAnsi="Times New Roman"/>
          <w:color w:val="000000"/>
          <w:sz w:val="20"/>
        </w:rPr>
        <w:t>The expected dividends assumption is based on the Company’s expectation of not paying dividends in the foreseeable future.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Volatility. </w:t>
      </w:r>
      <w:r>
        <w:rPr>
          <w:rFonts w:ascii="Times New Roman" w:hAnsi="Times New Roman"/>
          <w:color w:val="000000"/>
          <w:sz w:val="20"/>
        </w:rPr>
        <w:t>Since the Company does not have sufficient trading history for its common stock, the expected volatility is based on a combination of the historical volatilities of the common shares of comparable publicly traded companies as well as the historical volatilities of the Company’s common shares. The Company selected companies with comparable characteristics, including enterprise value, risk profiles, position within the industry, and with historical share price information sufficient to meet the expected life of the Company’s share-based awards.</w:t>
      </w:r>
    </w:p>
    <w:p>
      <w:pPr>
        <w:pStyle w:val="TextBody"/>
        <w:bidi w:val="0"/>
        <w:spacing w:before="240" w:after="283"/>
        <w:jc w:val="left"/>
        <w:rPr>
          <w:rFonts w:ascii="Times New Roman" w:hAnsi="Times New Roman"/>
          <w:sz w:val="20"/>
        </w:rPr>
      </w:pPr>
      <w:r>
        <w:rPr>
          <w:rFonts w:ascii="Times New Roman" w:hAnsi="Times New Roman"/>
          <w:i/>
          <w:color w:val="000000"/>
          <w:sz w:val="20"/>
        </w:rPr>
        <w:t>Fair Value</w:t>
      </w:r>
      <w:r>
        <w:rPr>
          <w:rFonts w:ascii="Times New Roman" w:hAnsi="Times New Roman"/>
          <w:color w:val="000000"/>
          <w:sz w:val="20"/>
        </w:rPr>
        <w:t>. Historically, for all periods prior to our initial public offering, the fair value of the shares of common stock underlying our stock option was determined by the Company’s 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 the board of directors deemed relevant to such determination. Since the completion of our initial public offering, the fair value of each share of common stock underlying stock option grants is based on the closing price of our common stock on the Nasdaq Global Select Market as reported on the date of grant.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restricted stock unit activity under the 2020 Plan and related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4"/>
        <w:gridCol w:w="146"/>
        <w:gridCol w:w="183"/>
        <w:gridCol w:w="1055"/>
        <w:gridCol w:w="166"/>
        <w:gridCol w:w="146"/>
        <w:gridCol w:w="254"/>
        <w:gridCol w:w="687"/>
        <w:gridCol w:w="146"/>
        <w:gridCol w:w="146"/>
        <w:gridCol w:w="683"/>
        <w:gridCol w:w="2184"/>
        <w:gridCol w:w="146"/>
        <w:gridCol w:w="146"/>
        <w:gridCol w:w="376"/>
        <w:gridCol w:w="1213"/>
        <w:gridCol w:w="394"/>
      </w:tblGrid>
      <w:tr>
        <w:trPr/>
        <w:tc>
          <w:tcPr>
            <w:tcW w:w="2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3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 RSUs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Aggregate Intrinsic Value </w:t>
              <w:b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2022</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2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9,245</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89"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1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89"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89"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r>
      <w:tr>
        <w:trPr/>
        <w:tc>
          <w:tcPr>
            <w:tcW w:w="21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2023</w:t>
            </w:r>
          </w:p>
        </w:tc>
        <w:tc>
          <w:tcPr>
            <w:tcW w:w="146" w:type="dxa"/>
            <w:tcBorders/>
            <w:shd w:fill="CFF0FC" w:val="cle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2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14,141</w:t>
            </w:r>
          </w:p>
        </w:tc>
        <w:tc>
          <w:tcPr>
            <w:tcW w:w="394"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granted are measured based on the grant-date fair value estimated using the Black-Scholes option pricing model. The grant-date fair value of restricted stock units is the fair value of the underlying stock on the award’s grant date. Compensation expense is recognized over the vesting period of the applicable awards on a straight-line basis. The weighted-average grant date fair value per share for stock options granted during the years ended December 31, 2023, 2022 and 2021 was $4.44, $7.88 and $42.29, respectively. The weighted-average grant date fair value per share for restricted stock units granted during the years ended December 31, 2023, 2022 and 2021 was $5.86, $13.55 and $58.56,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includes stock options and restricted stock units and has been reported in the Company’s consolidated statements of operations as follows (in thousands):</w:t>
      </w:r>
    </w:p>
    <w:p>
      <w:pPr>
        <w:pStyle w:val="TextBody"/>
        <w:bidi w:val="0"/>
        <w:jc w:val="left"/>
        <w:rPr/>
      </w:pPr>
      <w:r>
        <w:rPr/>
        <w:t> </w:t>
      </w:r>
    </w:p>
    <w:tbl>
      <w:tblPr>
        <w:tblW w:w="6093"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c>
          <w:tcPr>
            <w:tcW w:w="3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there was unrecognized share-based compensation expense of $38.9 million, related to unvested stock options which the Company expects to recognize over a weighted-average period of 2.9 years. There was unrecognized share-based compensation expense of $8.2 million, related to unvested restricted stock units which the Company expects to recognize over a weighted-average period of 2.9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domestic and international components of pre-tax loss for the years ending December 31, 2023, 2022 and 2021 are as follows (in thousands):</w:t>
      </w:r>
    </w:p>
    <w:p>
      <w:pPr>
        <w:pStyle w:val="TextBody"/>
        <w:bidi w:val="0"/>
        <w:jc w:val="left"/>
        <w:rPr/>
      </w:pPr>
      <w:r>
        <w:rPr/>
        <w:t> </w:t>
      </w:r>
    </w:p>
    <w:tbl>
      <w:tblPr>
        <w:tblW w:w="6193" w:type="dxa"/>
        <w:jc w:val="left"/>
        <w:tblInd w:w="0" w:type="dxa"/>
        <w:tblLayout w:type="fixed"/>
        <w:tblCellMar>
          <w:top w:w="28" w:type="dxa"/>
          <w:left w:w="28" w:type="dxa"/>
          <w:bottom w:w="28" w:type="dxa"/>
          <w:right w:w="28" w:type="dxa"/>
        </w:tblCellMar>
      </w:tblPr>
      <w:tblGrid>
        <w:gridCol w:w="2161"/>
        <w:gridCol w:w="146"/>
        <w:gridCol w:w="211"/>
        <w:gridCol w:w="841"/>
        <w:gridCol w:w="166"/>
        <w:gridCol w:w="146"/>
        <w:gridCol w:w="211"/>
        <w:gridCol w:w="841"/>
        <w:gridCol w:w="166"/>
        <w:gridCol w:w="146"/>
        <w:gridCol w:w="211"/>
        <w:gridCol w:w="736"/>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and state provision (benefit) for income taxes consist of the following (in thousands):</w:t>
      </w:r>
    </w:p>
    <w:p>
      <w:pPr>
        <w:pStyle w:val="TextBody"/>
        <w:bidi w:val="0"/>
        <w:jc w:val="left"/>
        <w:rPr/>
      </w:pPr>
      <w:r>
        <w:rPr/>
        <w:t> </w:t>
      </w:r>
    </w:p>
    <w:tbl>
      <w:tblPr>
        <w:tblW w:w="5813" w:type="dxa"/>
        <w:jc w:val="left"/>
        <w:tblInd w:w="0" w:type="dxa"/>
        <w:tblLayout w:type="fixed"/>
        <w:tblCellMar>
          <w:top w:w="28" w:type="dxa"/>
          <w:left w:w="28" w:type="dxa"/>
          <w:bottom w:w="28" w:type="dxa"/>
          <w:right w:w="28" w:type="dxa"/>
        </w:tblCellMar>
      </w:tblPr>
      <w:tblGrid>
        <w:gridCol w:w="3151"/>
        <w:gridCol w:w="146"/>
        <w:gridCol w:w="213"/>
        <w:gridCol w:w="349"/>
        <w:gridCol w:w="147"/>
        <w:gridCol w:w="147"/>
        <w:gridCol w:w="213"/>
        <w:gridCol w:w="349"/>
        <w:gridCol w:w="147"/>
        <w:gridCol w:w="147"/>
        <w:gridCol w:w="213"/>
        <w:gridCol w:w="380"/>
        <w:gridCol w:w="2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provision for income taxes:</w:t>
            </w:r>
          </w:p>
        </w:tc>
        <w:tc>
          <w:tcPr>
            <w:tcW w:w="146" w:type="dxa"/>
            <w:tcBorders/>
            <w:shd w:fill="CFF0FC" w:val="clear"/>
            <w:vAlign w:val="center"/>
          </w:tcPr>
          <w:p>
            <w:pPr>
              <w:pStyle w:val="TableContents"/>
              <w:bidi w:val="0"/>
              <w:spacing w:before="0" w:after="283"/>
              <w:jc w:val="left"/>
              <w:rPr/>
            </w:pPr>
            <w:r>
              <w:rPr/>
              <w:t> </w:t>
            </w:r>
          </w:p>
        </w:tc>
        <w:tc>
          <w:tcPr>
            <w:tcW w:w="562" w:type="dxa"/>
            <w:gridSpan w:val="2"/>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62" w:type="dxa"/>
            <w:gridSpan w:val="2"/>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593"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9"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provision:</w:t>
            </w:r>
          </w:p>
        </w:tc>
        <w:tc>
          <w:tcPr>
            <w:tcW w:w="146" w:type="dxa"/>
            <w:tcBorders/>
            <w:shd w:fill="FFFFFF" w:val="clear"/>
            <w:vAlign w:val="center"/>
          </w:tcPr>
          <w:p>
            <w:pPr>
              <w:pStyle w:val="TableContents"/>
              <w:bidi w:val="0"/>
              <w:spacing w:before="0" w:after="283"/>
              <w:jc w:val="left"/>
              <w:rPr/>
            </w:pPr>
            <w:r>
              <w:rPr/>
              <w:t> </w:t>
            </w:r>
          </w:p>
        </w:tc>
        <w:tc>
          <w:tcPr>
            <w:tcW w:w="562" w:type="dxa"/>
            <w:gridSpan w:val="2"/>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62" w:type="dxa"/>
            <w:gridSpan w:val="2"/>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3"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U.S. federal statutory income tax rate to the effective tax for the years ended December 31, 2023, 2022 and 2021 are as follows (in thousands):</w:t>
      </w:r>
    </w:p>
    <w:p>
      <w:pPr>
        <w:pStyle w:val="TextBody"/>
        <w:bidi w:val="0"/>
        <w:jc w:val="left"/>
        <w:rPr/>
      </w:pPr>
      <w:r>
        <w:rPr/>
        <w:t> </w:t>
      </w:r>
    </w:p>
    <w:tbl>
      <w:tblPr>
        <w:tblW w:w="6838" w:type="dxa"/>
        <w:jc w:val="left"/>
        <w:tblInd w:w="0" w:type="dxa"/>
        <w:tblLayout w:type="fixed"/>
        <w:tblCellMar>
          <w:top w:w="28" w:type="dxa"/>
          <w:left w:w="28" w:type="dxa"/>
          <w:bottom w:w="28" w:type="dxa"/>
          <w:right w:w="28" w:type="dxa"/>
        </w:tblCellMar>
      </w:tblPr>
      <w:tblGrid>
        <w:gridCol w:w="3016"/>
        <w:gridCol w:w="146"/>
        <w:gridCol w:w="211"/>
        <w:gridCol w:w="736"/>
        <w:gridCol w:w="166"/>
        <w:gridCol w:w="146"/>
        <w:gridCol w:w="211"/>
        <w:gridCol w:w="736"/>
        <w:gridCol w:w="166"/>
        <w:gridCol w:w="146"/>
        <w:gridCol w:w="211"/>
        <w:gridCol w:w="736"/>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federal statutory income tax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&amp; development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period true ups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benefit of reorganization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filed a change in tax status for ALX Oncology Limited in 2023. The reorganization resulted in an increase to capitalized R&amp;D and other deferred tax assets, as well as a corresponding increase in valuation allowance.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components of the Company’s deferred tax assets as of December 31, 2023 and 2022 are as follows (in thousands):</w:t>
      </w:r>
    </w:p>
    <w:p>
      <w:pPr>
        <w:pStyle w:val="TextBody"/>
        <w:bidi w:val="0"/>
        <w:jc w:val="left"/>
        <w:rPr/>
      </w:pPr>
      <w:r>
        <w:rPr/>
        <w:t> </w:t>
      </w:r>
    </w:p>
    <w:tbl>
      <w:tblPr>
        <w:tblW w:w="5029" w:type="dxa"/>
        <w:jc w:val="left"/>
        <w:tblInd w:w="0" w:type="dxa"/>
        <w:tblLayout w:type="fixed"/>
        <w:tblCellMar>
          <w:top w:w="28" w:type="dxa"/>
          <w:left w:w="28" w:type="dxa"/>
          <w:bottom w:w="28" w:type="dxa"/>
          <w:right w:w="28" w:type="dxa"/>
        </w:tblCellMar>
      </w:tblPr>
      <w:tblGrid>
        <w:gridCol w:w="2386"/>
        <w:gridCol w:w="146"/>
        <w:gridCol w:w="211"/>
        <w:gridCol w:w="736"/>
        <w:gridCol w:w="166"/>
        <w:gridCol w:w="146"/>
        <w:gridCol w:w="211"/>
        <w:gridCol w:w="736"/>
        <w:gridCol w:w="2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3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3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&amp; other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3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3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3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3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3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Capitalized R&amp;D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3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3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ROU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3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 The valuation allowance increased by approximately $64.5 million and $9.1 million for the years ended December 31, 2023 and 2022,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Cuts and Jobs Act eliminated the option to deduct research and development expenditures currently and requires taxpayers to capitalize and amortize them pursuant to Internal Revenue Code Section 174 beginning in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operating losses and tax credit carryforwards as of December 31, 2023 are as follows (in thousands):</w:t>
      </w:r>
    </w:p>
    <w:p>
      <w:pPr>
        <w:pStyle w:val="TextBody"/>
        <w:bidi w:val="0"/>
        <w:jc w:val="left"/>
        <w:rPr/>
      </w:pPr>
      <w:r>
        <w:rPr/>
        <w:t> </w:t>
      </w:r>
    </w:p>
    <w:tbl>
      <w:tblPr>
        <w:tblW w:w="7477" w:type="dxa"/>
        <w:jc w:val="left"/>
        <w:tblInd w:w="0" w:type="dxa"/>
        <w:tblLayout w:type="fixed"/>
        <w:tblCellMar>
          <w:top w:w="28" w:type="dxa"/>
          <w:left w:w="28" w:type="dxa"/>
          <w:bottom w:w="28" w:type="dxa"/>
          <w:right w:w="28" w:type="dxa"/>
        </w:tblCellMar>
      </w:tblPr>
      <w:tblGrid>
        <w:gridCol w:w="4531"/>
        <w:gridCol w:w="146"/>
        <w:gridCol w:w="211"/>
        <w:gridCol w:w="676"/>
        <w:gridCol w:w="146"/>
        <w:gridCol w:w="146"/>
        <w:gridCol w:w="162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Years</w:t>
            </w:r>
          </w:p>
        </w:tc>
      </w:tr>
      <w:tr>
        <w:trPr/>
        <w:tc>
          <w:tcPr>
            <w:tcW w:w="4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(post December 31, 2017)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 Not Expire</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2038-2040</w:t>
            </w:r>
          </w:p>
        </w:tc>
      </w:tr>
      <w:tr>
        <w:trPr/>
        <w:tc>
          <w:tcPr>
            <w:tcW w:w="4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2039-2043</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4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foreign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Unrecognized Tax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The Company files income tax returns in the U.S. federal and California jurisdiction, which is not currently under exam, and all years since inception are opened to examination.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unrecognized tax benefits as of December 31, 2023, 2022 and 2021 were $3.1 million, $1.7 million and $1.2 million, respectively. Future changes in the unrecognized tax benefits will not impact the effective tax rate due to the Company’s full valuation allowance.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the following activity relating to unrecognized tax benefits (in thousands):</w:t>
      </w:r>
    </w:p>
    <w:p>
      <w:pPr>
        <w:pStyle w:val="TextBody"/>
        <w:bidi w:val="0"/>
        <w:jc w:val="left"/>
        <w:rPr/>
      </w:pPr>
      <w:r>
        <w:rPr/>
        <w:t> </w:t>
      </w:r>
    </w:p>
    <w:tbl>
      <w:tblPr>
        <w:tblW w:w="8233" w:type="dxa"/>
        <w:jc w:val="left"/>
        <w:tblInd w:w="0" w:type="dxa"/>
        <w:tblLayout w:type="fixed"/>
        <w:tblCellMar>
          <w:top w:w="28" w:type="dxa"/>
          <w:left w:w="28" w:type="dxa"/>
          <w:bottom w:w="28" w:type="dxa"/>
          <w:right w:w="28" w:type="dxa"/>
        </w:tblCellMar>
      </w:tblPr>
      <w:tblGrid>
        <w:gridCol w:w="4906"/>
        <w:gridCol w:w="146"/>
        <w:gridCol w:w="211"/>
        <w:gridCol w:w="571"/>
        <w:gridCol w:w="166"/>
        <w:gridCol w:w="146"/>
        <w:gridCol w:w="211"/>
        <w:gridCol w:w="571"/>
        <w:gridCol w:w="166"/>
        <w:gridCol w:w="146"/>
        <w:gridCol w:w="211"/>
        <w:gridCol w:w="571"/>
        <w:gridCol w:w="2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211" w:type="dxa"/>
            <w:tcBorders/>
            <w:shd w:fill="CFF0FC" w:val="clear"/>
            <w:vAlign w:val="center"/>
          </w:tcPr>
          <w:p>
            <w:pPr>
              <w:pStyle w:val="TableContents"/>
              <w:bidi w:val="0"/>
              <w:spacing w:before="0" w:after="283"/>
              <w:jc w:val="left"/>
              <w:rPr/>
            </w:pPr>
            <w:r>
              <w:rPr/>
              <w:t> </w:t>
            </w:r>
          </w:p>
        </w:tc>
      </w:tr>
      <w:tr>
        <w:trPr/>
        <w:tc>
          <w:tcPr>
            <w:tcW w:w="4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Additions/reversals based on tax positions of prior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11" w:type="dxa"/>
            <w:tcBorders/>
            <w:shd w:fill="CFF0FC" w:val="clear"/>
            <w:vAlign w:val="center"/>
          </w:tcPr>
          <w:p>
            <w:pPr>
              <w:pStyle w:val="TableContents"/>
              <w:bidi w:val="0"/>
              <w:spacing w:before="0" w:after="283"/>
              <w:jc w:val="left"/>
              <w:rPr/>
            </w:pPr>
            <w:r>
              <w:rPr/>
              <w:t> </w:t>
            </w:r>
          </w:p>
        </w:tc>
      </w:tr>
      <w:tr>
        <w:trPr/>
        <w:tc>
          <w:tcPr>
            <w:tcW w:w="4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Lapses in statutes of limitations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end of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2023, 2022 and 2021, no significant interest or penalties were required to be recognized relating to unrecognized tax benefits.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RELATED-PARTY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Tallac Service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a research and development services agreement, or the Tallac Services Agreement, with Tallac Therapeutics, Inc., or Tallac, effective as of July 1, 2020. The Tallac Services Agreement provides that Tallac will provide certain preclinical research services to the Company for a service fee based on the costs incurred by Tallac plus a mark-up equal to 10.0% of such costs. The Tallac Services Agreement has an initial term of four years and is renewed automatically for additional one year terms thereafter. The Company records the payments for the research and development services as research and development, or R&amp;D, costs within the consolidated statements of operations. For the years ended December 31, 2023, 2022 and 2021, the Company recorded $0.3 million, $0.6 million and $0.8 million, respectively, as R&amp;D costs in relation to the Tallac Services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Tallac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4, 2021, the Company entered into a Collaboration Agreement with Tallac, or the Tallac Collaboration Agreement, to jointly develop, manufacture, and commercialize a novel class of cancer immunotherapy.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R&amp;D costs in accordance with ASC 730, Research and Development,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years ended December 31, 2023, 2022 and 2021, the Company recorded $1.7 million, $7.8 million and $2.8 million, respectively, as R&amp;D costs in relation to the Tallac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Tallac Collaboration Agreement includes the right to set off clause, as such, the Company records the amount due to or reimbursable from Tallac on a net basis. As of December 31, 2023 and 2022, the Company had accrued expenses of $0.5 million and $1.6 million, respectively, related to the Tallac Collaboration Agreement which was presented within the payable and accrued liabilities due to related party on the consolidated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 of assets and ownership of ScalmiBio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4, 2021, the Company entered into a stock purchase agreement with ScalmiBio. The Company’s former Chief Executive Officer and current Chief Scientific Officer and President, who is also a director, was also a director of ScalmiBio prior to the acquisition, and owned 31.7% of ScalmiBio stock. Refer to Note 3 “Acquisition of assets and ownership” for additional discussion.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4, 2022, the Company made a $2.0 million payment to stockholders of ScalmiBio at the one-year anniversary of the transaction to stockholders of ScalmiBio, including 31.7%, or $0.6 million, to the Company’s former Chief Executive Officer and current Chief Scientific Officer and President. This payment was recorded as R&amp;D costs within the consolidated statements of operations over the one-year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attributable to common stockholders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03"/>
        <w:gridCol w:w="146"/>
        <w:gridCol w:w="211"/>
        <w:gridCol w:w="1036"/>
        <w:gridCol w:w="166"/>
        <w:gridCol w:w="146"/>
        <w:gridCol w:w="211"/>
        <w:gridCol w:w="1036"/>
        <w:gridCol w:w="166"/>
        <w:gridCol w:w="146"/>
        <w:gridCol w:w="211"/>
        <w:gridCol w:w="1036"/>
        <w:gridCol w:w="391"/>
      </w:tblGrid>
      <w:tr>
        <w:trPr/>
        <w:tc>
          <w:tcPr>
            <w:tcW w:w="5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6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vAlign w:val="center"/>
          </w:tcPr>
          <w:p>
            <w:pPr>
              <w:pStyle w:val="TableContents"/>
              <w:bidi w:val="0"/>
              <w:spacing w:before="0" w:after="283"/>
              <w:jc w:val="center"/>
              <w:rPr/>
            </w:pPr>
            <w:r>
              <w:rPr/>
              <w:t> </w:t>
            </w:r>
          </w:p>
        </w:tc>
      </w:tr>
      <w:tr>
        <w:trPr/>
        <w:tc>
          <w:tcPr>
            <w:tcW w:w="53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3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3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42,987,767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40,699,612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40,308,050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Since the Company was in a loss position for all periods presented, basic net loss per share is the same as diluted net loss per share for all periods presented as the inclusion of all potential common stock outstanding would have been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computation of diluted net loss per share for the years ended December 31, 2023, 2022 and 2021, because including them would have been anti-dilutive:</w:t>
      </w:r>
    </w:p>
    <w:p>
      <w:pPr>
        <w:pStyle w:val="TextBody"/>
        <w:bidi w:val="0"/>
        <w:jc w:val="left"/>
        <w:rPr/>
      </w:pPr>
      <w:r>
        <w:rPr/>
        <w:t> </w:t>
      </w:r>
    </w:p>
    <w:tbl>
      <w:tblPr>
        <w:tblW w:w="9048" w:type="dxa"/>
        <w:jc w:val="left"/>
        <w:tblInd w:w="0" w:type="dxa"/>
        <w:tblLayout w:type="fixed"/>
        <w:tblCellMar>
          <w:top w:w="28" w:type="dxa"/>
          <w:left w:w="28" w:type="dxa"/>
          <w:bottom w:w="28" w:type="dxa"/>
          <w:right w:w="28" w:type="dxa"/>
        </w:tblCellMar>
      </w:tblPr>
      <w:tblGrid>
        <w:gridCol w:w="4696"/>
        <w:gridCol w:w="146"/>
        <w:gridCol w:w="146"/>
        <w:gridCol w:w="931"/>
        <w:gridCol w:w="146"/>
        <w:gridCol w:w="146"/>
        <w:gridCol w:w="146"/>
        <w:gridCol w:w="931"/>
        <w:gridCol w:w="146"/>
        <w:gridCol w:w="146"/>
        <w:gridCol w:w="146"/>
        <w:gridCol w:w="931"/>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1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8,984,671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6,196,848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5,128,639</w:t>
            </w:r>
          </w:p>
        </w:tc>
        <w:tc>
          <w:tcPr>
            <w:tcW w:w="39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issued and outstanding</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15,075</w:t>
            </w:r>
          </w:p>
        </w:tc>
        <w:tc>
          <w:tcPr>
            <w:tcW w:w="391" w:type="dxa"/>
            <w:tcBorders/>
            <w:shd w:fill="FFFFFF" w:val="clear"/>
            <w:vAlign w:val="center"/>
          </w:tcPr>
          <w:p>
            <w:pPr>
              <w:pStyle w:val="TableContents"/>
              <w:bidi w:val="0"/>
              <w:spacing w:before="0" w:after="283"/>
              <w:jc w:val="left"/>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estimated shares issuable</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5,143,714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2023, 2022 and 2021, the Company had no pending or threatened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Company paid Stanford a nonrefundable license royalty and reimbursed Stanford for past patent expenses, together totaling less than $0.1 million, and granted Stanford a specified number of shares of common stock of the Company. The Company is required to make milestone payments up to an aggregate of $5.0 million in respect of a specified number of licensed products that successfully satisfy certain clinical and regulatory milestones. The Company recorded the first milestone payment of $0.2 million during the year ended December 31, 2021. There was no milestone payment recorded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evorpacept, and to make, use and sell licensed product containing such compound in all fields of use.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recorded a milestone payment of $0.1 million during the year ended December 31, 2021. There was no milestone payment recorded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2017, the Company entered into an agreement with Crystal Bioscience Inc. (now a subsidiary of Ligand Pharmaceuticals Incorporated),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 The Company agreed to pay Crystal milestone payments up to $11.1 million in respect of all licensed products developed under the assigned patents, that successfully satisfy certain clinical and regulatory milestones, each milestone being paid only once for all products. The Company recorded the first milestone payment of $0.3 million during the year ended December 31, 2022. There was no milestone payment recorded for the year ended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Contractual Obligations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other contractual obligations and other commitments from manufacturing and service contracts, which are presented as follows as of December 31, 2023 (in thousands):</w:t>
      </w:r>
    </w:p>
    <w:p>
      <w:pPr>
        <w:pStyle w:val="TextBody"/>
        <w:bidi w:val="0"/>
        <w:jc w:val="left"/>
        <w:rPr/>
      </w:pPr>
      <w:r>
        <w:rPr/>
        <w:t> </w:t>
      </w:r>
    </w:p>
    <w:tbl>
      <w:tblPr>
        <w:tblW w:w="9376" w:type="dxa"/>
        <w:jc w:val="left"/>
        <w:tblInd w:w="0" w:type="dxa"/>
        <w:tblLayout w:type="fixed"/>
        <w:tblCellMar>
          <w:top w:w="28" w:type="dxa"/>
          <w:left w:w="28" w:type="dxa"/>
          <w:bottom w:w="28" w:type="dxa"/>
          <w:right w:w="28" w:type="dxa"/>
        </w:tblCellMar>
      </w:tblPr>
      <w:tblGrid>
        <w:gridCol w:w="3076"/>
        <w:gridCol w:w="146"/>
        <w:gridCol w:w="211"/>
        <w:gridCol w:w="571"/>
        <w:gridCol w:w="146"/>
        <w:gridCol w:w="146"/>
        <w:gridCol w:w="211"/>
        <w:gridCol w:w="571"/>
        <w:gridCol w:w="146"/>
        <w:gridCol w:w="146"/>
        <w:gridCol w:w="335"/>
        <w:gridCol w:w="670"/>
        <w:gridCol w:w="146"/>
        <w:gridCol w:w="146"/>
        <w:gridCol w:w="379"/>
        <w:gridCol w:w="626"/>
        <w:gridCol w:w="146"/>
        <w:gridCol w:w="146"/>
        <w:gridCol w:w="386"/>
        <w:gridCol w:w="635"/>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76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2027-2028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Thereafter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service contracts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0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$1.8 million. In addition, the Company has commitments with two other pharmaceutical contract manufacturers, including certain future purchase obligations of approximately $4.9 million. These amounts are based on non-cancellable commitments and forecasts that include estimates of future market demand, quantity discounts and manufacturing efficiencies that may impact timing of purchase.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preparing the consolidated financial statements as of December 31, 2023, the Company evaluated subsequent events for recognition and measurement purposes through the filing date of this Annual Report on Form 10-K. The Company concluded that no events or transactions have occurred that require disclosure in the accompanying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December 31, 2023.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and principal financial officers to provide reasonable assurance regarding the reliability of financial reporting and the preparation of our financial statements for external reporting purposes in accordance with U.S.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end of our 2023 fiscal year, management conducted an assessment of the effectiveness of our internal control over financial reporting based on the framework established in the original Internal Control – Integrated Framework issued by the Committee of Sponsoring Organizations of the Treadway Commission (2013 framework) (COSO). Based on this assessment, management has determined that our internal control over financial reporting as of December 31, 2023 was effective.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December 31, 2023 that materially affected, or are reasonably likely to materially affect, our internal control over financial reporting.</w:t>
      </w:r>
    </w:p>
    <w:p>
      <w:pPr>
        <w:pStyle w:val="TextBody"/>
        <w:bidi w:val="0"/>
        <w:spacing w:before="360" w:after="283"/>
        <w:jc w:val="left"/>
        <w:rPr>
          <w:rFonts w:ascii="Times New Roman" w:hAnsi="Times New Roman"/>
          <w:sz w:val="20"/>
        </w:rPr>
      </w:pPr>
      <w:bookmarkStart w:id="25" w:name="item_9b_or_information"/>
      <w:bookmarkEnd w:id="25"/>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our last fiscal quarter, the following director and officer, as defined in Rule 16a-1(f), adopted a “Rule 10b5-1 trading arrangement” as defined in Regulation S-K Item 408,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12, 2023, Rekha Hemrajani, a member of the Board of Directors, adopted a Rule 10b5-1 trading arrangement providing for the sale from time to time of an aggregate of up to 50,000 shares of our common stock. The trading arrangement was intended to satisfy the affirmative defense in Rule 10b5-1(c). The duration of the trading arrangement is until February 11, 2025, or earlier if all transactions under the trading arrangement are completed.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6, 2023, Jaume Pons, our President, Chief Scientific Officer and a member of the Board of Directors, adopted a Rule 10b5-1 trading arrangement providing for the sale from time to time of an aggregate of up to 351,198 shares of our common stock. The trading arrangement was intended to satisfy the affirmative defense in Rule 10b5-1(c). The duration of the trading arrangement is until April 3, 2026, or earlier if all transactions under the trading arrangement are completed.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other officers or directors, as defined in Rule 16a-1(f), adopted and/or terminated a “Rule 10b5-1 trading arrangement” or a “non-Rule 10b5-1 trading arrangement,” as defined in Regulation S-K Item 408, during the last fiscal quarter.</w:t>
      </w:r>
    </w:p>
    <w:p>
      <w:pPr>
        <w:pStyle w:val="TextBody"/>
        <w:bidi w:val="0"/>
        <w:spacing w:before="360" w:after="283"/>
        <w:jc w:val="left"/>
        <w:rPr>
          <w:rFonts w:ascii="Times New Roman" w:hAnsi="Times New Roman"/>
          <w:sz w:val="20"/>
        </w:rPr>
      </w:pPr>
      <w:bookmarkStart w:id="26" w:name="item_9c_disclosure_regarding_foreign_jur"/>
      <w:bookmarkEnd w:id="26"/>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part_iii"/>
      <w:bookmarkEnd w:id="27"/>
      <w:r>
        <w:rPr>
          <w:rFonts w:ascii="Times New Roman" w:hAnsi="Times New Roman"/>
          <w:b/>
          <w:color w:val="000000"/>
          <w:sz w:val="20"/>
        </w:rPr>
        <w:t>PART III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required by Part III is omitted from this Annual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2023.</w:t>
      </w:r>
    </w:p>
    <w:p>
      <w:pPr>
        <w:pStyle w:val="TextBody"/>
        <w:bidi w:val="0"/>
        <w:spacing w:before="360" w:after="283"/>
        <w:jc w:val="left"/>
        <w:rPr>
          <w:rFonts w:ascii="Times New Roman" w:hAnsi="Times New Roman"/>
          <w:b/>
          <w:color w:val="000000"/>
          <w:sz w:val="20"/>
        </w:rPr>
      </w:pPr>
      <w:bookmarkStart w:id="28" w:name="item_10_directors_executive_ficers_corpo"/>
      <w:bookmarkEnd w:id="28"/>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concerning our directors, executive officers, corporate governance, Section 16 reporting compliance and code of business conduct and ethics is incorporated by reference to the Proxy Statement. </w:t>
      </w:r>
    </w:p>
    <w:p>
      <w:pPr>
        <w:pStyle w:val="TextBody"/>
        <w:bidi w:val="0"/>
        <w:spacing w:before="360" w:after="283"/>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regarding executive compensation is incorporated by reference to the Proxy Statement.</w:t>
      </w:r>
    </w:p>
    <w:p>
      <w:pPr>
        <w:pStyle w:val="TextBody"/>
        <w:bidi w:val="0"/>
        <w:spacing w:before="360" w:after="283"/>
        <w:jc w:val="left"/>
        <w:rPr>
          <w:rFonts w:ascii="Times New Roman" w:hAnsi="Times New Roman"/>
          <w:b/>
          <w:color w:val="000000"/>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regarding security ownership of certain beneficial owners and management and related stockholder matters is incorporated by reference to the Proxy Statement.</w:t>
      </w:r>
    </w:p>
    <w:p>
      <w:pPr>
        <w:pStyle w:val="TextBody"/>
        <w:bidi w:val="0"/>
        <w:spacing w:before="360" w:after="283"/>
        <w:jc w:val="left"/>
        <w:rPr>
          <w:rFonts w:ascii="Times New Roman" w:hAnsi="Times New Roman"/>
          <w:b/>
          <w:color w:val="000000"/>
          <w:sz w:val="20"/>
        </w:rPr>
      </w:pPr>
      <w:bookmarkStart w:id="31" w:name="item_13_certain_relationships_related_tr"/>
      <w:bookmarkEnd w:id="31"/>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regarding certain relationships and related party transactions and director independence is incorporated by reference to the Proxy Statement.</w:t>
      </w:r>
    </w:p>
    <w:p>
      <w:pPr>
        <w:pStyle w:val="TextBody"/>
        <w:bidi w:val="0"/>
        <w:spacing w:before="360" w:after="283"/>
        <w:jc w:val="left"/>
        <w:rPr>
          <w:rFonts w:ascii="Times New Roman" w:hAnsi="Times New Roman"/>
          <w:b/>
          <w:color w:val="000000"/>
          <w:sz w:val="20"/>
        </w:rPr>
      </w:pPr>
      <w:bookmarkStart w:id="32" w:name="item_14_principal_accounting_fees_servic"/>
      <w:bookmarkEnd w:id="32"/>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is KPMG LLP, Auditor Firm ID: 185.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regarding principal accountant fees and services is incorporated by reference to the Proxy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b/>
          <w:color w:val="000000"/>
          <w:sz w:val="20"/>
        </w:rPr>
      </w:pPr>
      <w:bookmarkStart w:id="34" w:name="item_15_exhibits_financial_statement_sch"/>
      <w:bookmarkEnd w:id="34"/>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this Annual Report on Form 10-K: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filed as part of this Annual Report on Form 10-K are listed in the “Index to Financial Statements” under Part II, Item 8 of this Annual Report on Form 10-K.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 have been omitted as the information required is not applicable or the information is presented in the financial statements or related notes included in Part II, Item 8 of this Annual Report on Form 10-K.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below are filed as part of this Annual Report on Form 10-K, or are incorporated herein by reference, in each case as indicated below.</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4196"/>
        <w:gridCol w:w="146"/>
        <w:gridCol w:w="616"/>
        <w:gridCol w:w="146"/>
        <w:gridCol w:w="784"/>
        <w:gridCol w:w="146"/>
        <w:gridCol w:w="796"/>
        <w:gridCol w:w="146"/>
        <w:gridCol w:w="1014"/>
        <w:gridCol w:w="146"/>
        <w:gridCol w:w="1082"/>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8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1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64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vAlign w:val="center"/>
          </w:tcPr>
          <w:p>
            <w:pPr>
              <w:pStyle w:val="TableContents"/>
              <w:bidi w:val="0"/>
              <w:spacing w:before="0" w:after="283"/>
              <w:jc w:val="center"/>
              <w:rPr/>
            </w:pPr>
            <w:r>
              <w:rPr/>
              <w:t> </w:t>
            </w:r>
          </w:p>
        </w:tc>
        <w:tc>
          <w:tcPr>
            <w:tcW w:w="10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4"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14"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jc w:val="left"/>
              <w:rPr/>
            </w:pPr>
            <w:hyperlink r:id="rId16">
              <w:r>
                <w:rPr>
                  <w:rStyle w:val="InternetLink"/>
                  <w:rFonts w:ascii="Times New Roman" w:hAnsi="Times New Roman"/>
                  <w:color w:val="0000EE"/>
                  <w:sz w:val="20"/>
                  <w:u w:val="single"/>
                </w:rPr>
                <w:t>Amended and Restated Certificate of Incorporation of the Registrant.</w:t>
              </w:r>
            </w:hyperlink>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21, 2020</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Amended and Restated Bylaws of the Registrant.</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 2023</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hyperlink r:id="rId18">
              <w:r>
                <w:rPr>
                  <w:rStyle w:val="InternetLink"/>
                  <w:rFonts w:ascii="Times New Roman" w:hAnsi="Times New Roman"/>
                  <w:color w:val="0000EE"/>
                  <w:sz w:val="20"/>
                  <w:u w:val="single"/>
                </w:rPr>
                <w:t>Amended and Restated Investors’ Rights Agreement among the Registrant and certain of its stockholders, dated April 1, 2020.</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hyperlink r:id="rId19">
              <w:r>
                <w:rPr>
                  <w:rStyle w:val="InternetLink"/>
                  <w:rFonts w:ascii="Times New Roman" w:hAnsi="Times New Roman"/>
                  <w:color w:val="0000EE"/>
                  <w:sz w:val="20"/>
                  <w:u w:val="single"/>
                </w:rPr>
                <w:t>Specimen common stock certificate of the Registrant.</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hyperlink w:anchor="alxo-ex4_3.htm">
              <w:r>
                <w:rPr>
                  <w:rStyle w:val="InternetLink"/>
                  <w:rFonts w:ascii="Times New Roman" w:hAnsi="Times New Roman"/>
                  <w:color w:val="0000FF"/>
                  <w:sz w:val="20"/>
                  <w:u w:val="single"/>
                </w:rPr>
                <w:t>Description of Securities.</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Pre-Funded Warrant.</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2023</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Loan and Security Agreement, dated as of October 27, 2022, among Oxford Finance LLC, as collateral agent, the lenders from time to time party thereto, ALX Oncology Inc., Alexo Therapeutics International, and Sirpant Therapeutics, each as a borrower, and ALX Oncology Holdings Inc., as guarantor.</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2022</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Consent and First Amendment to Loan and Security Agreement, dated as of December 22, 2022.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2023</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Second Amendment to Loan and Security Agreement, dated as of May 31, 2023.</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10, 2023</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4196"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Third Amendment to Loan and Security Agreement, dated as of December 22, 2023, among Oxford Finance LLC, as collateral agent, the lenders party thereto, ALX Oncology Inc., as borrower, and ALX Oncology Holdings Inc., as guarantor.</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8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10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26, 2023</w:t>
            </w:r>
          </w:p>
        </w:tc>
        <w:tc>
          <w:tcPr>
            <w:tcW w:w="146" w:type="dxa"/>
            <w:tcBorders/>
            <w:vAlign w:val="center"/>
          </w:tcPr>
          <w:p>
            <w:pPr>
              <w:pStyle w:val="TableContents"/>
              <w:bidi w:val="0"/>
              <w:spacing w:before="0" w:after="283"/>
              <w:jc w:val="center"/>
              <w:rPr/>
            </w:pPr>
            <w:r>
              <w:rPr/>
              <w:t> </w:t>
            </w:r>
          </w:p>
        </w:tc>
        <w:tc>
          <w:tcPr>
            <w:tcW w:w="1082"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4100"/>
        <w:gridCol w:w="146"/>
        <w:gridCol w:w="616"/>
        <w:gridCol w:w="146"/>
        <w:gridCol w:w="801"/>
        <w:gridCol w:w="146"/>
        <w:gridCol w:w="796"/>
        <w:gridCol w:w="146"/>
        <w:gridCol w:w="1092"/>
        <w:gridCol w:w="146"/>
        <w:gridCol w:w="1083"/>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8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1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74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10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92"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Sales Agreement, dated December 17, 2021, by and among ALX Oncology Holdings Inc., Cantor Fitzgerald &amp; Co., and Credit Suisse Securities (USA) LLC.</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2021</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Amendment No. 1 to the Sales Agreement with Cantor and Credit Suisse, dated August 25, 2023.</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13, 2023</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27">
              <w:r>
                <w:rPr>
                  <w:rStyle w:val="InternetLink"/>
                  <w:rFonts w:ascii="Times New Roman" w:hAnsi="Times New Roman"/>
                  <w:color w:val="0000EE"/>
                  <w:sz w:val="20"/>
                  <w:u w:val="single"/>
                </w:rPr>
                <w:t>Form of Indemnification Agreement between the Registrant and each of its directors and executive officers.</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28">
              <w:r>
                <w:rPr>
                  <w:rStyle w:val="InternetLink"/>
                  <w:rFonts w:ascii="Times New Roman" w:hAnsi="Times New Roman"/>
                  <w:color w:val="0000EE"/>
                  <w:sz w:val="20"/>
                  <w:u w:val="single"/>
                </w:rPr>
                <w:t>Amended and Restated 2020 Equity Incentive Plan and forms of agreements thereunder.</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29">
              <w:r>
                <w:rPr>
                  <w:rStyle w:val="InternetLink"/>
                  <w:rFonts w:ascii="Times New Roman" w:hAnsi="Times New Roman"/>
                  <w:color w:val="0000EE"/>
                  <w:sz w:val="20"/>
                  <w:u w:val="single"/>
                </w:rPr>
                <w:t>2020 Employee Stock Purchase Plan.</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Confirmatory Employment Letter between the Registrant and Jason Lettmann.</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6, 2023</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Confirmatory Employment Letter between the Registrant and Jaume Pons, Ph.D.</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6, 2023</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32">
              <w:r>
                <w:rPr>
                  <w:rStyle w:val="InternetLink"/>
                  <w:rFonts w:ascii="Times New Roman" w:hAnsi="Times New Roman"/>
                  <w:color w:val="0000EE"/>
                  <w:sz w:val="20"/>
                  <w:u w:val="single"/>
                </w:rPr>
                <w:t>Confirmatory Offer Letter between the Registrant and Peter García.</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Confirmatory Offer Letter between the Registrant and Shelly Pinto.</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2022</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34">
              <w:r>
                <w:rPr>
                  <w:rStyle w:val="InternetLink"/>
                  <w:rFonts w:ascii="Times New Roman" w:hAnsi="Times New Roman"/>
                  <w:color w:val="0000EE"/>
                  <w:sz w:val="20"/>
                  <w:u w:val="single"/>
                </w:rPr>
                <w:t>Confirmatory Offer Letter between the Registrant and Sophia Randolph, M.D., Ph.D.</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35">
              <w:r>
                <w:rPr>
                  <w:rStyle w:val="InternetLink"/>
                  <w:rFonts w:ascii="Times New Roman" w:hAnsi="Times New Roman"/>
                  <w:color w:val="0000EE"/>
                  <w:sz w:val="20"/>
                  <w:u w:val="single"/>
                </w:rPr>
                <w:t>Executive Incentive Compensation Plan.</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36">
              <w:r>
                <w:rPr>
                  <w:rStyle w:val="InternetLink"/>
                  <w:rFonts w:ascii="Times New Roman" w:hAnsi="Times New Roman"/>
                  <w:color w:val="0000EE"/>
                  <w:sz w:val="20"/>
                  <w:u w:val="single"/>
                </w:rPr>
                <w:t>Form of Change in Control and Severance Agreement.</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37">
              <w:r>
                <w:rPr>
                  <w:rStyle w:val="InternetLink"/>
                  <w:rFonts w:ascii="Times New Roman" w:hAnsi="Times New Roman"/>
                  <w:color w:val="0000EE"/>
                  <w:sz w:val="20"/>
                  <w:u w:val="single"/>
                </w:rPr>
                <w:t>Exclusive (Equity) Agreement between the Registrant and The Board of Trustees of the Leland Stanford Junior University, effective as of March 24, 2015, as amended on April 24, 2015 and May 15, 2015.</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38">
              <w:r>
                <w:rPr>
                  <w:rStyle w:val="InternetLink"/>
                  <w:rFonts w:ascii="Times New Roman" w:hAnsi="Times New Roman"/>
                  <w:color w:val="0000EE"/>
                  <w:sz w:val="20"/>
                  <w:u w:val="single"/>
                </w:rPr>
                <w:t>Amended and Restated Research and Development Services Agreement, dated as of June 18, 2018, between ALX Oncology Inc. and Tollnine, Inc., incorporating Amendment No. 1, dated as of May 3, 2019.</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39">
              <w:r>
                <w:rPr>
                  <w:rStyle w:val="InternetLink"/>
                  <w:rFonts w:ascii="Times New Roman" w:hAnsi="Times New Roman"/>
                  <w:color w:val="0000EE"/>
                  <w:sz w:val="20"/>
                  <w:u w:val="single"/>
                </w:rPr>
                <w:t>Research and Development Services Agreement, dated as of June 25, 2020, between the Registrant and Tallac Therapeutics, Inc. (formerly known as Tollnine, Inc.).</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Outside Director Compensation Policy.</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10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11, 2023</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7"/>
        <w:gridCol w:w="146"/>
        <w:gridCol w:w="4739"/>
        <w:gridCol w:w="146"/>
        <w:gridCol w:w="616"/>
        <w:gridCol w:w="146"/>
        <w:gridCol w:w="557"/>
        <w:gridCol w:w="146"/>
        <w:gridCol w:w="796"/>
        <w:gridCol w:w="146"/>
        <w:gridCol w:w="691"/>
        <w:gridCol w:w="146"/>
        <w:gridCol w:w="1083"/>
      </w:tblGrid>
      <w:tr>
        <w:trPr/>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73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098" w:type="dxa"/>
            <w:gridSpan w:val="7"/>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3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hyperlink w:anchor="alxo-ex21_1.htm">
              <w:r>
                <w:rPr>
                  <w:rStyle w:val="InternetLink"/>
                  <w:rFonts w:ascii="Times New Roman" w:hAnsi="Times New Roman"/>
                  <w:color w:val="0000FF"/>
                  <w:sz w:val="20"/>
                  <w:u w:val="single"/>
                </w:rPr>
                <w:t>List of subsidiaries of Registrant.</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hyperlink w:anchor="alxo-ex23_1.htm">
              <w:r>
                <w:rPr>
                  <w:rStyle w:val="InternetLink"/>
                  <w:rFonts w:ascii="Times New Roman" w:hAnsi="Times New Roman"/>
                  <w:color w:val="0000EE"/>
                  <w:sz w:val="20"/>
                  <w:u w:val="single"/>
                </w:rPr>
                <w:t>Consent of KPMG LLP, Independent Registered Public Accounting Firm.</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hyperlink w:anchor="power_attorney">
              <w:r>
                <w:rPr>
                  <w:rStyle w:val="InternetLink"/>
                  <w:rFonts w:ascii="Times New Roman" w:hAnsi="Times New Roman"/>
                  <w:color w:val="0000EE"/>
                  <w:sz w:val="20"/>
                  <w:u w:val="single"/>
                </w:rPr>
                <w:t>Power of Attorney.</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hyperlink w:anchor="alxo-ex31_1.htm">
              <w:r>
                <w:rPr>
                  <w:rStyle w:val="InternetLink"/>
                  <w:rFonts w:ascii="Times New Roman" w:hAnsi="Times New Roman"/>
                  <w:color w:val="0000E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hyperlink w:anchor="alxo-ex31_2.htm">
              <w:r>
                <w:rPr>
                  <w:rStyle w:val="InternetLink"/>
                  <w:rFonts w:ascii="Times New Roman" w:hAnsi="Times New Roman"/>
                  <w:color w:val="0000E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hyperlink w:anchor="alxo-ex32_1.htm">
              <w:r>
                <w:rPr>
                  <w:rStyle w:val="InternetLink"/>
                  <w:rFonts w:ascii="Times New Roman" w:hAnsi="Times New Roman"/>
                  <w:color w:val="0000EE"/>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hyperlink w:anchor="alxo-ex32_2.htm">
              <w:r>
                <w:rPr>
                  <w:rStyle w:val="InternetLink"/>
                  <w:rFonts w:ascii="Times New Roman" w:hAnsi="Times New Roman"/>
                  <w:color w:val="0000EE"/>
                  <w:sz w:val="20"/>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hyperlink w:anchor="alxo-ex97_1.htm">
              <w:r>
                <w:rPr>
                  <w:rStyle w:val="InternetLink"/>
                  <w:rFonts w:ascii="Times New Roman" w:hAnsi="Times New Roman"/>
                  <w:color w:val="0000FF"/>
                  <w:sz w:val="20"/>
                  <w:u w:val="single"/>
                </w:rPr>
                <w:t>Compensation Recovery Policy.</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473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confidential information contained in this document, marked by [***], has been omitted pursuant to Item 601(b)(10)(iv) of Regulation S-K because it is both (i) not material and (ii) the type of information that the registrant treats as private or confidential.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35" w:name="item_16_form_10k_summary"/>
      <w:bookmarkEnd w:id="35"/>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786"/>
        <w:gridCol w:w="109"/>
        <w:gridCol w:w="406"/>
        <w:gridCol w:w="307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HOLDINGS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bookmarkStart w:id="37" w:name="power_attorney"/>
      <w:bookmarkEnd w:id="37"/>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Jason Lettmann and Peter Garcia,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in the capacities and on the dates indicated.</w:t>
      </w:r>
    </w:p>
    <w:p>
      <w:pPr>
        <w:pStyle w:val="TextBody"/>
        <w:bidi w:val="0"/>
        <w:jc w:val="left"/>
        <w:rPr/>
      </w:pPr>
      <w:r>
        <w:rPr/>
        <w:t> </w:t>
      </w:r>
    </w:p>
    <w:tbl>
      <w:tblPr>
        <w:tblW w:w="9265" w:type="dxa"/>
        <w:jc w:val="left"/>
        <w:tblInd w:w="0" w:type="dxa"/>
        <w:tblLayout w:type="fixed"/>
        <w:tblCellMar>
          <w:top w:w="28" w:type="dxa"/>
          <w:left w:w="28" w:type="dxa"/>
          <w:bottom w:w="28" w:type="dxa"/>
          <w:right w:w="28" w:type="dxa"/>
        </w:tblCellMar>
      </w:tblPr>
      <w:tblGrid>
        <w:gridCol w:w="2611"/>
        <w:gridCol w:w="146"/>
        <w:gridCol w:w="5026"/>
        <w:gridCol w:w="146"/>
        <w:gridCol w:w="133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6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Chief Executive Officer and Director</w:t>
              <w:br/>
              <w:t>(</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6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Jaume Pons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Scientific Officer and Director</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6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Jaume Pons, Ph.D.</w:t>
            </w:r>
          </w:p>
        </w:tc>
        <w:tc>
          <w:tcPr>
            <w:tcW w:w="146" w:type="dxa"/>
            <w:tcBorders/>
            <w:shd w:fill="FFFFFF" w:val="clear"/>
            <w:vAlign w:val="center"/>
          </w:tcPr>
          <w:p>
            <w:pPr>
              <w:pStyle w:val="TableContents"/>
              <w:bidi w:val="0"/>
              <w:spacing w:before="0" w:after="283"/>
              <w:jc w:val="left"/>
              <w:rPr/>
            </w:pPr>
            <w:r>
              <w:rPr/>
              <w:t> </w:t>
            </w:r>
          </w:p>
        </w:tc>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r>
      <w:tr>
        <w:trPr/>
        <w:tc>
          <w:tcPr>
            <w:tcW w:w="2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Garcia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Chief Financial Officer</w:t>
              <w:br/>
              <w:t>(</w:t>
            </w:r>
            <w:r>
              <w:rPr>
                <w:rFonts w:ascii="Times New Roman" w:hAnsi="Times New Roman"/>
                <w:i/>
                <w:color w:val="000000"/>
                <w:sz w:val="20"/>
              </w:rPr>
              <w:t>Principal Financial Officer</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6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Shelly Pinto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Senior Vice President, Finance and Chief Accounting Officer</w:t>
              <w:br/>
            </w:r>
            <w:r>
              <w:rPr>
                <w:rFonts w:ascii="Times New Roman" w:hAnsi="Times New Roman"/>
                <w:i/>
                <w:color w:val="000000"/>
                <w:sz w:val="20"/>
              </w:rPr>
              <w:t>(Principal Accounting Officer)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6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Shelly Pinto</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Corey Goodman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Chairman of the Board of Directors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6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Corey Goodman, Ph.D.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Rekha Hemrajani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6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Rekha Hemrajani</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Jack Nielsen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6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Jack Nielsen</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Itziar Canamasas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6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Itziar Canamasas, Ph.D.</w:t>
            </w:r>
          </w:p>
        </w:tc>
        <w:tc>
          <w:tcPr>
            <w:tcW w:w="146" w:type="dxa"/>
            <w:tcBorders/>
            <w:shd w:fill="FFFFFF" w:val="clear"/>
            <w:vAlign w:val="center"/>
          </w:tcPr>
          <w:p>
            <w:pPr>
              <w:pStyle w:val="TableContents"/>
              <w:bidi w:val="0"/>
              <w:spacing w:before="0" w:after="283"/>
              <w:jc w:val="left"/>
              <w:rPr/>
            </w:pPr>
            <w:r>
              <w:rPr/>
              <w:t> </w:t>
            </w:r>
          </w:p>
        </w:tc>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Garland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6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Garland</w:t>
            </w:r>
          </w:p>
        </w:tc>
        <w:tc>
          <w:tcPr>
            <w:tcW w:w="146" w:type="dxa"/>
            <w:tcBorders/>
            <w:shd w:fill="FFFFFF" w:val="clear"/>
            <w:vAlign w:val="center"/>
          </w:tcPr>
          <w:p>
            <w:pPr>
              <w:pStyle w:val="TableContents"/>
              <w:bidi w:val="0"/>
              <w:spacing w:before="0" w:after="283"/>
              <w:jc w:val="left"/>
              <w:rPr/>
            </w:pPr>
            <w:r>
              <w:rPr/>
              <w:t> </w:t>
            </w:r>
          </w:p>
        </w:tc>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Sophia Randolph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r>
      <w:tr>
        <w:trPr/>
        <w:tc>
          <w:tcPr>
            <w:tcW w:w="26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Sophia Randolph, M.D., Ph.D.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alxo-ex4_3.htm"/>
      <w:bookmarkStart w:id="39" w:name="ksalxoex4_3"/>
      <w:bookmarkEnd w:id="38"/>
      <w:bookmarkEnd w:id="39"/>
      <w:r>
        <w:rPr>
          <w:rFonts w:ascii="Times New Roman" w:hAnsi="Times New Roman"/>
          <w:b/>
          <w:color w:val="000000"/>
          <w:sz w:val="20"/>
        </w:rPr>
        <w:t>Exhibit 4.3</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DESCRIPTION OF REGISTRANT’S SECURITIES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authorized capital stock of ALX Oncology Holdings Inc., consists of 1,000,000,000 shares of common stock, par value $0.001 per share, and 100,000,000 shares of convertible preferred stock, par value $0.001 per share. We have one class of securities registered under Section 12 of the Securities and Exchange Act of 1934, as amended (the “Exchange Act”), our common stock, which is listed on the Nasdaq Global Select Market under the symbol “ALXO”. For purposes of this exhibit, unless the context otherwise requires, the work “we,” “our,” “us” and “our company” refer to ALX Oncology Holdings Inc. a Delaware corporation.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Description of Common Stock</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General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rested bylaws, each of which is an exhibit to our Annual Report on Form 10-K to which this summary is also an exhibit, and the applicable provisions of the Delaware General Corporation Law (the “DGCL”).</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Voting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voting power of the capital stock issued and outstanding and entitled to vote, present in person or represented by proxy, shall constitute a quorum for the transaction of business at all meetings of the stockholders, unless otherwise required by law or the rules of any applicable stock exchange on which the corporation’s securities are listed.</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Liquidation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Rights and Preferences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Fully Paid and Nonassessable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outstanding shares of common stock are fully paid and nonassessable.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Description of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Registration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party to an amended and restated investors’ rights agreement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of 1933 (the “Securities Act”) when the applicable registration statement is declared effective. Generally, in an underwritten offering, the managing underwriter, if any, has the right, subject to specified conditions, to limit the number of shares such holders may include.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Demand Registration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holders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S-3 Registration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holders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Piggyback Registration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holders of our common stock are entitled to certain “piggyback” registration rights. If we propose to register any of our securities under the Securities Act, either for our own account or for the account of other security holders, such holders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Indemnification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Expenses of Registration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pay the registration expenses, other than underwriting discounts and commissions, of the shares registered by the demand, Form S-3 and piggyback registrations described above.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Termination of Registration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demand, Form S-3 and piggyback registration described above will expire upon the earliest of (1) the fifth anniversary after the closing of our initial public offering, (2) a deemed liquidation event (as defined in our amended and restated certificate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Anti-Takeover Effects of Certain Provisions of Delaware Law, Our Amended and Restated Certificate of Incorporation and Our Amended and Restated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Classified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Removal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stockholders may only remove a director for cause by a vote of no less than a majority of the shares present in person or by proxy at the meeting and entitled to vote.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Director Vacancies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authorizes only our board of directors to fill vacant directorships.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No Cumulative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stockholders do not have the right to cumulate votes in the election of directors.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Special Meetings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except as otherwise required by law, special meetings of the stockholders may be called only by the board of directors acting pursuant to a resolution adopted by a majority of our board of directors, by the Chair of our board of directors, by our Chief Executive Officer or by the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Advance Notice Procedures for Director Nominations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bylaws provide that stockholders seeking to nominate candidates for election as directors at an annual or special meeting of stockholders must provide timely notice thereof in writing.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Action by Written Consent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Amending our Certificate of Incorporation and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Authorized but Unissued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authorized but unissued shares of common stock and preferred stock are available for future issuances without stockholder approval, except as required by the listing standards of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Exclusive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Business Combinations with Interested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Listing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listed on the Nasdaq Global Select Market under the symbol “ALXO.”</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Transfer Agent and Registrar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transfer agent and registrar for our common stock is Computershare Trust Company, N.A. The transfer agent and registrar’s address is 150 Royall Street, Canton, Massachusetts 02021.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alxo-ex21_1.htm"/>
      <w:bookmarkStart w:id="41" w:name="ksalxoex21_1"/>
      <w:bookmarkEnd w:id="40"/>
      <w:bookmarkEnd w:id="41"/>
      <w:r>
        <w:rPr>
          <w:rFonts w:ascii="Times New Roman" w:hAnsi="Times New Roman"/>
          <w:b/>
          <w:color w:val="000000"/>
          <w:sz w:val="20"/>
        </w:rPr>
        <w:t>Exhibit 21.1</w:t>
      </w:r>
      <w:r>
        <w:br w:type="page"/>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5"/>
        <w:gridCol w:w="3086"/>
        <w:gridCol w:w="2754"/>
      </w:tblGrid>
      <w:tr>
        <w:trPr/>
        <w:tc>
          <w:tcPr>
            <w:tcW w:w="4365"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SUBSIDIARIES OF ALX ONCOLOGY HOLDINGS INC.</w:t>
            </w:r>
          </w:p>
        </w:tc>
      </w:tr>
      <w:tr>
        <w:trPr/>
        <w:tc>
          <w:tcPr>
            <w:tcW w:w="4365" w:type="dxa"/>
            <w:tcBorders/>
            <w:vAlign w:val="center"/>
          </w:tcPr>
          <w:p>
            <w:pPr>
              <w:pStyle w:val="TableContents"/>
              <w:bidi w:val="0"/>
              <w:spacing w:before="0" w:after="283"/>
              <w:jc w:val="left"/>
              <w:rPr/>
            </w:pPr>
            <w:r>
              <w:rPr/>
              <w:t> </w:t>
            </w:r>
          </w:p>
        </w:tc>
        <w:tc>
          <w:tcPr>
            <w:tcW w:w="3086" w:type="dxa"/>
            <w:tcBorders/>
            <w:vAlign w:val="center"/>
          </w:tcPr>
          <w:p>
            <w:pPr>
              <w:pStyle w:val="TableContents"/>
              <w:bidi w:val="0"/>
              <w:spacing w:before="0" w:after="283"/>
              <w:jc w:val="left"/>
              <w:rPr/>
            </w:pPr>
            <w:r>
              <w:rPr/>
              <w:t> </w:t>
            </w:r>
          </w:p>
        </w:tc>
        <w:tc>
          <w:tcPr>
            <w:tcW w:w="2754" w:type="dxa"/>
            <w:tcBorders/>
            <w:vAlign w:val="center"/>
          </w:tcPr>
          <w:p>
            <w:pPr>
              <w:pStyle w:val="TableContents"/>
              <w:bidi w:val="0"/>
              <w:spacing w:before="0" w:after="283"/>
              <w:jc w:val="left"/>
              <w:rPr/>
            </w:pPr>
            <w:r>
              <w:rPr/>
              <w:t> </w:t>
            </w:r>
          </w:p>
        </w:tc>
      </w:tr>
      <w:tr>
        <w:trPr/>
        <w:tc>
          <w:tcPr>
            <w:tcW w:w="4365" w:type="dxa"/>
            <w:tcBorders/>
            <w:vAlign w:val="center"/>
          </w:tcPr>
          <w:p>
            <w:pPr>
              <w:pStyle w:val="TableContents"/>
              <w:bidi w:val="0"/>
              <w:spacing w:before="0" w:after="283"/>
              <w:ind w:left="0" w:right="0" w:firstLine="2940"/>
              <w:jc w:val="left"/>
              <w:rPr>
                <w:rFonts w:ascii="Times New Roman" w:hAnsi="Times New Roman"/>
                <w:b/>
                <w:color w:val="000000"/>
                <w:sz w:val="20"/>
              </w:rPr>
            </w:pPr>
            <w:r>
              <w:rPr>
                <w:rFonts w:ascii="Times New Roman" w:hAnsi="Times New Roman"/>
                <w:b/>
                <w:color w:val="000000"/>
                <w:sz w:val="20"/>
              </w:rPr>
              <w:t>Name of Subsidiary</w:t>
            </w:r>
          </w:p>
        </w:tc>
        <w:tc>
          <w:tcPr>
            <w:tcW w:w="3086" w:type="dxa"/>
            <w:tcBorders/>
            <w:vAlign w:val="center"/>
          </w:tcPr>
          <w:p>
            <w:pPr>
              <w:pStyle w:val="TableContents"/>
              <w:bidi w:val="0"/>
              <w:spacing w:before="0" w:after="283"/>
              <w:ind w:left="2940" w:right="0" w:firstLine="2940"/>
              <w:jc w:val="left"/>
              <w:rPr/>
            </w:pPr>
            <w:r>
              <w:rPr/>
              <w:t> </w:t>
            </w:r>
          </w:p>
        </w:tc>
        <w:tc>
          <w:tcPr>
            <w:tcW w:w="275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 of Incorporation or Organization</w:t>
            </w:r>
          </w:p>
        </w:tc>
      </w:tr>
      <w:tr>
        <w:trPr/>
        <w:tc>
          <w:tcPr>
            <w:tcW w:w="4365"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Limited</w:t>
            </w:r>
          </w:p>
        </w:tc>
        <w:tc>
          <w:tcPr>
            <w:tcW w:w="30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754"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r>
      <w:tr>
        <w:trPr/>
        <w:tc>
          <w:tcPr>
            <w:tcW w:w="43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Incorporated</w:t>
            </w:r>
          </w:p>
        </w:tc>
        <w:tc>
          <w:tcPr>
            <w:tcW w:w="3086" w:type="dxa"/>
            <w:tcBorders/>
            <w:vAlign w:val="center"/>
          </w:tcPr>
          <w:p>
            <w:pPr>
              <w:pStyle w:val="TableContents"/>
              <w:bidi w:val="0"/>
              <w:spacing w:before="0" w:after="283"/>
              <w:jc w:val="left"/>
              <w:rPr/>
            </w:pPr>
            <w:r>
              <w:rPr/>
              <w:t> </w:t>
            </w:r>
          </w:p>
        </w:tc>
        <w:tc>
          <w:tcPr>
            <w:tcW w:w="27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3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Alexo International Holdings Limited</w:t>
            </w:r>
          </w:p>
        </w:tc>
        <w:tc>
          <w:tcPr>
            <w:tcW w:w="3086" w:type="dxa"/>
            <w:tcBorders/>
            <w:vAlign w:val="center"/>
          </w:tcPr>
          <w:p>
            <w:pPr>
              <w:pStyle w:val="TableContents"/>
              <w:bidi w:val="0"/>
              <w:spacing w:before="0" w:after="283"/>
              <w:jc w:val="left"/>
              <w:rPr/>
            </w:pPr>
            <w:r>
              <w:rPr/>
              <w:t> </w:t>
            </w:r>
          </w:p>
        </w:tc>
        <w:tc>
          <w:tcPr>
            <w:tcW w:w="27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Malta</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alxo-ex23_1.htm"/>
      <w:bookmarkStart w:id="43" w:name="ksalxoex23_1"/>
      <w:bookmarkEnd w:id="42"/>
      <w:bookmarkEnd w:id="43"/>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(Nos. 333-239927, 333-254459, 333-263090, and 333-270424) on Form S-8 and (Nos. 333-263863 and 333-274314) on Form S-3 of our report dated March 7, 2024, with respect to the consolidated financial statements of ALX Oncology Holdings Inc.</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March 7,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alxo-ex31_1.htm"/>
      <w:bookmarkStart w:id="45" w:name="ksalxoex31_1"/>
      <w:bookmarkEnd w:id="44"/>
      <w:bookmarkEnd w:id="4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Lettmann,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1786"/>
        <w:gridCol w:w="109"/>
        <w:gridCol w:w="406"/>
        <w:gridCol w:w="325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alxo-ex31_2.htm"/>
      <w:bookmarkStart w:id="47" w:name="ksalxoex31_2"/>
      <w:bookmarkEnd w:id="46"/>
      <w:bookmarkEnd w:id="4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Garcia,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786"/>
        <w:gridCol w:w="109"/>
        <w:gridCol w:w="406"/>
        <w:gridCol w:w="256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Garcia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alxo-ex32_1.htm"/>
      <w:bookmarkStart w:id="49" w:name="ksalxoex32_1"/>
      <w:bookmarkEnd w:id="48"/>
      <w:bookmarkEnd w:id="4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ALX Oncology Holdings Inc. (the “Company”), on Form 10-K for the fiscal year ended December 31, 2023,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1786"/>
        <w:gridCol w:w="109"/>
        <w:gridCol w:w="406"/>
        <w:gridCol w:w="325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alxo-ex32_2.htm"/>
      <w:bookmarkStart w:id="51" w:name="ksalxoex32_2"/>
      <w:bookmarkEnd w:id="50"/>
      <w:bookmarkEnd w:id="5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ALX Oncology Holdings Inc. (the “Company”), on Form 10-K for the fiscal year ended December 31, 2023,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786"/>
        <w:gridCol w:w="109"/>
        <w:gridCol w:w="406"/>
        <w:gridCol w:w="256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Garcia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alxo-ex97_1.htm"/>
      <w:bookmarkStart w:id="53" w:name="ksalxoex97_1"/>
      <w:bookmarkEnd w:id="52"/>
      <w:bookmarkEnd w:id="53"/>
      <w:r>
        <w:rPr>
          <w:rFonts w:ascii="Times New Roman" w:hAnsi="Times New Roman"/>
          <w:b/>
          <w:color w:val="000000"/>
          <w:sz w:val="20"/>
        </w:rPr>
        <w:t>Exhibit 97.1</w:t>
      </w:r>
      <w:r>
        <w:br w:type="page"/>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ALX ONCOLOGY HOLDINGS INC.</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COMPENSATION RECOVERY POLICY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As adopted on July 25, 2023</w:t>
      </w:r>
    </w:p>
    <w:p>
      <w:pPr>
        <w:pStyle w:val="TextBody"/>
        <w:bidi w:val="0"/>
        <w:spacing w:before="240" w:after="283"/>
        <w:jc w:val="both"/>
        <w:rPr>
          <w:rFonts w:ascii="Times New Roman" w:hAnsi="Times New Roman"/>
          <w:sz w:val="20"/>
        </w:rPr>
      </w:pPr>
      <w:r>
        <w:rPr>
          <w:rFonts w:ascii="Times New Roman" w:hAnsi="Times New Roman"/>
          <w:color w:val="000000"/>
          <w:sz w:val="22"/>
        </w:rPr>
        <w:t>ALX Oncology Holdings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is committed to strong corporate governance. As part of this commitment, the Company has adopted this clawback policy called the Compensation Recovery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pursuant to approval by the Compensation Committee (the “</w:t>
      </w:r>
      <w:r>
        <w:rPr>
          <w:rFonts w:ascii="Times New Roman" w:hAnsi="Times New Roman"/>
          <w:b/>
          <w:color w:val="000000"/>
          <w:sz w:val="22"/>
        </w:rPr>
        <w:t>Committee</w:t>
      </w:r>
      <w:r>
        <w:rPr>
          <w:rFonts w:ascii="Times New Roman" w:hAnsi="Times New Roman"/>
          <w:color w:val="000000"/>
          <w:sz w:val="20"/>
        </w:rPr>
        <w:t>”</w:t>
      </w:r>
      <w:r>
        <w:rPr>
          <w:rFonts w:ascii="Times New Roman" w:hAnsi="Times New Roman"/>
          <w:color w:val="000000"/>
          <w:sz w:val="22"/>
        </w:rPr>
        <w:t>) of the Company’s Board of Directors (the “</w:t>
      </w:r>
      <w:r>
        <w:rPr>
          <w:rFonts w:ascii="Times New Roman" w:hAnsi="Times New Roman"/>
          <w:b/>
          <w:color w:val="000000"/>
          <w:sz w:val="22"/>
        </w:rPr>
        <w:t>Board</w:t>
      </w:r>
      <w:r>
        <w:rPr>
          <w:rFonts w:ascii="Times New Roman" w:hAnsi="Times New Roman"/>
          <w:color w:val="000000"/>
          <w:sz w:val="20"/>
        </w:rPr>
        <w:t>”</w:t>
      </w:r>
      <w:r>
        <w:rPr>
          <w:rFonts w:ascii="Times New Roman" w:hAnsi="Times New Roman"/>
          <w:color w:val="000000"/>
          <w:sz w:val="22"/>
        </w:rPr>
        <w:t>). The Policy is intended to further the Company’s pay-for-performance philosophy and to comply with applicable law by providing for the reasonably prompt recovery of certain executive compensation in the event of an Accounting Restatement. Capitalized terms used in the Policy are defined below, and the definitions have substantive impact on its application so reviewing them carefully is important to your understanding.</w:t>
      </w:r>
    </w:p>
    <w:p>
      <w:pPr>
        <w:pStyle w:val="TextBody"/>
        <w:bidi w:val="0"/>
        <w:spacing w:before="240" w:after="283"/>
        <w:jc w:val="both"/>
        <w:rPr>
          <w:rFonts w:ascii="Times New Roman" w:hAnsi="Times New Roman"/>
          <w:sz w:val="20"/>
        </w:rPr>
      </w:pPr>
      <w:r>
        <w:rPr>
          <w:rFonts w:ascii="Times New Roman" w:hAnsi="Times New Roman"/>
          <w:color w:val="000000"/>
          <w:sz w:val="22"/>
        </w:rPr>
        <w:t>The Policy, which was approved as set forth above, is intended to comply with Section 10D of the Securities Exchange Act of 1934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with Exchange Act Rule 10D-1 and with the listing standards of the national securities exchange (the “</w:t>
      </w:r>
      <w:r>
        <w:rPr>
          <w:rFonts w:ascii="Times New Roman" w:hAnsi="Times New Roman"/>
          <w:b/>
          <w:color w:val="000000"/>
          <w:sz w:val="22"/>
        </w:rPr>
        <w:t>Exchange</w:t>
      </w:r>
      <w:r>
        <w:rPr>
          <w:rFonts w:ascii="Times New Roman" w:hAnsi="Times New Roman"/>
          <w:color w:val="000000"/>
          <w:sz w:val="20"/>
        </w:rPr>
        <w:t>”</w:t>
      </w:r>
      <w:r>
        <w:rPr>
          <w:rFonts w:ascii="Times New Roman" w:hAnsi="Times New Roman"/>
          <w:color w:val="000000"/>
          <w:sz w:val="22"/>
        </w:rPr>
        <w:t>) on which the securities of the Company are listed. The Policy will be interpreted in a manner that is consistent with the requirements of Section 10D of the Exchange Act, Exchange Act Rule 10D-1 and with the listing standards of the Exchange, including any interpretive guidance provided by the Exchange.</w:t>
      </w:r>
    </w:p>
    <w:p>
      <w:pPr>
        <w:pStyle w:val="TextBody"/>
        <w:bidi w:val="0"/>
        <w:spacing w:before="240" w:after="283"/>
        <w:jc w:val="both"/>
        <w:rPr>
          <w:rFonts w:ascii="Times New Roman" w:hAnsi="Times New Roman"/>
          <w:sz w:val="20"/>
        </w:rPr>
      </w:pPr>
      <w:r>
        <w:rPr>
          <w:rFonts w:ascii="Times New Roman" w:hAnsi="Times New Roman"/>
          <w:color w:val="000000"/>
          <w:sz w:val="22"/>
        </w:rPr>
        <w:t>In summary, the Policy provides rules related to the reasonably prompt recovery of certain incentive-based compensation received by Executive Officers. The application of the Policy to Executive Officers is not discretionary, except to the limited extent provided below, and applies without regard to whether an Executive Officer was at fault.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Persons Covered by the Policy</w:t>
      </w:r>
    </w:p>
    <w:p>
      <w:pPr>
        <w:pStyle w:val="TextBody"/>
        <w:bidi w:val="0"/>
        <w:spacing w:before="240" w:after="283"/>
        <w:jc w:val="both"/>
        <w:rPr>
          <w:rFonts w:ascii="Times New Roman" w:hAnsi="Times New Roman"/>
          <w:sz w:val="20"/>
        </w:rPr>
      </w:pPr>
      <w:r>
        <w:rPr>
          <w:rFonts w:ascii="Times New Roman" w:hAnsi="Times New Roman"/>
          <w:color w:val="262626"/>
          <w:sz w:val="22"/>
        </w:rPr>
        <w:t>The Policy is binding and enforceable against all Executive Officers. “</w:t>
      </w:r>
      <w:r>
        <w:rPr>
          <w:rFonts w:ascii="Times New Roman" w:hAnsi="Times New Roman"/>
          <w:b/>
          <w:color w:val="262626"/>
          <w:sz w:val="22"/>
        </w:rPr>
        <w:t>Executive Officer</w:t>
      </w:r>
      <w:r>
        <w:rPr>
          <w:rFonts w:ascii="Times New Roman" w:hAnsi="Times New Roman"/>
          <w:color w:val="262626"/>
          <w:sz w:val="20"/>
        </w:rPr>
        <w:t xml:space="preserve">” </w:t>
      </w:r>
      <w:r>
        <w:rPr>
          <w:rFonts w:ascii="Times New Roman" w:hAnsi="Times New Roman"/>
          <w:color w:val="262626"/>
          <w:sz w:val="22"/>
        </w:rPr>
        <w:t>means each individual who is or was ever designated as an “officer” by the Board in accordance with Exchange Act Rule 16a-1(f). Each Executive Officer will be required to sign and return to the Company an acknowledgement that such Executive Officer will be bound by the terms and comply with the Policy. The failure to obtain such acknowledgement will have no impact on the applicability or enforceability of the Policy.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Administration of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Committee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Events Requiring Application of the Policy</w:t>
      </w:r>
    </w:p>
    <w:p>
      <w:pPr>
        <w:pStyle w:val="TextBody"/>
        <w:bidi w:val="0"/>
        <w:spacing w:before="240" w:after="283"/>
        <w:jc w:val="both"/>
        <w:rPr>
          <w:rFonts w:ascii="Times New Roman" w:hAnsi="Times New Roman"/>
          <w:sz w:val="20"/>
        </w:rPr>
      </w:pPr>
      <w:r>
        <w:rPr>
          <w:rFonts w:ascii="Times New Roman" w:hAnsi="Times New Roman"/>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hAnsi="Times New Roman"/>
          <w:b/>
          <w:color w:val="000000"/>
          <w:sz w:val="22"/>
        </w:rPr>
        <w:t>Accounting Restatement</w:t>
      </w:r>
      <w:r>
        <w:rPr>
          <w:rFonts w:ascii="Times New Roman" w:hAnsi="Times New Roman"/>
          <w:color w:val="000000"/>
          <w:sz w:val="20"/>
        </w:rPr>
        <w:t>”</w:t>
      </w:r>
      <w:r>
        <w:rPr>
          <w:rFonts w:ascii="Times New Roman" w:hAnsi="Times New Roman"/>
          <w:color w:val="000000"/>
          <w:sz w:val="22"/>
        </w:rPr>
        <w:t>), then the Committee must determine what compensation, if any, must be recovered.</w:t>
      </w:r>
      <w:r>
        <w:rPr>
          <w:rFonts w:ascii="Times New Roman" w:hAnsi="Times New Roman"/>
          <w:color w:val="000000"/>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Compensation Covered by the Policy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Policy applies to </w:t>
      </w:r>
      <w:r>
        <w:rPr>
          <w:rFonts w:ascii="Times New Roman" w:hAnsi="Times New Roman"/>
          <w:b/>
          <w:color w:val="000000"/>
          <w:sz w:val="22"/>
        </w:rPr>
        <w:t>Incentive-Based Compensation</w:t>
      </w:r>
      <w:r>
        <w:rPr>
          <w:rFonts w:ascii="Times New Roman" w:hAnsi="Times New Roman"/>
          <w:color w:val="000000"/>
          <w:sz w:val="20"/>
        </w:rPr>
        <w:t xml:space="preserve"> </w:t>
      </w:r>
      <w:r>
        <w:rPr>
          <w:rFonts w:ascii="Times New Roman" w:hAnsi="Times New Roman"/>
          <w:color w:val="000000"/>
          <w:sz w:val="22"/>
        </w:rPr>
        <w:t xml:space="preserve">(certain terms used in this Section are defined below) that is </w:t>
      </w:r>
      <w:r>
        <w:rPr>
          <w:rFonts w:ascii="Times New Roman" w:hAnsi="Times New Roman"/>
          <w:b/>
          <w:color w:val="000000"/>
          <w:sz w:val="22"/>
        </w:rPr>
        <w:t>Received</w:t>
      </w:r>
      <w:r>
        <w:rPr>
          <w:rFonts w:ascii="Times New Roman" w:hAnsi="Times New Roman"/>
          <w:color w:val="000000"/>
          <w:sz w:val="20"/>
        </w:rPr>
        <w:t xml:space="preserve"> </w:t>
      </w:r>
      <w:r>
        <w:rPr>
          <w:rFonts w:ascii="Times New Roman" w:hAnsi="Times New Roman"/>
          <w:color w:val="000000"/>
          <w:sz w:val="22"/>
        </w:rPr>
        <w:t>after October 2, 2023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xml:space="preserve">), during the </w:t>
      </w:r>
      <w:r>
        <w:rPr>
          <w:rFonts w:ascii="Times New Roman" w:hAnsi="Times New Roman"/>
          <w:b/>
          <w:color w:val="000000"/>
          <w:sz w:val="22"/>
        </w:rPr>
        <w:t>Covered Period</w:t>
      </w:r>
      <w:r>
        <w:rPr>
          <w:rFonts w:ascii="Times New Roman" w:hAnsi="Times New Roman"/>
          <w:color w:val="000000"/>
          <w:sz w:val="20"/>
        </w:rPr>
        <w:t xml:space="preserve"> </w:t>
      </w:r>
      <w:r>
        <w:rPr>
          <w:rFonts w:ascii="Times New Roman" w:hAnsi="Times New Roman"/>
          <w:color w:val="000000"/>
          <w:sz w:val="22"/>
        </w:rPr>
        <w:t>while the Company has a class of securities listed on a national securities exchange. Such Incentive-Based Compensation is considered “</w:t>
      </w:r>
      <w:r>
        <w:rPr>
          <w:rFonts w:ascii="Times New Roman" w:hAnsi="Times New Roman"/>
          <w:b/>
          <w:color w:val="000000"/>
          <w:sz w:val="22"/>
        </w:rPr>
        <w:t>Clawback Eligible Incentive-Based Compensation</w:t>
      </w:r>
      <w:r>
        <w:rPr>
          <w:rFonts w:ascii="Times New Roman" w:hAnsi="Times New Roman"/>
          <w:color w:val="000000"/>
          <w:sz w:val="20"/>
        </w:rPr>
        <w:t xml:space="preserve">” </w:t>
      </w:r>
      <w:r>
        <w:rPr>
          <w:rFonts w:ascii="Times New Roman" w:hAnsi="Times New Roman"/>
          <w:color w:val="000000"/>
          <w:sz w:val="22"/>
        </w:rPr>
        <w:t>if the Incentive-Based Compensation is Received by a person after such person became an Executive Officer and the person served as an Executive Officer at any time during the performance period for the Incentive-Based Compensation. The Incentive-Based Compensation that must be recovered is the amount of Clawback Eligible Incentive-Based Compensation that exceeds the amount of Clawback Eligible Incentive-Based Compensation that otherwise would have been Received had such Clawback Eligible Incentive-Based Compensation been determined based on the restated amounts (such compensation, as computed without regard to any taxes paid, the “</w:t>
      </w:r>
      <w:r>
        <w:rPr>
          <w:rFonts w:ascii="Times New Roman" w:hAnsi="Times New Roman"/>
          <w:b/>
          <w:color w:val="000000"/>
          <w:sz w:val="22"/>
        </w:rPr>
        <w:t>Excess Compensation</w:t>
      </w:r>
      <w:r>
        <w:rPr>
          <w:rFonts w:ascii="Times New Roman" w:hAnsi="Times New Roman"/>
          <w:color w:val="000000"/>
          <w:sz w:val="22"/>
        </w:rPr>
        <w:t>,” is referred to in the listings standards as “erroneously awarded incentive-based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Exchange.</w:t>
      </w:r>
    </w:p>
    <w:p>
      <w:pPr>
        <w:pStyle w:val="TextBody"/>
        <w:bidi w:val="0"/>
        <w:spacing w:before="240" w:after="283"/>
        <w:jc w:val="both"/>
        <w:rPr/>
      </w:pPr>
      <w:r>
        <w:rPr>
          <w:color w:val="000000"/>
        </w:rPr>
        <w:t>“</w:t>
      </w:r>
      <w:r>
        <w:rPr>
          <w:rFonts w:ascii="Times New Roman" w:hAnsi="Times New Roman"/>
          <w:b/>
          <w:color w:val="000000"/>
          <w:sz w:val="22"/>
        </w:rPr>
        <w:t>Incentive-Based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 The following items of compensation are not Incentive-Based Compensation under the Policy: salaries, bonuses paid solely at the discretion of the Compensation Committee or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pStyle w:val="TextBody"/>
        <w:bidi w:val="0"/>
        <w:spacing w:before="240" w:after="283"/>
        <w:jc w:val="both"/>
        <w:rPr/>
      </w:pPr>
      <w:r>
        <w:rPr>
          <w:color w:val="000000"/>
        </w:rPr>
        <w:t>“</w:t>
      </w:r>
      <w:r>
        <w:rPr>
          <w:rFonts w:ascii="Times New Roman" w:hAnsi="Times New Roman"/>
          <w:b/>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Incentive-Based Compensation is “</w:t>
      </w:r>
      <w:r>
        <w:rPr>
          <w:rFonts w:ascii="Times New Roman" w:hAnsi="Times New Roman"/>
          <w:b/>
          <w:color w:val="000000"/>
          <w:sz w:val="22"/>
        </w:rPr>
        <w:t>Received</w:t>
      </w:r>
      <w:r>
        <w:rPr>
          <w:rFonts w:ascii="Times New Roman" w:hAnsi="Times New Roman"/>
          <w:color w:val="000000"/>
          <w:sz w:val="20"/>
        </w:rPr>
        <w:t xml:space="preserve">” </w:t>
      </w:r>
      <w:r>
        <w:rPr>
          <w:rFonts w:ascii="Times New Roman" w:hAnsi="Times New Roman"/>
          <w:color w:val="000000"/>
          <w:sz w:val="22"/>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pStyle w:val="TextBody"/>
        <w:bidi w:val="0"/>
        <w:spacing w:before="240" w:after="283"/>
        <w:jc w:val="both"/>
        <w:rPr/>
      </w:pPr>
      <w:r>
        <w:rPr>
          <w:color w:val="000000"/>
        </w:rPr>
        <w:t>“</w:t>
      </w:r>
      <w:r>
        <w:rPr>
          <w:rFonts w:ascii="Times New Roman" w:hAnsi="Times New Roman"/>
          <w:b/>
          <w:color w:val="000000"/>
          <w:sz w:val="22"/>
        </w:rPr>
        <w:t>Covered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Determination Date. In addition, Covered Period can include certain transition periods resulting from a change in the Company’s fiscal year. The Company’s obligation to recover Excess Compensation is not dependent on if or when the restated financial statements are filed.</w:t>
      </w:r>
    </w:p>
    <w:p>
      <w:pPr>
        <w:pStyle w:val="TextBody"/>
        <w:bidi w:val="0"/>
        <w:spacing w:before="240" w:after="283"/>
        <w:jc w:val="both"/>
        <w:rPr/>
      </w:pPr>
      <w:r>
        <w:rPr>
          <w:color w:val="000000"/>
        </w:rPr>
        <w:t>“</w:t>
      </w:r>
      <w:r>
        <w:rPr>
          <w:rFonts w:ascii="Times New Roman" w:hAnsi="Times New Roman"/>
          <w:b/>
          <w:color w:val="000000"/>
          <w:sz w:val="22"/>
        </w:rPr>
        <w:t>Accounting Restatement Determination Date</w:t>
      </w:r>
      <w:r>
        <w:rPr>
          <w:rFonts w:ascii="Times New Roman" w:hAnsi="Times New Roman"/>
          <w:color w:val="000000"/>
          <w:sz w:val="20"/>
        </w:rPr>
        <w:t xml:space="preserve">” </w:t>
      </w:r>
      <w:r>
        <w:rPr>
          <w:rFonts w:ascii="Times New Roman" w:hAnsi="Times New Roman"/>
          <w:color w:val="000000"/>
          <w:sz w:val="22"/>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Accounting Restatement; and (b) the date a court, regulator, or other legally authorized body directs the Company to prepare an Accounting Restatement.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Repayment of Excess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must recover such Excess Compensation reasonably promptly and Executive Officers are required to repay Excess Compensation to the Company. Subject to applicable law, the Company may recover such Excess Compensation by requiring the Executive Officer to repay such amount to the Company by direct payment to the Company or such other means or combination of means as the Committee determines to be appropriate (these determinations do not need to be identical as to each Executive Officer). These means may include: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requiring reimbursement of cash Incentive-Based Compensation previously paid;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seeking recovery of any gain realized on the vesting, exercise, settlement, sale, transfer, or other disposition of any equity-based awards;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offsetting the amount to be recovered from any unpaid or future compensation to be paid by the Company or any affiliate of the Company to the Executive Officer;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cancelling outstanding vested or unvested equity awards; and/or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taking any other remedial and recovery action permitted by law, as determined by the Committee. </w:t>
      </w:r>
    </w:p>
    <w:p>
      <w:pPr>
        <w:pStyle w:val="TextBody"/>
        <w:bidi w:val="0"/>
        <w:spacing w:before="240" w:after="283"/>
        <w:jc w:val="both"/>
        <w:rPr>
          <w:rFonts w:ascii="Times New Roman" w:hAnsi="Times New Roman"/>
          <w:sz w:val="20"/>
        </w:rPr>
      </w:pPr>
      <w:r>
        <w:rPr>
          <w:rFonts w:ascii="Times New Roman" w:hAnsi="Times New Roman"/>
          <w:color w:val="000000"/>
          <w:sz w:val="22"/>
        </w:rPr>
        <w:t>The repayment of Excess Compensation must be made by an Executive Officer notwithstanding any Executive Officer’s belief (whether legitimate or non-legitimate) that the Excess Compensation had been previously earned under applicable law and therefore is not subject to clawback.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addition to its rights to recovery under the Policy, the Company or any affiliate of the Company may take any legal actions it determines appropriate to enforce an Executive Officer’s obligations to the Company or to discipline an Executive Officer, including (without limitation) termination of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Limited Exceptions to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must recover the Excess Compensation in accordance with the Policy except to the limited extent that the conditions set forth below are met, and the Committee determines that recovery of the Excess Compensation would be impracticable: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Recovery would likely cause an otherwise tax-qualified retirement plan, under which benefits are broadly available to employees of the Company, to fail to meet the legal requirements as such.</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Other Important Information in the Policy</w:t>
      </w:r>
    </w:p>
    <w:p>
      <w:pPr>
        <w:pStyle w:val="TextBody"/>
        <w:bidi w:val="0"/>
        <w:spacing w:before="240" w:after="283"/>
        <w:jc w:val="both"/>
        <w:rPr>
          <w:rFonts w:ascii="Times New Roman" w:hAnsi="Times New Roman"/>
          <w:sz w:val="20"/>
        </w:rPr>
      </w:pPr>
      <w:r>
        <w:rPr>
          <w:rFonts w:ascii="Times New Roman" w:hAnsi="Times New Roman"/>
          <w:color w:val="000000"/>
          <w:sz w:val="22"/>
        </w:rPr>
        <w:t>The Policy is in addition to the requirements of Section 304 of the Sarbanes-Oxley Act of 2002 that are applicable to the Company’s Chief Executive Officer and Chief Financial Officer, as well as any other applicable</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laws, regulatory requirements, rules, or pursuant to the terms of any existing Company policy or agreement providing for the recovery of compensation.</w:t>
      </w:r>
    </w:p>
    <w:p>
      <w:pPr>
        <w:pStyle w:val="TextBody"/>
        <w:bidi w:val="0"/>
        <w:spacing w:before="240" w:after="283"/>
        <w:jc w:val="both"/>
        <w:rPr>
          <w:rFonts w:ascii="Times New Roman" w:hAnsi="Times New Roman"/>
          <w:sz w:val="20"/>
        </w:rPr>
      </w:pPr>
      <w:r>
        <w:rPr>
          <w:rFonts w:ascii="Times New Roman" w:hAnsi="Times New Roman"/>
          <w:color w:val="000000"/>
          <w:sz w:val="22"/>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Executive Officer against any loss of Excess Compensation. Neither the Company nor any affiliate of the Company will pay for or reimburse insurance premiums for an insurance policy that covers potential recovery obligations. In the event the Company is required to recover Excess Compensation from an Executive Officer who is no longer an employee pursuant to the Policy, the Company will be entitled to seek such recovery in order to comply with applicable law, regardless of the terms of any release of claims or separation agreement such individual may have signed.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Committee or Board may review and modify the Policy from time to time.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provision of the Policy or the application of any such provision to any Executive Officer is adjudicated to be invalid, illegal or unenforceable in any respect, such invalidity, illegality or unenforceability will not affect any other provisions of the Policy or the application of such provision to another Executive Officer, and the invalid, illegal or unenforceable provisions will be deemed amended to the minimum extent necessary to render any such provision or application enforceable.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will terminate and no longer be enforceable when the Company ceases to be listed issuer within the meaning of Section 10D of the Exchange Act.</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ACKNOWLEDGEMENT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2"/>
        </w:rPr>
        <w:t>I acknowledge that I have received and read the Compensation Recovery Policy (the “</w:t>
      </w:r>
      <w:r>
        <w:rPr>
          <w:rFonts w:ascii="Times New Roman" w:hAnsi="Times New Roman"/>
          <w:b/>
          <w:color w:val="000000"/>
          <w:sz w:val="22"/>
        </w:rPr>
        <w:t>Policy</w:t>
      </w:r>
      <w:r>
        <w:rPr>
          <w:color w:val="000000"/>
        </w:rPr>
        <w:t>”</w:t>
      </w:r>
      <w:r>
        <w:rPr>
          <w:rFonts w:ascii="Times New Roman" w:hAnsi="Times New Roman"/>
          <w:color w:val="000000"/>
          <w:sz w:val="22"/>
        </w:rPr>
        <w:t>) of ALX Oncology Holdings Inc. (the “</w:t>
      </w:r>
      <w:r>
        <w:rPr>
          <w:rFonts w:ascii="Times New Roman" w:hAnsi="Times New Roman"/>
          <w:b/>
          <w:color w:val="000000"/>
          <w:sz w:val="22"/>
        </w:rPr>
        <w:t>Company</w:t>
      </w:r>
      <w:r>
        <w:rPr>
          <w:color w:val="000000"/>
        </w:rPr>
        <w:t>”</w:t>
      </w:r>
      <w:r>
        <w:rPr>
          <w:rFonts w:ascii="Times New Roman" w:hAnsi="Times New Roman"/>
          <w:color w:val="000000"/>
          <w:sz w:val="22"/>
        </w:rPr>
        <w: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that my failure to comply in all respects with the Policy is a basis for termination of my employment with the Company and any affiliate of the Company as well as any other appropriate discipline.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that neither the Policy, nor the application of the Policy to me, gives rise to a resignation for good reason (or similar concept) by me under any applicable employment agreement or arrangement.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2"/>
        </w:rPr>
        <w:t>I acknowledge that if I have questions concerning the meaning or application of the Policy, it is my responsibility to seek guidance from the Chief Financial Officer or the General Counsel of the Company (each, a “</w:t>
      </w:r>
      <w:r>
        <w:rPr>
          <w:rFonts w:ascii="Times New Roman" w:hAnsi="Times New Roman"/>
          <w:b/>
          <w:color w:val="000000"/>
          <w:sz w:val="22"/>
        </w:rPr>
        <w:t>Compliance Officer</w:t>
      </w:r>
      <w:r>
        <w:rPr>
          <w:color w:val="000000"/>
        </w:rPr>
        <w:t xml:space="preserve">” </w:t>
      </w:r>
      <w:r>
        <w:rPr>
          <w:rFonts w:ascii="Times New Roman" w:hAnsi="Times New Roman"/>
          <w:color w:val="000000"/>
          <w:sz w:val="22"/>
        </w:rPr>
        <w:t>and collectively, the “</w:t>
      </w:r>
      <w:r>
        <w:rPr>
          <w:rFonts w:ascii="Times New Roman" w:hAnsi="Times New Roman"/>
          <w:b/>
          <w:color w:val="000000"/>
          <w:sz w:val="22"/>
        </w:rPr>
        <w:t>Compliance Officers</w:t>
      </w:r>
      <w:r>
        <w:rPr>
          <w:color w:val="000000"/>
        </w:rPr>
        <w:t>”</w:t>
      </w:r>
      <w:r>
        <w:rPr>
          <w:rFonts w:ascii="Times New Roman" w:hAnsi="Times New Roman"/>
          <w:color w:val="000000"/>
          <w:sz w:val="22"/>
        </w:rPr>
        <w:t>), or my own personal advisors.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acknowledge that neither this Acknowledgement nor the Policy is meant to constitute an employment contract.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Please review, sign, and return this form to a Compliance Officer.</w:t>
      </w:r>
    </w:p>
    <w:p>
      <w:pPr>
        <w:pStyle w:val="TextBody"/>
        <w:bidi w:val="0"/>
        <w:spacing w:before="240" w:after="283"/>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2"/>
              </w:rPr>
            </w:pPr>
            <w:r>
              <w:rPr>
                <w:rFonts w:ascii="Times New Roman" w:hAnsi="Times New Roman"/>
                <w:b/>
                <w:color w:val="000000"/>
                <w:sz w:val="22"/>
              </w:rPr>
              <w:t>Executive</w:t>
            </w:r>
          </w:p>
        </w:tc>
      </w:tr>
      <w:tr>
        <w:trPr/>
        <w:tc>
          <w:tcPr>
            <w:tcW w:w="5326"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___________________________________________</w:t>
            </w:r>
          </w:p>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print name</w:t>
            </w:r>
            <w:r>
              <w:rPr>
                <w:rFonts w:ascii="Times New Roman" w:hAnsi="Times New Roman"/>
                <w:color w:val="000000"/>
                <w:sz w:val="22"/>
              </w:rPr>
              <w:t>)</w:t>
            </w:r>
          </w:p>
        </w:tc>
      </w:tr>
      <w:tr>
        <w:trPr/>
        <w:tc>
          <w:tcPr>
            <w:tcW w:w="5326"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___________________________________________</w:t>
            </w:r>
          </w:p>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signature</w:t>
            </w:r>
            <w:r>
              <w:rPr>
                <w:rFonts w:ascii="Times New Roman" w:hAnsi="Times New Roman"/>
                <w:color w:val="000000"/>
                <w:sz w:val="22"/>
              </w:rPr>
              <w:t>)</w:t>
            </w:r>
          </w:p>
        </w:tc>
      </w:tr>
      <w:tr>
        <w:trPr/>
        <w:tc>
          <w:tcPr>
            <w:tcW w:w="5326"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___________________________________________</w:t>
            </w:r>
          </w:p>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(date)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1810182/000119312520196288/d47591dex31.htm" TargetMode="External"/><Relationship Id="rId17" Type="http://schemas.openxmlformats.org/officeDocument/2006/relationships/hyperlink" Target="https://www.sec.gov/Archives/edgar/data/1810182/000095017023028787/alxo-ex3_1.htm" TargetMode="External"/><Relationship Id="rId18" Type="http://schemas.openxmlformats.org/officeDocument/2006/relationships/hyperlink" Target="https://www.sec.gov/Archives/edgar/data/1810182/000119312520181021/d913838dex41.htm" TargetMode="External"/><Relationship Id="rId19" Type="http://schemas.openxmlformats.org/officeDocument/2006/relationships/hyperlink" Target="https://www.sec.gov/Archives/edgar/data/1810182/000119312520181021/d913838dex42.htm" TargetMode="External"/><Relationship Id="rId20" Type="http://schemas.openxmlformats.org/officeDocument/2006/relationships/hyperlink" Target="https://www.sec.gov/Archives/edgar/data/1810182/000119312523251917/d534693dex41.htm" TargetMode="External"/><Relationship Id="rId21" Type="http://schemas.openxmlformats.org/officeDocument/2006/relationships/hyperlink" Target="https://www.sec.gov/Archives/edgar/data/1810182/000095017022020521/alxo-ex10_1.htm" TargetMode="External"/><Relationship Id="rId22" Type="http://schemas.openxmlformats.org/officeDocument/2006/relationships/hyperlink" Target="https://www.sec.gov/Archives/edgar/data/1810182/000095017023007013/alxo-ex10_11.htm" TargetMode="External"/><Relationship Id="rId23" Type="http://schemas.openxmlformats.org/officeDocument/2006/relationships/hyperlink" Target="https://www.sec.gov/Archives/edgar/data/1810182/000095017023041319/alxo-ex10_1.htm" TargetMode="External"/><Relationship Id="rId24" Type="http://schemas.openxmlformats.org/officeDocument/2006/relationships/hyperlink" Target="https://www.sec.gov/Archives/edgar/data/1810182/000095017023073016/alxo-ex10_1.htm" TargetMode="External"/><Relationship Id="rId25" Type="http://schemas.openxmlformats.org/officeDocument/2006/relationships/hyperlink" Target="https://www.sec.gov/Archives/edgar/data/0001810182/000119312521361275/d227281dex11.htm" TargetMode="External"/><Relationship Id="rId26" Type="http://schemas.openxmlformats.org/officeDocument/2006/relationships/hyperlink" Target="https://www.sec.gov/Archives/edgar/data/1810182/000095017023062929/alxo-ex10_1.htm" TargetMode="External"/><Relationship Id="rId27" Type="http://schemas.openxmlformats.org/officeDocument/2006/relationships/hyperlink" Target="https://www.sec.gov/Archives/edgar/data/1810182/000119312520181021/d913838dex101.htm" TargetMode="External"/><Relationship Id="rId28" Type="http://schemas.openxmlformats.org/officeDocument/2006/relationships/hyperlink" Target="https://www.sec.gov/Archives/edgar/data/1810182/000119312520191500/d913838dex102.htm" TargetMode="External"/><Relationship Id="rId29" Type="http://schemas.openxmlformats.org/officeDocument/2006/relationships/hyperlink" Target="https://www.sec.gov/Archives/edgar/data/1810182/000119312520191500/d913838dex103.htm" TargetMode="External"/><Relationship Id="rId30" Type="http://schemas.openxmlformats.org/officeDocument/2006/relationships/hyperlink" Target="https://www.sec.gov/Archives/edgar/data/1810182/000119312523229584/d846509dex101.htm" TargetMode="External"/><Relationship Id="rId31" Type="http://schemas.openxmlformats.org/officeDocument/2006/relationships/hyperlink" Target="https://www.sec.gov/Archives/edgar/data/1810182/000119312523229584/d846509dex102.htm" TargetMode="External"/><Relationship Id="rId32" Type="http://schemas.openxmlformats.org/officeDocument/2006/relationships/hyperlink" Target="https://www.sec.gov/Archives/edgar/data/1810182/000119312520191500/d913838dex106.htm" TargetMode="External"/><Relationship Id="rId33" Type="http://schemas.openxmlformats.org/officeDocument/2006/relationships/hyperlink" Target="https://www.sec.gov/Archives/edgar/data/1810182/000156459022007364/alxo-ex106_1098.htm" TargetMode="External"/><Relationship Id="rId34" Type="http://schemas.openxmlformats.org/officeDocument/2006/relationships/hyperlink" Target="https://www.sec.gov/Archives/edgar/data/1810182/000119312520191500/d913838dex108.htm" TargetMode="External"/><Relationship Id="rId35" Type="http://schemas.openxmlformats.org/officeDocument/2006/relationships/hyperlink" Target="https://www.sec.gov/Archives/edgar/data/1810182/000119312520191500/d913838dex109.htm" TargetMode="External"/><Relationship Id="rId36" Type="http://schemas.openxmlformats.org/officeDocument/2006/relationships/hyperlink" Target="https://www.sec.gov/Archives/edgar/data/1810182/000119312520191500/d913838dex1011.htm" TargetMode="External"/><Relationship Id="rId37" Type="http://schemas.openxmlformats.org/officeDocument/2006/relationships/hyperlink" Target="https://www.sec.gov/Archives/edgar/data/1810182/000119312520181021/d913838dex1012.htm" TargetMode="External"/><Relationship Id="rId38" Type="http://schemas.openxmlformats.org/officeDocument/2006/relationships/hyperlink" Target="https://www.sec.gov/Archives/edgar/data/1810182/000119312520181021/d913838dex1014.htm" TargetMode="External"/><Relationship Id="rId39" Type="http://schemas.openxmlformats.org/officeDocument/2006/relationships/hyperlink" Target="https://www.sec.gov/Archives/edgar/data/1810182/000119312520181021/d913838dex1015.htm" TargetMode="External"/><Relationship Id="rId40" Type="http://schemas.openxmlformats.org/officeDocument/2006/relationships/hyperlink" Target="https://www.sec.gov/Archives/edgar/data/1810182/000095017023021247/alxo-ex10_1.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100059</Words>
  <Characters>561924</Characters>
  <CharactersWithSpaces>662543</CharactersWithSpaces>
  <Paragraphs>8525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