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07" w:lineRule="auto"/>
        <w:tabs>
          <w:tab w:leader="none" w:pos="480" w:val="left"/>
        </w:tabs>
        <w:numPr>
          <w:ilvl w:val="0"/>
          <w:numId w:val="2"/>
        </w:numPr>
        <w:rPr>
          <w:rFonts w:ascii="MS PGothic" w:cs="MS PGothic" w:eastAsia="MS PGothic" w:hAnsi="MS PGothic"/>
          <w:sz w:val="29"/>
          <w:szCs w:val="29"/>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7" w:lineRule="exact"/>
        <w:rPr>
          <w:sz w:val="24"/>
          <w:szCs w:val="24"/>
          <w:color w:val="auto"/>
        </w:rPr>
      </w:pPr>
    </w:p>
    <w:tbl>
      <w:tblPr>
        <w:tblLayout w:type="fixed"/>
        <w:tblInd w:w="1580" w:type="dxa"/>
        <w:tblCellMar>
          <w:top w:w="0" w:type="dxa"/>
          <w:left w:w="0" w:type="dxa"/>
          <w:bottom w:w="0" w:type="dxa"/>
          <w:right w:w="0" w:type="dxa"/>
        </w:tblCellMar>
      </w:tblPr>
      <w:tr>
        <w:trPr>
          <w:trHeight w:val="238"/>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1"/>
        </w:trPr>
        <w:tc>
          <w:tcPr>
            <w:tcW w:w="4380" w:type="dxa"/>
            <w:vAlign w:val="bottom"/>
          </w:tcPr>
          <w:p>
            <w:pPr>
              <w:jc w:val="center"/>
              <w:ind w:right="181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6"/>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323 Allerton Avenue</w:t>
            </w:r>
          </w:p>
        </w:tc>
        <w:tc>
          <w:tcPr>
            <w:tcW w:w="3040" w:type="dxa"/>
            <w:vAlign w:val="bottom"/>
          </w:tcPr>
          <w:p>
            <w:pPr>
              <w:spacing w:after="0"/>
              <w:rPr>
                <w:sz w:val="23"/>
                <w:szCs w:val="23"/>
                <w:color w:val="auto"/>
              </w:rPr>
            </w:pPr>
          </w:p>
        </w:tc>
      </w:tr>
      <w:tr>
        <w:trPr>
          <w:trHeight w:val="243"/>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3"/>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21" w:lineRule="exact"/>
        <w:rPr>
          <w:sz w:val="24"/>
          <w:szCs w:val="24"/>
          <w:color w:val="auto"/>
        </w:rPr>
      </w:pPr>
    </w:p>
    <w:p>
      <w:pPr>
        <w:ind w:right="8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0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3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ind w:right="28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300" w:right="348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 2024, the registrant had 52,100,107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89" w:lineRule="exact"/>
        <w:rPr>
          <w:sz w:val="20"/>
          <w:szCs w:val="20"/>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260" w:right="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our ability to grow a sales team;</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260" w:right="8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preclinical research activities, and for the manufacture of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mechanisms of action, safety profile,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260" w:right="2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including collaborations and investigator sponsored trials, to demonstrate the safety and efficacy of our product candidates, and other positive results;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17" w:lineRule="exact"/>
        <w:rPr>
          <w:rFonts w:ascii="Times New Roman" w:cs="Times New Roman" w:eastAsia="Times New Roman" w:hAnsi="Times New Roman"/>
          <w:sz w:val="18"/>
          <w:szCs w:val="18"/>
          <w:color w:val="auto"/>
        </w:rPr>
      </w:pPr>
    </w:p>
    <w:p>
      <w:pPr>
        <w:ind w:left="1260" w:right="1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that we may pursue;</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260" w:right="52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260" w:right="6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1260" w:right="5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53" w:lineRule="exact"/>
        <w:rPr>
          <w:rFonts w:ascii="Times New Roman" w:cs="Times New Roman" w:eastAsia="Times New Roman" w:hAnsi="Times New Roman"/>
          <w:sz w:val="18"/>
          <w:szCs w:val="18"/>
          <w:color w:val="auto"/>
        </w:rPr>
      </w:pPr>
    </w:p>
    <w:p>
      <w:pPr>
        <w:ind w:left="1260" w:right="34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the impacts of any executive officer changes, and to identify, hire, and then retain additional qualified personnel;</w:t>
      </w:r>
    </w:p>
    <w:p>
      <w:pPr>
        <w:spacing w:after="0" w:line="53" w:lineRule="exact"/>
        <w:rPr>
          <w:rFonts w:ascii="Times New Roman" w:cs="Times New Roman" w:eastAsia="Times New Roman" w:hAnsi="Times New Roman"/>
          <w:sz w:val="18"/>
          <w:szCs w:val="18"/>
          <w:color w:val="auto"/>
        </w:rPr>
      </w:pPr>
    </w:p>
    <w:p>
      <w:pPr>
        <w:ind w:left="1260" w:right="3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rising interest rates, bank failures or instability in the financial services sector, or geopolitical risks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1260" w:right="360" w:hanging="368"/>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and prospects of our acquisitions and other business development activities, and our ability to successfully capitalize on these opportunities;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and internal controls; and</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and cash equivalents, short-term and long-term investments, and the funds available from our term loan.</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vMerge w:val="restart"/>
          </w:tcPr>
          <w:p>
            <w:pPr>
              <w:spacing w:after="0"/>
              <w:rPr>
                <w:sz w:val="16"/>
                <w:szCs w:val="16"/>
                <w:color w:val="auto"/>
              </w:rPr>
            </w:pPr>
          </w:p>
        </w:tc>
        <w:tc>
          <w:tcPr>
            <w:tcW w:w="5720" w:type="dxa"/>
            <w:vAlign w:val="bottom"/>
            <w:gridSpan w:val="9"/>
            <w:vMerge w:val="restart"/>
          </w:tcPr>
          <w:p>
            <w:pPr>
              <w:jc w:val="center"/>
              <w:ind w:right="3460"/>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4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7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1</w:t>
            </w:r>
          </w:p>
        </w:tc>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260" w:type="dxa"/>
            <w:vAlign w:val="bottom"/>
            <w:tcBorders>
              <w:top w:val="single" w:sz="8" w:color="0000FF"/>
            </w:tcBorders>
            <w:gridSpan w:val="7"/>
          </w:tcPr>
          <w:p>
            <w:pPr>
              <w:spacing w:after="0"/>
              <w:rPr>
                <w:sz w:val="18"/>
                <w:szCs w:val="18"/>
                <w:color w:val="auto"/>
              </w:rPr>
            </w:pPr>
          </w:p>
        </w:tc>
        <w:tc>
          <w:tcPr>
            <w:tcW w:w="346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9"/>
        </w:trPr>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2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1</w:t>
            </w: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60" w:type="dxa"/>
            <w:vAlign w:val="bottom"/>
            <w:tcBorders>
              <w:top w:val="single" w:sz="8" w:color="0000FF"/>
            </w:tcBorders>
            <w:gridSpan w:val="5"/>
          </w:tcPr>
          <w:p>
            <w:pPr>
              <w:spacing w:after="0"/>
              <w:rPr>
                <w:sz w:val="18"/>
                <w:szCs w:val="18"/>
                <w:color w:val="auto"/>
              </w:rPr>
            </w:pPr>
          </w:p>
        </w:tc>
        <w:tc>
          <w:tcPr>
            <w:tcW w:w="364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7"/>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38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4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45"/>
        </w:trPr>
        <w:tc>
          <w:tcPr>
            <w:tcW w:w="14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160,330</w:t>
            </w:r>
          </w:p>
        </w:tc>
        <w:tc>
          <w:tcPr>
            <w:tcW w:w="10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188,659</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212,650</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242,553</w:t>
            </w:r>
          </w:p>
        </w:tc>
        <w:tc>
          <w:tcPr>
            <w:tcW w:w="10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Payable and accrued liabilities due to related party</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00" w:type="dxa"/>
            <w:vAlign w:val="bottom"/>
          </w:tcPr>
          <w:p>
            <w:pPr>
              <w:spacing w:after="0"/>
              <w:rPr>
                <w:sz w:val="20"/>
                <w:szCs w:val="20"/>
                <w:color w:val="auto"/>
              </w:rPr>
            </w:pPr>
          </w:p>
        </w:tc>
      </w:tr>
      <w:tr>
        <w:trPr>
          <w:trHeight w:val="241"/>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100" w:type="dxa"/>
            <w:vAlign w:val="bottom"/>
            <w:shd w:val="clear" w:color="auto" w:fill="CFF0FC"/>
          </w:tcPr>
          <w:p>
            <w:pPr>
              <w:spacing w:after="0"/>
              <w:rPr>
                <w:sz w:val="20"/>
                <w:szCs w:val="20"/>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52,841</w:t>
            </w:r>
          </w:p>
        </w:tc>
        <w:tc>
          <w:tcPr>
            <w:tcW w:w="100" w:type="dxa"/>
            <w:vAlign w:val="bottom"/>
          </w:tcPr>
          <w:p>
            <w:pPr>
              <w:spacing w:after="0"/>
              <w:rPr>
                <w:sz w:val="20"/>
                <w:szCs w:val="20"/>
                <w:color w:val="auto"/>
              </w:rPr>
            </w:pPr>
          </w:p>
        </w:tc>
      </w:tr>
      <w:tr>
        <w:trPr>
          <w:trHeight w:val="241"/>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1,000,000,000 shares authorized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as of March 31, 2024 and December 31, 2023; 50,277,193 and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49,951,989 shares issued and outstanding as of March 31, 2024</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675,678</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(521,853 )</w:t>
            </w:r>
          </w:p>
        </w:tc>
        <w:tc>
          <w:tcPr>
            <w:tcW w:w="2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(486,272 )</w:t>
            </w:r>
          </w:p>
        </w:tc>
      </w:tr>
      <w:tr>
        <w:trPr>
          <w:trHeight w:val="23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164,195</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212,650</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242,553</w:t>
            </w:r>
          </w:p>
        </w:tc>
        <w:tc>
          <w:tcPr>
            <w:tcW w:w="10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-4070985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-3445510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-1859280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7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34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(37,762 )</w:t>
            </w:r>
          </w:p>
        </w:tc>
        <w:tc>
          <w:tcPr>
            <w:tcW w:w="7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(32,203 )</w:t>
            </w:r>
          </w:p>
        </w:tc>
        <w:tc>
          <w:tcPr>
            <w:tcW w:w="0" w:type="dxa"/>
            <w:vAlign w:val="bottom"/>
          </w:tcPr>
          <w:p>
            <w:pPr>
              <w:spacing w:after="0"/>
              <w:rPr>
                <w:sz w:val="1"/>
                <w:szCs w:val="1"/>
                <w:color w:val="auto"/>
              </w:rPr>
            </w:pP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(427 )</w:t>
            </w:r>
          </w:p>
        </w:tc>
        <w:tc>
          <w:tcPr>
            <w:tcW w:w="7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20"/>
                <w:szCs w:val="20"/>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(14 )</w:t>
            </w:r>
          </w:p>
        </w:tc>
        <w:tc>
          <w:tcPr>
            <w:tcW w:w="7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(35,581</w:t>
            </w:r>
          </w:p>
        </w:tc>
        <w:tc>
          <w:tcPr>
            <w:tcW w:w="340" w:type="dxa"/>
            <w:vAlign w:val="bottom"/>
            <w:tcBorders>
              <w:top w:val="single" w:sz="8" w:color="CFF0FC"/>
              <w:bottom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(0.71 )</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12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50,120,758</w:t>
            </w: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40,862,513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compute net loss per share, basic and diluted</w:t>
            </w:r>
          </w:p>
        </w:tc>
        <w:tc>
          <w:tcPr>
            <w:tcW w:w="1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-1448435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-496570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-479425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-659765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38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380" w:type="dxa"/>
            <w:vAlign w:val="bottom"/>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(35,581 )</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(30,184 )</w:t>
            </w:r>
          </w:p>
        </w:tc>
      </w:tr>
      <w:tr>
        <w:trPr>
          <w:trHeight w:val="23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available-for-sale investments</w:t>
            </w:r>
          </w:p>
        </w:tc>
        <w:tc>
          <w:tcPr>
            <w:tcW w:w="14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(228 )</w:t>
            </w:r>
          </w:p>
        </w:tc>
        <w:tc>
          <w:tcPr>
            <w:tcW w:w="7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FF0FC"/>
          </w:tcPr>
          <w:p>
            <w:pPr>
              <w:spacing w:after="0"/>
              <w:rPr>
                <w:sz w:val="21"/>
                <w:szCs w:val="2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(35,809 )</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(29,427 )</w:t>
            </w:r>
          </w:p>
        </w:tc>
      </w:tr>
      <w:tr>
        <w:trPr>
          <w:trHeight w:val="20"/>
        </w:trPr>
        <w:tc>
          <w:tcPr>
            <w:tcW w:w="6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238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3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2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49,951,989</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675,678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(486,272 )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113,385</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through</w:t>
            </w: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ATM offering, net of commissions</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211,819</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of $0.1 million</w:t>
            </w:r>
          </w:p>
        </w:tc>
        <w:tc>
          <w:tcPr>
            <w:tcW w:w="120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(228 )</w:t>
            </w:r>
          </w:p>
        </w:tc>
        <w:tc>
          <w:tcPr>
            <w:tcW w:w="1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(228 )</w:t>
            </w:r>
          </w:p>
        </w:tc>
        <w:tc>
          <w:tcPr>
            <w:tcW w:w="0" w:type="dxa"/>
            <w:vAlign w:val="bottom"/>
          </w:tcPr>
          <w:p>
            <w:pPr>
              <w:spacing w:after="0"/>
              <w:rPr>
                <w:sz w:val="1"/>
                <w:szCs w:val="1"/>
                <w:color w:val="auto"/>
              </w:rPr>
            </w:pPr>
          </w:p>
        </w:tc>
      </w:tr>
      <w:tr>
        <w:trPr>
          <w:trHeight w:val="185"/>
        </w:trPr>
        <w:tc>
          <w:tcPr>
            <w:tcW w:w="2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investments</w:t>
            </w:r>
          </w:p>
        </w:tc>
        <w:tc>
          <w:tcPr>
            <w:tcW w:w="120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(35,581 )</w:t>
            </w:r>
          </w:p>
        </w:tc>
        <w:tc>
          <w:tcPr>
            <w:tcW w:w="1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(35,581 )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50,277,193</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685,970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(521,853 )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88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238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3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2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40,861,386</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589,735</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(325,467 )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263,464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investments</w:t>
            </w: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(30,184 )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(30,184 )</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40,863,049</w:t>
            </w:r>
          </w:p>
        </w:tc>
        <w:tc>
          <w:tcPr>
            <w:tcW w:w="280" w:type="dxa"/>
            <w:vAlign w:val="bottom"/>
          </w:tcPr>
          <w:p>
            <w:pPr>
              <w:spacing w:after="0"/>
              <w:rPr>
                <w:sz w:val="14"/>
                <w:szCs w:val="14"/>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596,086</w:t>
            </w:r>
          </w:p>
        </w:tc>
        <w:tc>
          <w:tcPr>
            <w:tcW w:w="2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(355,651 )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-1448435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-1430655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-1448435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-1430655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-1448435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-1430655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-1448435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-1430655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-1448435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-1430655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-144780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-144780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-144780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-144780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9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(35,581 )</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(30,184 )</w:t>
            </w:r>
          </w:p>
        </w:tc>
      </w:tr>
      <w:tr>
        <w:trPr>
          <w:trHeight w:val="17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lease costs</w:t>
            </w: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FF0FC"/>
          </w:tcPr>
          <w:p>
            <w:pPr>
              <w:spacing w:after="0"/>
              <w:rPr>
                <w:sz w:val="15"/>
                <w:szCs w:val="15"/>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100" w:type="dxa"/>
            <w:vAlign w:val="bottom"/>
          </w:tcPr>
          <w:p>
            <w:pPr>
              <w:spacing w:after="0"/>
              <w:rPr>
                <w:sz w:val="15"/>
                <w:szCs w:val="15"/>
                <w:color w:val="auto"/>
              </w:rPr>
            </w:pP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accretion of discounts on investments</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(1,553 )</w:t>
            </w: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(1,114 )</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Accretion of term loan discount and issuance costs</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disposal of fixed asset</w:t>
            </w: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(4,504 )</w:t>
            </w: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5"/>
                <w:szCs w:val="15"/>
                <w:color w:val="auto"/>
              </w:rPr>
            </w:pPr>
          </w:p>
        </w:tc>
      </w:tr>
      <w:tr>
        <w:trPr>
          <w:trHeight w:val="17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5"/>
                <w:szCs w:val="15"/>
                <w:color w:val="auto"/>
              </w:rPr>
            </w:pPr>
          </w:p>
        </w:tc>
      </w:tr>
      <w:tr>
        <w:trPr>
          <w:trHeight w:val="17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(2,326 )</w:t>
            </w: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FF0FC"/>
          </w:tcPr>
          <w:p>
            <w:pPr>
              <w:spacing w:after="0"/>
              <w:rPr>
                <w:sz w:val="15"/>
                <w:szCs w:val="15"/>
                <w:color w:val="auto"/>
              </w:rPr>
            </w:pPr>
          </w:p>
        </w:tc>
      </w:tr>
      <w:tr>
        <w:trPr>
          <w:trHeight w:val="176"/>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Payable and accrued liabilities due to related party</w:t>
            </w:r>
          </w:p>
        </w:tc>
        <w:tc>
          <w:tcPr>
            <w:tcW w:w="1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(168 )</w:t>
            </w:r>
          </w:p>
        </w:tc>
        <w:tc>
          <w:tcPr>
            <w:tcW w:w="6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(820 )</w:t>
            </w:r>
          </w:p>
        </w:tc>
      </w:tr>
      <w:tr>
        <w:trPr>
          <w:trHeight w:val="175"/>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(1,079 )</w:t>
            </w: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(5,551 )</w:t>
            </w:r>
          </w:p>
        </w:tc>
      </w:tr>
      <w:tr>
        <w:trPr>
          <w:trHeight w:val="176"/>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(630 )</w:t>
            </w:r>
          </w:p>
        </w:tc>
        <w:tc>
          <w:tcPr>
            <w:tcW w:w="6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(191 )</w:t>
            </w:r>
          </w:p>
        </w:tc>
      </w:tr>
      <w:tr>
        <w:trPr>
          <w:trHeight w:val="20"/>
        </w:trPr>
        <w:tc>
          <w:tcPr>
            <w:tcW w:w="6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(37,924 )</w:t>
            </w:r>
          </w:p>
        </w:tc>
        <w:tc>
          <w:tcPr>
            <w:tcW w:w="6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(27,816 )</w:t>
            </w:r>
          </w:p>
        </w:tc>
      </w:tr>
      <w:tr>
        <w:trPr>
          <w:trHeight w:val="169"/>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investments</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(31,285 )</w:t>
            </w: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(72,204 )</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57,906</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115,189</w:t>
            </w:r>
          </w:p>
        </w:tc>
        <w:tc>
          <w:tcPr>
            <w:tcW w:w="100" w:type="dxa"/>
            <w:vAlign w:val="bottom"/>
          </w:tcPr>
          <w:p>
            <w:pPr>
              <w:spacing w:after="0"/>
              <w:rPr>
                <w:sz w:val="15"/>
                <w:szCs w:val="15"/>
                <w:color w:val="auto"/>
              </w:rPr>
            </w:pP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(148 )</w:t>
            </w: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(690 )</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26,473</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42,295</w:t>
            </w:r>
          </w:p>
        </w:tc>
        <w:tc>
          <w:tcPr>
            <w:tcW w:w="100" w:type="dxa"/>
            <w:vAlign w:val="bottom"/>
          </w:tcPr>
          <w:p>
            <w:pPr>
              <w:spacing w:after="0"/>
              <w:rPr>
                <w:sz w:val="14"/>
                <w:szCs w:val="14"/>
                <w:color w:val="auto"/>
              </w:rPr>
            </w:pP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ATM offering, net of commissions</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 under equity incentive plan</w:t>
            </w: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1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(175 )</w:t>
            </w:r>
          </w:p>
        </w:tc>
        <w:tc>
          <w:tcPr>
            <w:tcW w:w="6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69"/>
        </w:trPr>
        <w:tc>
          <w:tcPr>
            <w:tcW w:w="69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6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320" w:type="dxa"/>
            <w:vAlign w:val="bottom"/>
            <w:tcBorders>
              <w:top w:val="single" w:sz="8" w:color="CFF0FC"/>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spacing w:after="0"/>
              <w:rPr>
                <w:sz w:val="14"/>
                <w:szCs w:val="1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2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(8,365 )</w:t>
            </w:r>
          </w:p>
        </w:tc>
        <w:tc>
          <w:tcPr>
            <w:tcW w:w="6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14,372</w:t>
            </w:r>
          </w:p>
        </w:tc>
        <w:tc>
          <w:tcPr>
            <w:tcW w:w="100" w:type="dxa"/>
            <w:vAlign w:val="bottom"/>
          </w:tcPr>
          <w:p>
            <w:pPr>
              <w:spacing w:after="0"/>
              <w:rPr>
                <w:sz w:val="14"/>
                <w:szCs w:val="14"/>
                <w:color w:val="auto"/>
              </w:rPr>
            </w:pPr>
          </w:p>
        </w:tc>
      </w:tr>
      <w:tr>
        <w:trPr>
          <w:trHeight w:val="175"/>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22,472</w:t>
            </w:r>
          </w:p>
        </w:tc>
        <w:tc>
          <w:tcPr>
            <w:tcW w:w="3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48,888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26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63,260</w:t>
            </w:r>
          </w:p>
        </w:tc>
        <w:tc>
          <w:tcPr>
            <w:tcW w:w="10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9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1260" w:type="dxa"/>
            <w:vAlign w:val="bottom"/>
            <w:shd w:val="clear" w:color="auto" w:fill="CFF0FC"/>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shd w:val="clear" w:color="auto" w:fill="CFF0FC"/>
          </w:tcPr>
          <w:p>
            <w:pPr>
              <w:spacing w:after="0"/>
              <w:rPr>
                <w:sz w:val="15"/>
                <w:szCs w:val="15"/>
                <w:color w:val="auto"/>
              </w:rPr>
            </w:pPr>
          </w:p>
        </w:tc>
      </w:tr>
      <w:tr>
        <w:trPr>
          <w:trHeight w:val="175"/>
        </w:trPr>
        <w:tc>
          <w:tcPr>
            <w:tcW w:w="6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14,041</w:t>
            </w:r>
          </w:p>
        </w:tc>
        <w:tc>
          <w:tcPr>
            <w:tcW w:w="320" w:type="dxa"/>
            <w:vAlign w:val="bottom"/>
          </w:tcPr>
          <w:p>
            <w:pPr>
              <w:spacing w:after="0"/>
              <w:rPr>
                <w:sz w:val="15"/>
                <w:szCs w:val="15"/>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63,194</w:t>
            </w:r>
          </w:p>
        </w:tc>
        <w:tc>
          <w:tcPr>
            <w:tcW w:w="100" w:type="dxa"/>
            <w:vAlign w:val="bottom"/>
          </w:tcPr>
          <w:p>
            <w:pPr>
              <w:spacing w:after="0"/>
              <w:rPr>
                <w:sz w:val="15"/>
                <w:szCs w:val="15"/>
                <w:color w:val="auto"/>
              </w:rPr>
            </w:pPr>
          </w:p>
        </w:tc>
      </w:tr>
      <w:tr>
        <w:trPr>
          <w:trHeight w:val="175"/>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Restricted cash (included in other assets)</w:t>
            </w:r>
          </w:p>
        </w:tc>
        <w:tc>
          <w:tcPr>
            <w:tcW w:w="1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restricted cash</w:t>
            </w:r>
          </w:p>
        </w:tc>
        <w:tc>
          <w:tcPr>
            <w:tcW w:w="1260" w:type="dxa"/>
            <w:vAlign w:val="bottom"/>
            <w:tcBorders>
              <w:bottom w:val="single" w:sz="8" w:color="auto"/>
            </w:tcBorders>
          </w:tcPr>
          <w:p>
            <w:pPr>
              <w:jc w:val="right"/>
              <w:ind w:right="1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14,107</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63,260</w:t>
            </w:r>
          </w:p>
        </w:tc>
        <w:tc>
          <w:tcPr>
            <w:tcW w:w="10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-2451100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-2009140</wp:posOffset>
            </wp:positionV>
            <wp:extent cx="939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-2009140</wp:posOffset>
            </wp:positionV>
            <wp:extent cx="939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-1435100</wp:posOffset>
            </wp:positionV>
            <wp:extent cx="939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-1435100</wp:posOffset>
            </wp:positionV>
            <wp:extent cx="939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-1071245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-145415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520" w:right="9520" w:hanging="512"/>
        <w:spacing w:after="0" w:line="400" w:lineRule="auto"/>
        <w:tabs>
          <w:tab w:leader="none" w:pos="26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i w:val="1"/>
          <w:iCs w:val="1"/>
          <w:color w:val="auto"/>
        </w:rPr>
        <w:t>Organization</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ALX Oncology Holdings Inc. is incorporated in Delaware. ALX Oncology Limited, incorporated in Ireland, is a wholly-owned subsidiary of ALX Oncology Holdings Inc. ALX Oncology Inc., incorporated in Delaware, is a wholly-owned subsidiary of ALX Oncology Limited. Alexo International Holdings Limited, incorporated in Malta, is a wholly-owned subsidiary of ALX Oncology Inc. All the companies, except for ALX Oncology Holdings Inc., are collectively known as the Subsidiaries.</w:t>
      </w:r>
    </w:p>
    <w:p>
      <w:pPr>
        <w:spacing w:after="0" w:line="7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2023 filed with the SEC on March 7, 2024.</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2024 included herein was derived from the audited financial statements as of that date, but does not include all disclosures including notes required by U.S. GAAP.</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significant accounting policies discussed in the Company’s Annual Report on Form 10-K for the year ended December 31, 2023.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are determined in accordance with the fair value hierarchy established in ASC 820, Fair Value Measurements and Disclosures.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investments, which consist of cash equivalents and investments classified as available-for-sale investments, that are measured at fair value on a recurring basis by level within the fair value hierarchy as of March 31, 2024 and December 31, 2023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74,592</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shd w:val="clear" w:color="auto" w:fill="CFF0FC"/>
          </w:tcPr>
          <w:p>
            <w:pPr>
              <w:spacing w:after="0"/>
              <w:rPr>
                <w:sz w:val="21"/>
                <w:szCs w:val="2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182,085</w:t>
            </w:r>
          </w:p>
        </w:tc>
        <w:tc>
          <w:tcPr>
            <w:tcW w:w="10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5"/>
        </w:trPr>
        <w:tc>
          <w:tcPr>
            <w:tcW w:w="41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74,850</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34,980</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r>
      <w:tr>
        <w:trPr>
          <w:trHeight w:val="247"/>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215,566</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215,822</w:t>
            </w:r>
          </w:p>
        </w:tc>
        <w:tc>
          <w:tcPr>
            <w:tcW w:w="10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4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-3462655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-3462655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-3462655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-462280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-462280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-462280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906" w:gutter="0" w:footer="0" w:header="0"/>
        </w:sectPr>
      </w:pPr>
    </w:p>
    <w:bookmarkStart w:id="11" w:name="page12"/>
    <w:bookmarkEnd w:id="11"/>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available-for-sale investments by classification included in the condensed consolidated balance sheets was as follows as of March 31, 2024 and December 31,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740" w:type="dxa"/>
            <w:vAlign w:val="bottom"/>
          </w:tcPr>
          <w:p>
            <w:pPr>
              <w:spacing w:after="0"/>
              <w:rPr>
                <w:sz w:val="21"/>
                <w:szCs w:val="21"/>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143,396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160,330</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182,085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215,822</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$2.4 million and $2.3 million as of March 31, 2024 and December 31, 2023, respectively.</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available-for-sale investments by contractual maturity was as follows as of March 31, 2024 and December 31,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740" w:type="dxa"/>
            <w:vAlign w:val="bottom"/>
          </w:tcPr>
          <w:p>
            <w:pPr>
              <w:spacing w:after="0"/>
              <w:rPr>
                <w:sz w:val="21"/>
                <w:szCs w:val="21"/>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155,036</w:t>
            </w:r>
          </w:p>
        </w:tc>
        <w:tc>
          <w:tcPr>
            <w:tcW w:w="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180,411</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Pr>
          <w:p>
            <w:pPr>
              <w:spacing w:after="0"/>
              <w:rPr>
                <w:sz w:val="20"/>
                <w:szCs w:val="20"/>
                <w:color w:val="auto"/>
              </w:rPr>
            </w:pPr>
          </w:p>
        </w:tc>
      </w:tr>
      <w:tr>
        <w:trPr>
          <w:trHeight w:val="27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182,085</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fair value measurement levels during the three months ended March 31, 2024 and 2023 and there were no financial instruments classified as Level 3 as of March 31, 2024 and 2023.</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accrued interest receivable related to the Company’s investments of $1.1 million and $1.0 million, respectively, was included in prepaid expenses and other current assets on the condensed consolidated balance sheet.</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March 31, 2024 and 2023, no allowance for credit losses for the Company’s investments was recorded. As of March 31, 2024 and December 31, 2023, securities with a fair value of $0.1 million and $5.9 million, respectively, were in a continuous net unrealized loss position for more than 12 months. As of March 31, 2024 and 2023, the Company has not recognized any impairment losses on available-for-sale investments.</w:t>
      </w:r>
    </w:p>
    <w:p>
      <w:pPr>
        <w:spacing w:after="0" w:line="291" w:lineRule="exact"/>
        <w:rPr>
          <w:sz w:val="20"/>
          <w:szCs w:val="20"/>
          <w:color w:val="auto"/>
        </w:rPr>
      </w:pPr>
    </w:p>
    <w:p>
      <w:pPr>
        <w:ind w:left="520" w:right="8120" w:hanging="512"/>
        <w:spacing w:after="0" w:line="400" w:lineRule="auto"/>
        <w:tabs>
          <w:tab w:leader="none" w:pos="26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 Net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presents the components of property and equipment, net as of March 31, 2024 and December 31,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(1,237 )</w:t>
            </w: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was $0.2 million and $0.2 million for the three months ended March 31, 2024 and 2023, respectively.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presents the components of other assets as of March 31, 2024 and December 31, 2023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prepaid clinical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prepaid contract manufacturing costs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accrued expenses and other current liabilities as of March 31, 2024 and December 31,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and nonclinical study costs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has non-cancelable operating leases for its offices located in the U.S. As of March 31, 2024,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and balance sheet information of the Company’s operating lease liabilities as of March 31, 2024 (in thousands, except lease term and discount rate):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40" w:type="dxa"/>
            <w:vAlign w:val="bottom"/>
          </w:tcPr>
          <w:p>
            <w:pPr>
              <w:spacing w:after="0"/>
              <w:rPr>
                <w:sz w:val="19"/>
                <w:szCs w:val="19"/>
                <w:color w:val="auto"/>
              </w:rPr>
            </w:pPr>
          </w:p>
        </w:tc>
        <w:tc>
          <w:tcPr>
            <w:tcW w:w="15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3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(1,371 )</w:t>
            </w:r>
          </w:p>
        </w:tc>
        <w:tc>
          <w:tcPr>
            <w:tcW w:w="4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(205 )</w:t>
            </w:r>
          </w:p>
        </w:tc>
        <w:tc>
          <w:tcPr>
            <w:tcW w:w="60" w:type="dxa"/>
            <w:vAlign w:val="bottom"/>
          </w:tcPr>
          <w:p>
            <w:pPr>
              <w:spacing w:after="0"/>
              <w:rPr>
                <w:sz w:val="20"/>
                <w:szCs w:val="20"/>
                <w:color w:val="auto"/>
              </w:rPr>
            </w:pPr>
          </w:p>
        </w:tc>
      </w:tr>
      <w:tr>
        <w:trPr>
          <w:trHeight w:val="281"/>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1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 liabilities: current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 liabilities: non-current </w:t>
            </w:r>
            <w:r>
              <w:rPr>
                <w:rFonts w:ascii="Times New Roman" w:cs="Times New Roman" w:eastAsia="Times New Roman" w:hAnsi="Times New Roman"/>
                <w:sz w:val="24"/>
                <w:szCs w:val="24"/>
                <w:color w:val="auto"/>
                <w:vertAlign w:val="superscript"/>
              </w:rPr>
              <w:t>(ii)</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8.7 %</w:t>
            </w:r>
          </w:p>
        </w:tc>
        <w:tc>
          <w:tcPr>
            <w:tcW w:w="4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-1134110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-1116965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-1116965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-482600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-465455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lease liabilities are presented within accrued expenses and other current liabilities on the condensed consolidated balance sheets.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lease liabilities are presented within other non-current liabilities on the condensed consolidated balance sheets.</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for the three months ended March 31,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1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20"/>
                <w:szCs w:val="20"/>
                <w:color w:val="auto"/>
              </w:rPr>
            </w:pPr>
          </w:p>
        </w:tc>
      </w:tr>
      <w:tr>
        <w:trPr>
          <w:trHeight w:val="243"/>
        </w:trPr>
        <w:tc>
          <w:tcPr>
            <w:tcW w:w="7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Variable lease cost and other, net </w:t>
            </w:r>
            <w:r>
              <w:rPr>
                <w:rFonts w:ascii="Times New Roman" w:cs="Times New Roman" w:eastAsia="Times New Roman" w:hAnsi="Times New Roman"/>
                <w:sz w:val="24"/>
                <w:szCs w:val="24"/>
                <w:color w:val="auto"/>
                <w:vertAlign w:val="superscript"/>
              </w:rPr>
              <w:t>(i)</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81"/>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760" w:right="100" w:hanging="378"/>
        <w:spacing w:after="0" w:line="281"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6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cash flow disclosures for cash paid for leases for the three months ended March 31,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1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4"/>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Oxford Finance and Silicon Valley Bank Loan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and has access to draw an additional $40.0 million through the end of June 2024.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indebtedness is included in our notes to our consolidated financial statements in our Annual Report on Form 10-K for the fiscal year ended December 31, 2023, which was filed with the SEC on March 7, 2024.</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interest expense incurred in connection with the Loan Agreement was $0.3 million and $0.3 million,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we were in compliance with all financial reporting covenants under the Loan Agreement.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future maturities under the Loan Agreement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maturities</w:t>
            </w:r>
          </w:p>
        </w:tc>
        <w:tc>
          <w:tcPr>
            <w:tcW w:w="3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3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term loan, net of current portion</w:t>
            </w:r>
          </w:p>
        </w:tc>
        <w:tc>
          <w:tcPr>
            <w:tcW w:w="332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3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unaccreted final payment costs</w:t>
            </w:r>
          </w:p>
        </w:tc>
        <w:tc>
          <w:tcPr>
            <w:tcW w:w="3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6"/>
        </w:trPr>
        <w:tc>
          <w:tcPr>
            <w:tcW w:w="4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Term loan, non-current, net</w:t>
            </w:r>
          </w:p>
        </w:tc>
        <w:tc>
          <w:tcPr>
            <w:tcW w:w="3320" w:type="dxa"/>
            <w:vAlign w:val="bottom"/>
            <w:tcBorders>
              <w:top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3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811"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July 21, 2020, the Company’s amended and restated certificate of incorporation became effective, authorizing 1,000,000,000 shares of common stock, $0.001 par value per share, and 100,000,000 shares of undesignated preferred stock, $0.001 par value per share. As of March 31, 2024 and December 31, 2023, the Company had 50,277,193 and 49,951,989 shares of common stock outstanding,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as of March 31, 2024 consists of the following:</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8720" w:type="dxa"/>
            <w:vAlign w:val="bottom"/>
          </w:tcPr>
          <w:p>
            <w:pPr>
              <w:spacing w:after="0"/>
              <w:rPr>
                <w:sz w:val="24"/>
                <w:szCs w:val="24"/>
                <w:color w:val="auto"/>
              </w:rPr>
            </w:pPr>
          </w:p>
        </w:tc>
        <w:tc>
          <w:tcPr>
            <w:tcW w:w="25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9,870,347</w:t>
            </w:r>
          </w:p>
        </w:tc>
        <w:tc>
          <w:tcPr>
            <w:tcW w:w="100" w:type="dxa"/>
            <w:vAlign w:val="bottom"/>
            <w:shd w:val="clear" w:color="auto" w:fill="CFF0FC"/>
          </w:tcPr>
          <w:p>
            <w:pPr>
              <w:spacing w:after="0"/>
              <w:rPr>
                <w:sz w:val="21"/>
                <w:szCs w:val="21"/>
                <w:color w:val="auto"/>
              </w:rPr>
            </w:pPr>
          </w:p>
        </w:tc>
      </w:tr>
      <w:tr>
        <w:trPr>
          <w:trHeight w:val="23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1,625,753</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 authorized for future issuance</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1,065,389</w:t>
            </w:r>
          </w:p>
        </w:tc>
        <w:tc>
          <w:tcPr>
            <w:tcW w:w="100" w:type="dxa"/>
            <w:vAlign w:val="bottom"/>
            <w:shd w:val="clear" w:color="auto" w:fill="CFF0FC"/>
          </w:tcPr>
          <w:p>
            <w:pPr>
              <w:spacing w:after="0"/>
              <w:rPr>
                <w:sz w:val="21"/>
                <w:szCs w:val="21"/>
                <w:color w:val="auto"/>
              </w:rPr>
            </w:pPr>
          </w:p>
        </w:tc>
      </w:tr>
      <w:tr>
        <w:trPr>
          <w:trHeight w:val="23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1,263,321</w:t>
            </w:r>
          </w:p>
        </w:tc>
        <w:tc>
          <w:tcPr>
            <w:tcW w:w="100" w:type="dxa"/>
            <w:vAlign w:val="bottom"/>
          </w:tcPr>
          <w:p>
            <w:pPr>
              <w:spacing w:after="0"/>
              <w:rPr>
                <w:sz w:val="20"/>
                <w:szCs w:val="20"/>
                <w:color w:val="auto"/>
              </w:rPr>
            </w:pPr>
          </w:p>
        </w:tc>
      </w:tr>
      <w:tr>
        <w:trPr>
          <w:trHeight w:val="243"/>
        </w:trPr>
        <w:tc>
          <w:tcPr>
            <w:tcW w:w="8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issued and outstanding</w:t>
            </w: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14,189,810</w:t>
            </w:r>
          </w:p>
        </w:tc>
        <w:tc>
          <w:tcPr>
            <w:tcW w:w="100" w:type="dxa"/>
            <w:vAlign w:val="bottom"/>
          </w:tcPr>
          <w:p>
            <w:pPr>
              <w:spacing w:after="0"/>
              <w:rPr>
                <w:sz w:val="20"/>
                <w:szCs w:val="20"/>
                <w:color w:val="auto"/>
              </w:rPr>
            </w:pPr>
          </w:p>
        </w:tc>
      </w:tr>
      <w:tr>
        <w:trPr>
          <w:trHeight w:val="20"/>
        </w:trPr>
        <w:tc>
          <w:tcPr>
            <w:tcW w:w="87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March 31, 2024, the Company had issued approximately 211,819 shares of common stock pursuant to the Sales Agreement for net proceeds of $3.0 million. The Company may terminate this ATM program at any time, pursuant to its terms.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completed an underwritten follow-on public offering (the October 2023 Offering) pursuant to our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spacing w:after="0" w:line="75"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respectively, no shares underlying the pre-funded warrants had been exercised. All of the outstanding pre-funded warrants are included in the weighted-average number of shares of common stock used to calculate basic net loss per share attributable to common stockholders (see Note 10 “Net Loss Per Share”).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Equity Incentive Plan</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 2024, the number of shares available under the 2020 Plan was increased by 1,998,080 shares.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Compensation expense for awards with performance-based vesting requirements are recognized on a tranche-by-tranche basis based on the grant date fair value over the requisite service period using the accelerated attribution method if and when the performance condition is deemed to be probable of being achieved. At each reporting period, the Company will assess the probability of the performance condition being met for each tranche and, as applicable, recognize the cumulative effect of the change in estimate in the period of the change.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determined that the achievement of the performance conditions for each tranche of PSUs was not probable. As a result, no compensation expense has been recognized for these awards as of and for the three months ended March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Under the Company’s 2020 Employee Stock Purchase Plan, or the ESPP, eligible employees are entitled to purchase shares of common stock with accumulated payroll deductions.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64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400" w:type="dxa"/>
            <w:vAlign w:val="bottom"/>
          </w:tcPr>
          <w:p>
            <w:pPr>
              <w:spacing w:after="0"/>
              <w:rPr>
                <w:sz w:val="19"/>
                <w:szCs w:val="19"/>
                <w:color w:val="auto"/>
              </w:rPr>
            </w:pPr>
          </w:p>
        </w:tc>
        <w:tc>
          <w:tcPr>
            <w:tcW w:w="1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1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FF0FC"/>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21"/>
                <w:szCs w:val="21"/>
                <w:color w:val="auto"/>
              </w:rPr>
            </w:pPr>
          </w:p>
        </w:tc>
      </w:tr>
      <w:tr>
        <w:trPr>
          <w:trHeight w:val="277"/>
        </w:trPr>
        <w:tc>
          <w:tcPr>
            <w:tcW w:w="6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3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RELATED-PARTY TRANSACTIONS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several related-party agreements with Tallac Therapeutics, Inc., or Tallac, and with ScalmiBio, Inc., or ScalmiBio. The details of these agreements are described in our notes to our consolidated financial statements in our Annual Report on Form 10-K for the fiscal year ended December 31, 2023, which was filed with the SEC on March 7, 2024. During the three months ended March 31, 2024, there were no material changes to these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Tallac Service Agreement</w:t>
      </w:r>
    </w:p>
    <w:p>
      <w:pPr>
        <w:spacing w:after="0" w:line="121"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 each of the three months ended March 31, 2024 and 2023, the Company recorded a nominal amount and $0.1 million, respectively, as research and development, or R&amp;D, costs in relation to the research and development services agreement with Tallac, or the Tallac Services Agreement.</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Tallac Collaboration Agreement</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$0.4 million and $0.7 million, respectively, as R&amp;D costs in relation to the collaboration agreement with Tallac, or the Tallac Collaboration Agreement.</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had accrued expenses of $0.4 million and $0.5 million, respectively, related to the Tallac Collaboration Agreement, which was presented within the payable and accrued liabilities due to related party on the condensed consolidated balance sheets.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ScalmiBio Milestone Payments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spacing w:after="0" w:line="68"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a $1.0 million milestone payment, as a result of selecting a development candidate, to the stockholders of ScalmiBio, including 31.7%, or $0.3 million, to the Company’s former Chief Executive Officer and current Chief Scientific Officer and President, and 63.5%, or $0.6 million, to another employee of the Company. This milestone payment was recorded as R&amp;D costs within the 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three months ended March 31, 2024 and 2023 (in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0"/>
        </w:trPr>
        <w:tc>
          <w:tcPr>
            <w:tcW w:w="75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(35,581 )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(30,184 )</w:t>
            </w: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50,120,758</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40,862,513</w:t>
            </w:r>
          </w:p>
        </w:tc>
        <w:tc>
          <w:tcPr>
            <w:tcW w:w="100" w:type="dxa"/>
            <w:vAlign w:val="bottom"/>
          </w:tcPr>
          <w:p>
            <w:pPr>
              <w:spacing w:after="0"/>
              <w:rPr>
                <w:sz w:val="20"/>
                <w:szCs w:val="20"/>
                <w:color w:val="auto"/>
              </w:rPr>
            </w:pPr>
          </w:p>
        </w:tc>
      </w:tr>
      <w:tr>
        <w:trPr>
          <w:trHeight w:val="25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(0.71 )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(0.74 )</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for the three months ended March 31, 2024 and 2023 because including them would have been anti-dilutive: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0"/>
        </w:trPr>
        <w:tc>
          <w:tcPr>
            <w:tcW w:w="7480" w:type="dxa"/>
            <w:vAlign w:val="bottom"/>
          </w:tcPr>
          <w:p>
            <w:pPr>
              <w:spacing w:after="0"/>
              <w:rPr>
                <w:sz w:val="21"/>
                <w:szCs w:val="21"/>
                <w:color w:val="auto"/>
              </w:rPr>
            </w:pPr>
          </w:p>
        </w:tc>
        <w:tc>
          <w:tcPr>
            <w:tcW w:w="2420" w:type="dxa"/>
            <w:vAlign w:val="bottom"/>
            <w:tcBorders>
              <w:bottom w:val="single" w:sz="8" w:color="auto"/>
            </w:tcBorders>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480" w:type="dxa"/>
            <w:vAlign w:val="bottom"/>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9,870,347</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6,511,136</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1,263,321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793,088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issued and outstanding</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estimated shares issuable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00" w:type="dxa"/>
            <w:vAlign w:val="bottom"/>
          </w:tcPr>
          <w:p>
            <w:pPr>
              <w:spacing w:after="0"/>
              <w:rPr>
                <w:sz w:val="20"/>
                <w:szCs w:val="20"/>
                <w:color w:val="auto"/>
              </w:rPr>
            </w:pPr>
          </w:p>
        </w:tc>
      </w:tr>
      <w:tr>
        <w:trPr>
          <w:trHeight w:val="281"/>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11,499,814</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7,319,186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7440" w:hanging="512"/>
        <w:spacing w:after="0" w:line="378" w:lineRule="auto"/>
        <w:tabs>
          <w:tab w:leader="none" w:pos="34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Guarantees and Indemnifications</w:t>
      </w: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2024.</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March 31, 2024, the Company had no pending or threatened litigation.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 and Other Commitments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other contractual obligations and other commitments from manufacturing and service contracts, which are presented as follows as of March 31, 2024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(remaining nine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2027-2028</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1"/>
                <w:szCs w:val="21"/>
                <w:color w:val="auto"/>
              </w:rPr>
            </w:pPr>
          </w:p>
        </w:tc>
      </w:tr>
      <w:tr>
        <w:trPr>
          <w:trHeight w:val="239"/>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service contracts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3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-950595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-950595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-950595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757" w:gutter="0" w:footer="0" w:header="0"/>
        </w:sectPr>
      </w:pPr>
    </w:p>
    <w:bookmarkStart w:id="17" w:name="page18"/>
    <w:bookmarkEnd w:id="17"/>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$2.0 million. In addition, the Company has commitments with one other pharmaceutical contract manufacturer, including certain future purchase obligations of approximately $9.3 million. These amounts are based on non-cancellable commitments and forecasts that include estimates of future market demand, quantity discounts and manufacturing efficiencies that may impact timing of purchases.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80" w:firstLine="479"/>
        <w:spacing w:after="0" w:line="257" w:lineRule="auto"/>
        <w:rPr>
          <w:sz w:val="20"/>
          <w:szCs w:val="20"/>
          <w:color w:val="auto"/>
        </w:rPr>
      </w:pPr>
      <w:r>
        <w:rPr>
          <w:rFonts w:ascii="Times New Roman" w:cs="Times New Roman" w:eastAsia="Times New Roman" w:hAnsi="Times New Roman"/>
          <w:sz w:val="18"/>
          <w:szCs w:val="18"/>
          <w:color w:val="auto"/>
        </w:rPr>
        <w:t>Subsequent to March 31, 2024, the Company has issued an additional 1,794,091 shares of common stock as part of its ATM offering program and received net proceeds of approximately $26.2 million, after deducting commissions. The Company may terminate this ATM program at any time, pursuant to its terms.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7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In April 2020, we began exploring a third less well-validated mechanism of action, which led us to test the combination of evorpacept with azacitidine in myelodysplastic syndromes (MDS) patients, but our data failed to validate this third mechanism as discussed below.</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distinct mechanism of actions and examples of the combinations of priority are:</w:t>
      </w:r>
    </w:p>
    <w:p>
      <w:pPr>
        <w:spacing w:after="0" w:line="113" w:lineRule="exact"/>
        <w:rPr>
          <w:sz w:val="20"/>
          <w:szCs w:val="20"/>
          <w:color w:val="auto"/>
        </w:rPr>
      </w:pPr>
    </w:p>
    <w:p>
      <w:pPr>
        <w:ind w:left="1020" w:right="40" w:hanging="503"/>
        <w:spacing w:after="0" w:line="25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Anti-cancer antibodies (the “</w:t>
      </w:r>
      <w:r>
        <w:rPr>
          <w:rFonts w:ascii="Times New Roman" w:cs="Times New Roman" w:eastAsia="Times New Roman" w:hAnsi="Times New Roman"/>
          <w:sz w:val="18"/>
          <w:szCs w:val="18"/>
          <w:b w:val="1"/>
          <w:bCs w:val="1"/>
          <w:i w:val="1"/>
          <w:iCs w:val="1"/>
          <w:color w:val="auto"/>
        </w:rPr>
        <w:t>don’t eat me</w:t>
      </w:r>
      <w:r>
        <w:rPr>
          <w:rFonts w:ascii="Times New Roman" w:cs="Times New Roman" w:eastAsia="Times New Roman" w:hAnsi="Times New Roman"/>
          <w:sz w:val="18"/>
          <w:szCs w:val="18"/>
          <w:b w:val="1"/>
          <w:bCs w:val="1"/>
          <w:color w:val="auto"/>
        </w:rPr>
        <w:t>” signal): Combining with anti-cancer targeted antibodies with an active Fc domain, where evorpacept enables the Fc-mediated antibody dependent phagocytosis that is impaired by the expression of CD47 on cancer cells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positive interim data in our randomized ASPEN-06 clinical trial supports the clinical validation of this mechanism of action. ASPEN-06 evaluates the contribution of evorpacept to HERCEPTIN® (trastuzumab) plus standard of care (CYRAMZA® (ramucirumab) + paclitaxel) versus standard of care plus HERCEPTIN in second line or later HER2-positive gastric/gastroesophageal junction (GEJ) cancer.</w:t>
      </w:r>
    </w:p>
    <w:p>
      <w:pPr>
        <w:spacing w:after="0" w:line="183" w:lineRule="exact"/>
        <w:rPr>
          <w:sz w:val="20"/>
          <w:szCs w:val="20"/>
          <w:color w:val="auto"/>
        </w:rPr>
      </w:pPr>
    </w:p>
    <w:p>
      <w:pPr>
        <w:jc w:val="both"/>
        <w:ind w:left="1780" w:right="500" w:hanging="515"/>
        <w:spacing w:after="0" w:line="266"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evorpacept + trastuzumab + ramucirumab + paclitaxel improved response activity (52% overall response rate (ORR), median duration of response (mDOR) not reached) compared to that of the trastuzumab + ramucirumab + paclitaxel backbone (22% ORR, mDOR 7.4 m).</w:t>
      </w:r>
    </w:p>
    <w:p>
      <w:pPr>
        <w:spacing w:after="0" w:line="67" w:lineRule="exact"/>
        <w:rPr>
          <w:rFonts w:ascii="Times New Roman" w:cs="Times New Roman" w:eastAsia="Times New Roman" w:hAnsi="Times New Roman"/>
          <w:sz w:val="18"/>
          <w:szCs w:val="18"/>
          <w:color w:val="auto"/>
        </w:rPr>
      </w:pPr>
    </w:p>
    <w:p>
      <w:pPr>
        <w:jc w:val="both"/>
        <w:ind w:left="1780" w:right="200" w:hanging="515"/>
        <w:spacing w:after="0" w:line="272"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of evorpacept + trastuzumab + ramucirumab + paclitaxel compares favorably to the RAINBOW historical data where ramucirumab + paclitaxel demonstrated a 28% confirmed ORR and 4.4 month mDOR, as well as to DESTINY-Gastric01 where ENHERTU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(fam-trastuzumab deruxtecan-nxki) reported a 41% confirmed ORR and mDOR of 11.3 months.</w:t>
      </w:r>
    </w:p>
    <w:p>
      <w:pPr>
        <w:spacing w:after="0" w:line="1" w:lineRule="exact"/>
        <w:rPr>
          <w:rFonts w:ascii="Times New Roman" w:cs="Times New Roman" w:eastAsia="Times New Roman" w:hAnsi="Times New Roman"/>
          <w:sz w:val="18"/>
          <w:szCs w:val="18"/>
          <w:color w:val="auto"/>
        </w:rPr>
      </w:pPr>
    </w:p>
    <w:p>
      <w:pPr>
        <w:ind w:left="1780" w:right="200" w:hanging="515"/>
        <w:spacing w:after="0" w:line="266"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magnitude of improvement in ORR over available therapy and over the concurrent control arm with this well-tolerated combination suggests that evorpacept in combination with trastuzumab, ramucirumab, and paclitaxel could benefit patients with HER2-overexpressing advanced gastric/GEJ cancer.</w:t>
      </w:r>
    </w:p>
    <w:p>
      <w:pPr>
        <w:spacing w:after="0" w:line="176" w:lineRule="exact"/>
        <w:rPr>
          <w:sz w:val="20"/>
          <w:szCs w:val="20"/>
          <w:color w:val="auto"/>
        </w:rPr>
      </w:pPr>
    </w:p>
    <w:p>
      <w:pPr>
        <w:jc w:val="both"/>
        <w:ind w:left="760" w:right="20"/>
        <w:spacing w:after="0" w:line="239" w:lineRule="auto"/>
        <w:rPr>
          <w:sz w:val="20"/>
          <w:szCs w:val="20"/>
          <w:color w:val="auto"/>
        </w:rPr>
      </w:pPr>
      <w:r>
        <w:rPr>
          <w:rFonts w:ascii="Times New Roman" w:cs="Times New Roman" w:eastAsia="Times New Roman" w:hAnsi="Times New Roman"/>
          <w:sz w:val="18"/>
          <w:szCs w:val="18"/>
          <w:color w:val="auto"/>
        </w:rPr>
        <w:t>Our earlier ASPEN-01 Phase 1 positive data in combination with rituximab in non-Hodgkin lymphoma (NHL) and the recent clinical data of our IST collaborator from the ongoing Phase 1/2 investigator-sponsored trial (IST) of evorpacept in combination with rituximab and lenalidomide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patients with relapsed refractory B-cell NHL (R/R B-NHL) provide additional support for the clinical validation of this mechanism of action and support exploring combinations of evorpacept with other anti-cancer antibodies.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9" w:name="page20"/>
    <w:bookmarkEnd w:id="19"/>
    <w:p>
      <w:pPr>
        <w:ind w:left="760" w:right="160"/>
        <w:spacing w:after="0" w:line="236" w:lineRule="auto"/>
        <w:rPr>
          <w:sz w:val="20"/>
          <w:szCs w:val="20"/>
          <w:color w:val="auto"/>
        </w:rPr>
      </w:pPr>
      <w:r>
        <w:rPr>
          <w:rFonts w:ascii="Times New Roman" w:cs="Times New Roman" w:eastAsia="Times New Roman" w:hAnsi="Times New Roman"/>
          <w:sz w:val="18"/>
          <w:szCs w:val="18"/>
          <w:color w:val="auto"/>
        </w:rPr>
        <w:t>This mechanism of action may also apply to antibody-drug conjugates (ADCs), which are being investigated in two separate Phase 1 trials: one in combination with PADCEV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(enfortumab vedotin-ejfv) in patients with urothelial cancer (ASPEN-07), and the other in combination with fam-trastuzumab deruxtecan-nxki in patients with unresectable or metastatic HER2-positive and HER2-low breast cancer.</w:t>
      </w:r>
    </w:p>
    <w:p>
      <w:pPr>
        <w:spacing w:after="0" w:line="87" w:lineRule="exact"/>
        <w:rPr>
          <w:sz w:val="20"/>
          <w:szCs w:val="20"/>
          <w:color w:val="auto"/>
        </w:rPr>
      </w:pPr>
    </w:p>
    <w:p>
      <w:pPr>
        <w:ind w:left="1020" w:right="280" w:hanging="503"/>
        <w:spacing w:after="0" w:line="26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PD-1/PD-L1 immune checkpoint inhibitors (the “</w:t>
      </w:r>
      <w:r>
        <w:rPr>
          <w:rFonts w:ascii="Times New Roman" w:cs="Times New Roman" w:eastAsia="Times New Roman" w:hAnsi="Times New Roman"/>
          <w:sz w:val="18"/>
          <w:szCs w:val="18"/>
          <w:b w:val="1"/>
          <w:bCs w:val="1"/>
          <w:i w:val="1"/>
          <w:iCs w:val="1"/>
          <w:color w:val="auto"/>
        </w:rPr>
        <w:t>don’t activate T-cells</w:t>
      </w:r>
      <w:r>
        <w:rPr>
          <w:rFonts w:ascii="Times New Roman" w:cs="Times New Roman" w:eastAsia="Times New Roman" w:hAnsi="Times New Roman"/>
          <w:sz w:val="18"/>
          <w:szCs w:val="18"/>
          <w:b w:val="1"/>
          <w:bCs w:val="1"/>
          <w:color w:val="auto"/>
        </w:rPr>
        <w:t>” signal): Combining with PD-1/PD-L1 checkpoint inhibitor, where evorpacept activates dendritic cells that are constitutively inhibited by the CD47/ SIRP alpha pathway.</w:t>
      </w:r>
    </w:p>
    <w:p>
      <w:pPr>
        <w:ind w:left="1020" w:right="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includes our clinical trials, ASPEN-03 and ASPEN-04, two randomized Phase 2 studies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w:t>
      </w:r>
    </w:p>
    <w:p>
      <w:pPr>
        <w:spacing w:after="0" w:line="87" w:lineRule="exact"/>
        <w:rPr>
          <w:rFonts w:ascii="Times New Roman" w:cs="Times New Roman" w:eastAsia="Times New Roman" w:hAnsi="Times New Roman"/>
          <w:sz w:val="18"/>
          <w:szCs w:val="18"/>
          <w:color w:val="auto"/>
        </w:rPr>
      </w:pPr>
    </w:p>
    <w:p>
      <w:pPr>
        <w:ind w:left="1020" w:right="740" w:hanging="503"/>
        <w:spacing w:after="0" w:line="278"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Hypomethylation agents: Combining with azacitidine, which is described to upregulate calreticulin and potentially promote macrophage dependent phagocytosis that is inhibited by CD47. We now consider this a failed mechanistic hypothesis.</w:t>
      </w:r>
    </w:p>
    <w:p>
      <w:pPr>
        <w:spacing w:after="0" w:line="1" w:lineRule="exact"/>
        <w:rPr>
          <w:rFonts w:ascii="Times New Roman" w:cs="Times New Roman" w:eastAsia="Times New Roman" w:hAnsi="Times New Roman"/>
          <w:sz w:val="17"/>
          <w:szCs w:val="17"/>
          <w:color w:val="auto"/>
        </w:rPr>
      </w:pPr>
    </w:p>
    <w:p>
      <w:pPr>
        <w:ind w:left="102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mechanistic hypothesis was tested and ultimately not supported in our clinical trial, ASPEN-02, a Phase 1b dose optimization study evaluating evorpacept in combination with azacitidine for the treatment of MDS. Initial support for exploring this mechanism was provided by Phase 1b initial clinical data of magrolimab, an anti-CD47 antibody with active Fc, being developed by Gilead, which showed improvements in complete response (CR) rate compared to historical data, but also to a significant increase in cytopenias. As we reported in August 2023, in our preliminary data review of our Phase 1 study, ASPEN-02, despite being well tolerated, evorpacept did not yield sufficient activity to support progression to Phase 2 trials. Gilead has since discontinued its Phase 3 magrolimab trials with this combination in both acute myeloid leukemia (AML) and MDS due to lack of efficacy. Based upon trial results, we are no longer planning to pursue combinations based upon this mechanism of action. Resources originally earmarked for these trials will be allocated to support our ongoing programs evaluating combinations with anti-cancer antibodies and PD-1/PD-L1 immune checkpoint inhibitors.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pursuing the following clinical programs, collaborations, and investigator-sponsored trials: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Evorpacept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anti-cancer antibody</w:t>
      </w:r>
    </w:p>
    <w:p>
      <w:pPr>
        <w:spacing w:after="0" w:line="11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ASPEN-06 - Gastric/GEJ Cancer</w:t>
      </w:r>
    </w:p>
    <w:p>
      <w:pPr>
        <w:spacing w:after="0" w:line="50" w:lineRule="exact"/>
        <w:rPr>
          <w:sz w:val="20"/>
          <w:szCs w:val="20"/>
          <w:color w:val="auto"/>
        </w:rPr>
      </w:pPr>
    </w:p>
    <w:p>
      <w:pPr>
        <w:ind w:left="1640" w:right="120" w:hanging="509"/>
        <w:spacing w:after="0" w:line="276" w:lineRule="auto"/>
        <w:tabs>
          <w:tab w:leader="none" w:pos="1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ind w:left="1640" w:right="60" w:hanging="509"/>
        <w:spacing w:after="0" w:line="273"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the FDA’s Office of Orphan Products Development granted Orphan Drug Designation (ODD) to evorpacept for the treatment of patients with gastric/GEJ cancer.</w:t>
      </w:r>
    </w:p>
    <w:p>
      <w:pPr>
        <w:spacing w:after="0" w:line="1" w:lineRule="exact"/>
        <w:rPr>
          <w:rFonts w:ascii="Times New Roman" w:cs="Times New Roman" w:eastAsia="Times New Roman" w:hAnsi="Times New Roman"/>
          <w:sz w:val="18"/>
          <w:szCs w:val="18"/>
          <w:color w:val="auto"/>
        </w:rPr>
      </w:pPr>
    </w:p>
    <w:p>
      <w:pPr>
        <w:ind w:left="1640" w:right="300" w:hanging="509"/>
        <w:spacing w:after="0" w:line="266"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ind w:left="1640" w:hanging="509"/>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European Commission granted ODD to evorpacept for the treatment of patients with gastric/GEJ cancer.</w:t>
      </w:r>
    </w:p>
    <w:p>
      <w:pPr>
        <w:spacing w:after="0" w:line="36" w:lineRule="exact"/>
        <w:rPr>
          <w:rFonts w:ascii="Times New Roman" w:cs="Times New Roman" w:eastAsia="Times New Roman" w:hAnsi="Times New Roman"/>
          <w:sz w:val="18"/>
          <w:szCs w:val="18"/>
          <w:color w:val="auto"/>
        </w:rPr>
      </w:pPr>
    </w:p>
    <w:p>
      <w:pPr>
        <w:ind w:left="1640" w:hanging="509"/>
        <w:spacing w:after="0" w:line="253"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evorpacept in combination with trastuzumab + ramucirumab + paclitaxel compared to 22% for the control group of trastuzumab + ramucirumab + paclitaxel. Median duration of response (mDOR) was not reached for the evorpacept combination treatment arm compared to 7.4 months for the control group. The safety profile of evorpacept was consistent</w:t>
      </w:r>
    </w:p>
    <w:p>
      <w:pPr>
        <w:spacing w:after="0" w:line="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 previous clinical trials and was well-tolerated.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antibody-drug conjugate (ADC)</w:t>
      </w:r>
    </w:p>
    <w:p>
      <w:pPr>
        <w:spacing w:after="0" w:line="11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ASPEN-07 - Urothelial Cancer (UC)</w:t>
      </w:r>
    </w:p>
    <w:p>
      <w:pPr>
        <w:spacing w:after="0" w:line="50" w:lineRule="exact"/>
        <w:rPr>
          <w:sz w:val="20"/>
          <w:szCs w:val="20"/>
          <w:color w:val="auto"/>
        </w:rPr>
      </w:pPr>
    </w:p>
    <w:p>
      <w:pPr>
        <w:ind w:left="1640" w:right="420" w:hanging="509"/>
        <w:spacing w:after="0" w:line="282"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we announced the dosing of the first patient in the ASPEN-07 trial, a Phase 1 study evaluating evorpacept in combination with an ADC, enfortumab vedotin-ejfv, for the second-line treatment of locally advanced or metastatic UC.</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PD-1/PD-L1 immune checkpoint inhibitor</w:t>
      </w:r>
    </w:p>
    <w:p>
      <w:pPr>
        <w:spacing w:after="0" w:line="11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ASPEN-03 - Head and Neck Squamous Cell Carcinoma</w:t>
      </w:r>
    </w:p>
    <w:p>
      <w:pPr>
        <w:spacing w:after="0" w:line="36" w:lineRule="exact"/>
        <w:rPr>
          <w:sz w:val="20"/>
          <w:szCs w:val="20"/>
          <w:color w:val="auto"/>
        </w:rPr>
      </w:pPr>
    </w:p>
    <w:p>
      <w:pPr>
        <w:ind w:left="1640" w:right="540" w:hanging="509"/>
        <w:spacing w:after="0" w:line="273" w:lineRule="auto"/>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announced the dosing of the first patient in the ASPEN-03 trial, a randomized Phase 2 trial of evorpacept in combination with pembrolizumab for the treatment of first-line advanced PD-L1 positive HNSCC.</w:t>
      </w:r>
    </w:p>
    <w:p>
      <w:pPr>
        <w:spacing w:after="0" w:line="1" w:lineRule="exact"/>
        <w:rPr>
          <w:rFonts w:ascii="Times New Roman" w:cs="Times New Roman" w:eastAsia="Times New Roman" w:hAnsi="Times New Roman"/>
          <w:sz w:val="18"/>
          <w:szCs w:val="18"/>
          <w:color w:val="auto"/>
        </w:rPr>
      </w:pPr>
    </w:p>
    <w:p>
      <w:pPr>
        <w:ind w:left="1640" w:right="80" w:hanging="509"/>
        <w:spacing w:after="0" w:line="282" w:lineRule="auto"/>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FDA granted Fast Track designation for evorpacept in combination with pembrolizumab for first-line treatment of adult patients with metastatic or unresectable, recurrent HNSCC whose tumors express PD-L1.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ASPEN-04 - Head and Neck Squamous Cell Carcinoma</w:t>
      </w:r>
    </w:p>
    <w:p>
      <w:pPr>
        <w:spacing w:after="0" w:line="49" w:lineRule="exact"/>
        <w:rPr>
          <w:rFonts w:ascii="Times New Roman" w:cs="Times New Roman" w:eastAsia="Times New Roman" w:hAnsi="Times New Roman"/>
          <w:sz w:val="18"/>
          <w:szCs w:val="18"/>
          <w:color w:val="auto"/>
        </w:rPr>
      </w:pPr>
    </w:p>
    <w:p>
      <w:pPr>
        <w:ind w:left="1640" w:right="500" w:hanging="509"/>
        <w:spacing w:after="0" w:line="266" w:lineRule="auto"/>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FDA granted Fast Track designation for evorpacept in combination with pembrolizumab, platinum, and fluorouracil for the first-line treatment of adult patients with metastatic or unresectable, recurrent HNSCC.</w:t>
      </w:r>
    </w:p>
    <w:p>
      <w:pPr>
        <w:ind w:left="1640" w:right="560" w:hanging="509"/>
        <w:spacing w:after="0" w:line="282" w:lineRule="auto"/>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we announced the dosing of the first patient in the ASPEN-04 trial, a randomized Phase 2 trial of evorpacept in combination with pembrolizumab, platinum, and fluorouracil for the treatment of first-line advanced HNSCC.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Investigator-Sponsored Trials (ISTs)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anti-cancer antibody or ADC</w:t>
      </w:r>
    </w:p>
    <w:p>
      <w:pPr>
        <w:spacing w:after="0" w:line="11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Pharmaceuticals plc - Breast Cancer</w:t>
      </w:r>
    </w:p>
    <w:p>
      <w:pPr>
        <w:spacing w:after="0" w:line="50" w:lineRule="exact"/>
        <w:rPr>
          <w:sz w:val="20"/>
          <w:szCs w:val="20"/>
          <w:color w:val="auto"/>
        </w:rPr>
      </w:pPr>
    </w:p>
    <w:p>
      <w:pPr>
        <w:ind w:left="1640" w:right="120" w:hanging="509"/>
        <w:spacing w:after="0" w:line="266" w:lineRule="auto"/>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 Jazz Pharmaceuticals plc (Jazz), is sponsoring and managing an ongoing Phase 1 trial of zanidatamab for the treatment of advanced HER2-expressing breast cancer and other solid tumors in combination with evorpacept (Zanidatamab Trial). We announced the dosing of the first patient in this trial in October 2021.</w:t>
      </w:r>
    </w:p>
    <w:p>
      <w:pPr>
        <w:ind w:left="1640" w:right="360" w:hanging="509"/>
        <w:spacing w:after="0" w:line="289" w:lineRule="auto"/>
        <w:tabs>
          <w:tab w:leader="none" w:pos="16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Leap Healthcare Collaborative - I-SPY Trial - Breast Cancer</w:t>
      </w:r>
    </w:p>
    <w:p>
      <w:pPr>
        <w:spacing w:after="0" w:line="36" w:lineRule="exact"/>
        <w:rPr>
          <w:rFonts w:ascii="Times New Roman" w:cs="Times New Roman" w:eastAsia="Times New Roman" w:hAnsi="Times New Roman"/>
          <w:sz w:val="18"/>
          <w:szCs w:val="18"/>
          <w:color w:val="auto"/>
        </w:rPr>
      </w:pPr>
    </w:p>
    <w:p>
      <w:pPr>
        <w:ind w:left="1640" w:hanging="509"/>
        <w:spacing w:after="0" w:line="266" w:lineRule="auto"/>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 Quantum Leap Healthcare Collaborative (Quantum Leap),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Anderson Cancer Center - Non-Hodgkin Lymphoma</w:t>
      </w:r>
    </w:p>
    <w:p>
      <w:pPr>
        <w:spacing w:after="0" w:line="49" w:lineRule="exact"/>
        <w:rPr>
          <w:rFonts w:ascii="Times New Roman" w:cs="Times New Roman" w:eastAsia="Times New Roman" w:hAnsi="Times New Roman"/>
          <w:sz w:val="18"/>
          <w:szCs w:val="18"/>
          <w:color w:val="auto"/>
        </w:rPr>
      </w:pPr>
    </w:p>
    <w:p>
      <w:pPr>
        <w:ind w:left="1640" w:right="140" w:hanging="509"/>
        <w:spacing w:after="0" w:line="260" w:lineRule="auto"/>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an IST of evorpacept was initiated in combination with rituximab and lenalidomide for the treatment of patients with indolent and aggressive NHL, sponsored by MD Anderson Cancer Center in Texas. We announced the dosing of the first patient in September 2021.</w:t>
      </w:r>
    </w:p>
    <w:p>
      <w:pPr>
        <w:spacing w:after="0" w:line="2" w:lineRule="exact"/>
        <w:rPr>
          <w:rFonts w:ascii="Times New Roman" w:cs="Times New Roman" w:eastAsia="Times New Roman" w:hAnsi="Times New Roman"/>
          <w:sz w:val="18"/>
          <w:szCs w:val="18"/>
          <w:color w:val="auto"/>
        </w:rPr>
      </w:pPr>
    </w:p>
    <w:p>
      <w:pPr>
        <w:ind w:left="1640" w:right="180" w:hanging="509"/>
        <w:spacing w:after="0" w:line="239" w:lineRule="auto"/>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MD Anderson Cancer Center reported clinical data from the ongoing Phase 1/2 IST of evorpacept in combination with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patients with R/R B-NHL. The new data were presented in an oral presentation at the 2024 American Association for Cancer Research (“AACR”) Annual Meeting. The clinical trial enrolled a total of 20 patients with indolent (n=18) and aggressive (n=2) R/R B-NHL where all patients had received prior rituximab and 72% had received prior chemoimmunotherapy. Patients received evorpacept 30 mg/kg Q2W (n=3) or 60 mg/kg Q4W (n=17) in combination with standard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treatment. The regimen was well tolerated, and there were no dose-limiting toxicities. Patients with indolent R/R B-NHL (n=18) had a best ORR of 94% and a CRR of 83%. The median duration of response was not reached.</w:t>
      </w:r>
    </w:p>
    <w:p>
      <w:pPr>
        <w:spacing w:after="0" w:line="9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 Multiple Myeloma</w:t>
      </w:r>
    </w:p>
    <w:p>
      <w:pPr>
        <w:spacing w:after="0" w:line="49"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announced a collaboration with Sanofi who will sponsor and manage a Phase 1/2 trial of isatuximab and</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dexamethasone in combination with evorpacept for the treatment of patients with relapsed or refractory multiple myeloma.</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anti-cancer antibody and PD-1/PD-L1 immune checkpoint inhibitor</w:t>
      </w:r>
    </w:p>
    <w:p>
      <w:pPr>
        <w:spacing w:after="0" w:line="11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Gastrointestinal Cancer Consortium - Colorectal Cancer</w:t>
      </w:r>
    </w:p>
    <w:p>
      <w:pPr>
        <w:spacing w:after="0" w:line="50" w:lineRule="exact"/>
        <w:rPr>
          <w:sz w:val="20"/>
          <w:szCs w:val="20"/>
          <w:color w:val="auto"/>
        </w:rPr>
      </w:pPr>
    </w:p>
    <w:p>
      <w:pPr>
        <w:ind w:left="1640" w:right="100" w:hanging="509"/>
        <w:spacing w:after="0" w:line="26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PD-1/PD-L1 immune checkpoint inhibitor</w:t>
      </w:r>
    </w:p>
    <w:p>
      <w:pPr>
        <w:spacing w:after="0" w:line="11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of Pittsburgh - Ovarian Cancer</w:t>
      </w:r>
    </w:p>
    <w:p>
      <w:pPr>
        <w:spacing w:after="0" w:line="36" w:lineRule="exact"/>
        <w:rPr>
          <w:sz w:val="20"/>
          <w:szCs w:val="20"/>
          <w:color w:val="auto"/>
        </w:rPr>
      </w:pPr>
    </w:p>
    <w:p>
      <w:pPr>
        <w:ind w:left="1640" w:right="100" w:hanging="509"/>
        <w:spacing w:after="0" w:line="266"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Pipeline Programs</w:t>
      </w:r>
    </w:p>
    <w:p>
      <w:pPr>
        <w:spacing w:after="0" w:line="12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Tallac Therapeutics - ALTA-002</w:t>
      </w:r>
    </w:p>
    <w:p>
      <w:pPr>
        <w:spacing w:after="0" w:line="50" w:lineRule="exact"/>
        <w:rPr>
          <w:sz w:val="20"/>
          <w:szCs w:val="20"/>
          <w:color w:val="auto"/>
        </w:rPr>
      </w:pPr>
    </w:p>
    <w:p>
      <w:pPr>
        <w:ind w:left="1640" w:right="100" w:hanging="509"/>
        <w:spacing w:after="0" w:line="261"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spacing w:after="0" w:line="4" w:lineRule="exact"/>
        <w:rPr>
          <w:rFonts w:ascii="Times New Roman" w:cs="Times New Roman" w:eastAsia="Times New Roman" w:hAnsi="Times New Roman"/>
          <w:sz w:val="18"/>
          <w:szCs w:val="18"/>
          <w:color w:val="auto"/>
        </w:rPr>
      </w:pPr>
    </w:p>
    <w:p>
      <w:pPr>
        <w:ind w:left="1640" w:right="260" w:hanging="509"/>
        <w:spacing w:after="0" w:line="282"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filed an investigative new drug (“IND”) application for ALTA-002 and in March 2024, the FDA cleared the IND to evaluate ALTA-002 in a Phase 1 clinical trial for patients with advanced solid tumors.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ADC Program</w:t>
      </w:r>
    </w:p>
    <w:p>
      <w:pPr>
        <w:spacing w:after="0" w:line="36" w:lineRule="exact"/>
        <w:rPr>
          <w:rFonts w:ascii="Times New Roman" w:cs="Times New Roman" w:eastAsia="Times New Roman" w:hAnsi="Times New Roman"/>
          <w:sz w:val="18"/>
          <w:szCs w:val="18"/>
          <w:color w:val="auto"/>
        </w:rPr>
      </w:pPr>
    </w:p>
    <w:p>
      <w:pPr>
        <w:ind w:left="1640" w:right="640" w:hanging="509"/>
        <w:spacing w:after="0" w:line="273"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acquisition of ScalmiBio, Inc. (ScalmiBio) in October 2021, we are developing ADC drug candidates based on our expertise in protein engineering and oncology.</w:t>
      </w:r>
    </w:p>
    <w:p>
      <w:pPr>
        <w:spacing w:after="0" w:line="1" w:lineRule="exact"/>
        <w:rPr>
          <w:rFonts w:ascii="Times New Roman" w:cs="Times New Roman" w:eastAsia="Times New Roman" w:hAnsi="Times New Roman"/>
          <w:sz w:val="18"/>
          <w:szCs w:val="18"/>
          <w:color w:val="auto"/>
        </w:rPr>
      </w:pPr>
    </w:p>
    <w:p>
      <w:pPr>
        <w:ind w:left="1640" w:right="520" w:hanging="509"/>
        <w:spacing w:after="0" w:line="282"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declared a development candidate based on ScalmiBio acquired technology, triggering the first milestone payment to ScalmiBio stockholders.</w:t>
      </w:r>
    </w:p>
    <w:p>
      <w:pPr>
        <w:spacing w:after="0" w:line="10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3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2022, we filed a universal shelf registration statement (Shelf Registration Statement), which provides for aggregate offerings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million of the Company’s securities. In May 2022, we filed an amendment to the Shelf Registration Statement, which was declared effective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(SEC) on May 31, 2022. We believe that our Shelf Registration Statement provides us with flexibility to raise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capital to finance our operations as needed. In December 2021, we entered into a sales agreement (as amended, Sales Agreement) with Cantor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Fitzgerald &amp; Co. and Credit Suisse Securities (USA) LLC (Credit Suisse), under which we may, subject to the effectiveness of the Shelf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offer and sell our common stock, having aggregate gross proceeds of up to $150.0 million, from time to time through them as our sales agents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at-the-market (ATM) offering. In August 2023, we entered into an amendment to the Sales Agreement to include UBS Securities LLC as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 and to remove Credit Suisse as a sales agent. As of March 31, 2024, we had issued approximately 211,819 shares of common stock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for net proceeds of $3.0 million. Subsequent to March 31, 2024, we have sold 1,794,091 shares of common stock pursuant to the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for approximately $26.2 million in net proceeds. We may terminate this ATM program at any time, pursuant to its terms.</w:t>
      </w:r>
    </w:p>
    <w:p>
      <w:pPr>
        <w:spacing w:after="0" w:line="99"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In October 2022, we entered into a loan and security agreement (Loan Agreement) with Oxford Finance LLC, Oxford Finance Credit Fund II LP, and Silicon Valley Bank (SVB) (collectively,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2" w:name="page23"/>
    <w:bookmarkEnd w:id="22"/>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SVB’s obligations under the Loan Agreement.</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From inception through March 31, 2024, we have raised an aggregate of $616.5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$9.3 million were net proceeds from borrowings under the Loan Agreement, $58.9 million were net proceeds from our follow-on offering in October 2023, and $3.0 million were net proceeds from our ATM offering.</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$35.6 million and $30.2 million for the three months ended March 31, 2024 and 2023, respectively. As of March 31, 2024, we had an accumulated deficit of $521.9 million. Substantially all of our operating losses are a result of expenses incurred in connection with our research and development programs, primarily evorpacept, and from general and administrative expenses associated with our operations.</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evorpacept through multiple clinical trials in multiple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of evorpacept in solid tumors and hematological malignancies;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discovery and preclinical and clinical development efforts, including our collaborations with Sanofi, Tallac, Jazz, and Quantum Leap and our acquisition of ScalmiBio;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supplies for our preclinical studies and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operational, financial and management information systems to support ongoing operations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lead product candidate, evorpacept, which include:</w:t>
      </w:r>
    </w:p>
    <w:p>
      <w:pPr>
        <w:spacing w:after="0" w:line="54" w:lineRule="exact"/>
        <w:rPr>
          <w:sz w:val="20"/>
          <w:szCs w:val="20"/>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preclinical and clinical development, including expenses incurred under collaboration agreements and under agreements with contract research organizations, or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expenses for employees engaged in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research and development functions;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production of clinical materials, including fees paid to contract manufacturing organizations, or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vendor expenses and third-party drugs related to the execution of preclinical studies and clinical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expenses, which include expenses for rent and maintenance of facilities, depreciation and amortization expense and other supplies;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related to our ScalmiBio acquisition.</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9 to our unaudited condensed consolidated financial statements appearing elsewhere in this Quarterly Report on Form 10-Q.</w:t>
      </w:r>
    </w:p>
    <w:p>
      <w:pPr>
        <w:spacing w:after="0" w:line="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agreements with clinical trial sites or CROs;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including, if necessary, litigation;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interest income consists primarily of interest income on cash, cash equivalents and short-term and long-term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interest expense consists primarily of interest expense on the term loan, amortization of deferred debt issuance costs, and interest related to finance leases.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other income (expense), net consists primarily of realized foreign currency transaction gains and losses and other income from an immaterial service contract.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3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(1,395 )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4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6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6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(37,762 )</w:t>
            </w:r>
          </w:p>
        </w:tc>
        <w:tc>
          <w:tcPr>
            <w:tcW w:w="38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(32,203 )</w:t>
            </w:r>
          </w:p>
        </w:tc>
        <w:tc>
          <w:tcPr>
            <w:tcW w:w="38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(5,559 )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(427 )</w:t>
            </w:r>
          </w:p>
        </w:tc>
        <w:tc>
          <w:tcPr>
            <w:tcW w:w="380" w:type="dxa"/>
            <w:vAlign w:val="bottom"/>
          </w:tcPr>
          <w:p>
            <w:pPr>
              <w:spacing w:after="0"/>
              <w:rPr>
                <w:sz w:val="21"/>
                <w:szCs w:val="21"/>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(387 )</w:t>
            </w:r>
          </w:p>
        </w:tc>
        <w:tc>
          <w:tcPr>
            <w:tcW w:w="38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(40 )</w:t>
            </w: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(14 )</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(109 )</w:t>
            </w: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(R&amp;D) expenses incurred for the three months ended March 31,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6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12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costs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costs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7"/>
        </w:trPr>
        <w:tc>
          <w:tcPr>
            <w:tcW w:w="4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640" w:type="dxa"/>
            <w:vAlign w:val="bottom"/>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300" w:type="dxa"/>
            <w:vAlign w:val="bottom"/>
          </w:tcPr>
          <w:p>
            <w:pPr>
              <w:spacing w:after="0"/>
              <w:rPr>
                <w:sz w:val="20"/>
                <w:szCs w:val="20"/>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R&amp;D expenses increased by $7.0 million during the three months ended March 31, 2024 compared to the three months ended March 31, 2023. The increase was primarily attributable to (i) an increase of $2.8 million in clinical and development costs primarily due to $2.9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(ii) an increase of $1.0 million in personnel and related costs primarily driven by headcount growth, (iii) an increase of $1.8 million in stock-based compensation expense of which $1.2 million was due to a reclassification of stock-based compensation from G&amp;A to R&amp;D because of the change in roles for our former Chief Executive Officer who transitioned to Chief Scientific Officer in September 2023 and the remaining amount was due to additional awards granted since March 31, 2023, and (iv) an increase of $1.4 million in other research costs of which $1.0 million was due to a development milestone payment to ScalmiBio stockholders and $0.2 million was due to additional VAT fees related to companion drugs purchased for use in our clinical trials.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general and administrative (G&amp;A) expenses incurred for the three months ended March 31,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6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640" w:type="dxa"/>
            <w:vAlign w:val="bottom"/>
            <w:vMerge w:val="continue"/>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(1,395 )</w:t>
            </w:r>
          </w:p>
        </w:tc>
        <w:tc>
          <w:tcPr>
            <w:tcW w:w="4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G&amp;A expenses decreased by $1.4 million during the three months ended March 31, 2024 compared to the three months ended March 31, 2023. The decrease was primarily attributable to (i) a decrease of $1.1 million in stock-based compensation expense primarily due to a reclassification of stock-based compensation from G&amp;A to R&amp;D as described above under R&amp;D expenses, (ii) a decrease of $0.1 million in other G&amp;A costs from a reduction in corporate insurance due to lower premiums, and (iii) a decrease of $0.1 million in personnel and related costs primarily driven by terminations in the current quarter and in the fourth quarter of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by $0.3 million for the three months ended March 31, 2024 compared to the three months ended March 31, 2023. The increase was primarily attributable to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remained flat for the three months ended March 31, 2024 compared to the three months ended March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by $0.1 million for the three months ended March 31, 2024 compared to the three months ended March 31, 2023. The decrease was primarily attributable to absence in the current period of other income from an immaterial service contract, under which the Company provides R&amp;D services for another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March 31, 2024, we had cash, cash equivalents and short-term and long-term investments of $184.5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and anticipate that we will continue to incur net losses for the foreseeable future. As of March 31, 2024, we had an accumulated deficit of $521.9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7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clinical supply for our clinical trials and, if any of our product candidates are approved,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retention of key research and development personnel;</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financial and information management systems, and hire additional personnel, including personnel to support development of our product candidates;</w:t>
      </w: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26" w:name="page27"/>
    <w:bookmarkEnd w:id="26"/>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patent costs involved in prosecuting patent applications and enforcing patent claims and other intellectual property claims;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and royalty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inflation, economic downturns, disasters, and medical or public health crises;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outbreaks or public health crises, such as the COVID-19 pandemic, bank failures or instability in the financial services sector, or geopolitical risks, which may exacerbate the magnitude of the factors discussed above.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December 2021, we entered into the Sales Agreement with Cantor Fitzgerald &amp; Co. and Credit Suisse Securities (USA) LLC, under which we may offer and sell our common stock, having aggregate gross proceeds of up to $150.0 million, from time to time through them as our sales agents in our ATM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During the quarter ended March 31, 2024, we sold an aggregate of 211,819 shares of common stock under our Sales Agreement for net proceeds of $3.0 million, after deducting commissions. Subsequent to March 31, 2024, we have sold an additional 1,794,091 shares of common stock pursuant to the Sales Agreement for approximately $26.2 million in net proceeds. We may terminate this ATM program and the Sales Agreement at any time, pursuant to its terms.</w:t>
      </w:r>
    </w:p>
    <w:p>
      <w:pPr>
        <w:spacing w:after="0" w:line="84"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In October 2022, we entered into the Loan Agreement as described above.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short-term and long-term investments, and recent use of the ATM program along with the ability to draw down an additional $40 million of our term loan at our discretion will enable us to fund our operating expenses and capital expenditure requirements into the first quarter of 2026. We have based these estimates on assumptions in which actuals may materially differ, and we could utilize our available capital resources sooner than we expect.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net cash flow activity for the three months ended March 31, 2024 and 2023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29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4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4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(37,924 )</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(27,816 )</w:t>
            </w: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100" w:type="dxa"/>
            <w:vAlign w:val="bottom"/>
            <w:shd w:val="clear" w:color="auto" w:fill="CFF0FC"/>
          </w:tcPr>
          <w:p>
            <w:pPr>
              <w:spacing w:after="0"/>
              <w:rPr>
                <w:sz w:val="21"/>
                <w:szCs w:val="2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r>
      <w:tr>
        <w:trPr>
          <w:trHeight w:val="20"/>
        </w:trPr>
        <w:tc>
          <w:tcPr>
            <w:tcW w:w="6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(8,365 )</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00" w:type="dxa"/>
            <w:vAlign w:val="bottom"/>
            <w:shd w:val="clear" w:color="auto" w:fill="CFF0FC"/>
          </w:tcPr>
          <w:p>
            <w:pPr>
              <w:spacing w:after="0"/>
              <w:rPr>
                <w:sz w:val="22"/>
                <w:szCs w:val="22"/>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2024, net cash used in operating activities of $37.9 million was attributable to a net loss of $35.6 million and a change in our net operating assets and liabilities of $8.6 million, offset by non-cash charges of $6.2 million. The change in operating assets and liabilities was primarily due to (i) a decrease in accounts payable and accrued expenses and other current liabilities of $3.6 million primarily due to timing of invoices and payments, (ii) a decrease in other assets of $0.1 million, (iii) an increase in prepaid and other current assets of $4.5 million and (iv) a decrease in other non-current liabilities of $0.6 million. Non-cash charges consisted primarily of stock-based compensation expense of $7.0 million, non-cash lease costs of $0.4 million, and depreciation and amortization costs of $0.2 million offset by net amortization of premiums and accretion of discounts on investments of $1.6 million.</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three months ended March 31, 2023, net cash used in operating activities of $27.8 million was attributable to a net loss of $30.2 million and a change in net operating assets and liabilities of $3.4 million, offset by non-cash charges of $5.8 million. The change in operating assets and liabilities was primarily due to (i) a decrease in accounts payable and accrued expenses and other current liabilities of $4.6 million primarily due to timing of invoices and payments, (ii) a decrease in other assets of $1.2 million, (iii) a decrease in prepaid and other current assets of $0.2 million and (iv) a decrease in other non-current liabilities of $0.2 million. Non-cash charges consisted primarily of stock-based compensation expense of $6.4 million and non-cash lease costs of $0.3 million offset by net amortization of premiums and accretion of discounts on investments of $1.1 million.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2024, net cash provided by investing activities of $26.5 million was attributable to cash received for maturities of investments of $57.9 million offset by purchases of short-term and long-term investments of $31.3 million and purchases of property and equipment of $0.1 million.</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2023, net cash provided by investing activities of $42.3 million was attributable to cash received for maturities of investments of $115.2 million offset by purchases of short-term and long-term investments of $72.2 million and purchases of property and equipment of $0.7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2024, net cash provided by financing activities of $3.1 million was attributable to proceeds from our ATM offering program of $3.0 million and proceeds from the exercise of stock options under equity incentive plans of $0.2 million offset by principal payments on finance leases of $0.2 million.</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2023, net cash used in financing activities was $0.1 million attributable to principal payments on finance leases of $0.1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period presented, we did not have, nor do we currently have, any off-balance sheet arrangements, as defined in the rules and regulations of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2023. During the three months ended March 31, 2024, there were no material changes to our critical accounting policies and estimates from those discussed in the Company’s Annual Report on Form 10-K for the year ended December 31, 2023 filed with the SEC on March 7,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 Recent Accounting Pronouncements”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we had cash, cash equivalents and investments of $184.5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75"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As of March 31, 2024,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had exposure to loss as a result of SVB’s receivership.</w:t>
      </w:r>
    </w:p>
    <w:p>
      <w:pPr>
        <w:spacing w:after="0" w:line="81" w:lineRule="exact"/>
        <w:rPr>
          <w:sz w:val="20"/>
          <w:szCs w:val="20"/>
          <w:color w:val="auto"/>
        </w:rPr>
      </w:pPr>
    </w:p>
    <w:p>
      <w:pPr>
        <w:ind w:right="660" w:firstLine="509"/>
        <w:spacing w:after="0" w:line="375" w:lineRule="auto"/>
        <w:rPr>
          <w:sz w:val="20"/>
          <w:szCs w:val="20"/>
          <w:color w:val="auto"/>
        </w:rPr>
      </w:pPr>
      <w:r>
        <w:rPr>
          <w:rFonts w:ascii="Times New Roman" w:cs="Times New Roman" w:eastAsia="Times New Roman" w:hAnsi="Times New Roman"/>
          <w:sz w:val="18"/>
          <w:szCs w:val="18"/>
          <w:color w:val="auto"/>
        </w:rPr>
        <w:t xml:space="preserve">During the periods presented, the Company has not experienced any realized losses on its deposits of cash, cash equivalents or investments. </w:t>
      </w:r>
      <w:r>
        <w:rPr>
          <w:rFonts w:ascii="Times New Roman" w:cs="Times New Roman" w:eastAsia="Times New Roman" w:hAnsi="Times New Roman"/>
          <w:sz w:val="18"/>
          <w:szCs w:val="18"/>
          <w:b w:val="1"/>
          <w:bCs w:val="1"/>
          <w:i w:val="1"/>
          <w:iCs w:val="1"/>
          <w:color w:val="auto"/>
        </w:rPr>
        <w:t>Foreign Currency Risk</w:t>
      </w:r>
    </w:p>
    <w:p>
      <w:pPr>
        <w:spacing w:after="0" w:line="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2024.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2024 that materially affected, or are reasonably likely to materially affect,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51" w:lineRule="exact"/>
        <w:rPr>
          <w:sz w:val="20"/>
          <w:szCs w:val="20"/>
          <w:color w:val="auto"/>
        </w:rPr>
      </w:pPr>
    </w:p>
    <w:p>
      <w:pPr>
        <w:ind w:left="1020" w:right="5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such capital may not be available to us when needed or may only be available on terms that are unfavorable to us;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 products approved for commercial sale, and have not generated any revenue from product sales, licenses or collaborations;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evorpacept, also known as ALX 148, which is in clinical development and which has not completed a pivotal trial;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significant adverse events or other undesirable side effects when used alone or in combination with other treatments;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and other intellectual property for our product candidates and related technology, our business could be materially harmed;</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our debt and compliance with the terms of our loan agreement could restrict our ability to operate our business;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outbreaks or public health crises, such as the COVID-19 pandemic, geopolitical unrest related to Russia’s war with Ukraine, and war and instability in Israel and the surrounding region could adversely impact our business including our ongoing and planned clinical trials and preclinical research;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material weaknesses in our internal control over financial reporting, and if we are unable to implement and maintain effective internal control over financial reporting in the future, investors may lose confidence in our financial reports.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$35.6 million and $30.2 million for the three months ended March 31, 2024 and 2023, respectively. As of March 31, 2024, we had an accumulated deficit of $521.9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we had cash, cash equivalents and investments of $184.5 million. Based on our current operating plan, we believe that our existing cash, cash equivalents, investments, and ability to draw down an additional $40 million of our term loan at our discretion, will be sufficient to fund our operations into early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72" w:lineRule="exact"/>
        <w:rPr>
          <w:sz w:val="20"/>
          <w:szCs w:val="20"/>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lead product candidate, evorpacept, and our other future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evorpacept and our other future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67" w:lineRule="exact"/>
        <w:rPr>
          <w:rFonts w:ascii="Times New Roman" w:cs="Times New Roman" w:eastAsia="Times New Roman" w:hAnsi="Times New Roman"/>
          <w:sz w:val="18"/>
          <w:szCs w:val="18"/>
          <w:color w:val="auto"/>
        </w:rPr>
      </w:pPr>
    </w:p>
    <w:p>
      <w:pPr>
        <w:ind w:left="1020" w:right="220" w:hanging="503"/>
        <w:spacing w:after="0" w:line="276"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approved;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ind w:left="1020" w:right="3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evorpacept and any future product candidates as viable treatment options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our licensed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to develop, manufacture or commercialize our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6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2022, we entered into the Loan Agreement, most recently amended in December 2023, under which we have borrowed $10.0 million and we have access to draw an additional $40.0 million through June 2024 under certain conditions.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spacing w:after="0" w:line="8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spacing w:after="0" w:line="68"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NHL,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7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or enroll subjects on time or whether our ongoing and/or future clinical trials will be completed on schedule or at all. Clinical trials can be delayed for a variety of reasons, including delays related to:</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necessary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subjects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clinical trial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site or trial subjects withdrawing or dropping out of clinical trials at a higher rate than anticipated;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due to outbreaks or public health crises, such as the COVID-19 pandemic, that impact both trial site operations, subject selection and participation;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are greater than anticipated;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68" w:lineRule="exact"/>
        <w:rPr>
          <w:sz w:val="20"/>
          <w:szCs w:val="20"/>
          <w:color w:val="auto"/>
        </w:rPr>
      </w:pPr>
    </w:p>
    <w:p>
      <w:pPr>
        <w:ind w:right="720" w:firstLine="509"/>
        <w:spacing w:after="0" w:line="261"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safety and efficacy sufficient to obtain marketing approval of our product candidates or to market our drugs after any such approval.</w:t>
      </w: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7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7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 by us and the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of clinical trial sites to prospective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subjects enrolled in clinical trials dropping out before completion;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in enrollment of subjects due to a variety of reasons, including outbreaks and public health crises, such as the COVID-19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appropriately enroll an ethnically and racially diverse patient population representative of the target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adverse effects related to our product candidates.</w:t>
      </w:r>
    </w:p>
    <w:p>
      <w:pPr>
        <w:spacing w:after="0" w:line="11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7" w:name="page38"/>
    <w:bookmarkEnd w:id="37"/>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such as our October 2023 announcement of interim Phase 2 ASPEN-06 clinical trial results of evorpacept for the treatment of advanced HER2-Positive gastric cancer.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7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6"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17" w:lineRule="exact"/>
        <w:rPr>
          <w:rFonts w:ascii="Times New Roman" w:cs="Times New Roman" w:eastAsia="Times New Roman" w:hAnsi="Times New Roman"/>
          <w:sz w:val="18"/>
          <w:szCs w:val="18"/>
          <w:color w:val="auto"/>
        </w:rPr>
      </w:pPr>
    </w:p>
    <w:p>
      <w:pPr>
        <w:ind w:left="5540" w:right="1720" w:hanging="5023"/>
        <w:spacing w:after="0" w:line="282" w:lineRule="auto"/>
        <w:tabs>
          <w:tab w:leader="none" w:pos="10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1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of these sanctions, enforcement actions or penalties described above may inhibit our ability to commercialize our product candidates, even if approved, and generate revenue.</w:t>
      </w:r>
    </w:p>
    <w:p>
      <w:pPr>
        <w:spacing w:after="0" w:line="5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p>
    <w:p>
      <w:pPr>
        <w:spacing w:after="0" w:line="6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Tallac Services Agreement terminates in June 2024. When our services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jc w:val="both"/>
        <w:ind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6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modifications in the methods of product candidate manufacturing or formulation may result in additional costs or delay.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2" w:name="page43"/>
    <w:bookmarkEnd w:id="42"/>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7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business also may be implicated if any of our CROs violates fraud and abuse or false claims laws and regulations or healthcare privacy and security laws.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72" w:lineRule="exact"/>
        <w:rPr>
          <w:sz w:val="20"/>
          <w:szCs w:val="20"/>
          <w:color w:val="auto"/>
        </w:rPr>
      </w:pPr>
    </w:p>
    <w:p>
      <w:pPr>
        <w:ind w:left="1020" w:right="5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evorpacept and our other product candidates to treat cancer or other applicable targeted diseases, as compared with other available drugs, treatments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evorpacept and our other product candidates;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3" w:name="page44"/>
    <w:bookmarkEnd w:id="43"/>
    <w:p>
      <w:pPr>
        <w:ind w:left="1020" w:right="1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evorpacept or our other product candidates by the FDA or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and 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and the willingness of patients to pay out-of-pocket in the absence of third-party coverage;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or any foreign regulatory authority may impose additional requirements that limit the promotion, advertising, distribution or sales of our product candidates.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patients, physicians and/or third-party payors, we may not generate sufficient revenue to become or remain profitable and our business may be harmed.</w:t>
      </w:r>
    </w:p>
    <w:p>
      <w:pPr>
        <w:spacing w:after="0" w:line="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86"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the product candidates we develop, if approved, may be limited to certain smaller patient subsets.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spacing w:after="0" w:line="6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if we or others later identify undesirable or unacceptable side effects caused by such products:</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contraindication, precaution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5" w:name="page46"/>
    <w:bookmarkEnd w:id="45"/>
    <w:p>
      <w:pPr>
        <w:ind w:firstLine="509"/>
        <w:spacing w:after="0" w:line="256"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8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seizure or detention, or refusal to permit the import or export of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firstLine="509"/>
        <w:spacing w:after="0" w:line="258"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potency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comparable international regulatory authorities that a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international foreign regulatory authorities may significantly change in a manner rendering</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clinical data insufficient for approval.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5"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drugs,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w:t>
      </w:r>
    </w:p>
    <w:p>
      <w:pPr>
        <w:spacing w:after="0" w:line="84"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9" w:name="page50"/>
    <w:bookmarkEnd w:id="49"/>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86" w:lineRule="exact"/>
        <w:rPr>
          <w:sz w:val="20"/>
          <w:szCs w:val="20"/>
          <w:color w:val="auto"/>
        </w:rPr>
      </w:pPr>
    </w:p>
    <w:p>
      <w:pPr>
        <w:ind w:left="1020" w:right="40" w:hanging="503"/>
        <w:spacing w:after="0" w:line="25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w:t>
      </w:r>
    </w:p>
    <w:p>
      <w:pPr>
        <w:spacing w:after="0" w:line="79" w:lineRule="exact"/>
        <w:rPr>
          <w:rFonts w:ascii="Times New Roman" w:cs="Times New Roman" w:eastAsia="Times New Roman" w:hAnsi="Times New Roman"/>
          <w:sz w:val="18"/>
          <w:szCs w:val="18"/>
          <w:color w:val="auto"/>
        </w:rPr>
      </w:pPr>
    </w:p>
    <w:p>
      <w:pPr>
        <w:ind w:left="1020" w:right="200" w:hanging="503"/>
        <w:spacing w:after="0" w:line="258"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auto"/>
        </w:rPr>
      </w:pPr>
    </w:p>
    <w:p>
      <w:pPr>
        <w:ind w:left="1040" w:right="80" w:hanging="517"/>
        <w:spacing w:after="0" w:line="258"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40" w:hanging="517"/>
        <w:spacing w:after="0" w:line="254"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Times New Roman" w:cs="Times New Roman" w:eastAsia="Times New Roman" w:hAnsi="Times New Roman"/>
          <w:sz w:val="18"/>
          <w:szCs w:val="18"/>
          <w:color w:val="auto"/>
        </w:rPr>
      </w:pPr>
    </w:p>
    <w:p>
      <w:pPr>
        <w:ind w:left="1040" w:hanging="517"/>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prohibits, among other things, the adulteration or misbranding of drugs, biologics and</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medical devices.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1" w:name="page52"/>
    <w:bookmarkEnd w:id="51"/>
    <w:p>
      <w:pPr>
        <w:ind w:left="1040" w:right="80" w:hanging="517"/>
        <w:spacing w:after="0" w:line="25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40" w:right="200" w:hanging="517"/>
        <w:spacing w:after="0" w:line="25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79"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0"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also impose legal requirements, including reporting requirements detailing interactions with and payments to healthcare providers.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3" w:name="page54"/>
    <w:bookmarkEnd w:id="53"/>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68" w:lineRule="exact"/>
        <w:rPr>
          <w:sz w:val="20"/>
          <w:szCs w:val="20"/>
          <w:color w:val="auto"/>
        </w:rPr>
      </w:pPr>
    </w:p>
    <w:p>
      <w:pPr>
        <w:ind w:right="840" w:firstLine="509"/>
        <w:spacing w:after="0" w:line="261" w:lineRule="auto"/>
        <w:rPr>
          <w:sz w:val="20"/>
          <w:szCs w:val="20"/>
          <w:color w:val="auto"/>
        </w:rPr>
      </w:pPr>
      <w:r>
        <w:rPr>
          <w:rFonts w:ascii="Times New Roman" w:cs="Times New Roman" w:eastAsia="Times New Roman" w:hAnsi="Times New Roman"/>
          <w:sz w:val="18"/>
          <w:szCs w:val="18"/>
          <w:color w:val="auto"/>
        </w:rPr>
        <w:t>The GDPR, UK GDPR and FADP also restrict the transfer of personal information outside of the EEA, United Kingdom and Switzerland respectively, unless appropriate safeguards are in place.</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One of the primary safeguards, the Standard Contractual Clauses adopted by the European Commission, has been recently updated. With regard to data transfers outside of the EEA to the United States, in March 2022, the European Union and United States announced a political agreement on a new framework for personal information transfers, the EU-U.S. Data Privacy Framework, or the EU-U.S. DPF.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While we believe we are currently compliant with the new Standard Contractual Clauses, the data transfers enforcement landscape and the EU-U.S. DPF’s longer term stability remain uncertain, which could increase our compliance costs.</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Other states are beginning to consider and pass similar laws, including laws enacted in Colorado, Connecticut, Delaware, Florida, Indiana, Iowa, Montana, Oregon,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opposition or derivation proceedings challenging our patent rights or the patent rights of others.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pending application in Russia, one granted patent in Eurasia, and one pending application in Eurasia.</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80" w:lineRule="exact"/>
        <w:rPr>
          <w:sz w:val="20"/>
          <w:szCs w:val="20"/>
          <w:color w:val="auto"/>
        </w:rPr>
      </w:pPr>
    </w:p>
    <w:p>
      <w:pPr>
        <w:jc w:val="both"/>
        <w:ind w:right="120" w:firstLine="509"/>
        <w:spacing w:after="0" w:line="254"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via post-grant reviews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73"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 candidates could be found invalid or unenforceable if challenged.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protection, prosecution, assertion and defense for some of our product candidates may be dependent on third parties.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84"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time-consuming and unsuccessful.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54"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to enforce our patent and trade secret rights;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operate without infringing the patents and other proprietary rights of third parties.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7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A date for the appeal hearing has not yet been announced.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w:t>
      </w:r>
    </w:p>
    <w:p>
      <w:pPr>
        <w:spacing w:after="0" w:line="11" w:lineRule="exact"/>
        <w:rPr>
          <w:sz w:val="20"/>
          <w:szCs w:val="20"/>
          <w:color w:val="auto"/>
        </w:rPr>
      </w:pPr>
    </w:p>
    <w:p>
      <w:pPr>
        <w:ind w:right="120" w:firstLine="8"/>
        <w:spacing w:after="0" w:line="252"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1" w:name="page62"/>
    <w:bookmarkEnd w:id="61"/>
    <w:p>
      <w:pPr>
        <w:ind w:firstLine="509"/>
        <w:spacing w:after="0" w:line="266" w:lineRule="auto"/>
        <w:rPr>
          <w:sz w:val="20"/>
          <w:szCs w:val="20"/>
          <w:color w:val="auto"/>
        </w:rPr>
      </w:pPr>
      <w:r>
        <w:rPr>
          <w:rFonts w:ascii="Times New Roman" w:cs="Times New Roman" w:eastAsia="Times New Roman" w:hAnsi="Times New Roman"/>
          <w:sz w:val="18"/>
          <w:szCs w:val="18"/>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1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may be subject, in part, to the terms and conditions of agreements with others.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8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option or license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collaborator that is not subject to the option or license rights granted under the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collaborators and us and our other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we had 74 employees, including 61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evorpacept and any other future product candidates, while complying with applicable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updating our operational, financial and management controls, reporting systems and procedures.</w:t>
      </w:r>
    </w:p>
    <w:p>
      <w:pPr>
        <w:spacing w:after="0" w:line="11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p>
    <w:p>
      <w:pPr>
        <w:spacing w:after="0" w:line="72"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p>
    <w:p>
      <w:pPr>
        <w:spacing w:after="0" w:line="6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technology, which makes it difficult to predict the time and cost of product candidate development.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ind w:firstLine="509"/>
        <w:spacing w:after="0" w:line="253" w:lineRule="auto"/>
        <w:rPr>
          <w:sz w:val="20"/>
          <w:szCs w:val="20"/>
          <w:color w:val="auto"/>
        </w:rPr>
      </w:pPr>
      <w:r>
        <w:rPr>
          <w:rFonts w:ascii="Times New Roman" w:cs="Times New Roman" w:eastAsia="Times New Roman" w:hAnsi="Times New Roman"/>
          <w:sz w:val="18"/>
          <w:szCs w:val="18"/>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9" w:lineRule="exact"/>
        <w:rPr>
          <w:sz w:val="20"/>
          <w:szCs w:val="20"/>
          <w:color w:val="auto"/>
        </w:rPr>
      </w:pPr>
    </w:p>
    <w:p>
      <w:pPr>
        <w:ind w:left="1020" w:right="28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and maintain regulatory approvals for the use of our products in various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including as a result of potentially relevant third-party patent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drugs;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5" w:name="page66"/>
    <w:bookmarkEnd w:id="65"/>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a fire, an earthquake or a flood, or outbreaks or public health crises, such as the COVID-19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breach or incident or a related breach of our information systems or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harm our future international expansion and operations and, consequently, our results of operations.</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51" w:lineRule="exact"/>
        <w:rPr>
          <w:sz w:val="20"/>
          <w:szCs w:val="20"/>
          <w:color w:val="auto"/>
        </w:rPr>
      </w:pPr>
    </w:p>
    <w:p>
      <w:pPr>
        <w:jc w:val="both"/>
        <w:ind w:right="16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spacing w:after="0" w:line="8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84" w:lineRule="exact"/>
        <w:rPr>
          <w:sz w:val="20"/>
          <w:szCs w:val="20"/>
          <w:color w:val="auto"/>
        </w:rPr>
      </w:pPr>
    </w:p>
    <w:p>
      <w:pPr>
        <w:ind w:right="20" w:firstLine="515"/>
        <w:spacing w:after="0" w:line="256"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and we may not realize the benefits of such acquisitions.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2023, we had net operating loss carryforwards of approximately $93.5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Irish net operating loss carryforwards of approximately $4.9 million. These Irish net operating loss carryforwards do not expire but may not be fully utilized unless we generate sufficient income in Ireland. We may also be limited in the amount of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and a 1% excise tax on certain stock buybacks by U.S. publicly-traded corporations on or after January 1, 2023. The Organization for Economic Cooperation and Development has proposed implementing a global minimum tax of 15%, which has been implemented into the domestic laws of European Union member countries. Changes in tax laws, regulations, or rulings, changes in interpretations of existing laws and regulations, or changes in accounting principles could negatively and materially affect our financial position, cash flows,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be sustained for our common stock.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the at-the-market (ATM) offering. During the quarter ended March 31, 2024, we sold an aggregate of 211,819 shares of common stock under our ATM offering. Subsequent to March 31, 2024, the Company has issued an additional 1,794,091 shares of common stock as part of its ATM offering program and received net proceeds of approximately $26.2 million, after deducting commissions.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If we issue common stock or securities convertible into common stock, our stockholders will experience additional dilution and our stock price may decline.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6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preclinical studies and clinical trials and studies and trials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and development relative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candidates or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future strategic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or recommendations by securities analysts, if any cover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insiders or our other stockholders including pursuant to the existing primary and secondary shelf registration statements that we have filed with the SEC;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overseas;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inflation, economic downturns, disasters, and medical or public health crises, such as the COVID-19 pandemic, including the impact of recent bank failures, the ongoing geopolitical unrest related to Russia’s war with Ukraine, and war and instability in Israel and the surrounding region;</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 general market conditions and market conditions for biotechnology stocks;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1020" w:right="38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evorpacept, and any of our other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evorpacept or any of our other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evorpacept and any of our other product candidates, if approved, which may fluctuate significantly and be difficult to predict;</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evorpacept and any of our other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interest expense due to an increase in the floating rate under the Loan Agreement as described elsewhere in this Quarterly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p>
    <w:p>
      <w:pPr>
        <w:spacing w:after="0" w:line="6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October 10, 2023, we completed the October 2023 Offering for </w:t>
      </w:r>
      <w:r>
        <w:rPr>
          <w:rFonts w:ascii="Times New Roman" w:cs="Times New Roman" w:eastAsia="Times New Roman" w:hAnsi="Times New Roman"/>
          <w:sz w:val="18"/>
          <w:szCs w:val="18"/>
          <w:color w:val="231F20"/>
        </w:rPr>
        <w:t>the sale of</w:t>
      </w:r>
      <w:r>
        <w:rPr>
          <w:rFonts w:ascii="Times New Roman" w:cs="Times New Roman" w:eastAsia="Times New Roman" w:hAnsi="Times New Roman"/>
          <w:sz w:val="18"/>
          <w:szCs w:val="18"/>
          <w:color w:val="auto"/>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and management resources as a result of operating as a public company.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were a large-accelerated filer for fiscal year 2022, we are a “non-accelerated filer” for fiscal year 2023 and we anticipate we will continue to be one throughout 2024. This status could make our common stock less attractive to investors.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Each year, we re-evaluate our SEC filing status. Accordingly, due to our public float as of June 30, 2022, we became a non-accelerated filer for fiscal year 2023, and due to our public float as of June 30, 2023, we anticipate we will be a non-accelerated filer throughout fiscal year 2024.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8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affiliated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our executive officers, directors, and affiliated holders of 5% or more of our capital stock and their respective affiliates beneficially owned approximately 33.4% of our outstanding voting stock.</w:t>
      </w:r>
    </w:p>
    <w:p>
      <w:pPr>
        <w:spacing w:after="0" w:line="54"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conditions and changing circumstances could impair our ability to access our existing cash, cash equivalents and investments and to timely pay key vendors and others.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ATM facility described therein. Additionally, our stockholders may be further diluted by the exercise of the pre-funded warrants issued in the follow-on public offering.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2"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 and</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7" w:lineRule="exact"/>
        <w:rPr>
          <w:sz w:val="20"/>
          <w:szCs w:val="20"/>
          <w:color w:val="auto"/>
        </w:rPr>
      </w:pPr>
    </w:p>
    <w:p>
      <w:pPr>
        <w:ind w:right="220" w:firstLine="509"/>
        <w:spacing w:after="0" w:line="276" w:lineRule="auto"/>
        <w:rPr>
          <w:sz w:val="20"/>
          <w:szCs w:val="20"/>
          <w:color w:val="auto"/>
        </w:rPr>
      </w:pPr>
      <w:r>
        <w:rPr>
          <w:rFonts w:ascii="Times New Roman" w:cs="Times New Roman" w:eastAsia="Times New Roman" w:hAnsi="Times New Roman"/>
          <w:sz w:val="17"/>
          <w:szCs w:val="17"/>
          <w:color w:val="auto"/>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spacing w:after="0" w:line="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5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disruptions and delays or incur financial damages as a result of system failures or security breaches or incidents.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our information security and data protection policies for those employees. Also, ongoing geopolitical unrest and related events such as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w:t>
      </w:r>
    </w:p>
    <w:p>
      <w:pPr>
        <w:spacing w:after="0" w:line="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system failure or security breach or incident that leads to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 following director and officer, as defined in Rule 16a-1(f), adopted a “Rule 10b5-1 trading arrangement” as defined in Regulation S-K Item 408, as follows: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11, 2024, Sophia Randolph, our Chief Medical Officer and director, adopted a Rule 10b5-1 trading arrangement providing for the sale from time to time of an aggregate of up to 144,000 shares of our common stock. The trading arrangement was intended to satisfy the affirmative defense in Rule 10b5-1(c). The duration of the trading arrangement is until May 9, 2025, or earlier if all transactions under the trading arrangement are completed. At this time, Dr. Randolph’s previous Rule 10b5-1 trading arrangement dated January 10, 2023 providing for the sale from time to time of an aggregate of up to 149,000 shares of our common stock was cancelled.</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and/or terminated a “Rule 10b5-1 trading arrangement” or a “non-Rule 10b5-1 trading arrangement,” as defined in Regulation S-K Item 408, during the last fiscal quarter.</w:t>
      </w: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2"/>
        </w:trPr>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7"/>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vMerge w:val="restart"/>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2"/>
                <w:szCs w:val="12"/>
                <w:color w:val="auto"/>
              </w:rPr>
            </w:pPr>
          </w:p>
        </w:tc>
        <w:tc>
          <w:tcPr>
            <w:tcW w:w="13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jc w:val="center"/>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1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2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6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 under</w:t>
            </w:r>
          </w:p>
        </w:tc>
        <w:tc>
          <w:tcPr>
            <w:tcW w:w="2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32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70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 under</w:t>
            </w:r>
          </w:p>
        </w:tc>
        <w:tc>
          <w:tcPr>
            <w:tcW w:w="2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32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6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32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70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32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80" w:firstLine="8"/>
        <w:spacing w:after="0" w:line="255" w:lineRule="auto"/>
        <w:tabs>
          <w:tab w:leader="none" w:pos="1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ALX ONCOLOGY HOLDINGS INC.</w:t>
      </w:r>
    </w:p>
    <w:p>
      <w:pPr>
        <w:sectPr>
          <w:pgSz w:w="11900" w:h="16838" w:orient="portrait"/>
          <w:cols w:equalWidth="0" w:num="1">
            <w:col w:w="10960"/>
          </w:cols>
          <w:pgMar w:left="320" w:top="981" w:right="6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Lettmann</w:t>
      </w:r>
    </w:p>
    <w:p>
      <w:pPr>
        <w:spacing w:after="0" w:line="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-125095</wp:posOffset>
            </wp:positionV>
            <wp:extent cx="2562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Garcia</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-125095</wp:posOffset>
            </wp:positionV>
            <wp:extent cx="25628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26035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6060" w:space="720"/>
            <w:col w:w="4180"/>
          </w:cols>
          <w:pgMar w:left="320" w:top="981" w:right="619" w:bottom="1440" w:gutter="0" w:footer="0" w:header="0"/>
          <w:type w:val="continuous"/>
        </w:sectPr>
      </w:pPr>
    </w:p>
    <w:p>
      <w:pPr>
        <w:ind w:left="8760"/>
        <w:spacing w:after="0"/>
        <w:rPr>
          <w:sz w:val="20"/>
          <w:szCs w:val="20"/>
          <w:color w:val="auto"/>
        </w:rPr>
      </w:pPr>
      <w:r>
        <w:rPr>
          <w:rFonts w:ascii="Times New Roman" w:cs="Times New Roman" w:eastAsia="Times New Roman" w:hAnsi="Times New Roman"/>
          <w:sz w:val="18"/>
          <w:szCs w:val="18"/>
          <w:b w:val="1"/>
          <w:bCs w:val="1"/>
          <w:color w:val="auto"/>
        </w:rPr>
        <w:t>Shelly Pinto</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Senior Vice President, Finance and Chief</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Lettmann, certify that:</w:t>
      </w:r>
    </w:p>
    <w:p>
      <w:pPr>
        <w:spacing w:after="0" w:line="117"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829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Garcia, certify that:</w:t>
      </w:r>
    </w:p>
    <w:p>
      <w:pPr>
        <w:spacing w:after="0" w:line="11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620" w:val="left"/>
          <w:tab w:leader="none" w:pos="80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829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March 31, 2024, as filed with the Securities and Exchange Commission on the date hereof (the “Report”), I certify, pursuant to 18 U.S.C.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tabs>
          <w:tab w:leader="none" w:pos="5540" w:val="left"/>
          <w:tab w:leader="none" w:pos="79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2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March 31, 2024, as filed with the Securities and Exchange Commission on the date hereof (the “Report”), I certify, pursuant to 18 U.S.C.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tabs>
          <w:tab w:leader="none" w:pos="5300" w:val="left"/>
          <w:tab w:leader="none" w:pos="79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4"/>
    </w:lvl>
  </w:abstractNum>
  <w:abstractNum w:abstractNumId="6">
    <w:nsid w:val="5C482A97"/>
    <w:multiLevelType w:val="hybridMultilevel"/>
    <w:lvl w:ilvl="0">
      <w:lvlJc w:val="left"/>
      <w:lvlText w:val="(%1)"/>
      <w:numFmt w:val="lowerRoman"/>
      <w:start w:val="1"/>
    </w:lvl>
  </w:abstractNum>
  <w:abstractNum w:abstractNumId="7">
    <w:nsid w:val="2463B9EA"/>
    <w:multiLevelType w:val="hybridMultilevel"/>
    <w:lvl w:ilvl="0">
      <w:lvlJc w:val="left"/>
      <w:lvlText w:val="(%1)"/>
      <w:numFmt w:val="lowerRoman"/>
      <w:start w:val="1"/>
    </w:lvl>
  </w:abstractNum>
  <w:abstractNum w:abstractNumId="8">
    <w:nsid w:val="5E884ADC"/>
    <w:multiLevelType w:val="hybridMultilevel"/>
    <w:lvl w:ilvl="0">
      <w:lvlJc w:val="left"/>
      <w:lvlText w:val="(%1)"/>
      <w:numFmt w:val="decimal"/>
      <w:start w:val="1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o"/>
      <w:numFmt w:val="bullet"/>
      <w:start w:val="1"/>
    </w:lvl>
  </w:abstractNum>
  <w:abstractNum w:abstractNumId="11">
    <w:nsid w:val="580BD78F"/>
    <w:multiLevelType w:val="hybridMultilevel"/>
    <w:lvl w:ilvl="0">
      <w:lvlJc w:val="left"/>
      <w:lvlText w:val="(%1)"/>
      <w:numFmt w:val="decimal"/>
      <w:start w:val="2"/>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o"/>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o"/>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lvl w:ilvl="1">
      <w:lvlJc w:val="left"/>
      <w:lvlText w:val="o"/>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lvl w:ilvl="1">
      <w:lvlJc w:val="left"/>
      <w:lvlText w:val="o"/>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o"/>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o"/>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lvl w:ilvl="1">
      <w:lvlJc w:val="left"/>
      <w:lvlText w:val="o"/>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315"/>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2024-05-09T15:43:01Z</dcterms:created>
  <dcterms:modified xsi:type="dcterms:W3CDTF">2024-05-09T15:43:01Z</dcterms:modified>
</cp:coreProperties>
</file>