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333-263863</w:t>
      </w:r>
    </w:p>
    <w:p>
      <w:pPr>
        <w:spacing w:after="0" w:line="136" w:lineRule="exact"/>
        <w:rPr>
          <w:sz w:val="24"/>
          <w:szCs w:val="24"/>
          <w:color w:val="auto"/>
        </w:rPr>
      </w:pPr>
    </w:p>
    <w:p>
      <w:pPr>
        <w:ind w:left="120" w:right="240"/>
        <w:spacing w:after="0" w:line="258" w:lineRule="auto"/>
        <w:rPr>
          <w:sz w:val="20"/>
          <w:szCs w:val="20"/>
          <w:color w:val="auto"/>
        </w:rPr>
      </w:pPr>
      <w:r>
        <w:rPr>
          <w:rFonts w:ascii="Arial" w:cs="Arial" w:eastAsia="Arial" w:hAnsi="Arial"/>
          <w:sz w:val="17"/>
          <w:szCs w:val="17"/>
          <w:b w:val="1"/>
          <w:bCs w:val="1"/>
          <w:color w:val="FF4338"/>
        </w:rPr>
        <w:t>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they are not soliciting an offer to buy these securities in any jurisdiction where the offer or sale is not permitted.</w:t>
      </w:r>
    </w:p>
    <w:p>
      <w:pPr>
        <w:spacing w:after="0" w:line="125" w:lineRule="exact"/>
        <w:rPr>
          <w:sz w:val="24"/>
          <w:szCs w:val="24"/>
          <w:color w:val="auto"/>
        </w:rPr>
      </w:pPr>
    </w:p>
    <w:p>
      <w:pPr>
        <w:ind w:left="120"/>
        <w:spacing w:after="0"/>
        <w:rPr>
          <w:sz w:val="20"/>
          <w:szCs w:val="20"/>
          <w:color w:val="auto"/>
        </w:rPr>
      </w:pPr>
      <w:r>
        <w:rPr>
          <w:rFonts w:ascii="Arial" w:cs="Arial" w:eastAsia="Arial" w:hAnsi="Arial"/>
          <w:sz w:val="18"/>
          <w:szCs w:val="18"/>
          <w:i w:val="1"/>
          <w:iCs w:val="1"/>
          <w:color w:val="FF4338"/>
        </w:rPr>
        <w:t>Subject to completion, dated October 4, 2023</w:t>
      </w:r>
    </w:p>
    <w:p>
      <w:pPr>
        <w:spacing w:after="0" w:line="11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May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83185</wp:posOffset>
            </wp:positionV>
            <wp:extent cx="195453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Pre-Funded Warrants to Purchase Shares of Common Stock</w:t>
      </w:r>
    </w:p>
    <w:p>
      <w:pPr>
        <w:spacing w:after="0" w:line="234" w:lineRule="exact"/>
        <w:rPr>
          <w:sz w:val="24"/>
          <w:szCs w:val="24"/>
          <w:color w:val="auto"/>
        </w:rPr>
      </w:pPr>
    </w:p>
    <w:p>
      <w:pPr>
        <w:ind w:left="120" w:right="60"/>
        <w:spacing w:after="0" w:line="275" w:lineRule="auto"/>
        <w:rPr>
          <w:sz w:val="20"/>
          <w:szCs w:val="20"/>
          <w:color w:val="auto"/>
        </w:rPr>
      </w:pPr>
      <w:r>
        <w:rPr>
          <w:rFonts w:ascii="Arial" w:cs="Arial" w:eastAsia="Arial" w:hAnsi="Arial"/>
          <w:sz w:val="17"/>
          <w:szCs w:val="17"/>
          <w:color w:val="auto"/>
        </w:rPr>
        <w:t>We are offering    shares of our common stock, par value $0.001 per share (common stock) and, in lieu of common stock to certain investors that so choose, pre-funded warrants to purchase shares of our common stock in this offering. The purchase price of each pre-funded warrant will equal the price per share at which shares of our common stock are being sold to the public in this offering, minus $0.001 multiplied by the number of shares subject to the warrant, and the exercise price of each pre-funded warrant will equal $0.001 per share. This prospectus supplement also relates to the offering of the shares of our common stock issuable upon the exercise of such pre-funded warrants.</w:t>
      </w:r>
    </w:p>
    <w:p>
      <w:pPr>
        <w:spacing w:after="0" w:line="176" w:lineRule="exact"/>
        <w:rPr>
          <w:sz w:val="24"/>
          <w:szCs w:val="24"/>
          <w:color w:val="auto"/>
        </w:rPr>
      </w:pPr>
    </w:p>
    <w:p>
      <w:pPr>
        <w:ind w:left="120" w:right="80"/>
        <w:spacing w:after="0" w:line="259" w:lineRule="auto"/>
        <w:rPr>
          <w:sz w:val="20"/>
          <w:szCs w:val="20"/>
          <w:color w:val="auto"/>
        </w:rPr>
      </w:pPr>
      <w:r>
        <w:rPr>
          <w:rFonts w:ascii="Arial" w:cs="Arial" w:eastAsia="Arial" w:hAnsi="Arial"/>
          <w:sz w:val="18"/>
          <w:szCs w:val="18"/>
          <w:color w:val="auto"/>
        </w:rPr>
        <w:t>Our common stock is listed on The Nasdaq Global Select Market under the symbol “ALXO”. On October 3, 2023, the last reported sale price of our common stock on The Nasdaq Global Select Market was $7.51 per share. There is no established public trading market for the pre-funded warrants, and we do not expect a market to develop. We do not intend to list the pre-funded warrants on The Nasdaq Global Select Market, any other national securities exchange or any other recognized trading system.</w:t>
      </w:r>
    </w:p>
    <w:p>
      <w:pPr>
        <w:spacing w:after="0" w:line="187" w:lineRule="exact"/>
        <w:rPr>
          <w:sz w:val="24"/>
          <w:szCs w:val="24"/>
          <w:color w:val="auto"/>
        </w:rPr>
      </w:pPr>
    </w:p>
    <w:p>
      <w:pPr>
        <w:ind w:left="120" w:right="680"/>
        <w:spacing w:after="0" w:line="277" w:lineRule="auto"/>
        <w:rPr>
          <w:sz w:val="20"/>
          <w:szCs w:val="20"/>
          <w:color w:val="auto"/>
        </w:rPr>
      </w:pPr>
      <w:r>
        <w:rPr>
          <w:rFonts w:ascii="Arial" w:cs="Arial" w:eastAsia="Arial" w:hAnsi="Arial"/>
          <w:sz w:val="18"/>
          <w:szCs w:val="18"/>
          <w:color w:val="auto"/>
        </w:rPr>
        <w:t>We are a “smaller reporting company” as defined under the federal securities laws and, as such, we have elected to comply with certain reduced reporting requirements for this prospectus supplement and may elect to do so in future filings.</w:t>
      </w:r>
    </w:p>
    <w:p>
      <w:pPr>
        <w:spacing w:after="0" w:line="166" w:lineRule="exact"/>
        <w:rPr>
          <w:sz w:val="24"/>
          <w:szCs w:val="24"/>
          <w:color w:val="auto"/>
        </w:rPr>
      </w:pPr>
    </w:p>
    <w:p>
      <w:pPr>
        <w:jc w:val="both"/>
        <w:ind w:left="120" w:right="40"/>
        <w:spacing w:after="0" w:line="314" w:lineRule="auto"/>
        <w:rPr>
          <w:sz w:val="20"/>
          <w:szCs w:val="20"/>
          <w:color w:val="auto"/>
        </w:rPr>
      </w:pPr>
      <w:r>
        <w:rPr>
          <w:rFonts w:ascii="Arial" w:cs="Arial" w:eastAsia="Arial" w:hAnsi="Arial"/>
          <w:sz w:val="16"/>
          <w:szCs w:val="16"/>
          <w:b w:val="1"/>
          <w:bCs w:val="1"/>
          <w:color w:val="auto"/>
        </w:rPr>
        <w:t>Investing in our securities involves a high degree of risk. See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S-7 of this prospectus supplement, page 2 of the accompanying prospectus and in the reports we file with the Securities and Exchange Commission pursuant to the Securities and Exchange Act of 1934, as amended, incorporated by reference in this prospectus supplement and the accompanying prospectus.</w:t>
      </w:r>
    </w:p>
    <w:p>
      <w:pPr>
        <w:spacing w:after="0" w:line="34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Share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 Pre-Funded</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Warrant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line="216"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5"/>
                <w:szCs w:val="25"/>
                <w:color w:val="auto"/>
                <w:vertAlign w:val="superscript"/>
              </w:rPr>
              <w:t>(1)</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 xml:space="preserve">$   </w:t>
            </w:r>
          </w:p>
        </w:tc>
        <w:tc>
          <w:tcPr>
            <w:tcW w:w="820" w:type="dxa"/>
            <w:vAlign w:val="bottom"/>
            <w:gridSpan w:val="2"/>
          </w:tcPr>
          <w:p>
            <w:pPr>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   </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 xml:space="preserve">$   </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320" w:hanging="204"/>
        <w:spacing w:after="0"/>
        <w:tabs>
          <w:tab w:leader="none" w:pos="320" w:val="left"/>
        </w:tabs>
        <w:numPr>
          <w:ilvl w:val="0"/>
          <w:numId w:val="1"/>
        </w:numPr>
        <w:rPr>
          <w:rFonts w:ascii="Arial" w:cs="Arial" w:eastAsia="Arial" w:hAnsi="Arial"/>
          <w:sz w:val="25"/>
          <w:szCs w:val="25"/>
          <w:color w:val="auto"/>
          <w:vertAlign w:val="superscript"/>
        </w:rPr>
      </w:pPr>
      <w:r>
        <w:rPr>
          <w:rFonts w:ascii="Arial" w:cs="Arial" w:eastAsia="Arial" w:hAnsi="Arial"/>
          <w:sz w:val="17"/>
          <w:szCs w:val="17"/>
          <w:color w:val="auto"/>
        </w:rPr>
        <w:t>See “Underwriting” beginning on page S-21 for additional information regarding underwriter compensation.</w:t>
      </w:r>
    </w:p>
    <w:p>
      <w:pPr>
        <w:spacing w:after="0" w:line="202" w:lineRule="exact"/>
        <w:rPr>
          <w:sz w:val="24"/>
          <w:szCs w:val="24"/>
          <w:color w:val="auto"/>
        </w:rPr>
      </w:pPr>
    </w:p>
    <w:p>
      <w:pPr>
        <w:ind w:left="120"/>
        <w:spacing w:after="0"/>
        <w:rPr>
          <w:sz w:val="20"/>
          <w:szCs w:val="20"/>
          <w:color w:val="auto"/>
        </w:rPr>
      </w:pPr>
      <w:r>
        <w:rPr>
          <w:rFonts w:ascii="Arial" w:cs="Arial" w:eastAsia="Arial" w:hAnsi="Arial"/>
          <w:sz w:val="17"/>
          <w:szCs w:val="17"/>
          <w:color w:val="auto"/>
        </w:rPr>
        <w:t>We have granted the underwriters an option for a period of 30 days to purchase up to an additional $   of shares of our common stock.</w:t>
      </w:r>
    </w:p>
    <w:p>
      <w:pPr>
        <w:spacing w:after="0" w:line="23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Delivery of the shares of common stock and pre-funded warrants is expected to be made on or about  , 2023.</w:t>
      </w:r>
    </w:p>
    <w:p>
      <w:pPr>
        <w:spacing w:after="0" w:line="221" w:lineRule="exact"/>
        <w:rPr>
          <w:sz w:val="24"/>
          <w:szCs w:val="24"/>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98" w:lineRule="exact"/>
        <w:rPr>
          <w:sz w:val="24"/>
          <w:szCs w:val="24"/>
          <w:color w:val="auto"/>
        </w:rPr>
      </w:pPr>
    </w:p>
    <w:p>
      <w:pPr>
        <w:ind w:left="120"/>
        <w:spacing w:after="0"/>
        <w:tabs>
          <w:tab w:leader="none" w:pos="10340" w:val="left"/>
        </w:tabs>
        <w:rPr>
          <w:sz w:val="20"/>
          <w:szCs w:val="20"/>
          <w:color w:val="auto"/>
        </w:rPr>
      </w:pPr>
      <w:r>
        <w:rPr>
          <w:rFonts w:ascii="Arial" w:cs="Arial" w:eastAsia="Arial" w:hAnsi="Arial"/>
          <w:sz w:val="25"/>
          <w:szCs w:val="25"/>
          <w:b w:val="1"/>
          <w:bCs w:val="1"/>
          <w:color w:val="auto"/>
        </w:rPr>
        <w:t>Piper Sandler</w:t>
      </w:r>
      <w:r>
        <w:rPr>
          <w:sz w:val="20"/>
          <w:szCs w:val="20"/>
          <w:color w:val="auto"/>
        </w:rPr>
        <w:tab/>
      </w:r>
      <w:r>
        <w:rPr>
          <w:rFonts w:ascii="Arial" w:cs="Arial" w:eastAsia="Arial" w:hAnsi="Arial"/>
          <w:sz w:val="24"/>
          <w:szCs w:val="24"/>
          <w:b w:val="1"/>
          <w:bCs w:val="1"/>
          <w:color w:val="auto"/>
        </w:rPr>
        <w:t>Cantor</w:t>
      </w: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This date of this prospectus supplement is October   , 2023</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60" w:type="dxa"/>
            <w:vAlign w:val="bottom"/>
            <w:gridSpan w:val="5"/>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2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4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3"/>
              </w:rPr>
              <w:t>ABOUT THIS PROSPECTUS SUPPLEMENT</w:t>
            </w:r>
          </w:p>
        </w:tc>
        <w:tc>
          <w:tcPr>
            <w:tcW w:w="712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PROSPECTUS SUPPLEMENT SUMMARY</w:t>
            </w: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304"/>
        </w:trPr>
        <w:tc>
          <w:tcPr>
            <w:tcW w:w="32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RISK FACTORS</w:t>
            </w:r>
          </w:p>
        </w:tc>
        <w:tc>
          <w:tcPr>
            <w:tcW w:w="72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5"/>
              </w:rPr>
              <w:t>SPECIAL NOTE REGARDING FORWARD-LOOKING STATEMENTS</w:t>
            </w:r>
          </w:p>
        </w:tc>
        <w:tc>
          <w:tcPr>
            <w:tcW w:w="5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304"/>
        </w:trPr>
        <w:tc>
          <w:tcPr>
            <w:tcW w:w="15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USE OF PROCEEDS</w:t>
            </w:r>
          </w:p>
        </w:tc>
        <w:tc>
          <w:tcPr>
            <w:tcW w:w="8980" w:type="dxa"/>
            <w:vAlign w:val="bottom"/>
            <w:gridSpan w:val="15"/>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304"/>
        </w:trPr>
        <w:tc>
          <w:tcPr>
            <w:tcW w:w="36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DESCRIPTION OF PRE-FUNDED WARRANTS</w:t>
            </w:r>
          </w:p>
        </w:tc>
        <w:tc>
          <w:tcPr>
            <w:tcW w:w="6920" w:type="dxa"/>
            <w:vAlign w:val="bottom"/>
            <w:gridSpan w:val="6"/>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304"/>
        </w:trPr>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DILUTION</w:t>
            </w:r>
          </w:p>
        </w:tc>
        <w:tc>
          <w:tcPr>
            <w:tcW w:w="9700" w:type="dxa"/>
            <w:vAlign w:val="bottom"/>
            <w:gridSpan w:val="20"/>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MATERIAL U.S. FEDERAL INCOME TAX CONSIDERATIONS FOR NON-U.S. 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304"/>
        </w:trPr>
        <w:tc>
          <w:tcPr>
            <w:tcW w:w="694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UNDERWRITING</w:t>
            </w:r>
          </w:p>
        </w:tc>
        <w:tc>
          <w:tcPr>
            <w:tcW w:w="36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LEGAL MATTERS</w:t>
            </w:r>
          </w:p>
        </w:tc>
        <w:tc>
          <w:tcPr>
            <w:tcW w:w="9100" w:type="dxa"/>
            <w:vAlign w:val="bottom"/>
            <w:gridSpan w:val="16"/>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EXPERTS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WHERE YOU CAN FIND MORE INFORMATION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5"/>
              </w:rPr>
              <w:t>INCORPORATION OF CERTAIN INFORMATION BY REFERENCE</w:t>
            </w:r>
          </w:p>
        </w:tc>
        <w:tc>
          <w:tcPr>
            <w:tcW w:w="5380" w:type="dxa"/>
            <w:vAlign w:val="bottom"/>
            <w:gridSpan w:val="4"/>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412"/>
        </w:trPr>
        <w:tc>
          <w:tcPr>
            <w:tcW w:w="1056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0560" w:type="dxa"/>
            <w:vAlign w:val="bottom"/>
            <w:gridSpan w:val="2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560" w:type="dxa"/>
            <w:vAlign w:val="bottom"/>
            <w:gridSpan w:val="22"/>
          </w:tcPr>
          <w:p>
            <w:pPr>
              <w:spacing w:after="0"/>
              <w:rPr>
                <w:sz w:val="20"/>
                <w:szCs w:val="20"/>
                <w:color w:val="auto"/>
              </w:rPr>
            </w:pPr>
            <w:r>
              <w:rPr>
                <w:rFonts w:ascii="Arial" w:cs="Arial" w:eastAsia="Arial" w:hAnsi="Arial"/>
                <w:sz w:val="18"/>
                <w:szCs w:val="18"/>
                <w:color w:val="0000EE"/>
              </w:rPr>
              <w:t>ABOUT THIS PROSPECTUS</w:t>
            </w: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304"/>
        </w:trPr>
        <w:tc>
          <w:tcPr>
            <w:tcW w:w="12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5"/>
              </w:rPr>
              <w:t>THE COMPANY</w:t>
            </w:r>
          </w:p>
        </w:tc>
        <w:tc>
          <w:tcPr>
            <w:tcW w:w="940" w:type="dxa"/>
            <w:vAlign w:val="bottom"/>
            <w:tcBorders>
              <w:top w:val="single" w:sz="8" w:color="0000EE"/>
            </w:tcBorders>
            <w:gridSpan w:val="6"/>
          </w:tcPr>
          <w:p>
            <w:pPr>
              <w:spacing w:after="0"/>
              <w:rPr>
                <w:sz w:val="24"/>
                <w:szCs w:val="24"/>
                <w:color w:val="auto"/>
              </w:rPr>
            </w:pPr>
          </w:p>
        </w:tc>
        <w:tc>
          <w:tcPr>
            <w:tcW w:w="8340" w:type="dxa"/>
            <w:vAlign w:val="bottom"/>
            <w:gridSpan w:val="12"/>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5"/>
              </w:rPr>
              <w:t>SPECIAL NOTE REGARDING FORWARD LOOKING STATEMENTS</w:t>
            </w:r>
          </w:p>
        </w:tc>
        <w:tc>
          <w:tcPr>
            <w:tcW w:w="5240" w:type="dxa"/>
            <w:vAlign w:val="bottom"/>
            <w:gridSpan w:val="3"/>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USE OF PROCEEDS</w:t>
            </w:r>
          </w:p>
        </w:tc>
        <w:tc>
          <w:tcPr>
            <w:tcW w:w="8980" w:type="dxa"/>
            <w:vAlign w:val="bottom"/>
            <w:gridSpan w:val="15"/>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DESCRIPTION OF SECURITIES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DESCRIPTION OF CAPITAL STOCK</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250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4"/>
              </w:rPr>
              <w:t>DESCRIPTION OF WARRANTS</w:t>
            </w:r>
          </w:p>
        </w:tc>
        <w:tc>
          <w:tcPr>
            <w:tcW w:w="360" w:type="dxa"/>
            <w:vAlign w:val="bottom"/>
            <w:tcBorders>
              <w:top w:val="single" w:sz="8" w:color="0000EE"/>
            </w:tcBorders>
          </w:tcPr>
          <w:p>
            <w:pPr>
              <w:spacing w:after="0"/>
              <w:rPr>
                <w:sz w:val="24"/>
                <w:szCs w:val="24"/>
                <w:color w:val="auto"/>
              </w:rPr>
            </w:pPr>
          </w:p>
        </w:tc>
        <w:tc>
          <w:tcPr>
            <w:tcW w:w="7700" w:type="dxa"/>
            <w:vAlign w:val="bottom"/>
            <w:gridSpan w:val="10"/>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DESCRIPTION OF PURCHASE CONTRACTS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20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4"/>
              </w:rPr>
              <w:t>DESCRIPTION OF UNITS</w:t>
            </w:r>
          </w:p>
        </w:tc>
        <w:tc>
          <w:tcPr>
            <w:tcW w:w="1520" w:type="dxa"/>
            <w:vAlign w:val="bottom"/>
            <w:tcBorders>
              <w:top w:val="single" w:sz="8" w:color="0000EE"/>
            </w:tcBorders>
            <w:gridSpan w:val="7"/>
          </w:tcPr>
          <w:p>
            <w:pPr>
              <w:spacing w:after="0"/>
              <w:rPr>
                <w:sz w:val="24"/>
                <w:szCs w:val="24"/>
                <w:color w:val="auto"/>
              </w:rPr>
            </w:pPr>
          </w:p>
        </w:tc>
        <w:tc>
          <w:tcPr>
            <w:tcW w:w="7020" w:type="dxa"/>
            <w:vAlign w:val="bottom"/>
            <w:gridSpan w:val="7"/>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PLAN OF DISTRIBUTION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24"/>
                <w:szCs w:val="24"/>
                <w:color w:val="auto"/>
              </w:rPr>
            </w:pPr>
          </w:p>
        </w:tc>
        <w:tc>
          <w:tcPr>
            <w:tcW w:w="8520" w:type="dxa"/>
            <w:vAlign w:val="bottom"/>
            <w:gridSpan w:val="13"/>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EXPERTS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7"/>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22"/>
          </w:tcPr>
          <w:p>
            <w:pPr>
              <w:spacing w:after="0"/>
              <w:rPr>
                <w:sz w:val="20"/>
                <w:szCs w:val="20"/>
                <w:color w:val="auto"/>
              </w:rPr>
            </w:pPr>
            <w:r>
              <w:rPr>
                <w:rFonts w:ascii="Arial" w:cs="Arial" w:eastAsia="Arial" w:hAnsi="Arial"/>
                <w:sz w:val="18"/>
                <w:szCs w:val="18"/>
                <w:color w:val="0000EE"/>
              </w:rPr>
              <w:t>WHERE YOU CAN FIND MORE INFORMATION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00" w:type="dxa"/>
            <w:vAlign w:val="bottom"/>
            <w:gridSpan w:val="17"/>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5"/>
              </w:rPr>
              <w:t>INCORPORATION OF CERTAIN INFORMATION BY REFERENCE</w:t>
            </w:r>
          </w:p>
        </w:tc>
        <w:tc>
          <w:tcPr>
            <w:tcW w:w="5380" w:type="dxa"/>
            <w:vAlign w:val="bottom"/>
            <w:gridSpan w:val="4"/>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This document is part of the registration statement that we filed with the Securities and Exchange Commission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and the accompanying prospectus titled “Where You Can Find More Information” and “Incorporation of Certain Information by Reference.”</w:t>
      </w:r>
    </w:p>
    <w:p>
      <w:pPr>
        <w:spacing w:after="0" w:line="84"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herein or into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53"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6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When we refer to “ALX Oncology Holdings,” “the Company,” “we,” “us” and “our” in this prospectus supplement or the accompanying prospectus, we mean ALX Oncology Holdings Inc., unless the context indicates otherwise or unless otherwise specified. When we refer to “you,” we mean the potential purchasers of the applicable series of securities offered by this prospectus supplement.</w:t>
      </w:r>
    </w:p>
    <w:p>
      <w:pPr>
        <w:spacing w:after="0" w:line="76" w:lineRule="exact"/>
        <w:rPr>
          <w:sz w:val="20"/>
          <w:szCs w:val="20"/>
          <w:color w:val="auto"/>
        </w:rPr>
      </w:pPr>
    </w:p>
    <w:p>
      <w:pPr>
        <w:jc w:val="both"/>
        <w:ind w:left="120" w:right="340"/>
        <w:spacing w:after="0" w:line="301"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40"/>
        <w:spacing w:after="0" w:line="271" w:lineRule="auto"/>
        <w:rPr>
          <w:sz w:val="20"/>
          <w:szCs w:val="20"/>
          <w:color w:val="auto"/>
        </w:rPr>
      </w:pPr>
      <w:r>
        <w:rPr>
          <w:rFonts w:ascii="Arial" w:cs="Arial" w:eastAsia="Arial" w:hAnsi="Arial"/>
          <w:sz w:val="17"/>
          <w:szCs w:val="17"/>
          <w:i w:val="1"/>
          <w:iCs w:val="1"/>
          <w:color w:val="auto"/>
        </w:rPr>
        <w:t>This summary highlights selected information contained in this prospectus supplement and the accompanying prospectus and in the documents we incorporate by reference herein and therein. This summary does not contain all the information that you should consider before making an investment decision. You should read this entire prospectus supplement and the accompanying prospectus carefully, especially the risks of investing in our common stock and pre-funded warrants discussed under “Risk Factors” beginning on page S-7 of this prospectus supplement, the “Risk Factors” section of our most recent Quarterly Report on Form 10-Q for the quarter ended June 30, 2023, as well as any amendments thereto, along with our consolidated financial statements and notes to those consolidated financial statements and the other information incorporated by reference in this prospectus supplement and the accompanying prospectus and in our filings with the SEC. This prospectus supplement may add to, update or change information in the accompanying prospectus.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line="286"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therapies that block the CD47 immune checkpoint inhibitor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binding blocking approaches. Rationally engineered with an inactive Fc effector function, evorpacept’s clinical data has demonstrated a substantially better safety profile to date than other anti-CD47 molecules in the clinic with an active Fc (i.e., binding the Fc gamma receptor on macrophages). This favorable safety profile allows us to dose higher with minimal overlapping toxicity in the combination treatment setting. CD47 expressed on cancer cells binds to its receptor SIRPα, which is predominantly expressed on two cell types: macrophages and dendritic cells. We are focused on evorpacept development with the standard-of-care agents, revolving around these two cell types. As of September 30, 2023, we had dosed over 400 subjects with evorpacept across a range of solid and hematologic malignancies in combination with a number of leading anti-cancer agents. Based on our clinical results to date in multiple oncology indications showing encouraging anti-tumor activity and tolerability as well as our clinical development plans, our strategy is to pursue evorpacept as a potentially critical component for future combination treatments in oncology.</w:t>
      </w:r>
    </w:p>
    <w:p>
      <w:pPr>
        <w:spacing w:after="0" w:line="66"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Our second program combines our SIRPα antibodies with Tallac Therapeutics’ toll-like receptor 9 agonist antibody conjugate to deliver a potent immune activator to myeloid cells in the tumor to promote innate and adaptive anti-cancer immune responses. Additionally, with our acquisition of ScalmiBio, Inc. (ScalmiBio) in October 2021, we are developing antibody drug conjugate candidates based on our expertise in protein engineering and oncology.</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Announced Positive Prespecified Interim Phase 2 Data from our ASPEN-06 Clinical Trial</w:t>
      </w:r>
    </w:p>
    <w:p>
      <w:pPr>
        <w:spacing w:after="0" w:line="117" w:lineRule="exact"/>
        <w:rPr>
          <w:sz w:val="20"/>
          <w:szCs w:val="20"/>
          <w:color w:val="auto"/>
        </w:rPr>
      </w:pPr>
    </w:p>
    <w:p>
      <w:pPr>
        <w:ind w:left="300"/>
        <w:spacing w:after="0" w:line="257" w:lineRule="auto"/>
        <w:rPr>
          <w:sz w:val="20"/>
          <w:szCs w:val="20"/>
          <w:color w:val="auto"/>
        </w:rPr>
      </w:pPr>
      <w:r>
        <w:rPr>
          <w:rFonts w:ascii="Arial" w:cs="Arial" w:eastAsia="Arial" w:hAnsi="Arial"/>
          <w:sz w:val="17"/>
          <w:szCs w:val="17"/>
          <w:color w:val="auto"/>
        </w:rPr>
        <w:t>We recently announced positive prespecified interim Phase 2 clinical data from our ASPEN-06 clinical trial, a randomized Phase 2 (open-label) / Phase 3 (double-blinded), multi-center international clinical trial of patients with second or third line metastatic HER2-overexpressing gastric/GEJ adenocarcinoma that has progressed on or after prior HER2-directed therapy and fluoropyrimidine- or platinum-containing chemotherapy. The ASPEN-06 clinical trial is evaluating evorpacept in combination with trastuzumab, CYRAMZA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(ramucirumab) and paclitaxel for the treatment of patients with HER2-positive gastric/gastroesophageal junction (GEJ) cancer. This prespecified interim analysis represents results from 54 randomized patients with second and third line gastric/GEJ cancer, including a meaningful number of patients previously treated with ENHERTU</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(trastuzumab deruxtecan) and checkpoint inhibitors.</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Phase 2 ASPEN-06 Interim Analysis Results:</w:t>
      </w:r>
    </w:p>
    <w:p>
      <w:pPr>
        <w:spacing w:after="0" w:line="131" w:lineRule="exact"/>
        <w:rPr>
          <w:sz w:val="20"/>
          <w:szCs w:val="20"/>
          <w:color w:val="auto"/>
        </w:rPr>
      </w:pPr>
    </w:p>
    <w:p>
      <w:pPr>
        <w:ind w:left="1240" w:right="60" w:hanging="523"/>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confirmed overall response rate (ORR) of 52% was demonstrated for evorpacept in combination with trastuzumab + CYRAMZA + paclitaxel compared to 22% for the control group of trastuzumab + CYRAMZA + paclitaxel.</w:t>
      </w:r>
    </w:p>
    <w:p>
      <w:pPr>
        <w:spacing w:after="0" w:line="75" w:lineRule="exact"/>
        <w:rPr>
          <w:rFonts w:ascii="Arial" w:cs="Arial" w:eastAsia="Arial" w:hAnsi="Arial"/>
          <w:sz w:val="18"/>
          <w:szCs w:val="18"/>
          <w:color w:val="auto"/>
        </w:rPr>
      </w:pPr>
    </w:p>
    <w:p>
      <w:pPr>
        <w:ind w:left="1240" w:right="80" w:hanging="523"/>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Median duration of response (mDOR) was not reached for the evorpacept combination treatment arm compared to 7.4 months for the control group.</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safety profile of evorpacept was consistent with previous clinical trials and was well-tolerated.</w:t>
      </w:r>
    </w:p>
    <w:p>
      <w:pPr>
        <w:spacing w:after="0" w:line="130" w:lineRule="exact"/>
        <w:rPr>
          <w:rFonts w:ascii="Arial" w:cs="Arial" w:eastAsia="Arial" w:hAnsi="Arial"/>
          <w:sz w:val="18"/>
          <w:szCs w:val="18"/>
          <w:color w:val="auto"/>
        </w:rPr>
      </w:pPr>
    </w:p>
    <w:p>
      <w:pPr>
        <w:jc w:val="both"/>
        <w:ind w:left="1240" w:right="100" w:hanging="523"/>
        <w:spacing w:after="0" w:line="263"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interim results compare favorably to the efficacy reported for CYRAMZA + paclitaxel in the RAINBOW study (ORR of 28% and mDOR of 4.4 months), which is the regulatory benchmark and global standard of care for second line and greater HER2-positive gastric/GEJ cancer.</w:t>
      </w:r>
    </w:p>
    <w:p>
      <w:pPr>
        <w:spacing w:after="0" w:line="76"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These data also compare favorably to the efficacy reported for ENHERTU in the third line setting in the DESTINY-Gastric01 study (ORR of 41% and mDOR of 11 months), which has defined regional standard of care.</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also provided updates for the anticipated upcoming clinical milestones for evorpacept’s development pipeline:</w:t>
      </w:r>
    </w:p>
    <w:p>
      <w:pPr>
        <w:spacing w:after="0" w:line="131" w:lineRule="exact"/>
        <w:rPr>
          <w:sz w:val="20"/>
          <w:szCs w:val="20"/>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1H 2024</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Non-Hodgkin Lymphoma - Phase 1b investigator-sponsored trial with rituximab + lenalidomide top line results (Q1/Q2 2024)</w:t>
      </w:r>
    </w:p>
    <w:p>
      <w:pPr>
        <w:spacing w:after="0" w:line="153" w:lineRule="exact"/>
        <w:rPr>
          <w:rFonts w:ascii="Arial" w:cs="Arial" w:eastAsia="Arial" w:hAnsi="Arial"/>
          <w:sz w:val="16"/>
          <w:szCs w:val="16"/>
          <w:color w:val="auto"/>
        </w:rPr>
      </w:pPr>
    </w:p>
    <w:p>
      <w:pPr>
        <w:ind w:left="1640" w:hanging="397"/>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Gastric/GEJ Cancer – Phase 2 ASPEN-06 randomized top line final results (Q2 2024)</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2H 2024</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Head and Neck Squamous Cell Carcinoma – Phase 2 ASPEN-03 with KEYTRUDA randomized top line results</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Head and Neck Squamous Cell Carcinoma – Phase 2 ASPEN-04 with KEYTRUDA + chemotherapy randomized top line results</w:t>
      </w:r>
    </w:p>
    <w:p>
      <w:pPr>
        <w:spacing w:after="0" w:line="153" w:lineRule="exact"/>
        <w:rPr>
          <w:rFonts w:ascii="Arial" w:cs="Arial" w:eastAsia="Arial" w:hAnsi="Arial"/>
          <w:sz w:val="16"/>
          <w:szCs w:val="16"/>
          <w:color w:val="auto"/>
        </w:rPr>
      </w:pPr>
    </w:p>
    <w:p>
      <w:pPr>
        <w:ind w:left="1640" w:hanging="397"/>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Gastric/GEJ Cancer – Phase 3 ASPEN-06 study initiation</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Urothelial Carcinoma – Phase 1b ASPEN-07 with PADCEV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(enfortumab vedotin-ejfv) top line results</w:t>
      </w:r>
    </w:p>
    <w:p>
      <w:pPr>
        <w:spacing w:after="0" w:line="54" w:lineRule="exact"/>
        <w:rPr>
          <w:rFonts w:ascii="Arial" w:cs="Arial" w:eastAsia="Arial" w:hAnsi="Arial"/>
          <w:sz w:val="18"/>
          <w:szCs w:val="18"/>
          <w:color w:val="auto"/>
        </w:rPr>
      </w:pPr>
    </w:p>
    <w:p>
      <w:pPr>
        <w:ind w:left="1640" w:hanging="397"/>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Breast Cancer – Phase 1b I-SPY study with ENHERTU top line results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Preliminary Financial Results for the Quarter Ended September 30, 2023</w:t>
      </w:r>
    </w:p>
    <w:p>
      <w:pPr>
        <w:spacing w:after="0" w:line="117" w:lineRule="exact"/>
        <w:rPr>
          <w:sz w:val="20"/>
          <w:szCs w:val="20"/>
          <w:color w:val="auto"/>
        </w:rPr>
      </w:pPr>
    </w:p>
    <w:p>
      <w:pPr>
        <w:ind w:left="300" w:right="20"/>
        <w:spacing w:after="0" w:line="289" w:lineRule="auto"/>
        <w:rPr>
          <w:sz w:val="20"/>
          <w:szCs w:val="20"/>
          <w:color w:val="auto"/>
        </w:rPr>
      </w:pPr>
      <w:r>
        <w:rPr>
          <w:rFonts w:ascii="Arial" w:cs="Arial" w:eastAsia="Arial" w:hAnsi="Arial"/>
          <w:sz w:val="16"/>
          <w:szCs w:val="16"/>
          <w:color w:val="auto"/>
        </w:rPr>
        <w:t>Our financial statements for the quarter ended September 30, 2023 will not be available until after this offering is completed and consequently will not be available to you prior to investing in our common stock offered in this offering. Based upon preliminary estimates and information available to us as of the date of this prospectus supplement, we expect to report that we had approximately $196.5 million of cash, cash equivalents and short-term and long-term investments as of September 30, 2023. We have not yet completed our quarter-end financial close process for the quarter ended September 30, 2023. This estimate of our cash, cash equivalents and short-term and long-term investments as of September 30, 2023 is preliminary, has not been audited and is subject to change upon completion of our financial statement closing procedures. Additional information and disclosure would be required for a more complete understanding of our financial position and results of operations as of September 30, 2023. Our independent registered public accounting firm has not audited, reviewed or performed any procedures with respect to this preliminary result and, accordingly, does not express an opinion or any other form of assurance about it.</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9"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We were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w:t>
      </w:r>
    </w:p>
    <w:p>
      <w:pPr>
        <w:spacing w:after="0" w:line="69" w:lineRule="exact"/>
        <w:rPr>
          <w:sz w:val="20"/>
          <w:szCs w:val="20"/>
          <w:color w:val="auto"/>
        </w:rPr>
      </w:pPr>
    </w:p>
    <w:p>
      <w:pPr>
        <w:ind w:left="300" w:right="280"/>
        <w:spacing w:after="0" w:line="259" w:lineRule="auto"/>
        <w:rPr>
          <w:sz w:val="20"/>
          <w:szCs w:val="20"/>
          <w:color w:val="auto"/>
        </w:rPr>
      </w:pPr>
      <w:r>
        <w:rPr>
          <w:rFonts w:ascii="Arial" w:cs="Arial" w:eastAsia="Arial" w:hAnsi="Arial"/>
          <w:sz w:val="18"/>
          <w:szCs w:val="18"/>
          <w:color w:val="auto"/>
        </w:rPr>
        <w:t>We use ALX Oncology and other marks as trademarks in the United States and other countries.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We are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6"/>
          <w:szCs w:val="16"/>
          <w:color w:val="auto"/>
        </w:rPr>
        <w:t>    shares of our common stock in this offering, or     shares of common</w:t>
      </w:r>
    </w:p>
    <w:p>
      <w:pPr>
        <w:spacing w:after="0" w:line="27" w:lineRule="exact"/>
        <w:rPr>
          <w:sz w:val="20"/>
          <w:szCs w:val="20"/>
          <w:color w:val="auto"/>
        </w:rPr>
      </w:pPr>
    </w:p>
    <w:p>
      <w:pPr>
        <w:ind w:left="4340" w:right="140"/>
        <w:spacing w:after="0" w:line="255" w:lineRule="auto"/>
        <w:rPr>
          <w:sz w:val="20"/>
          <w:szCs w:val="20"/>
          <w:color w:val="auto"/>
        </w:rPr>
      </w:pPr>
      <w:r>
        <w:rPr>
          <w:rFonts w:ascii="Arial" w:cs="Arial" w:eastAsia="Arial" w:hAnsi="Arial"/>
          <w:sz w:val="18"/>
          <w:szCs w:val="18"/>
          <w:color w:val="auto"/>
        </w:rPr>
        <w:t>stock if the underwriters exercise their option to purchase additional shares in full. We are also offering, in lieu of common stock to certain investors that so choose, pre-funded warrants to purchase shares of our common stock.</w:t>
      </w:r>
    </w:p>
    <w:p>
      <w:pPr>
        <w:spacing w:after="0" w:line="91"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Pre-funded warrants offered by us</w:t>
      </w:r>
      <w:r>
        <w:rPr>
          <w:sz w:val="20"/>
          <w:szCs w:val="20"/>
          <w:color w:val="auto"/>
        </w:rPr>
        <w:tab/>
      </w:r>
      <w:r>
        <w:rPr>
          <w:rFonts w:ascii="Arial" w:cs="Arial" w:eastAsia="Arial" w:hAnsi="Arial"/>
          <w:sz w:val="16"/>
          <w:szCs w:val="16"/>
          <w:color w:val="auto"/>
        </w:rPr>
        <w:t>The purchase price of each pre-funded warrant will equal the price per share at which</w:t>
      </w:r>
    </w:p>
    <w:p>
      <w:pPr>
        <w:spacing w:after="0" w:line="27" w:lineRule="exact"/>
        <w:rPr>
          <w:sz w:val="20"/>
          <w:szCs w:val="20"/>
          <w:color w:val="auto"/>
        </w:rPr>
      </w:pPr>
    </w:p>
    <w:p>
      <w:pPr>
        <w:ind w:left="4340" w:right="120"/>
        <w:spacing w:after="0" w:line="269" w:lineRule="auto"/>
        <w:rPr>
          <w:sz w:val="20"/>
          <w:szCs w:val="20"/>
          <w:color w:val="auto"/>
        </w:rPr>
      </w:pPr>
      <w:r>
        <w:rPr>
          <w:rFonts w:ascii="Arial" w:cs="Arial" w:eastAsia="Arial" w:hAnsi="Arial"/>
          <w:sz w:val="17"/>
          <w:szCs w:val="17"/>
          <w:color w:val="auto"/>
        </w:rPr>
        <w:t>shares of common stock are being sold to the public in this offering minus $0.001, multiplied by the number of shares subject to the warrant, and the exercise price of each pre-funded warrant will equal $0.001 per share. Each pre-funded warrant will be exercisable from the date of issuance until the date the warrant is exercised in full, subject to an ownership limitation. See “Description of Pre-Funded Warrants.” This prospectus supplement also relates to the offering of the shares of common stock issuable upon the exercise of such pre-funded warrants.</w:t>
      </w:r>
    </w:p>
    <w:p>
      <w:pPr>
        <w:spacing w:after="0" w:line="95"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Option to purchase additional shares</w:t>
      </w:r>
      <w:r>
        <w:rPr>
          <w:sz w:val="20"/>
          <w:szCs w:val="20"/>
          <w:color w:val="auto"/>
        </w:rPr>
        <w:tab/>
      </w:r>
      <w:r>
        <w:rPr>
          <w:rFonts w:ascii="Arial" w:cs="Arial" w:eastAsia="Arial" w:hAnsi="Arial"/>
          <w:sz w:val="16"/>
          <w:szCs w:val="16"/>
          <w:color w:val="auto"/>
        </w:rPr>
        <w:t>We have granted the underwriters an option, exercisable for 30 days after the date of this</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prospectus supplement, to purchase up to an additional     shares of common stock.</w:t>
      </w:r>
    </w:p>
    <w:p>
      <w:pPr>
        <w:sectPr>
          <w:pgSz w:w="11900" w:h="16838" w:orient="portrait"/>
          <w:cols w:equalWidth="0" w:num="1">
            <w:col w:w="10940"/>
          </w:cols>
          <w:pgMar w:left="320" w:top="459" w:right="639" w:bottom="1440" w:gutter="0" w:footer="0" w:header="0"/>
        </w:sectPr>
      </w:pPr>
    </w:p>
    <w:p>
      <w:pPr>
        <w:spacing w:after="0" w:line="112" w:lineRule="exact"/>
        <w:rPr>
          <w:sz w:val="20"/>
          <w:szCs w:val="20"/>
          <w:color w:val="auto"/>
        </w:rPr>
      </w:pPr>
    </w:p>
    <w:p>
      <w:pPr>
        <w:ind w:left="300"/>
        <w:spacing w:after="0" w:line="282" w:lineRule="auto"/>
        <w:rPr>
          <w:sz w:val="20"/>
          <w:szCs w:val="20"/>
          <w:color w:val="auto"/>
        </w:rPr>
      </w:pPr>
      <w:r>
        <w:rPr>
          <w:rFonts w:ascii="Arial" w:cs="Arial" w:eastAsia="Arial" w:hAnsi="Arial"/>
          <w:sz w:val="18"/>
          <w:szCs w:val="18"/>
          <w:b w:val="1"/>
          <w:bCs w:val="1"/>
          <w:color w:val="auto"/>
        </w:rPr>
        <w:t>Total common stock to be outstanding immediately after this offering</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    shares of common stock (assuming all of the pre-funded warrants issued in this offering are exercised), or    shares of common stock if the underwriters exercise their option to purchase additional shares in full.</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estimate that the net proceeds from this offering will be approximately $     million (or approximately $    million if the underwriters exercise their option to purchase additional shares in full), after deducting underwriting discounts and commissions and estimated offering expenses payable to us. We intend to use the net proceeds from this offering, together with our existing cash, cash equivalents and short-term and long-term investments, to fund the continued clinical development of evorpacept and the related clinical trials, including our ASPEN-06 clinical trial, and for working capital and other general corporate purposes. See “Use of Proceeds.”</w:t>
      </w:r>
    </w:p>
    <w:p>
      <w:pPr>
        <w:spacing w:after="0" w:line="80" w:lineRule="exact"/>
        <w:rPr>
          <w:sz w:val="20"/>
          <w:szCs w:val="20"/>
          <w:color w:val="auto"/>
        </w:rPr>
      </w:pPr>
    </w:p>
    <w:p>
      <w:pPr>
        <w:sectPr>
          <w:pgSz w:w="11900" w:h="16838" w:orient="portrait"/>
          <w:cols w:equalWidth="0" w:num="2">
            <w:col w:w="4220" w:space="120"/>
            <w:col w:w="6600"/>
          </w:cols>
          <w:pgMar w:left="320" w:top="459" w:right="639" w:bottom="1440" w:gutter="0" w:footer="0" w:header="0"/>
          <w:type w:val="continuous"/>
        </w:sect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securities involves substantial risks. You should read the “Risk Factors”</w:t>
      </w:r>
    </w:p>
    <w:p>
      <w:pPr>
        <w:spacing w:after="0" w:line="27" w:lineRule="exact"/>
        <w:rPr>
          <w:sz w:val="20"/>
          <w:szCs w:val="20"/>
          <w:color w:val="auto"/>
        </w:rPr>
      </w:pPr>
    </w:p>
    <w:p>
      <w:pPr>
        <w:ind w:left="4340" w:right="140"/>
        <w:spacing w:after="0" w:line="253" w:lineRule="auto"/>
        <w:rPr>
          <w:sz w:val="20"/>
          <w:szCs w:val="20"/>
          <w:color w:val="auto"/>
        </w:rPr>
      </w:pPr>
      <w:r>
        <w:rPr>
          <w:rFonts w:ascii="Arial" w:cs="Arial" w:eastAsia="Arial" w:hAnsi="Arial"/>
          <w:sz w:val="18"/>
          <w:szCs w:val="18"/>
          <w:color w:val="auto"/>
        </w:rPr>
        <w:t>section beginning on page S-7 of this prospectus supplement and in the documents incorporated by reference into this prospectus supplement and the accompanying prospectus for a discussion of the factors you should carefully consider before deciding to invest in our securities.</w:t>
      </w:r>
    </w:p>
    <w:p>
      <w:pPr>
        <w:spacing w:after="0" w:line="94"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Nasdaq Global Select Market Symbol</w:t>
      </w:r>
      <w:r>
        <w:rPr>
          <w:sz w:val="20"/>
          <w:szCs w:val="20"/>
          <w:color w:val="auto"/>
        </w:rPr>
        <w:tab/>
      </w:r>
      <w:r>
        <w:rPr>
          <w:rFonts w:ascii="Arial" w:cs="Arial" w:eastAsia="Arial" w:hAnsi="Arial"/>
          <w:sz w:val="18"/>
          <w:szCs w:val="18"/>
          <w:color w:val="auto"/>
        </w:rPr>
        <w:t>“ALXO”</w:t>
      </w:r>
    </w:p>
    <w:p>
      <w:pPr>
        <w:spacing w:after="0" w:line="200" w:lineRule="exact"/>
        <w:rPr>
          <w:sz w:val="20"/>
          <w:szCs w:val="20"/>
          <w:color w:val="auto"/>
        </w:rPr>
      </w:pPr>
    </w:p>
    <w:p>
      <w:pPr>
        <w:spacing w:after="0" w:line="259" w:lineRule="exact"/>
        <w:rPr>
          <w:sz w:val="20"/>
          <w:szCs w:val="20"/>
          <w:color w:val="auto"/>
        </w:rPr>
      </w:pPr>
    </w:p>
    <w:p>
      <w:pPr>
        <w:ind w:left="300" w:right="76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40,992,179 shares of common stock outstanding as of June 30, 2023, and excludes:</w:t>
      </w:r>
    </w:p>
    <w:p>
      <w:pPr>
        <w:spacing w:after="0" w:line="76" w:lineRule="exact"/>
        <w:rPr>
          <w:sz w:val="20"/>
          <w:szCs w:val="20"/>
          <w:color w:val="auto"/>
        </w:rPr>
      </w:pPr>
    </w:p>
    <w:p>
      <w:pPr>
        <w:ind w:left="1240" w:right="22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6,648,245 shares of our common stock issuable upon the exercise of options outstanding as of June 30, 2023, at a weighted-average exercise price of $19.56 per share;</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0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607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714,705 shares of our common stock issuable pursuant to restricted stock units outstanding as of June 30, 2023;</w:t>
      </w:r>
    </w:p>
    <w:p>
      <w:pPr>
        <w:spacing w:after="0" w:line="252" w:lineRule="exact"/>
        <w:rPr>
          <w:rFonts w:ascii="Arial" w:cs="Arial" w:eastAsia="Arial" w:hAnsi="Arial"/>
          <w:sz w:val="18"/>
          <w:szCs w:val="18"/>
          <w:color w:val="auto"/>
        </w:rPr>
      </w:pPr>
    </w:p>
    <w:p>
      <w:pPr>
        <w:ind w:left="1240" w:right="520" w:hanging="523"/>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2,530,400 shares of our common stock issuable upon the exercise of options granted after June 30, 2023, at a weighted-average exercise price of $5.39 per share;</w:t>
      </w:r>
    </w:p>
    <w:p>
      <w:pPr>
        <w:spacing w:after="0" w:line="197" w:lineRule="exact"/>
        <w:rPr>
          <w:rFonts w:ascii="Arial" w:cs="Arial" w:eastAsia="Arial" w:hAnsi="Arial"/>
          <w:sz w:val="18"/>
          <w:szCs w:val="18"/>
          <w:color w:val="auto"/>
        </w:rPr>
      </w:pPr>
    </w:p>
    <w:p>
      <w:pPr>
        <w:ind w:left="1240" w:hanging="52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563,350 shares of common stock issuable pursuant to restricted stock units granted after June 30, 2023;</w:t>
      </w:r>
    </w:p>
    <w:p>
      <w:pPr>
        <w:spacing w:after="0" w:line="252" w:lineRule="exact"/>
        <w:rPr>
          <w:rFonts w:ascii="Arial" w:cs="Arial" w:eastAsia="Arial" w:hAnsi="Arial"/>
          <w:sz w:val="18"/>
          <w:szCs w:val="18"/>
          <w:color w:val="auto"/>
        </w:rPr>
      </w:pPr>
    </w:p>
    <w:p>
      <w:pPr>
        <w:ind w:left="1240" w:right="40" w:hanging="523"/>
        <w:spacing w:after="0" w:line="259"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4,143,116 shares of our common stock reserved for future issuance pursuant to future awards under our Amended and Restated 2020 Equity Incentive Plan (2020 Plan), as of June 30, 2023, plus any future increases in the number of shares of common stock reserved for issuance under our 2020 Plan pursuant to provisions thereof that automatically increase the share reserve under the plan each year; and</w:t>
      </w:r>
    </w:p>
    <w:p>
      <w:pPr>
        <w:spacing w:after="0" w:line="213" w:lineRule="exact"/>
        <w:rPr>
          <w:rFonts w:ascii="Arial" w:cs="Arial" w:eastAsia="Arial" w:hAnsi="Arial"/>
          <w:sz w:val="18"/>
          <w:szCs w:val="18"/>
          <w:color w:val="auto"/>
        </w:rPr>
      </w:pPr>
    </w:p>
    <w:p>
      <w:pPr>
        <w:ind w:left="1240" w:right="16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1,095,066 shares of our common stock reserved for future issuance under our 2020 Employee Stock Purchase Plan (ESPP), plus any future increases in the number of shares of common stock reserved for issuance under the ESPP pursuant to provisions thereof that automatically increase the share reserve under the plan each year.</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52" w:lineRule="exact"/>
        <w:rPr>
          <w:sz w:val="20"/>
          <w:szCs w:val="20"/>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in this offering;</w:t>
      </w:r>
    </w:p>
    <w:p>
      <w:pPr>
        <w:spacing w:after="0" w:line="252" w:lineRule="exact"/>
        <w:rPr>
          <w:rFonts w:ascii="Arial" w:cs="Arial" w:eastAsia="Arial" w:hAnsi="Arial"/>
          <w:sz w:val="18"/>
          <w:szCs w:val="18"/>
          <w:color w:val="auto"/>
        </w:rPr>
      </w:pPr>
    </w:p>
    <w:p>
      <w:pPr>
        <w:ind w:left="1240" w:right="160" w:hanging="523"/>
        <w:spacing w:after="0" w:line="381" w:lineRule="auto"/>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 exercise or settlement of stock options, RSUs or other equity awards described above, no grant of additional awards under our Amended and Restated 2020 Equity Incentive Plan, and no issuance of shares under the ESPP, in each case, after June 30, 2023; and</w:t>
      </w:r>
    </w:p>
    <w:p>
      <w:pPr>
        <w:spacing w:after="0" w:line="127" w:lineRule="exact"/>
        <w:rPr>
          <w:rFonts w:ascii="Arial" w:cs="Arial" w:eastAsia="Arial" w:hAnsi="Arial"/>
          <w:sz w:val="15"/>
          <w:szCs w:val="15"/>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pre-funded warrants issued in this offering are exercised.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addition, the number of shares of our common stock to be outstanding immediately after this offering as shown above does not include the</w:t>
      </w:r>
    </w:p>
    <w:p>
      <w:pPr>
        <w:spacing w:after="0" w:line="35"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$150.0 million shares of our common stock that remain available for sale at June 30, 2023 pursuant to our Sales Agreement (the Sales Agreement) with Cantor Fitzgerald &amp; Co. and UBS Securities LLC, dated December 17, 2021, as amended on August 25, 2023. Between June 30, 2023 and the date of this prospectus supplement, we have not sold any shares of our common stock under the Sales Agreement. We have agreed not to make any sales under the Sales Agreement until the expiration or waiver of the 60-day lock-up period applicable to us and described in the section titled “Underwriting.”</w:t>
      </w:r>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20"/>
          </w:cols>
          <w:pgMar w:left="320" w:top="459"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the other information contained in this prospectus supplement, the accompanying prospectus and in the documents we incorporate by reference herein or therein, you should carefully consider the risks discussed below, as well as the risks described in the section titled “Risk Factors” contained in our most recent Quarterly Report on Form 10-Q for the quarter ended June 30, 2023, as well as any amendments thereto, which are incorporated by reference into this prospectus in their entirety, together with other information in this prospectus supplement, the accompanying prospectus, the documents incorporated by reference, and any related free writing prospectus that we may authorize. The risks and uncertainties we have described are not the only ones we face.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 See the sections titled “Where You Can Find More Information” and “Information Incorporated by Reference.”</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have broad discretion in how we use the net proceeds from this offering. We may not use these proceeds effectively, which could affect our results of operations and cause our stock price to decline.</w:t>
      </w:r>
    </w:p>
    <w:p>
      <w:pPr>
        <w:spacing w:after="0" w:line="6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Accordingly, investors will need to rely on our management team’s judgment with respect to the use of these proceeds. The failure by management to apply these funds effectively could negatively affect our ability to operate and grow our business.</w:t>
      </w:r>
    </w:p>
    <w:p>
      <w:pPr>
        <w:spacing w:after="0" w:line="63"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cannot specify with any certainty all of the particular uses of the net proceeds that we will receive from this offering. In addition, the amount, allocation and timing of our actual expenditures will depend upon numerous factors, including any milestone payments received from any future strategic partnerships and royalties on sales of any future approved product. Because of the number and variability of factors that will determine our use of the net proceeds from this offering, their ultimate use may vary substantially from their currently intended use. Until the net proceeds are used, they may be placed in investments that do not produce significant income or that may lose value. Our investments may not yield a favorable return to our investors and may negatively impact the price of our common stock.</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investment.</w:t>
      </w:r>
    </w:p>
    <w:p>
      <w:pPr>
        <w:spacing w:after="0" w:line="14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Investors who purchase shares of our common stock or pre-funded warrants in this offering will incur immediate and substantial dilution in the net tangible book value of the common stock or the shares of common stock underlying the pre-funded warrants purchased in this offering if the price per share of common stock in this offering is substantially higher than the net tangible book value per common share based on the total value of our tangible assets less our total liabilities immediately following this offering. Our net tangible book value as of June 30, 2023 was approximately $212.7 million, or $5.19 per share of our common stock. Therefore, if you purchase shares of common stock in this offering, you will suffer immediate and substantial dilution of $    per share with respect to the net tangible book value of our common stock, based on the public offering price of $    per share. See the section titled “Dilution” in this prospectus supplement for a detailed discussion of the dilution you will incur if you purchase common stock in this offering.</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Future sales of our common stock in the public market, or the perception that such sales could occur, could cause our stock price to fall.</w:t>
      </w:r>
    </w:p>
    <w:p>
      <w:pPr>
        <w:spacing w:after="0" w:line="14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quantities of our common stock at any time in one or more separate offerings. We cannot predict the effect that future sales of common stock or other equity-related securities would have on the market price of our common stock.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11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w:t>
      </w:r>
    </w:p>
    <w:p>
      <w:pPr>
        <w:spacing w:after="0" w:line="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Holders of the pre-funded warrants will have no rights as common stockholders until such holders exercise their pre-funded warrants and acquire our common stock.</w:t>
      </w:r>
    </w:p>
    <w:p>
      <w:pPr>
        <w:spacing w:after="0" w:line="6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Until holders of the pre-funded warrants exercise their pre-funded warrants and acquire shares of our common stock, such holders will have no rights with respect to the shares of our common stock underlying such pre-funded warrants.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Significant holders or beneficial owners of our common stock may not be permitted to exercise the pre-funded warrants that they hold.</w:t>
      </w:r>
    </w:p>
    <w:p>
      <w:pPr>
        <w:spacing w:after="0" w:line="1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60"/>
          </w:cols>
          <w:pgMar w:left="320" w:top="459"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and therein and any free writing prospectus that we may have authorized for use in connection with this offering contain statements that are not historical facts and are considered forward-looking within the meaning of Section 27A of the Securities Act of 1933, as amended (the Securities Act), and Section 21E of the Securities Exchange Act of 1934, as amended (the Exchange Act). All statements other than statements of historical facts contained in this prospectus, the accompanying prospectus and the documents incorporated herein and therein by reference,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Those statements may appear in this prospectus supplement, the accompanying prospectus and the documents incorporated herein and therein by reference, particularly in the sections titled “Prospectus Summary,” “Risk Factors,” “Management’s Discussion and Analysis of Financial Condition and Results of Operations” and “Business,” and include statements regarding our, and our management’s intent, belief or current expectations that are subject to known and unknown risks, uncertainties and assumptions. Forward-looking statements contained in this prospectus supplement include, but are not limited to, statements about:</w:t>
      </w:r>
    </w:p>
    <w:p>
      <w:pPr>
        <w:spacing w:after="0" w:line="10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3"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1080" w:hanging="532"/>
        <w:spacing w:after="0" w:line="250"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9" w:lineRule="exact"/>
        <w:rPr>
          <w:rFonts w:ascii="Arial" w:cs="Arial" w:eastAsia="Arial" w:hAnsi="Arial"/>
          <w:sz w:val="18"/>
          <w:szCs w:val="18"/>
          <w:color w:val="auto"/>
        </w:rPr>
      </w:pPr>
    </w:p>
    <w:p>
      <w:pPr>
        <w:ind w:left="1080" w:right="140" w:hanging="532"/>
        <w:spacing w:after="0" w:line="250"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beneficial characteristics, mechanisms of action, safety profile, efficacy and therapeutic effects of our product candidates;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1080" w:right="340" w:hanging="532"/>
        <w:spacing w:after="0" w:line="250"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clinical trials, including collaborations and investigator sponsored trials, to demonstrate the safety and efficacy of our product candidates, and other positive results;</w:t>
      </w: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9" w:lineRule="exact"/>
        <w:rPr>
          <w:rFonts w:ascii="Arial" w:cs="Arial" w:eastAsia="Arial" w:hAnsi="Arial"/>
          <w:sz w:val="18"/>
          <w:szCs w:val="18"/>
          <w:color w:val="auto"/>
        </w:rPr>
      </w:pPr>
    </w:p>
    <w:p>
      <w:pPr>
        <w:ind w:left="1080" w:right="240" w:hanging="532"/>
        <w:spacing w:after="0" w:line="250"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40" w:hanging="532"/>
        <w:spacing w:after="0" w:line="25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 w:lineRule="exact"/>
        <w:rPr>
          <w:rFonts w:ascii="Arial" w:cs="Arial" w:eastAsia="Arial" w:hAnsi="Arial"/>
          <w:sz w:val="18"/>
          <w:szCs w:val="18"/>
          <w:color w:val="auto"/>
        </w:rPr>
      </w:pPr>
    </w:p>
    <w:p>
      <w:pPr>
        <w:ind w:left="1080" w:right="720" w:hanging="532"/>
        <w:spacing w:after="0" w:line="250"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clinical trials of our product candidates, and for the manufacture of our product candidates;</w:t>
      </w: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 w:lineRule="exact"/>
        <w:rPr>
          <w:rFonts w:ascii="Arial" w:cs="Arial" w:eastAsia="Arial" w:hAnsi="Arial"/>
          <w:sz w:val="17"/>
          <w:szCs w:val="17"/>
          <w:color w:val="auto"/>
        </w:rPr>
      </w:pPr>
    </w:p>
    <w:p>
      <w:pPr>
        <w:ind w:left="1080" w:hanging="532"/>
        <w:spacing w:after="0" w:line="250"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20" w:lineRule="exact"/>
        <w:rPr>
          <w:rFonts w:ascii="Arial" w:cs="Arial" w:eastAsia="Arial" w:hAnsi="Arial"/>
          <w:sz w:val="17"/>
          <w:szCs w:val="17"/>
          <w:color w:val="auto"/>
        </w:rPr>
      </w:pPr>
    </w:p>
    <w:p>
      <w:pPr>
        <w:ind w:left="1080" w:right="20" w:hanging="532"/>
        <w:spacing w:after="0" w:line="250"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rising interest rates, bank failures or instability in the financial services sector, or geopolitical risks on our business;</w:t>
      </w:r>
    </w:p>
    <w:p>
      <w:pPr>
        <w:ind w:left="1080" w:right="20" w:hanging="532"/>
        <w:spacing w:after="0" w:line="250"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w:t>
      </w: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financial and internal controls; and</w:t>
      </w:r>
    </w:p>
    <w:p>
      <w:pPr>
        <w:spacing w:after="0" w:line="9" w:lineRule="exact"/>
        <w:rPr>
          <w:rFonts w:ascii="Arial" w:cs="Arial" w:eastAsia="Arial" w:hAnsi="Arial"/>
          <w:sz w:val="18"/>
          <w:szCs w:val="18"/>
          <w:color w:val="auto"/>
        </w:rPr>
      </w:pPr>
    </w:p>
    <w:p>
      <w:pPr>
        <w:ind w:left="1080" w:right="300" w:hanging="532"/>
        <w:spacing w:after="0" w:line="260"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short-term and long-term investments, and the funds available from our term loan.</w:t>
      </w:r>
    </w:p>
    <w:p>
      <w:pPr>
        <w:spacing w:after="0" w:line="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the document containing the applicable statement and are subject to a number of risks, uncertainties and assumptions described in the section titled “Risk Factors” and elsewhere in this prospectus supplement, the accompanying prospectus and the documents incorporated herein and therein by reference.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publicly any forward-looking statements for any reason after the date of this prospectus supplement to conform these statements to actual results or to changes in expectations.</w:t>
      </w:r>
    </w:p>
    <w:p>
      <w:pPr>
        <w:spacing w:after="0" w:line="7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supplement or the accompanying prospectus,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68"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We obtained the industry, market and similar data set forth in this prospectus supplement, the accompanying prospectus and the documents incorporated herein and therein by reference, or any free writing prospectus, as the case may be,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estimate that the net proceeds to us from this offering will be approximately $    million, or approximately $    million if the underwriters exercise their option to purchase additional shares of common stock from us in full, after deducting underwriting discounts and commissions and estimated offering expenses payable by us.</w:t>
      </w:r>
    </w:p>
    <w:p>
      <w:pPr>
        <w:spacing w:after="0" w:line="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intend to use the net proceeds from this offering, together with our existing cash, cash equivalents and short-term and long-term investments, to fund the continued clinical development of evorpacept and the related clinical trials, including our ASPEN-06 clinical trial, and for working capital and other general corporate purposes.</w:t>
      </w:r>
    </w:p>
    <w:p>
      <w:pPr>
        <w:spacing w:after="0" w:line="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expected use of the net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53"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net proceeds from this offering, together with our existing cash, cash equivalents and short-term and long-term investments, will not be sufficient for us to fund our clinical programs through completion, and we will need to raise additional capital to achieve our business objectives.</w:t>
      </w:r>
    </w:p>
    <w:p>
      <w:pPr>
        <w:spacing w:after="0" w:line="3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Based on current business plans, we believe that the net proceeds to us from this offering, together with our existing cash, cash equivalents and short-term and long-term investments, will be sufficient to fund our planned operations through     .</w:t>
      </w:r>
    </w:p>
    <w:p>
      <w:pPr>
        <w:spacing w:after="0" w:line="62"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PRE-FUNDED WARRANTS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pre-funded warrants will be issued as individual warrant agreements to the investors. You should review the form of pre-funded warrant, which will be filed as an exhibit to a Current Report on Form 8-K that we expect to file with the SEC.</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pre-funded warrants will expire on the date the warrant is exercised in full.</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Exercisability</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Limitations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Price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applicable laws, the pre-funded warrants may be offered for sale, sold, transferred or assigned without our consent.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jc w:val="both"/>
        <w:ind w:left="120" w:right="320"/>
        <w:spacing w:after="0" w:line="342" w:lineRule="auto"/>
        <w:rPr>
          <w:sz w:val="20"/>
          <w:szCs w:val="20"/>
          <w:color w:val="auto"/>
        </w:rPr>
      </w:pPr>
      <w:r>
        <w:rPr>
          <w:rFonts w:ascii="Arial" w:cs="Arial" w:eastAsia="Arial" w:hAnsi="Arial"/>
          <w:sz w:val="16"/>
          <w:szCs w:val="16"/>
          <w:color w:val="auto"/>
        </w:rPr>
        <w:t>There is no established trading market for the pre-funded warrants, and we do not expect a market to develop. We do not plan on applying to list the pre-funded warrants on The Nasdaq Global Select Market, any other national securities exchange or any other nationally recognized trading system.</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Fundamental Transactions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In the event a holder does not exercise its pre-funded warrants in connection with a fundamental transaction, such holder’s pre-funded warrants will be deemed exercised in full pursuant to the “cashless exercise” mechanic described above upon the consummation of such transaction.</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as a Stockholder</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price per share of our common stock in this offering and the as adjusted net tangible book value per share of our common stock immediately after this offering.</w:t>
      </w:r>
    </w:p>
    <w:p>
      <w:pPr>
        <w:spacing w:after="0" w:line="7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historical net tangible book value as of June 30, 2023 was $212.7 million, or $5.19 per share of our common stock, based on 40,992,179 shares of common stock outstanding as of such date. Our historical net tangible book value per share represents total tangible assets, less total liabilities, all divided by the number of shares of common stock outstanding on June 30, 2023.</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After giving effect to the sale by us of shares of our common stock and pre-funded warrants having an aggregate offering price of $    in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common stock at the public offering price of $     per share and $     per pre-funded warrant (which equals the public offering price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common stock less the $0.001 per share exercise price of each such pre-funded warrant), and after deducting estimated underwriting discounts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commissions and estimated offering expenses payable by us and excluding the proceeds, if any, from the exercise of the pre-funded warrants issued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this offering, our as adjusted net tangible book value as of June 30, 2023 would have been approximately $     million, 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approximately $     per share of common stock. This represents an immediate increase in as adjusted net tangible book value per share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$    to our existing stockholders and an immediate dilution in as adjusted net tangible book value per share of approximately $     to new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investors purchasing common stock in this offering. Dilution per share to new investors purchasing common stock in this offering is determined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subtracting as adjusted net tangible book value per share after this offering from the assumed public offering price per share paid by new investors.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2"/>
        </w:trPr>
        <w:tc>
          <w:tcPr>
            <w:tcW w:w="9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Historical net tangible book value per share as of June 30, 2023</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w w:val="88"/>
              </w:rPr>
              <w:t>$5.19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4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xml:space="preserve">$    </w:t>
            </w:r>
          </w:p>
        </w:tc>
      </w:tr>
      <w:tr>
        <w:trPr>
          <w:trHeight w:val="20"/>
        </w:trPr>
        <w:tc>
          <w:tcPr>
            <w:tcW w:w="9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foregoing tables and calculations (other than historical net tangible book value) are based on 40,992,179 shares of our common stock outstanding as of June 30, 2023 and exclude as of such date:</w:t>
      </w:r>
    </w:p>
    <w:p>
      <w:pPr>
        <w:spacing w:after="0" w:line="76" w:lineRule="exact"/>
        <w:rPr>
          <w:sz w:val="20"/>
          <w:szCs w:val="20"/>
          <w:color w:val="auto"/>
        </w:rPr>
      </w:pPr>
    </w:p>
    <w:p>
      <w:pPr>
        <w:ind w:left="1080" w:right="56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6,648,245 shares of our common stock issuable upon the exercise of options outstanding as of June 30, 2023, at a weighted-average exercise price of $19.56 per share;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714,705 shares of our common stock issuable pursuant to restricted stock units outstanding as of June 30, 2023</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2,530,400 shares of our common stock issuable upon the exercise of options granted after June 30, 2023, at a weighted-average exercise price of $5.39 per share;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563,350 shares of our common stock issuable pursuant to restricted stock units granted after June 30, 2023;</w:t>
      </w:r>
    </w:p>
    <w:p>
      <w:pPr>
        <w:spacing w:after="0" w:line="130" w:lineRule="exact"/>
        <w:rPr>
          <w:rFonts w:ascii="Arial" w:cs="Arial" w:eastAsia="Arial" w:hAnsi="Arial"/>
          <w:sz w:val="18"/>
          <w:szCs w:val="18"/>
          <w:color w:val="auto"/>
        </w:rPr>
      </w:pPr>
    </w:p>
    <w:p>
      <w:pPr>
        <w:ind w:left="1080" w:right="300" w:hanging="532"/>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4,143,116 shares of our common stock reserved for future issuance pursuant to future awards under our Amended and Restated 2020 Equity Incentive Plan (2020 Plan), as of June 30, 2023, plus any future increases in the number of shares of common stock reserved for issuance under our 2020 Plan pursuant to provisions thereof that automatically increase the share reserve under the plan each year; and</w:t>
      </w:r>
    </w:p>
    <w:p>
      <w:pPr>
        <w:spacing w:after="0" w:line="54" w:lineRule="exact"/>
        <w:rPr>
          <w:rFonts w:ascii="Arial" w:cs="Arial" w:eastAsia="Arial" w:hAnsi="Arial"/>
          <w:sz w:val="16"/>
          <w:szCs w:val="16"/>
          <w:color w:val="auto"/>
        </w:rPr>
      </w:pPr>
    </w:p>
    <w:p>
      <w:pPr>
        <w:jc w:val="both"/>
        <w:ind w:left="1080" w:right="4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1,095,066 shares of our common stock reserved for future issuance under our 2020 Employee Stock Purchase Plan (ESPP), plus any future increases in the number of shares of common stock reserved for issuance under the ESPP pursuant to provisions thereof that automatically increase the share reserve under the plan each year.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If the underwriters exercise in full their option to purchase additional shares of common stock at the public offering price of $     per share, the as adjusted net tangible book value after this offering would be $     per share, representing an increase in net tangible book value of $    per</w:t>
      </w:r>
    </w:p>
    <w:p>
      <w:pPr>
        <w:ind w:left="120" w:right="180"/>
        <w:spacing w:after="0" w:line="260" w:lineRule="auto"/>
        <w:rPr>
          <w:sz w:val="20"/>
          <w:szCs w:val="20"/>
          <w:color w:val="auto"/>
        </w:rPr>
      </w:pPr>
      <w:r>
        <w:rPr>
          <w:rFonts w:ascii="Arial" w:cs="Arial" w:eastAsia="Arial" w:hAnsi="Arial"/>
          <w:sz w:val="18"/>
          <w:szCs w:val="18"/>
          <w:color w:val="auto"/>
        </w:rPr>
        <w:t>share to existing stockholders and immediate dilution in net tangible book value of $     per share to investors purchasing our common stock in this offering at the public offering price.</w:t>
      </w:r>
    </w:p>
    <w:p>
      <w:pPr>
        <w:spacing w:after="0" w:line="7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To the extent that any options are exercised, any RSUs are settled, any new awards are issued under our equity incentive plans, or we otherwise issue additional shares of common stock or securities convertible into shares of our common stock in the future (including shares issued in connection with acquisitions), there will be further dilution to new investors.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80"/>
          </w:cols>
          <w:pgMar w:left="320" w:top="459" w:right="4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following is a summary of the material U.S. federal income tax considerations of the ownership and disposition of our common stock and pre-funded warrants acquired in this offering by a “non-U.S. holder” (as defined below), but does not purport to be a complete analysis of all the potential tax considerations relating thereto. This summary is based upon the provisions of the United States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In addition, this discussion does not address tax considerations applicable to an investor’s particular circumstances or to investors that may be subject to special tax rules, including, without limitation:</w:t>
      </w:r>
    </w:p>
    <w:p>
      <w:pPr>
        <w:spacing w:after="0" w:line="21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tax accounting for their securities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 (except to the extent specifically set forth below);</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hold our common stock or pre-funded warrants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 of the Code;</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do not hold our common stock or pre-funded warrants as a capital asset within the meaning of Section 1221 of the Code (generally, property held for investment);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deemed to sell our common stock or pre-funded warrants under the constructive sale provisions of the Code.</w:t>
      </w:r>
    </w:p>
    <w:p>
      <w:pPr>
        <w:spacing w:after="0" w:line="22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addition, if a partnership (or an entity or arrangement classified as a partnership or flow-through entity for U.S. federal income tax purposes) holds our common stock or pre-funded warrants, the tax treatment of a partner generally will depend on the status of the partner and upon the activities of the partnership (or other entity or arrangement). A partner in a partnership (or other such entity or arrangement) that will hold our common stock</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60"/>
          </w:cols>
          <w:pgMar w:left="320" w:top="459"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or pre-funded warrants should consult his, her or its own tax advisor regarding the tax consequences of the ownership and disposition of our common stock or pre-funded warrants through a partnership (or other such entity or arrangement), as applicable.</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You are urged to consult your tax advisor with respect to the application of the U.S. federal income tax laws to your particular situation, as well as any tax consequences of the purchase, ownership and disposition of our common stock or pre-funded warrants arising under the U.S. federal income, gift or estate tax rules or under the laws of any state, local, non-U.S. or other taxing jurisdiction or under any applicable tax treaty.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this discussion, you are a “non-U.S. holder” if you are a beneficial owner of our common stock or pre-funded warrants that, for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 is not a partnership or:</w:t>
      </w:r>
    </w:p>
    <w:p>
      <w:pPr>
        <w:spacing w:after="0" w:line="23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1080" w:right="22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Treatment of Pre-Funded Warrants</w:t>
      </w: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“Gain on Disposition of Common Stock or Pre-Funded Warrants,” and the holding period of a pre-funded warrant should carry over to the share of common stock received. The tax basis of the pre-funded warrant should carry over to the share of common stock received upon exercise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We have never declared or paid cash dividends on our common stock, and we do not anticipate paying any dividends on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the discussions below on effectively connected income, backup withholding and Foreign Account Tax Compliance Act (FATCA) withholding, any dividend paid to you generally will be subject to U.S. federal withholding tax either at a rate of 30% of the gross amount of the dividend or such lower rate as may be specified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or pre-funded warrants eligible for a reduced rate of U.S. federal withholding tax pursuant to an income tax treaty may obtain a refund of any excess amounts withheld by filing an appropriate claim for refund with the IRS. If the non-U.S. holder holds our common stock or pre-funded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pre-funded warrants, including any applicable tax treaties that may provide for different rules.</w:t>
      </w:r>
    </w:p>
    <w:p>
      <w:pPr>
        <w:spacing w:after="0" w:line="18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 or Pre-Funded Warrants</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 federal income tax on any gain realized upon the sale or other disposition of our common stock or pre-funded warrants unless:</w:t>
      </w:r>
    </w:p>
    <w:p>
      <w:pPr>
        <w:spacing w:after="0" w:line="197" w:lineRule="exact"/>
        <w:rPr>
          <w:sz w:val="20"/>
          <w:szCs w:val="20"/>
          <w:color w:val="auto"/>
        </w:rPr>
      </w:pPr>
    </w:p>
    <w:p>
      <w:pPr>
        <w:ind w:left="1080" w:right="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auto"/>
        </w:rPr>
      </w:pPr>
    </w:p>
    <w:p>
      <w:pPr>
        <w:ind w:left="1080" w:right="56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w:t>
      </w:r>
    </w:p>
    <w:p>
      <w:pPr>
        <w:spacing w:after="0" w:line="184"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United States real property interests relative to the fair market value of our U.S. and worldwide real property interests plus our other assets used or held for use in a trade or business, there can be no assurance that we will not become a USRPHC in the future. Even if we become a USRPHC,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however, as long as our common stock is regularly traded on an established securities market, your common stock will be treated as United States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 Special rules may apply to non-U.S. holders of pre-funded warrants, who should consult their tax advisors.</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Adjustments to Pre-Funded Warrants</w:t>
      </w:r>
    </w:p>
    <w:p>
      <w:pPr>
        <w:spacing w:after="0" w:line="22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Payments of dividends on or of proceeds from the disposition of our common stock or pre-funded warrants made to you may be subject to information reporting and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Foreign Account Tax Compliance Act, and the Treasury Regulations and official IRS guidance issued thereunder, collectively “FATCA,” generally impose a U.S. federal withholding tax of 30% on dividends on and, subject to the discussion of certain proposed Treasury Regulations below, the gross proceeds from a sale or other disposition of our common stock or pre-funded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holders of such institution, as well as certain account holders that are non-U.S.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or pre-funded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The Treasury Secretary has issued proposed Treasury Regulations, which, if finalized in their present form, would eliminate withholding under FATCA with respect to payment of gross proceeds from a sale or other disposition of our common stock or pre-funded warrants. In its preamble to such proposed Treasury Regulations, the U.S. Treasury stated that taxpayers may generally rely on the proposed Treasury Regulations until final regulations are issued.</w:t>
      </w:r>
    </w:p>
    <w:p>
      <w:pPr>
        <w:spacing w:after="0" w:line="16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certain circumstances, a non-U.S. holder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 or pre-funded warrants.</w:t>
      </w:r>
    </w:p>
    <w:p>
      <w:pPr>
        <w:spacing w:after="0" w:line="183" w:lineRule="exact"/>
        <w:rPr>
          <w:sz w:val="20"/>
          <w:szCs w:val="20"/>
          <w:color w:val="auto"/>
        </w:rPr>
      </w:pPr>
    </w:p>
    <w:p>
      <w:pPr>
        <w:ind w:left="120" w:right="200"/>
        <w:spacing w:after="0" w:line="261" w:lineRule="auto"/>
        <w:rPr>
          <w:sz w:val="20"/>
          <w:szCs w:val="20"/>
          <w:color w:val="auto"/>
        </w:rPr>
      </w:pPr>
      <w:r>
        <w:rPr>
          <w:rFonts w:ascii="Arial" w:cs="Arial" w:eastAsia="Arial" w:hAnsi="Arial"/>
          <w:sz w:val="18"/>
          <w:szCs w:val="18"/>
          <w:b w:val="1"/>
          <w:bCs w:val="1"/>
          <w:color w:val="auto"/>
        </w:rPr>
        <w:t>The preceding discussion of material U.S. federal income tax considerations is for general information only. It is not tax advice to investors in their particular circumstances. Each prospective investor should consult its own tax advisor regarding the particular U.S. federal, state and local and non-U.S. tax consequences of purchasing, owning and disposing of our common stock or pre-funded warrants, including the consequences of any proposed change in applicable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offering the shares of common stock and pre-funded warrants described in this prospectus supplement through Piper Sandler &amp; Co. and Cantor Fitzgerald &amp; Co. as joint book-running managers. We will enter into an underwriting agreement with Piper Sandler &amp; Co. and Cantor Fitzgerald &amp; Co., as representatives of the several underwriters named below. Subject to the terms and conditions set forth in the underwriting agreement, we will agree to sell to the underwriters, and each of the underwriters will agree, severally and not jointly, to purchase from us, the number of shares of our common stock and pre-funded warrants listed opposite its name below.</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8120" w:type="dxa"/>
            <w:vAlign w:val="bottom"/>
            <w:vMerge w:val="restart"/>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Pre-Funded</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8120" w:type="dxa"/>
            <w:vAlign w:val="bottom"/>
            <w:vMerge w:val="continue"/>
          </w:tcPr>
          <w:p>
            <w:pPr>
              <w:spacing w:after="0"/>
              <w:rPr>
                <w:sz w:val="15"/>
                <w:szCs w:val="15"/>
                <w:color w:val="auto"/>
              </w:rPr>
            </w:pPr>
          </w:p>
        </w:tc>
        <w:tc>
          <w:tcPr>
            <w:tcW w:w="11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190"/>
        </w:trPr>
        <w:tc>
          <w:tcPr>
            <w:tcW w:w="8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Piper Sandler &amp; Co.</w:t>
            </w: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We have granted the underwriters an option to buy up to      additional shares of common stock from us to cover over-allotments, if any. The underwriters may exercise this option at any time and from time to time during the 30-day period from the date of this prospectus supplement. If any additional shares of common stock are purchased, the underwriters will offer the additional shares on the same terms as those on which the shares are being offered.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Discounts and Commissions</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underwriters have advised us that they propose to offer the common stock and pre-funded warrants directly to the public at the offering price set forth on the cover page of this prospectus supplement. The underwriters propose to offer the shares to certain dealers at the same price less a concession of not more than $     per share. After the offering, these figures may be changed by the underwriters.</w:t>
      </w:r>
    </w:p>
    <w:p>
      <w:pPr>
        <w:spacing w:after="0" w:line="165"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The underwriting fee is equal to the public offering price per share of common stock and per pre-funded warrant less the amount paid by the underwriters to us per share of common stock and per pre-funded warrant. The following table shows the per share, per pre-funded warrant and total underwriting discount to be paid by the underwriters in connection with this offering, assuming either no exercise and full exercise of the option to purchase additional shares: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Without</w:t>
            </w:r>
          </w:p>
        </w:tc>
        <w:tc>
          <w:tcPr>
            <w:tcW w:w="100" w:type="dxa"/>
            <w:vAlign w:val="bottom"/>
          </w:tcPr>
          <w:p>
            <w:pPr>
              <w:spacing w:after="0"/>
              <w:rPr>
                <w:sz w:val="10"/>
                <w:szCs w:val="10"/>
                <w:color w:val="auto"/>
              </w:rPr>
            </w:pPr>
          </w:p>
        </w:tc>
        <w:tc>
          <w:tcPr>
            <w:tcW w:w="56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With</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gridSpan w:val="3"/>
          </w:tcPr>
          <w:p>
            <w:pPr>
              <w:jc w:val="center"/>
              <w:ind w:right="388"/>
              <w:spacing w:after="0" w:line="119" w:lineRule="exact"/>
              <w:rPr>
                <w:sz w:val="20"/>
                <w:szCs w:val="20"/>
                <w:color w:val="auto"/>
              </w:rPr>
            </w:pPr>
            <w:r>
              <w:rPr>
                <w:rFonts w:ascii="Arial" w:cs="Arial" w:eastAsia="Arial" w:hAnsi="Arial"/>
                <w:sz w:val="13"/>
                <w:szCs w:val="13"/>
                <w:b w:val="1"/>
                <w:bCs w:val="1"/>
                <w:color w:val="auto"/>
              </w:rPr>
              <w:t>Without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Option to</w:t>
            </w: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Option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93"/>
              </w:rPr>
              <w:t>Option to</w:t>
            </w:r>
          </w:p>
        </w:tc>
        <w:tc>
          <w:tcPr>
            <w:tcW w:w="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Purchase</w:t>
            </w: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Purchase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8"/>
              </w:rPr>
              <w:t>Per</w:t>
            </w:r>
          </w:p>
        </w:tc>
        <w:tc>
          <w:tcPr>
            <w:tcW w:w="1120" w:type="dxa"/>
            <w:vAlign w:val="bottom"/>
            <w:gridSpan w:val="3"/>
          </w:tcPr>
          <w:p>
            <w:pPr>
              <w:jc w:val="center"/>
              <w:ind w:right="368"/>
              <w:spacing w:after="0" w:line="149" w:lineRule="exact"/>
              <w:rPr>
                <w:sz w:val="20"/>
                <w:szCs w:val="20"/>
                <w:color w:val="auto"/>
              </w:rPr>
            </w:pPr>
            <w:r>
              <w:rPr>
                <w:rFonts w:ascii="Arial" w:cs="Arial" w:eastAsia="Arial" w:hAnsi="Arial"/>
                <w:sz w:val="14"/>
                <w:szCs w:val="14"/>
                <w:b w:val="1"/>
                <w:bCs w:val="1"/>
                <w:color w:val="auto"/>
                <w:w w:val="88"/>
              </w:rPr>
              <w:t>Purchase</w:t>
            </w:r>
          </w:p>
        </w:tc>
        <w:tc>
          <w:tcPr>
            <w:tcW w:w="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Common</w:t>
            </w: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Pre-Funded</w:t>
            </w:r>
          </w:p>
        </w:tc>
        <w:tc>
          <w:tcPr>
            <w:tcW w:w="112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8"/>
              </w:rPr>
              <w:t>Warrant</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We estimate that the total fees and expenses payable by us, excluding underwriting discount, will be approximately $    . We have agreed to reimburse the underwriters for expenses relating to clearance of this offering with the Financial Industry Regulatory Authority up to $20,000. We have also agreed to reimburse the underwriters for certain other expenses incurred by them in connection with the offering.</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Underwriters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in respect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We have agreed, subject to certain exceptions, that, without the prior written consent of Piper Sandler &amp; Co. and Cantor Fitzgerald &amp; Co. on behalf of the underwriters, we will not, or publicly disclose an intention to, during the period ending 60 days after the date of this prospectus supplement:</w:t>
      </w:r>
    </w:p>
    <w:p>
      <w:pPr>
        <w:spacing w:after="0" w:line="29" w:lineRule="exact"/>
        <w:rPr>
          <w:sz w:val="20"/>
          <w:szCs w:val="20"/>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offer to sell, contract to sell or lend any shares of common stock or any securities convertible into or exercisable or exchangeable for shares of common stock (“Related Securities”);</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any short sale, or establish or increase any “put equivalent position” (as defined in Rule 16a-1(h) under the Exchange Act) or liquidate or decrease any “call equivalent position” (as defined in Rule 16a-1(b) under the Exchange Act) of any shares of common stock or Related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any shares of common stock or Related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way transfer or dispose of any shares of common stock or Related Securities;</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 into any swap, hedge or similar arrangement or agreement that transfers, in whole or in part, the economic risk of ownership of any shares of common stock or Related Securities, regardless of whether any such transaction is to be settled in securities, in cash or otherwise;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 the offering of any shares of common stock or Related Securities;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 or file any registration statement under the Securities Act in respect of any shares of common stock or Related Securities (other than as contemplated with respect to this offering);</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a reverse stock split, recapitalization, share consolidation, reclassification or similar transaction affecting the outstanding shares of common stock;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publicly announce the intention to do any of the foregoing.</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Provided, however, we may (i) effect the transactions contemplated hereby, (ii) issue shares of common stock or Related Securities, or issue shares of common stock upon exercise of Related Securities, in each case, pursuant to any stock option, stock bonus, employee stock purchase plan, or other stock plan or arrangement, (iii) issue shares of common stock or Related Securities to any non-employee director pursuant to any non-employee director compensation plan or program, (iv) issue shares of common stock pursuant to the exercise or settlement of Related Securities, or upon the conversion of convertible securities outstanding on the date hereof, (v) file one or more registration statements on Form S-8 to register shares of common stock or Related Securities issued or issuable pursuant to any plans or programs described in (ii) or (iii) above, and (vi) issue shares of common stock or Related Securities, or enter into an agreement to issue shares of common stock or Related Securities, in connection with any merger, joint venture, strategic alliances, commercial, lending or other collaborative or strategic transaction, the creation of a scientific advisory board, or the acquisition or license of the business, property, technology or other assets of another individual or entity or the assumption of an employee benefit plan in connection with a merger or acquisition; provided that the aggregate number of shares of common stock or Related Securities (on an as-converted or as-exercised basis, as the case may be) that we may issue or agree to issue pursuant to this clause (vi) shall not exceed 5% of the total number of shares of our common stock immediately following the completion of the offering; and provided, that, in the case of clauses (ii), (iii), (iv) and (vi), each newly appointed director or executive officer that is a recipient thereof provides to Piper Sandler &amp; Co. and Cantor Fitzgerald &amp; Co. a signed lockup agreement.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Our directors, executive officers and certain of our stockholders have agreed, subject to certain exceptions, that, without the prior written consent of Piper Sandler &amp; Co. and Cantor Fitzgerald &amp; Co. on behalf of the underwriters, they will not, during the period up to 60 days after the date of this prospectus supplement (the “restricted period”):</w:t>
      </w:r>
    </w:p>
    <w:p>
      <w:pPr>
        <w:spacing w:after="0" w:line="8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offer to sell any shares of our common stock or related owned by the restricted party or any family member,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of our common stock or related securities, or cause to be filed a registration statement, prospectus or prospectus supplement (or an amendment or supplement thereto) with respect to any such registration,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to our directors, executive officers and securityholders with respect to, among other things, the transfer of shares of our common stock or related securities:</w:t>
      </w:r>
    </w:p>
    <w:p>
      <w:pPr>
        <w:spacing w:after="0" w:line="76" w:lineRule="exact"/>
        <w:rPr>
          <w:sz w:val="20"/>
          <w:szCs w:val="20"/>
          <w:color w:val="auto"/>
        </w:rPr>
      </w:pPr>
    </w:p>
    <w:p>
      <w:pPr>
        <w:ind w:left="1200" w:hanging="65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130" w:lineRule="exact"/>
        <w:rPr>
          <w:rFonts w:ascii="Arial" w:cs="Arial" w:eastAsia="Arial" w:hAnsi="Arial"/>
          <w:sz w:val="18"/>
          <w:szCs w:val="18"/>
          <w:color w:val="auto"/>
        </w:rPr>
      </w:pPr>
    </w:p>
    <w:p>
      <w:pPr>
        <w:ind w:left="1200" w:hanging="65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will or intestacy,</w:t>
      </w:r>
    </w:p>
    <w:p>
      <w:pPr>
        <w:spacing w:after="0" w:line="130" w:lineRule="exact"/>
        <w:rPr>
          <w:rFonts w:ascii="Arial" w:cs="Arial" w:eastAsia="Arial" w:hAnsi="Arial"/>
          <w:sz w:val="18"/>
          <w:szCs w:val="18"/>
          <w:color w:val="auto"/>
        </w:rPr>
      </w:pPr>
    </w:p>
    <w:p>
      <w:pPr>
        <w:ind w:left="1200" w:hanging="65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trust or other entities formed for the direct or indirect benefit of the restricted party or any family member,</w:t>
      </w:r>
    </w:p>
    <w:p>
      <w:pPr>
        <w:spacing w:after="0" w:line="130" w:lineRule="exact"/>
        <w:rPr>
          <w:rFonts w:ascii="Arial" w:cs="Arial" w:eastAsia="Arial" w:hAnsi="Arial"/>
          <w:sz w:val="18"/>
          <w:szCs w:val="18"/>
          <w:color w:val="auto"/>
        </w:rPr>
      </w:pPr>
    </w:p>
    <w:p>
      <w:pPr>
        <w:ind w:left="1200" w:hanging="65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family member of the restricted party,</w:t>
      </w:r>
    </w:p>
    <w:p>
      <w:pPr>
        <w:spacing w:after="0" w:line="130" w:lineRule="exact"/>
        <w:rPr>
          <w:rFonts w:ascii="Arial" w:cs="Arial" w:eastAsia="Arial" w:hAnsi="Arial"/>
          <w:sz w:val="18"/>
          <w:szCs w:val="18"/>
          <w:color w:val="auto"/>
        </w:rPr>
      </w:pPr>
    </w:p>
    <w:p>
      <w:pPr>
        <w:ind w:left="1200" w:hanging="65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restricted party is a trust, to a trustor, trustee or beneficiary of the trust or to the estate of a beneficiary of such trust,</w:t>
      </w:r>
    </w:p>
    <w:p>
      <w:pPr>
        <w:spacing w:after="0" w:line="130" w:lineRule="exact"/>
        <w:rPr>
          <w:rFonts w:ascii="Arial" w:cs="Arial" w:eastAsia="Arial" w:hAnsi="Arial"/>
          <w:sz w:val="18"/>
          <w:szCs w:val="18"/>
          <w:color w:val="auto"/>
        </w:rPr>
      </w:pPr>
    </w:p>
    <w:p>
      <w:pPr>
        <w:ind w:left="1200" w:hanging="652"/>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 corporation, partnership, limited liability company or other entity of which the restricted party or any family member is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1200" w:right="20" w:hanging="652"/>
        <w:spacing w:after="0" w:line="301"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restricted party is a corporation, partnership, limited liability company, trust or other business entity, (A) to another corporation, partnership, limited liability company, trust or other business entity that is an affiliate of the restricted party, or to any investment fund or other entity controlling, controlled by, managing or managed by or under common control with the restricted party, or (B) as part of a distribution, transfer or other disposition by the restricted party to its stockholders, partners, members or other equity holders,</w:t>
      </w:r>
    </w:p>
    <w:p>
      <w:pPr>
        <w:spacing w:after="0" w:line="62" w:lineRule="exact"/>
        <w:rPr>
          <w:rFonts w:ascii="Arial" w:cs="Arial" w:eastAsia="Arial" w:hAnsi="Arial"/>
          <w:sz w:val="16"/>
          <w:szCs w:val="16"/>
          <w:color w:val="auto"/>
        </w:rPr>
      </w:pPr>
    </w:p>
    <w:p>
      <w:pPr>
        <w:ind w:left="1200" w:hanging="65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restricted party may purchase in open market transactions on or after the date hereof,</w:t>
      </w:r>
    </w:p>
    <w:p>
      <w:pPr>
        <w:spacing w:after="0" w:line="130" w:lineRule="exact"/>
        <w:rPr>
          <w:rFonts w:ascii="Arial" w:cs="Arial" w:eastAsia="Arial" w:hAnsi="Arial"/>
          <w:sz w:val="18"/>
          <w:szCs w:val="18"/>
          <w:color w:val="auto"/>
        </w:rPr>
      </w:pPr>
    </w:p>
    <w:p>
      <w:pPr>
        <w:ind w:left="1200" w:right="700" w:hanging="652"/>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operation of law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1200" w:right="40" w:hanging="652"/>
        <w:spacing w:after="0" w:line="263"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exercise or settlement on a cash basis of options or restricted stock units granted under a stock incentive plan or other equity award plan, which plan is described herein, provided that any shares of our common stock or related securities received as a result of such exercise, vesting or settlement shall remain subject to the restrictions above,</w:t>
      </w:r>
    </w:p>
    <w:p>
      <w:pPr>
        <w:spacing w:after="0" w:line="89" w:lineRule="exact"/>
        <w:rPr>
          <w:rFonts w:ascii="Arial" w:cs="Arial" w:eastAsia="Arial" w:hAnsi="Arial"/>
          <w:sz w:val="18"/>
          <w:szCs w:val="18"/>
          <w:color w:val="auto"/>
        </w:rPr>
      </w:pPr>
    </w:p>
    <w:p>
      <w:pPr>
        <w:ind w:left="1200" w:hanging="652"/>
        <w:spacing w:after="0" w:line="296"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us (A) in connection with the “net” or “cashless” exercise of options or other rights to purchase shares of our common stock or related securities from us and (B)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which plan is described herein, provided that any shares of our common stock or related securities received as a result of such exercise, vesting or settlement shall remain subject to the restrictions above,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0" w:right="400" w:hanging="652"/>
        <w:spacing w:after="0" w:line="259"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 bona fide third-party tender offer, merger, consolidation or other similar transaction that is approved by our Board of Directors and made to all holders of our capital stock involving a change of control, provided that in the event that such tender offer, merger, consolidation or other similar transaction is not completed, the restricted party’s shares of our common stock and related securities shall remain subject to the restrictions above, and</w:t>
      </w:r>
    </w:p>
    <w:p>
      <w:pPr>
        <w:spacing w:after="0" w:line="92" w:lineRule="exact"/>
        <w:rPr>
          <w:rFonts w:ascii="Arial" w:cs="Arial" w:eastAsia="Arial" w:hAnsi="Arial"/>
          <w:sz w:val="18"/>
          <w:szCs w:val="18"/>
          <w:color w:val="auto"/>
        </w:rPr>
      </w:pPr>
    </w:p>
    <w:p>
      <w:pPr>
        <w:ind w:left="1200" w:right="40" w:hanging="652"/>
        <w:spacing w:after="0" w:line="296" w:lineRule="auto"/>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sale of shares of common stock pursuant to a trading plan established pursuant to Rule 10b5-1 under the Exchange Act (provided that such plan was established prior to the execution of the lockup agreement by the restricted party); provided that no filing under the Exchange Act or other public announcement shall be made voluntarily during the restricted period in connection with such transfer and, if the filing of a report is required under Section 16 of the Exchange Act during the restricted period, such filing shall state that such sales have been executed under a 10b5-1 trading plan and shall also state the date such 10b5-1 trading plan was adopted;</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provided, in the case of any transfer pursuant to clauses (i) through (vii) and (ix) above, each transferee executes and delivers to Piper Sandler &amp; Co. and Cantor Fitzgerald &amp; Co. a lock-up letter; in the case of any transfer pursuant to clauses (i) through (vii) and (viii) above, no public disclosure or filing shall be required, or made voluntarily, during the restricted period reporting a change in beneficial ownership of shares of our common stock or related securities in connection with such transfer; in the case of any transfer pursuant to clauses (ix), (x) and (xi) above, no public disclosure or filing reporting a change in beneficial ownership of our shares of common stock or related securities shall be made voluntarily during the restricted period, and if the restricted party is required to file a report under Section 16 of the Exchange Act reporting a change in beneficial ownership of shares of our common stock or related securities during the restricted period, the restricted party shall include a statement in such report to the effect that such transfer relates to the circumstances described in clause (ix), (x) or (xi), as applicable; and in the case of any transfer pursuant to clauses (i) through (vii) above, such transfer shall not involve a disposition for value.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symbol “ALXO.”</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8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Select Market or otherwise and, if commenced, may be discontinued at any time. The underwriters may also engage in passive market making transactions in our common stock. Passive market making consists of displaying bids on The Nasdaq Global Select Market limited by the prices of independent market makers and effecting purchases limited by those prices in response to order flow. Rule 103 of Regulation M promulgated by the SEC limits the amount of net purchases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This prospectus supplement and the accompanying prospectus in electronic format may be made available on the web sites maintained by one or more of the underwriters and the underwriters may distribute prospectuses and prospectus supplements electronically.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From time to time in the ordinary course of its businesses, the underwriters and certain of their affiliates have engaged, and may in the future engage, in commercial banking or investment banking transactions with us and our affiliates. We entered into an “at-the-market” sales agreement with certain of the underwriters in December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Economic Area</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State”), no shares of common stock and pre-funded warrants have been offered or will be offered pursuant to the offering to the public in that Relevant State prior to the publication of a prospectus in relation to the shares of common stock and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and pre-funded warrants may be made to the public in that Relevant State at any time:</w:t>
      </w:r>
    </w:p>
    <w:p>
      <w:pPr>
        <w:spacing w:after="0" w:line="67"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provided that no such offer of shares of common stock and pre-funded warrants shall require us or any underwriter to publish a prospectus pursuant to Article 3 of the Prospectus Regulation or supplement a prospectus pursuant to Article 23 of the Prospectus Regulation and each person who initially acquires any shares of common stock and pre-funded warrants or to whom any offer is made will be deemed to have represented, acknowledged and agreed to and with each of the underwriters and us that it is a “qualified investor” within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9" w:right="5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meaning of Article 2(e) of the Prospectus Regulation. In the case of any shares of common stock and pre-funded warrants being offered to a financial intermediary as that term is used in the Prospectus Regulation, each such financial intermediary will be deemed to have represented, acknowledged and agreed that the shares of common stock and pre-funded warrants acquired by it in the offer have not been acquired on a non-discretionary basis on behalf of, nor have they been acquired with a view to their offer or resale to, persons in circumstances which may give rise to an offer of any shares of common stock and pre-funded warrants to the public other than their offer or resale in a Relevant State to qualified investors as so defined or in circumstances in which the prior consent of the underwriters have been obtained to each such proposed offer or resale.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common stock and pre-funded warrants in any Relevant State means the communication in any form and by any means of sufficient information on the terms of the offer and any shares of common stock and pre-funded warrants to be offered so as to enable an investor to decide to purchase or subscribe for any shares of common stock and pre-funded warrants, and the expression “Prospectus Regulation” means Regulation (EU) 2017/1129.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No shares of common stock and pre-funded warrants have been offered or will be offered pursuant to the offering to the public in the United Kingdom prior to the publication of a prospectus in relation to the shares and pre-funded warrants which has been approved by the Financial Conduct Authority, except that the shares of common stock or pre-funded warrants may be offered to the public in the United Kingdom at any time:</w:t>
      </w:r>
    </w:p>
    <w:p>
      <w:pPr>
        <w:spacing w:after="0" w:line="5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provided that no such offer of the shares of common stock and pre-funded warrants shall require us or any underwriter to publish a prospectus pursuant to Section 85 of the FSMA or supplement a prospectus pursuant to Article 23 of the UK Prospectus Regulation. For the purposes of this provision, the expression an “offer to the public” in relation to the shares of common stock and pre-funded warrants in the United Kingdom means the communication in any form and by any means of sufficient information on the terms of the offer and any shares of common stock and pre-funded warrants to be offered so as to enable an investor to decide to purchase or subscribe for any shares and pre-funded warrants and the expression “UK Prospectus Regulation” means Regulation (EU) 2017/1129 as it forms part of domestic law by virtue of the European Union (Withdrawal) Act 2018.</w:t>
      </w:r>
    </w:p>
    <w:p>
      <w:pPr>
        <w:spacing w:after="0" w:line="16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shares of common stock and pre-funded warrants may only be communicated or caused to be communicated in circumstances in which Section 21(1) of the FSMA does not apply to us.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common stock and pre-funded warrants of our common stock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shares of common stock and pre-funded warrants may be sold only to purchasers purchasing, or deemed to be purchasing, as principal that are accredited investors, as defined in National Instrument 45-106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Exemptions or subsection 73.3(1) of the Securities Act (Ontario), and are permitted clients, as defined in National Instrument 31-103 Registration Requirements, Exemptions and Ongoing Registrant Obligations. Any resale of the shares of common stock and pre-funded warrants must be made in accordance with an exemption from, or in a transaction not subject to, the prospectus requirements of applicable securities laws.</w:t>
      </w:r>
    </w:p>
    <w:p>
      <w:pPr>
        <w:spacing w:after="0" w:line="14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Germany</w:t>
      </w:r>
    </w:p>
    <w:p>
      <w:pPr>
        <w:spacing w:after="0" w:line="117" w:lineRule="exact"/>
        <w:rPr>
          <w:sz w:val="20"/>
          <w:szCs w:val="20"/>
          <w:color w:val="auto"/>
        </w:rPr>
      </w:pPr>
    </w:p>
    <w:p>
      <w:pPr>
        <w:jc w:val="both"/>
        <w:ind w:left="120" w:right="100"/>
        <w:spacing w:after="0" w:line="296" w:lineRule="auto"/>
        <w:rPr>
          <w:sz w:val="20"/>
          <w:szCs w:val="20"/>
          <w:color w:val="auto"/>
        </w:rPr>
      </w:pPr>
      <w:r>
        <w:rPr>
          <w:rFonts w:ascii="Arial" w:cs="Arial" w:eastAsia="Arial" w:hAnsi="Arial"/>
          <w:sz w:val="16"/>
          <w:szCs w:val="16"/>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common stock and pre-funded warrants. In particular, each underwriter has represented that it has not engaged and has agreed that it will not engage in a public offering in the Federal Republic of Germany within the meaning of the Act with respect to any of the shares of common stock and pre-funded warrants otherwise than in accordance with the Act and all other applicable legal and regulatory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shares of common stock and pre-funded warrants have not been and will not be offered or sold in Hong Kong by means of any document other than</w:t>
      </w:r>
    </w:p>
    <w:p>
      <w:pPr>
        <w:spacing w:after="0" w:line="46" w:lineRule="exact"/>
        <w:rPr>
          <w:sz w:val="20"/>
          <w:szCs w:val="20"/>
          <w:color w:val="auto"/>
        </w:rPr>
      </w:pPr>
    </w:p>
    <w:p>
      <w:pPr>
        <w:ind w:left="120" w:right="20" w:hanging="4"/>
        <w:spacing w:after="0" w:line="28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of common stock and pre-funded warrants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common stock and pre-funded warrants which are or are intended to be disposed of only to persons outside Hong Kong or only to “professional investors” within the meaning of the Securities and Futures Ordinance (Cap. 571, Laws of Hong Kong) and any rules made thereunder.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common stock and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shares of common stock and pre-funded warrants to any person within the State of Israel, other than to Qualified Investors and up to 35 Addressed Investors.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5728—1968. In particular, we may request, as a condition to be offered common stock and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common stock and pre-funded warrants; (iv) that the shares of common stock and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Each underwriter has acknowledged that this prospectus supplement has not been registered as a prospectus with the Monetary Authority of Singapore. Accordingly, each underwriter has represented and agreed that it has not offered or sold any shares of common stock or pre-funded warrants or caused the shares of common stock or pre-funded warrants to be made the subject of an invitation for subscription or purchase and will not offer or sell any shares of common stock or pre-funded warrants or cause the shares of common stock or pre-funded warrants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and pre-funded warrants, whether directly or indirectly, to any person in Singapore other than:</w:t>
      </w:r>
    </w:p>
    <w:p>
      <w:pPr>
        <w:spacing w:after="0" w:line="83" w:lineRule="exact"/>
        <w:rPr>
          <w:sz w:val="20"/>
          <w:szCs w:val="20"/>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080" w:right="120" w:hanging="532"/>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shares of common stock or pre-funded warrants are subscribed for or acquired under Section 275 of the SFA by a relevant person which is:</w:t>
      </w:r>
    </w:p>
    <w:p>
      <w:pPr>
        <w:spacing w:after="0" w:line="154" w:lineRule="exact"/>
        <w:rPr>
          <w:sz w:val="20"/>
          <w:szCs w:val="20"/>
          <w:color w:val="auto"/>
        </w:rPr>
      </w:pPr>
    </w:p>
    <w:p>
      <w:pPr>
        <w:ind w:left="1080" w:right="100" w:hanging="532"/>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subscribed for or acquired the shares of common stock and pre-funded warrants pursuant to an offer made under Section 275 of the SFA except:</w:t>
      </w:r>
    </w:p>
    <w:p>
      <w:pPr>
        <w:spacing w:after="0" w:line="93"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of the SFA (in the case of that corporation) or Section 276(4)(i)(B) of the SFA (in the case of that trust);</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540" w:right="300" w:hanging="439"/>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Singapore SFA Product Classification—In connection with Section 309B of the SFA and the Securities and Futures (Capital Markets Products) Regulations 2018 (“CMP Regulations 2018”), unless otherwise specified before an offer of shares of common stock and pre-funded warrants, we have determined, and hereby notify all relevant persons (as defined in Section 309A(1) of the SFA), that the shares of common stock and pre-funded warrants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Switzerland</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shares of common stock and pre-funded warrants. The shares of common stock and pre-funded warrants may not be publicly offered, directly or indirectly, in Switzerland within the meaning of the Swiss Financial Services Act (the “FinSA”), and no application has or will be made to admit the shares of common stock and pre-funded warrants to trading on any trading venue (exchange or multilateral trading facility) in Switzerland. Neither this prospectus supplement, the accompanying prospectus nor any other offering or marketing material relating to the shares of common stock and pre-funded warrants constitutes a prospectus pursuant to the FinSA, and neither this prospectus supplement, the accompanying prospectus nor any other offering or marketing material relating to the shares of common stock and pre-funded warrants may be publicly distributed or otherwise made publicly available in Switzerland.</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or the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Arab Emirates</w:t>
      </w:r>
    </w:p>
    <w:p>
      <w:pPr>
        <w:spacing w:after="0" w:line="117"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and pre-funded warrants may not be offered to the public in the UAE and/or any of the free zones.</w:t>
      </w:r>
    </w:p>
    <w:p>
      <w:pPr>
        <w:spacing w:after="0" w:line="18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The shares of common stock and pre-funded warrants may be offered and issued only to a limited number of investors in the UAE or any of its free zones who qualify as sophisticated investors under the relevant laws and regulations of the UAE or the free zone concerned.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France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This prospectus supplement has not been and will not be submitted to the French Autorité des marchés financiers (the “AMF”) for approval in France and accordingly may not and will not be distributed to the public in France.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Article 211-3 of the AMF General Regulation, French residents are hereby informed that:</w:t>
      </w:r>
    </w:p>
    <w:p>
      <w:pPr>
        <w:spacing w:after="0" w:line="13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89" w:lineRule="exact"/>
        <w:rPr>
          <w:rFonts w:ascii="Arial" w:cs="Arial" w:eastAsia="Arial" w:hAnsi="Arial"/>
          <w:sz w:val="18"/>
          <w:szCs w:val="18"/>
          <w:color w:val="auto"/>
        </w:rPr>
      </w:pPr>
    </w:p>
    <w:p>
      <w:pPr>
        <w:ind w:left="1080" w:right="7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70"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validity of the securities offered in this prospectus supplement will be passed upon for us by Wilson Sonsini Goodrich &amp; Rosati, Professional Corporation, Palo Alto, California. Cooley LLP, San Francisco, California, is acting as counsel for the underwriters.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consolidated financial statements of ALX Oncology Holdings Inc. and subsidiaries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6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supplement and the accompanying prospectus certain information we file with it, which means that we can disclose important information to you by referring you to another document filed separately with the SEC. The information incorporated by reference is deemed to be a part of this prospectus supplement and the accompanying prospectus, and subsequent information that we file later with the SEC will automatically update and supersede information contained in this prospectus supplement and the accompanying prospectus. Any statement contained in a previously filed document incorporated by reference will be deemed to be modified or superseded for purposes of this prospectus supplement and accompanying prospectus to the extent that a statement contained in this prospectus supplement modifies or replaces that statement.</w:t>
      </w:r>
    </w:p>
    <w:p>
      <w:pPr>
        <w:spacing w:after="0" w:line="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 (excluding any portions of any Form 8-K that are not deemed “filed” pursuant to the General Instructions of Form 8-K):</w:t>
      </w:r>
    </w:p>
    <w:p>
      <w:pPr>
        <w:spacing w:after="0" w:line="197"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9, 2023;</w:t>
      </w:r>
    </w:p>
    <w:p>
      <w:pPr>
        <w:spacing w:after="0" w:line="23" w:lineRule="exact"/>
        <w:rPr>
          <w:rFonts w:ascii="Arial" w:cs="Arial" w:eastAsia="Arial" w:hAnsi="Arial"/>
          <w:sz w:val="18"/>
          <w:szCs w:val="18"/>
          <w:color w:val="auto"/>
        </w:rPr>
      </w:pPr>
    </w:p>
    <w:p>
      <w:pPr>
        <w:ind w:left="1080" w:right="180" w:hanging="532"/>
        <w:spacing w:after="0" w:line="250" w:lineRule="auto"/>
        <w:tabs>
          <w:tab w:leader="none" w:pos="1080" w:val="left"/>
        </w:tabs>
        <w:numPr>
          <w:ilvl w:val="0"/>
          <w:numId w:val="2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2023 and June 30, 2023, filed with the SEC on </w:t>
      </w:r>
      <w:hyperlink r:id="rId48">
        <w:r>
          <w:rPr>
            <w:rFonts w:ascii="Arial" w:cs="Arial" w:eastAsia="Arial" w:hAnsi="Arial"/>
            <w:sz w:val="18"/>
            <w:szCs w:val="18"/>
            <w:u w:val="single" w:color="auto"/>
            <w:color w:val="0000EE"/>
          </w:rPr>
          <w:t>May 11,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9">
        <w:r>
          <w:rPr>
            <w:rFonts w:ascii="Arial" w:cs="Arial" w:eastAsia="Arial" w:hAnsi="Arial"/>
            <w:sz w:val="18"/>
            <w:szCs w:val="18"/>
            <w:u w:val="single" w:color="auto"/>
            <w:color w:val="0000EE"/>
          </w:rPr>
          <w:t>August 10, 2023</w:t>
        </w:r>
      </w:hyperlink>
      <w:r>
        <w:rPr>
          <w:rFonts w:ascii="Arial" w:cs="Arial" w:eastAsia="Arial" w:hAnsi="Arial"/>
          <w:sz w:val="18"/>
          <w:szCs w:val="18"/>
          <w:color w:val="000000"/>
        </w:rPr>
        <w:t>;</w:t>
      </w: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0">
        <w:r>
          <w:rPr>
            <w:rFonts w:ascii="Arial" w:cs="Arial" w:eastAsia="Arial" w:hAnsi="Arial"/>
            <w:sz w:val="18"/>
            <w:szCs w:val="18"/>
            <w:u w:val="single" w:color="auto"/>
            <w:color w:val="0000EE"/>
          </w:rPr>
          <w:t>June 20, 2023</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September 6,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2">
        <w:r>
          <w:rPr>
            <w:rFonts w:ascii="Arial" w:cs="Arial" w:eastAsia="Arial" w:hAnsi="Arial"/>
            <w:sz w:val="18"/>
            <w:szCs w:val="18"/>
            <w:u w:val="single" w:color="auto"/>
            <w:color w:val="0000EE"/>
          </w:rPr>
          <w:t>October 4, 2023</w:t>
        </w:r>
      </w:hyperlink>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080" w:right="240" w:hanging="532"/>
        <w:spacing w:after="0" w:line="265"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2022, from our </w:t>
      </w:r>
      <w:hyperlink r:id="rId53">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2023 annual meeting of stockholders, filed with the SEC on April 24, 2023; and</w:t>
      </w:r>
    </w:p>
    <w:p>
      <w:pPr>
        <w:ind w:left="1080" w:right="260" w:hanging="532"/>
        <w:spacing w:after="0" w:line="260"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54">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85" w:lineRule="exact"/>
        <w:rPr>
          <w:rFonts w:ascii="Arial" w:cs="Arial" w:eastAsia="Arial" w:hAnsi="Arial"/>
          <w:sz w:val="17"/>
          <w:szCs w:val="17"/>
          <w:color w:val="auto"/>
        </w:rPr>
      </w:pPr>
    </w:p>
    <w:p>
      <w:pPr>
        <w:ind w:left="120"/>
        <w:spacing w:after="0" w:line="253" w:lineRule="auto"/>
        <w:rPr>
          <w:sz w:val="20"/>
          <w:szCs w:val="20"/>
          <w:color w:val="auto"/>
        </w:rPr>
      </w:pPr>
      <w:r>
        <w:rPr>
          <w:rFonts w:ascii="Arial" w:cs="Arial" w:eastAsia="Arial" w:hAnsi="Arial"/>
          <w:sz w:val="18"/>
          <w:szCs w:val="18"/>
          <w:color w:val="auto"/>
        </w:rPr>
        <w:t>We also incorporate by reference into this prospectus supplement and the accompanying prospectus Any documents we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into this prospectus supplement and the accompanying prospectus by reference to the extent that statements in the later filed document modify or replace such earlier statements.</w:t>
      </w:r>
    </w:p>
    <w:p>
      <w:pPr>
        <w:spacing w:after="0" w:line="196" w:lineRule="exact"/>
        <w:rPr>
          <w:rFonts w:ascii="Arial" w:cs="Arial" w:eastAsia="Arial" w:hAnsi="Arial"/>
          <w:sz w:val="17"/>
          <w:szCs w:val="17"/>
          <w:color w:val="auto"/>
        </w:rPr>
      </w:pPr>
    </w:p>
    <w:p>
      <w:pPr>
        <w:ind w:left="120"/>
        <w:spacing w:after="0" w:line="296" w:lineRule="auto"/>
        <w:rPr>
          <w:sz w:val="20"/>
          <w:szCs w:val="20"/>
          <w:color w:val="auto"/>
        </w:rPr>
      </w:pPr>
      <w:r>
        <w:rPr>
          <w:rFonts w:ascii="Arial" w:cs="Arial" w:eastAsia="Arial" w:hAnsi="Arial"/>
          <w:sz w:val="16"/>
          <w:szCs w:val="16"/>
          <w:color w:val="auto"/>
        </w:rPr>
        <w:t>This prospectus supplement and the accompanying prospectus may contain information that updates, modifies or is contrary to information in one or more of the documents incorporated by reference in this prospectus supplement and the accompanying prospectus. You should rely only on the information incorporated by reference or provided in this prospectus supplement and the accompanying prospectus. We have not authorized anyone else to provide you with different information. You should not assume that the information in this prospectus supplement is accurate as of any date other than the date of this prospectus supplement, the accompanying prospectus or the date of the documents incorporated by reference in this prospectus.</w:t>
      </w:r>
    </w:p>
    <w:p>
      <w:pPr>
        <w:spacing w:after="0" w:line="161" w:lineRule="exact"/>
        <w:rPr>
          <w:rFonts w:ascii="Arial" w:cs="Arial" w:eastAsia="Arial" w:hAnsi="Arial"/>
          <w:sz w:val="17"/>
          <w:szCs w:val="17"/>
          <w:color w:val="auto"/>
        </w:rPr>
      </w:pPr>
    </w:p>
    <w:p>
      <w:pPr>
        <w:ind w:left="120" w:right="20"/>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any or all of the information that is incorporated by reference in this prospectus supplement</w:t>
      </w:r>
    </w:p>
    <w:p>
      <w:pPr>
        <w:spacing w:after="0" w:line="103"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(excluding certain exhibits to the documents) but not delivered with the prospectus supplement. You can request a copy of these filings, at no cost, by writing or telephoning us at the following address or telephone number:</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650-466-7125</w:t>
      </w:r>
    </w:p>
    <w:p>
      <w:pPr>
        <w:spacing w:after="0" w:line="21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You may also access the documents incorporated by reference in this prospectus supplement and the accompanying prospectus through our website at www.alxoncology .com. Except for the specific incorporated documents listed above, no information available on or through our website shall be deemed to be incorporated into this prospectus supplement and the accompanying prospectus or the registration statement of which it forms a part.</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0900"/>
          </w:cols>
          <w:pgMar w:left="320" w:top="459" w:right="6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184785</wp:posOffset>
            </wp:positionV>
            <wp:extent cx="195453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Up to $450,000,000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31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2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29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73" w:lineRule="exact"/>
        <w:rPr>
          <w:sz w:val="20"/>
          <w:szCs w:val="20"/>
          <w:color w:val="auto"/>
        </w:rPr>
      </w:pPr>
    </w:p>
    <w:p>
      <w:pPr>
        <w:ind w:left="120" w:right="40"/>
        <w:spacing w:after="0" w:line="239" w:lineRule="auto"/>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2 OF THIS PROSPECTUS AND IN ANY SIMILAR SECTION CONTAINED IN OR INCORPORATED BY REFERENCE HEREIN OR IN THE APPLICABLE PROSPECTUS SUPPLEMENT CONCERNING FACTORS YOU SHOULD CONSIDER BEFORE INVESTING IN OUR SECURITIES.</w:t>
      </w:r>
    </w:p>
    <w:p>
      <w:pPr>
        <w:spacing w:after="0" w:line="30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On May 12, 2022, the last reported sale price of our common stock on The Nasdaq Global Select Market was $9.00 per share.</w:t>
      </w:r>
    </w:p>
    <w:p>
      <w:pPr>
        <w:spacing w:after="0" w:line="274"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25, 2022.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5"/>
            <w:vMerge w:val="restart"/>
          </w:tcPr>
          <w:p>
            <w:pPr>
              <w:spacing w:after="0"/>
              <w:rPr>
                <w:sz w:val="20"/>
                <w:szCs w:val="20"/>
                <w:color w:val="auto"/>
              </w:rPr>
            </w:pPr>
            <w:r>
              <w:rPr>
                <w:rFonts w:ascii="Arial" w:cs="Arial" w:eastAsia="Arial" w:hAnsi="Arial"/>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660" w:type="dxa"/>
            <w:vAlign w:val="bottom"/>
            <w:gridSpan w:val="15"/>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THE COMPANY</w:t>
            </w:r>
          </w:p>
        </w:tc>
        <w:tc>
          <w:tcPr>
            <w:tcW w:w="940" w:type="dxa"/>
            <w:vAlign w:val="bottom"/>
            <w:tcBorders>
              <w:top w:val="single" w:sz="8" w:color="0000EE"/>
            </w:tcBorders>
            <w:gridSpan w:val="5"/>
          </w:tcPr>
          <w:p>
            <w:pPr>
              <w:spacing w:after="0"/>
              <w:rPr>
                <w:sz w:val="17"/>
                <w:szCs w:val="17"/>
                <w:color w:val="auto"/>
              </w:rPr>
            </w:pPr>
          </w:p>
        </w:tc>
        <w:tc>
          <w:tcPr>
            <w:tcW w:w="84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SPECIAL NOTE REGARDING FORWARD LOOKING STATEMENTS</w:t>
            </w:r>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SECURITIES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360" w:type="dxa"/>
            <w:vAlign w:val="bottom"/>
            <w:tcBorders>
              <w:top w:val="single" w:sz="8" w:color="0000EE"/>
            </w:tcBorders>
          </w:tcPr>
          <w:p>
            <w:pPr>
              <w:spacing w:after="0"/>
              <w:rPr>
                <w:sz w:val="17"/>
                <w:szCs w:val="17"/>
                <w:color w:val="auto"/>
              </w:rPr>
            </w:pPr>
          </w:p>
        </w:tc>
        <w:tc>
          <w:tcPr>
            <w:tcW w:w="78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PURCHASE CONTRACTS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520" w:type="dxa"/>
            <w:vAlign w:val="bottom"/>
            <w:tcBorders>
              <w:top w:val="single" w:sz="8" w:color="0000EE"/>
            </w:tcBorders>
            <w:gridSpan w:val="5"/>
          </w:tcPr>
          <w:p>
            <w:pPr>
              <w:spacing w:after="0"/>
              <w:rPr>
                <w:sz w:val="17"/>
                <w:szCs w:val="17"/>
                <w:color w:val="auto"/>
              </w:rPr>
            </w:pPr>
          </w:p>
        </w:tc>
        <w:tc>
          <w:tcPr>
            <w:tcW w:w="71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54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7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When we refer to “ALX Oncology Holdings,” “we,” “our,” “us” and the “Company” in this prospectus, we mean ALX Oncology Holdings Inc., unless the context indicates otherwise or unless otherwise specified. When we refer to “you,” we mean the holders of the applicable series of securities.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March 31, 2022, we had dosed over 200 subjects with evorpacept across a range of hematologic and solid malignancies in combination with a number of leading anti-cancer agents. We plan to initiate additional studies in combination with leading anti-cancer agents. In solid tumors, we are conducting two ongoing randomized Phase 2 trials of evorpacept for the treatment of first-line advanced head and neck squamous cell carcinoma, or HNSCC, with the first subject enrolled in the first trial in May 2021 and the first subject enrolled in the second trial in July 2021. We also initiated a randomized Phase 2/3 trial of evorpacept in combination with trastuzumab, ramucirumab and paclitaxel for the treatment of second line advanced HER2-overexpressing gastric/gastroesophageal junction, or GEJ, cancer and dosed the first patient in March 2022. Our collaborator, Zymeworks, is also conducting an ongoing Phase 1 trial for the treatment of advanced HER2-expressing breast cancer and other solid tumors and enrolled the first subject in October 2021. In hematologic malignancies, we have initiated two Phase 1 trials of evorpacept for the treatment of myelodysplastic syndromes, or MDS, and acute myeloid leukemia, or AML, and are enrolling patients in both trials.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us and Tallac Therapeutics, Inc. (Tallac), combines our company’s SIRPα antibodies with Tallac’s toll-like receptor 9 (TRL9)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acquisition of ScalmiBio, Inc. (ScalmiBio) in the fourth quarter of 2021, we seek to expand our pipeline of drug candidates to antibody drug conjugates based on expertise in protein engineering and oncology.</w:t>
      </w:r>
    </w:p>
    <w:p>
      <w:pPr>
        <w:spacing w:after="0" w:line="178" w:lineRule="exact"/>
        <w:rPr>
          <w:sz w:val="20"/>
          <w:szCs w:val="20"/>
          <w:color w:val="auto"/>
        </w:rPr>
      </w:pPr>
    </w:p>
    <w:p>
      <w:pPr>
        <w:jc w:val="both"/>
        <w:ind w:left="120" w:right="680"/>
        <w:spacing w:after="0" w:line="263" w:lineRule="auto"/>
        <w:rPr>
          <w:sz w:val="20"/>
          <w:szCs w:val="20"/>
          <w:color w:val="auto"/>
        </w:rPr>
      </w:pPr>
      <w:r>
        <w:rPr>
          <w:rFonts w:ascii="Arial" w:cs="Arial" w:eastAsia="Arial" w:hAnsi="Arial"/>
          <w:sz w:val="18"/>
          <w:szCs w:val="18"/>
          <w:color w:val="auto"/>
        </w:rPr>
        <w:t>Our office is located at 323 Allerton Avenue, South San Francisco, CA 94080. Our telephone number is 650-466-7125. Our website address is https://www.alxoncology.com. Information contained on, or that can be accessed through, our website is not incorporated by reference into this prospectus and should not be considered to be part of this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our most recently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the impact of the ongoing COVID-19 pandemic or geopolitical risks on our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 our anticipated use of our existing cash, cash equivalents and investments.</w:t>
      </w:r>
    </w:p>
    <w:p>
      <w:pPr>
        <w:spacing w:after="0" w:line="225"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459"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common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preferred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warrants to purchase shares of our common stock or preferred stock or other securities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units representing two or more of the foregoing securities.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the amended and restated bylaws, copies of which are filed with the SEC as exhibits to our registration statement, of which this prospectus forms a part.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preferred stock and common stock. Our authorized capital stock consists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1,100,000,000 shares, $0.001 par value per share, of which:</w:t>
      </w:r>
    </w:p>
    <w:p>
      <w:pPr>
        <w:spacing w:after="0" w:line="11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1,000,000,000 shares are designated as voting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ratably those dividends, if any, as may be declared by the board of directors out of legally available funds. 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Subject to preferences that may be applicable to any then-outstanding shares of convertible preferred stock, holders of our common stock are entitled to receive dividends, if any, as may be declared from time to time by our board of directors out of legally available funds.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We are party to that certain Amended and Restated Investors’ Rights Agreement dated April 1, 2020,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Certain holders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Certain holders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this offering, certain holders of our common stock were entitled to, and the necessary percentage of holders waived, their rights to notice of this offering and to include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29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designated Class I, Class II and Class III. The current board of directors consists of seven members, divided into three classes with staggered three-year terms. The term of initial Class I directors terminated on the date of the 2021 annual meeting. At the 2021 annual meeting, Corey Goodman, Ph.D., Jason Lettmann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Sophia Randolph, M.D., Ph.D., were nominated and elected to serve as Class I directors for a three-year term until the 2024 annual meeting of stockholders or until their successors are duly elected and qualified. The term of the initial Class II directors shall terminate on the date of the 2022 annual meeting, and the term of the initial Class III directors shall terminate on the date of the 2023 annual meeting. At each subsequent annual meeting of stockholders, successors to the class of directors whose term expires at that annual meeting will be elected for a three-year term.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affected by 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the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of Liability and Indemnification of Officers and Directors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4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Investors may be adversely affected to the extent we pay the costs of settlement and damage awards against directors and officers pursuant to these indemnification provisions.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trading symbol “ALXO.”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w:t>
      </w:r>
    </w:p>
    <w:p>
      <w:pPr>
        <w:spacing w:after="0" w:line="93"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designation and terms of the common stock or preferred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common stock, or preferred stock will be separately transferable;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320" w:top="459" w:right="5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6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requirement for us to make periodic payments to holders or vice versa, and whether the payments are unsecured or pre-funded;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459" w:right="5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included in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“at the market” offerings, negotiated transactions, block trades or a combination of these methods. We may sell the offered securities from time to time:</w:t>
      </w:r>
    </w:p>
    <w:p>
      <w:pPr>
        <w:spacing w:after="0" w:line="5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9" w:right="7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ALX Oncology Holdings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consolidated financial statements of ALX Oncology Holdings Inc. as of December 31, 2021 and 2020, and for each of the years in the three-year period ended December 31, 2021, and management’s assessment of the effectiveness of internal control over financial reporting as of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2021 consolidated financial statements refers to a change to the method of accounting for leases.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February 28,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7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9, 2022;</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2021, from our </w:t>
      </w:r>
      <w:hyperlink r:id="rId80">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2022 annual meeting of stockholders, filed with the SEC on April 22, 2022;</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81">
        <w:r>
          <w:rPr>
            <w:rFonts w:ascii="Arial" w:cs="Arial" w:eastAsia="Arial" w:hAnsi="Arial"/>
            <w:sz w:val="18"/>
            <w:szCs w:val="18"/>
            <w:u w:val="single" w:color="auto"/>
            <w:color w:val="0000EE"/>
          </w:rPr>
          <w:t>Form 8-K</w:t>
        </w:r>
      </w:hyperlink>
      <w:r>
        <w:rPr>
          <w:rFonts w:ascii="Arial" w:cs="Arial" w:eastAsia="Arial" w:hAnsi="Arial"/>
          <w:sz w:val="18"/>
          <w:szCs w:val="18"/>
          <w:color w:val="auto"/>
        </w:rPr>
        <w:t>, which was filed with the SEC on April 12, 2022;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54">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8"/>
          <w:szCs w:val="18"/>
          <w:color w:val="auto"/>
        </w:rPr>
      </w:pPr>
    </w:p>
    <w:p>
      <w:pPr>
        <w:ind w:left="120"/>
        <w:spacing w:after="0" w:line="290" w:lineRule="auto"/>
        <w:rPr>
          <w:sz w:val="20"/>
          <w:szCs w:val="20"/>
          <w:color w:val="auto"/>
        </w:rPr>
      </w:pPr>
      <w:r>
        <w:rPr>
          <w:rFonts w:ascii="Arial" w:cs="Arial" w:eastAsia="Arial" w:hAnsi="Arial"/>
          <w:sz w:val="16"/>
          <w:szCs w:val="16"/>
          <w:color w:val="auto"/>
        </w:rPr>
        <w:t>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5"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323 Allerton Avenue</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South San Francisco, CA 94080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8"/>
          <w:szCs w:val="18"/>
          <w:color w:val="auto"/>
        </w:rPr>
      </w:pPr>
    </w:p>
    <w:p>
      <w:pPr>
        <w:ind w:left="120" w:right="16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1791335</wp:posOffset>
            </wp:positionV>
            <wp:extent cx="1954530" cy="702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Shares of Common Stock</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508635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tabs>
          <w:tab w:leader="none" w:pos="10340" w:val="left"/>
        </w:tabs>
        <w:rPr>
          <w:sz w:val="20"/>
          <w:szCs w:val="20"/>
          <w:color w:val="auto"/>
        </w:rPr>
      </w:pPr>
      <w:r>
        <w:rPr>
          <w:rFonts w:ascii="Arial" w:cs="Arial" w:eastAsia="Arial" w:hAnsi="Arial"/>
          <w:sz w:val="25"/>
          <w:szCs w:val="25"/>
          <w:b w:val="1"/>
          <w:bCs w:val="1"/>
          <w:color w:val="auto"/>
        </w:rPr>
        <w:t>Piper Sandler</w:t>
      </w:r>
      <w:r>
        <w:rPr>
          <w:sz w:val="20"/>
          <w:szCs w:val="20"/>
          <w:color w:val="auto"/>
        </w:rPr>
        <w:tab/>
      </w:r>
      <w:r>
        <w:rPr>
          <w:rFonts w:ascii="Arial" w:cs="Arial" w:eastAsia="Arial" w:hAnsi="Arial"/>
          <w:sz w:val="24"/>
          <w:szCs w:val="24"/>
          <w:b w:val="1"/>
          <w:bCs w:val="1"/>
          <w:color w:val="auto"/>
        </w:rPr>
        <w:t>Cantor</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October 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1)"/>
      <w:numFmt w:val="lowerRoman"/>
      <w:start w:val="12"/>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2"/>
    </w:lvl>
    <w:lvl w:ilvl="1">
      <w:lvlJc w:val="left"/>
      <w:lvlText w:val="(%2)"/>
      <w:numFmt w:val="lowerRoman"/>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jpe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jpeg"/><Relationship Id="rId84" Type="http://schemas.openxmlformats.org/officeDocument/2006/relationships/image" Target="media/image65.png"/><Relationship Id="rId85" Type="http://schemas.openxmlformats.org/officeDocument/2006/relationships/image" Target="media/image66.png"/><Relationship Id="rId47" Type="http://schemas.openxmlformats.org/officeDocument/2006/relationships/hyperlink" Target="http://www.sec.gov/Archives/edgar/data/1810182/000095017023007013/alxo-20221231.htm" TargetMode="External"/><Relationship Id="rId48" Type="http://schemas.openxmlformats.org/officeDocument/2006/relationships/hyperlink" Target="http://www.sec.gov/Archives/edgar/data/1810182/000095017023021247/alxo-20230331.htm" TargetMode="External"/><Relationship Id="rId49" Type="http://schemas.openxmlformats.org/officeDocument/2006/relationships/hyperlink" Target="http://www.sec.gov/Archives/edgar/data/1810182/000095017023041319/alxo-20230630.htm" TargetMode="External"/><Relationship Id="rId50" Type="http://schemas.openxmlformats.org/officeDocument/2006/relationships/hyperlink" Target="http://www.sec.gov/Archives/edgar/data/1810182/000095017023028787/alxo-20230616.htm" TargetMode="External"/><Relationship Id="rId51" Type="http://schemas.openxmlformats.org/officeDocument/2006/relationships/hyperlink" Target="http://www.sec.gov/ix?doc=/Archives/edgar/data/0001810182/000119312523229584/d846509d8k.htm" TargetMode="External"/><Relationship Id="rId52" Type="http://schemas.openxmlformats.org/officeDocument/2006/relationships/hyperlink" Target="http://www.sec.gov/ix?doc=/Archives/edgar/data/0001810182/000119312523250357/d539238d8k.htm" TargetMode="External"/><Relationship Id="rId53" Type="http://schemas.openxmlformats.org/officeDocument/2006/relationships/hyperlink" Target="http://www.sec.gov/Archives/edgar/data/1810182/000095017023013952/alxo_def_14a_2023_proxy.htm" TargetMode="External"/><Relationship Id="rId54" Type="http://schemas.openxmlformats.org/officeDocument/2006/relationships/hyperlink" Target="http://www.sec.gov/Archives/edgar/data/0001810182/000119312520191878/d936945d8a12b.htm" TargetMode="External"/><Relationship Id="rId78" Type="http://schemas.openxmlformats.org/officeDocument/2006/relationships/hyperlink" Target="http://www.sec.gov/Archives/edgar/data/0001810182/000156459022007364/alxo-10k_20211231.htm" TargetMode="External"/><Relationship Id="rId79" Type="http://schemas.openxmlformats.org/officeDocument/2006/relationships/hyperlink" Target="http://www.sec.gov/ix?doc=/Archives/edgar/data/0001810182/000095017022008499/alxo-20220331.htm" TargetMode="External"/><Relationship Id="rId80" Type="http://schemas.openxmlformats.org/officeDocument/2006/relationships/hyperlink" Target="http://www.sec.gov/Archives/edgar/data/0001810182/000095017022005982/alxo-def_14a-2022_proxy.htm" TargetMode="External"/><Relationship Id="rId81" Type="http://schemas.openxmlformats.org/officeDocument/2006/relationships/hyperlink" Target="http://www.sec.gov/ix?doc=/Archives/edgar/data/0001810182/000095017022005597/alxo-202204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2023-10-04T16:28:55Z</dcterms:created>
  <dcterms:modified xsi:type="dcterms:W3CDTF">2023-10-04T16:28:55Z</dcterms:modified>
</cp:coreProperties>
</file>