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13,117,106.00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13,117,106.00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13,117,106.00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13,117,106.00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13,117,106.00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13,117,106.00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13,117,106.00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13,117,106.00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13,117,106.00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00166B105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13,117,106.00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13,117,106.00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13,117,106.00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10000"/>
          </w:cols>
          <w:pgMar w:left="360" w:top="12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ALX Oncology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323 ALLERTON AVENUE,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2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RA Capital Management, L.P., 200 Berkeley Street, 18th Floor, Boston MA 02116</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00166B105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7" w:orient="portrait"/>
          <w:cols w:equalWidth="0" w:num="1">
            <w:col w:w="11120"/>
          </w:cols>
          <w:pgMar w:left="360" w:top="126" w:right="41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shares of common stock of the Issuer beneficially owned by such Reporting Person and is incorporated by reference. The Fund directly holds (i) 13,011,849 shares of common stock; and (ii) pre-funded warrants (the "Pre-Funded Warrants") exercisable for up to 12,473,803 shares of common stock. The Pre-Funded Warrants contain a provision (the "Beneficial Ownership Blocker") which precludes exercise of the Pre-Funded Warrants to the extent that, following exercise, the Fund, together with its affiliates and other attribution parties, would own more than 9.99% of the common stock outstanding. The Fund is currently prohibited from exercising the Pre-Funded Warrants to the extent that such exercise would result in the Reporting Persons' beneficial ownership of more than 13,117,106 shares of common stock. RA Capital Healthcare Fund GP, LLC is the general partner of the Fund. The general partner of RA</w:t>
      </w:r>
    </w:p>
    <w:p>
      <w:pPr>
        <w:spacing w:after="0" w:line="1" w:lineRule="exact"/>
        <w:rPr>
          <w:sz w:val="20"/>
          <w:szCs w:val="20"/>
          <w:color w:val="auto"/>
        </w:rPr>
      </w:pPr>
    </w:p>
    <w:p>
      <w:pPr>
        <w:ind w:left="920" w:hanging="912"/>
        <w:spacing w:after="0" w:line="235"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 Percent of class:</w:t>
      </w:r>
    </w:p>
    <w:p>
      <w:pPr>
        <w:spacing w:after="0" w:line="211" w:lineRule="exact"/>
        <w:rPr>
          <w:rFonts w:ascii="Times New Roman" w:cs="Times New Roman" w:eastAsia="Times New Roman" w:hAnsi="Times New Roman"/>
          <w:sz w:val="22"/>
          <w:szCs w:val="22"/>
          <w:color w:val="auto"/>
        </w:rPr>
      </w:pPr>
    </w:p>
    <w:p>
      <w:pPr>
        <w:ind w:left="920" w:right="3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Due to the Beneficial Ownership Blocker listed in the Pre-Funded Warrants, each Reporting Person's beneficial ownership percentage is 9.99%. Such percentage is based upon the sum of (i) 54,218,001 shares of common stock</w:t>
      </w:r>
    </w:p>
    <w:p>
      <w:pPr>
        <w:ind w:left="920" w:hanging="912"/>
        <w:spacing w:after="0" w:line="209"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outstanding as of October 31, 2025, as reported in the Issuer's Quarterly Report on Form 10-Q filed with the Securities and Exchange Commission (the "SEC") on November 7, 2025; (ii) 76,979,112 shares of common stock issued in the Issuer's public offering of equity securities that closed on February 2, 2026, as reported in the Issuer's prospectus supplement dated January 30, 2026 filed with the SEC on January 30, 2026; and (iii) 105,257 shares of common stock issuable upon the exercise of the Pre-Funded Warrants. Due to field limitations of the EDGAR filing system, the percentages listed in Row 11 of the Reporting Persons' cover pages have been rounded down to 9.9%. %</w:t>
      </w:r>
    </w:p>
    <w:p>
      <w:pPr>
        <w:spacing w:after="0" w:line="15"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40"/>
        <w:spacing w:after="0" w:line="282" w:lineRule="auto"/>
        <w:rPr>
          <w:sz w:val="20"/>
          <w:szCs w:val="20"/>
          <w:color w:val="auto"/>
        </w:rPr>
      </w:pPr>
      <w:r>
        <w:rPr>
          <w:rFonts w:ascii="Times New Roman" w:cs="Times New Roman" w:eastAsia="Times New Roman" w:hAnsi="Times New Roman"/>
          <w:sz w:val="21"/>
          <w:szCs w:val="21"/>
          <w:color w:val="auto"/>
        </w:rPr>
        <w:t>Row 5 of each Reporting Person's cover page to this Schedule 13G sets forth the sole power to vote or to direct the vote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40"/>
        <w:spacing w:after="0" w:line="258"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1100"/>
          </w:cols>
          <w:pgMar w:left="360" w:top="166" w:right="439" w:bottom="167"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21"/>
          <w:szCs w:val="21"/>
          <w:color w:val="auto"/>
        </w:rPr>
        <w:t>Row 7 of each Reporting Person's cover page to this Schedule 13G sets forth the sole power to dispose or to direct the disposition of securities of the Issuer beneficially owned by such Reporting Person and is incorporated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031"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02/09/2026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02/09/2026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02/09/2026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02/09/2026</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1" w:right="399" w:bottom="1031"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dated as of February 9, 2026, is by and among RA Capital Management, L.P., Peter Kolchinsky, Rajeev Shah and RA Capital Healthcare Fund, L.P. (the foregoing are collectively referred to herein as the “Filers”).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of the Filers may be required to file with the United States Securities and Exchange Commission a statement on Schedule 13G and/or 13D with respect to the common stock, par value $0.001 per share of ALX Oncology Holdings Inc. beneficially owned by them from time to time.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as of the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MANAGEMENT,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PETER KOLCHINSKY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Kolchinsky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RAJEEV SHAH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Rajeev Shah</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HEALTHCARE FUND,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Healthcare Fund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2026-02-09T16:04:08Z</dcterms:created>
  <dcterms:modified xsi:type="dcterms:W3CDTF">2026-02-09T16:04:08Z</dcterms:modified>
</cp:coreProperties>
</file>