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51231.htm"/>
      <w:bookmarkStart w:id="1" w:name="ksalxo20251231"/>
      <w:bookmarkEnd w:id="0"/>
      <w:bookmarkEnd w:id="1"/>
      <w:r>
        <w:rPr/>
        <w:t> </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ind w:left="4320" w:right="4320" w:hanging="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40" w:after="283"/>
        <w:ind w:left="4320" w:right="4320" w:hanging="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ind w:left="4320" w:right="4320" w:hanging="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ind w:left="4320" w:right="4320" w:hanging="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 650-466-7125</w:t>
      </w:r>
    </w:p>
    <w:p>
      <w:pPr>
        <w:pStyle w:val="TextBody"/>
        <w:bidi w:val="0"/>
        <w:spacing w:before="40" w:after="283"/>
        <w:ind w:left="4320" w:right="4320" w:hanging="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the registrant’s common stock held by non-affiliates of the registrant on June 30, 2025, the last business day of its most recently completed second fiscal quarter, was $18.0</w:t>
      </w:r>
      <w:r>
        <w:rPr>
          <w:rFonts w:ascii="Times New Roman" w:hAnsi="Times New Roman"/>
          <w:color w:val="000000"/>
          <w:sz w:val="20"/>
        </w:rPr>
        <w:t xml:space="preserve"> </w:t>
      </w:r>
      <w:r>
        <w:rPr>
          <w:rFonts w:ascii="Times New Roman" w:hAnsi="Times New Roman"/>
          <w:color w:val="000000"/>
          <w:sz w:val="16"/>
        </w:rPr>
        <w:t>million based on the closing sales price of the registrant’s common stock on that date.</w:t>
      </w:r>
    </w:p>
    <w:p>
      <w:pPr>
        <w:pStyle w:val="TextBody"/>
        <w:bidi w:val="0"/>
        <w:spacing w:before="40" w:after="283"/>
        <w:jc w:val="left"/>
        <w:rPr>
          <w:rFonts w:ascii="Times New Roman" w:hAnsi="Times New Roman"/>
          <w:sz w:val="20"/>
        </w:rPr>
      </w:pPr>
      <w:r>
        <w:rPr>
          <w:rFonts w:ascii="Times New Roman" w:hAnsi="Times New Roman"/>
          <w:color w:val="000000"/>
          <w:sz w:val="16"/>
        </w:rPr>
        <w:t>The number of shares of registrant’s Common Stock outstanding as of March 2, 2026 was 131,608,278.</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Certain portions of the registrant’s definitive proxy statement relating to the Company’s 2024 Annual Meeting of Stockholders, to be filed with the Securities and Exchange Commission within 120 days of the registrant’s fiscal year ended December 31, 2025, are incorporated by reference into Part III of this Annual Report on Form 10-K where indicated.</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 </w:t>
      </w:r>
    </w:p>
    <w:p>
      <w:pPr>
        <w:pStyle w:val="TextBody"/>
        <w:bidi w:val="0"/>
        <w:ind w:left="0" w:right="0" w:firstLine="490"/>
        <w:jc w:val="left"/>
        <w:rPr/>
      </w:pPr>
      <w:r>
        <w:rPr/>
        <w:t>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EE"/>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EE"/>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EE"/>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EE"/>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EE"/>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EE"/>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EE"/>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EE"/>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EE"/>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EE"/>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EE"/>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EE"/>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EE"/>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EE"/>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EE"/>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EE"/>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EE"/>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EE"/>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EE"/>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EE"/>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EE"/>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EE"/>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We are a clinical-stage biotechnology company advancing a pipeline of novel therapies designed to treat cancer and extend patients’ lives. Our clinical pipeline includes two clinical-stage product candidates, the CD47 blocker evorpacept and an epidermal growth factor receptor (EGFR)-targeted antibody drug candidate (ADC) ALX2004. Our lead product candidate, evorpacept, has demonstrated potential to serve as a cornerstone therapy upon which the future of immuno-oncology can be built for patients whose cancer over-expresses CD47. Evorpacept is currently being evaluated in combination with trastuzumab and chemotherapy in patients with metastatic HER2-positive breast cancer in the Phase 2 ASPEN-09-Breast clinical trial and is also being studied in clinical trials with other targeted anti-cancer antibodies. Cancer cells leverage CD47, a cell surface protein, as a “don’t eat me” signal to evade macrophage phagocytosis. We are developing evorpacept to be a next-generation checkpoint inhibitor designed to have a high affinity for CD47 and to avoid the limitations caused by hematologic toxicities inherent in other CD47 blocking approaches. Our second pipeline candidate, ALX2004, is a novel EGFR-targeted antibody-drug conjugate with a differentiated mechanism of action entered into a Phase 1 clinical trial in August 2025.</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ALX Oncology was founded to address fundamental challenges in blocking CD47 and to realize the full potential of this therapeutic target. Clinical data on competing CD47 blockers to date have come from molecules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found on myeloid cells such as macrophages, that is the natural receptor to CD47.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increased tumor penetration, and greater combination potential with other leading anti-cancer agents. Additionally, the molecular weight of evorpacept is half that of a typical antibody, therefore allowing for higher dosing (10 mg/kg of evorpacept is equivalent to 20 mg/kg of a regular antibody). The relatively smaller size of our molecule may facilitate increased penetrance into the tumor microenvironment. We believe these properties may enable evorpacept to provide superior therapeutic benefits.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Clinical data to date in evorpacept have not shown the dose-dependent hematologic toxicities characteristic of other CD47 blockers that incorporate an active Fc domain. Approximately 800 subjects have been treated with evorpacept in combination with targeted anti-cancer agents, small molecules, and checkpoint inhibitors to date. Evorpacept has not reached a maximum tolerated dose in any of the combinations evaluated to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 </w:t>
      </w:r>
    </w:p>
    <w:p>
      <w:pPr>
        <w:pStyle w:val="TextBody"/>
        <w:bidi w:val="0"/>
        <w:ind w:left="0" w:right="0" w:firstLine="490"/>
        <w:jc w:val="left"/>
        <w:rPr>
          <w:rFonts w:ascii="Times New Roman" w:hAnsi="Times New Roman"/>
          <w:sz w:val="20"/>
        </w:rPr>
      </w:pPr>
      <w:r>
        <w:rPr>
          <w:rFonts w:ascii="Times New Roman" w:hAnsi="Times New Roman"/>
          <w:color w:val="000000"/>
          <w:sz w:val="20"/>
        </w:rPr>
        <w:t>Data from the randomized ASPEN-06 Phase 2 clinical trial supports the clinical validation of this mechanism of action. ASPEN-06 evaluates the contribution of evorpacept to HERCEPTIN</w:t>
      </w:r>
      <w:r>
        <w:rPr>
          <w:rFonts w:ascii="Times New Roman" w:hAnsi="Times New Roman"/>
          <w:color w:val="000000"/>
          <w:sz w:val="13"/>
        </w:rPr>
        <w:t>®</w:t>
      </w:r>
      <w:r>
        <w:rPr>
          <w:rFonts w:ascii="Times New Roman" w:hAnsi="Times New Roman"/>
          <w:color w:val="000000"/>
          <w:sz w:val="20"/>
        </w:rPr>
        <w:t xml:space="preserve"> (trastuzumab) plus standard of care (CYRAMZA</w:t>
      </w:r>
      <w:r>
        <w:rPr>
          <w:rFonts w:ascii="Times New Roman" w:hAnsi="Times New Roman"/>
          <w:color w:val="000000"/>
          <w:sz w:val="13"/>
        </w:rPr>
        <w:t>®</w:t>
      </w:r>
      <w:r>
        <w:rPr>
          <w:rFonts w:ascii="Times New Roman" w:hAnsi="Times New Roman"/>
          <w:color w:val="000000"/>
          <w:sz w:val="20"/>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The full data set was previously presented. Results from a pre-planned exploratory analysis were presented at the Society for Immunotherapy of Cancer (SITC) Annual Meeting: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 positive on a tumor biopsy after receiving a HER2-targeted treatment or by HER2 amplification by circulating tumor DNA (ctDNA). The data was highlighted as part of a poster presentation at the SITC Annual Meeting in November 2025. </w:t>
      </w:r>
    </w:p>
    <w:p>
      <w:pPr>
        <w:pStyle w:val="TextBody"/>
        <w:bidi w:val="0"/>
        <w:spacing w:before="12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retained HER2-positive and CD47-high gastric cancer (n=43), Evo-TRP had a 65.0% objective response rate (ORR) versus 26.1% ORR for TRP, while patients with retained HER2-positive and CD47-low gastric cancer (n=47), Evo-TRP had a 37.5% ORR compared to 26.1% ORR for TRP.</w:t>
      </w:r>
    </w:p>
    <w:p>
      <w:pPr>
        <w:pStyle w:val="TextBody"/>
        <w:bidi w:val="0"/>
        <w:spacing w:before="12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response (DOR) was three times longer in the Evo-TRP arm relative to TRP in these patients. Evo-TRP had a median DOR (mDOR) of 25.5 months versus 8.4 months mDOR for TRP, while patients with retained HER2-positive and CD47-low gastric cancer, had an mDOR of 11.2 months for Evo-TRP compared to 12 months for TRP. Progression free survival (PFS) and overall survival (OS) data were evaluated in these patients. Treatment with Evo-TRP resulted in a median PFS (mPFS) of 18.4 months versus 7.0 months for TRP, hazard ratio (HR) of 0.39. Treatment with Evo-TRP resulted in a median OS (mOS) of 17 months versus 9.9 months for TRP, HR of 0.70.</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Evorpacept has been combined in clinical trials with multiple anti-cancer antibodies in addition to trastuzumab, including the CD20-targeted antibody rituximab, the CD38-targeted antibody isatuximab</w:t>
      </w:r>
      <w:r>
        <w:rPr>
          <w:rFonts w:ascii="Times New Roman" w:hAnsi="Times New Roman"/>
          <w:i/>
          <w:color w:val="000000"/>
          <w:sz w:val="20"/>
        </w:rPr>
        <w:t>-irfc</w:t>
      </w:r>
      <w:r>
        <w:rPr>
          <w:rFonts w:ascii="Times New Roman" w:hAnsi="Times New Roman"/>
          <w:color w:val="000000"/>
          <w:sz w:val="20"/>
        </w:rPr>
        <w:t>, and the HER2-targeted bispecific antibody zanidatamab. Our earlier ASPEN-01 Phase 1 positive data in combination with rituximab in non-Hodgkin lymphoma (NHL); the Phase 1/2 investigator-sponsored trial (IST) of evorpacept in combination with rituximab and lenalidomide in patients with relapsed refractory B-cell NHL (R/R B-NHL) and subsequently, in patients with newly diagnosed indolent B-cell NHL (iNHL); and the Phase 1b/2 trial of evorpacept with zanidatamab in patients with HER2-positive breast cancer provide additional support for the clinical validation of this mechanism of action and support exploring combinations of evorpacept with other anti-cancer antibodies.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second product candidate is ALX2004, a novel EGFR-targeted ADC. ALX2004 was created from our proprietary linker-payload library and fully designed and developed in-house by our scientists. ALX2004 comprises a matuzumab-derived affinity-selected EGFR antibody backbone engineered for optimal activity as an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engaged in the following clinical programs, collaborations, and investigator-sponsored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ind w:left="490" w:right="0" w:hanging="0"/>
        <w:jc w:val="left"/>
        <w:rPr>
          <w:rFonts w:ascii="Times New Roman" w:hAnsi="Times New Roman"/>
          <w:i/>
          <w:color w:val="000000"/>
          <w:sz w:val="20"/>
        </w:rPr>
      </w:pPr>
      <w:r>
        <w:rPr>
          <w:rFonts w:ascii="Times New Roman" w:hAnsi="Times New Roman"/>
          <w:i/>
          <w:color w:val="000000"/>
          <w:sz w:val="20"/>
        </w:rPr>
        <w:t>Combination with the HER2-targeted antibody trastuzumab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ASPEN-09-Breast – HER2+ Breast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that based on the magnitude of benefit in patients with high CD47 expression in HER2-positive gastric cancer, the ASPEN-09-Breast study in HER2-positive breast cancer evaluating evorpacept in combination with trastuzumab and chemotherapy has been amended to a single-arm design in all previously treated HER2 positive patients and will be evaluated by CD47 expression.</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the first patient had been dosed in the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w:t>
      </w:r>
      <w:r>
        <w:rPr>
          <w:rFonts w:ascii="Times New Roman" w:hAnsi="Times New Roman"/>
          <w:color w:val="000000"/>
          <w:sz w:val="13"/>
        </w:rPr>
        <w:t>®</w:t>
      </w:r>
      <w:r>
        <w:rPr>
          <w:color w:val="000000"/>
        </w:rPr>
        <w:t xml:space="preserve"> </w:t>
      </w:r>
      <w:r>
        <w:rPr>
          <w:rFonts w:ascii="Times New Roman" w:hAnsi="Times New Roman"/>
          <w:color w:val="000000"/>
          <w:sz w:val="20"/>
        </w:rPr>
        <w:t>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2025, we presented updated results from the ASPEN-06 Phase 2 clinical trial in an oral presentation at the 2025 American Society of Clinical Oncology Gastrointestinal Cancers Symposium. A confirmed ORR of 41.3% was demonstrated for the Evo-TRP treatment arm compared to 26.6% for the TRP control arm in the intent-to-treat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2025, we received guidance from the FDA that the ASPEN-06 Phase 2 trial data evaluating Evo-TRP was not eligible for submission for accelerated approval given the availability of ENHERTU. A Phase 3 versus ENHERTU trial would be needed to pursue a regulatory approval of evorpacept in the second-line setting for HER2-positive gastric and GEJ. Given our disciplined focus and the allocation of our resources, we will not pursue a U.S. registrational path with a Phase 3 trial in gastric cancer and will consider exploring development partnerships to advance this program in gastric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topline results from pre-planned exploratory analysis of the ASPEN-06 trial in gastric cancer, where CD47 overexpression was identified as a key predictive biomarker for response and durable benefit.</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November 2025, we presented a pre-planned exploratory analysis of the ASPEN-06 clinical trial in gastric cancer in which CD47 overexpression was identified as a key predictive biomarker for response and durable benefit in patients with retained HER2 expression. </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patients with retained HER2-positive and CD47-high gastric cancer (n=43), Evo-TRP had a 65.0% ORR versus 26.1% ORR for TRP, while patients with retained HER2-positive and CD47-low gastric cancer (n=47), Evo-TRP had a 37.5% ORR compared to 26.1% ORR for TRP.</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DOR was three times longer in the Evo-TRP arm relative to TRP in these patients. Evo-TRP had an mDOR of 25.5 months versus 8.4 months mDOR for TRP, while patients with retained HER2-positive and CD47-low gastric cancer, had an mDOR of 11.2 months for Evo-TRP compared to 12 months for TRP. PFS and OS data were evaluated in these patients. Treatment with Evo-TRP resulted in an mPFS of 18.4 months versus 7.0 months for TRP, HR of 0.39. Treatment with Evo-TRP resulted in an mOS of 17 months versus 9.9 months for TRP, HR of 0.70.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EGFR-targeted antibody cetuximab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ASPEN-CRC – Colorectal Cancer (CRC)</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1b study evaluating evorpacept in combination with the EGFR-targeted antibody cetuximab and FOLFIRI for the treatment of patients with second-line metastatic CRC.</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streamlined evorpacept development program to focus our resources on the ASPEN-09-Breast trial and paused the ASPEN-CRC study announced earlier in March 2025.</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ind w:left="490" w:right="0" w:hanging="0"/>
        <w:jc w:val="left"/>
        <w:rPr>
          <w:rFonts w:ascii="Times New Roman" w:hAnsi="Times New Roman"/>
          <w:i/>
          <w:color w:val="000000"/>
          <w:sz w:val="20"/>
        </w:rPr>
      </w:pPr>
      <w:r>
        <w:rPr>
          <w:rFonts w:ascii="Times New Roman" w:hAnsi="Times New Roman"/>
          <w:i/>
          <w:color w:val="000000"/>
          <w:sz w:val="20"/>
        </w:rPr>
        <w:t>Combination with the HER2-targeted bispecific, zanidatamab, and HER2-targeted ADC, fam-trastuzumab deruxtecan-nxki</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sponsored and managed the Phase 1b/2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an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mDOR was not reached for Cohort 1 patients (range: 3.6-25.9 months) and was 5.5 months for Cohort 2 patients (range: 3.6-11.0 months), with responses ongoing, including the longest observed response, in each cohort. The combination therapy was well tolerated with a manageable safety profile that was consistent with prior experience of each agent.</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an exploratory biomarker analysis showed responses in the trial were largely restricted to patients with higher CD47 expression.</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CD20-targeted antibody rituximab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2024, MD Anderson Cancer Center reported clinical data from the ongoing Phase 1/2 IST of evorpacept in combination with R</w:t>
      </w:r>
      <w:r>
        <w:rPr>
          <w:rFonts w:ascii="Times New Roman" w:hAnsi="Times New Roman"/>
          <w:color w:val="000000"/>
          <w:sz w:val="13"/>
        </w:rPr>
        <w:t>2</w:t>
      </w:r>
      <w:r>
        <w:rPr>
          <w:color w:val="000000"/>
        </w:rPr>
        <w:t xml:space="preserve"> </w:t>
      </w:r>
      <w:r>
        <w:rPr>
          <w:rFonts w:ascii="Times New Roman" w:hAnsi="Times New Roman"/>
          <w:color w:val="000000"/>
          <w:sz w:val="20"/>
        </w:rPr>
        <w:t>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w:t>
      </w:r>
      <w:r>
        <w:rPr>
          <w:rFonts w:ascii="Times New Roman" w:hAnsi="Times New Roman"/>
          <w:color w:val="000000"/>
          <w:sz w:val="13"/>
        </w:rPr>
        <w:t>2</w:t>
      </w:r>
      <w:r>
        <w:rPr>
          <w:color w:val="000000"/>
        </w:rPr>
        <w:t xml:space="preserve"> </w:t>
      </w:r>
      <w:r>
        <w:rPr>
          <w:rFonts w:ascii="Times New Roman" w:hAnsi="Times New Roman"/>
          <w:color w:val="000000"/>
          <w:sz w:val="20"/>
        </w:rPr>
        <w:t xml:space="preserve">treatment. The regimen was well tolerated, and there were no dose-limiting toxicities. Patients with indolent R/R B-NHL (n=18) had a best ORR of 94% and a complete response rate of 83%. The mDOR was not reached.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2025, final data for the Phase 1 portion of the MD Anderson Cancer Center IST was presented at the 2025 AACR Annual Meeting. In the total population (n=20), after a median follow-up of 28 months (95% CI, 18-28 months) the two-year PFS rate was 69% and two-year OS rate was 84%. The Phase 2 portion of the clinical trial in patients with previously untreated indolent NHL is ongoing and has completed enrollment.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December 2025, data for the Phase 2 portion of this trial, which enrolled patients with untreated indolent NHL was presented at the 2025 American Society of Hematology Annual Meeting. The combination of evorpacept with R</w:t>
      </w:r>
      <w:r>
        <w:rPr>
          <w:rFonts w:ascii="Times New Roman" w:hAnsi="Times New Roman"/>
          <w:color w:val="000000"/>
          <w:sz w:val="13"/>
        </w:rPr>
        <w:t>2</w:t>
      </w:r>
      <w:r>
        <w:rPr>
          <w:color w:val="000000"/>
        </w:rPr>
        <w:t xml:space="preserve"> </w:t>
      </w:r>
      <w:r>
        <w:rPr>
          <w:rFonts w:ascii="Times New Roman" w:hAnsi="Times New Roman"/>
          <w:color w:val="000000"/>
          <w:sz w:val="20"/>
        </w:rPr>
        <w:t>generated complete responses in 92% of patients comparing favorably to an approximate 50% historical complete response rate for R</w:t>
      </w:r>
      <w:r>
        <w:rPr>
          <w:rFonts w:ascii="Times New Roman" w:hAnsi="Times New Roman"/>
          <w:color w:val="000000"/>
          <w:sz w:val="13"/>
        </w:rPr>
        <w:t>2</w:t>
      </w:r>
      <w:r>
        <w:rPr>
          <w:color w:val="000000"/>
        </w:rPr>
        <w:t xml:space="preserve"> </w:t>
      </w:r>
      <w:r>
        <w:rPr>
          <w:rFonts w:ascii="Times New Roman" w:hAnsi="Times New Roman"/>
          <w:color w:val="000000"/>
          <w:sz w:val="20"/>
        </w:rPr>
        <w:t>alone.</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CD38-targeted antibody isatuximab-irfc</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(isatuximab-irfc), an anti-cancer antibody, and dexamethasone in combination with evorpacept for the treatment of patients with relapsed or refractory multiple myeloma. We announced the dosing of the first patients in September 2024.</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that the dose escalation portion of this trial was complete and Sanofi had begun the dose optimization portion of the trial.</w:t>
      </w:r>
    </w:p>
    <w:p>
      <w:pPr>
        <w:pStyle w:val="TextBody"/>
        <w:bidi w:val="0"/>
        <w:spacing w:before="180" w:after="283"/>
        <w:ind w:left="0" w:right="0" w:firstLine="490"/>
        <w:jc w:val="left"/>
        <w:rPr>
          <w:rFonts w:ascii="Times New Roman" w:hAnsi="Times New Roman"/>
          <w:color w:val="000000"/>
          <w:sz w:val="20"/>
        </w:rPr>
      </w:pPr>
      <w:r>
        <w:rPr>
          <w:rFonts w:ascii="Times New Roman" w:hAnsi="Times New Roman"/>
          <w:color w:val="000000"/>
          <w:sz w:val="20"/>
        </w:rPr>
        <w:t>Based on our clinical results to date in multiple oncology indications that show encouraging anti-tumor activity and tolerability, our strategy is to pursue evorpacept as a potentially critical component of future oncology treatments in combination with anticancer antibodies.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ALX2004</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filed an investigational new drug (IND) application for our first ADC program, ALX2004 and in April 2025, the FDA cleared the IND to evaluate ALX2004 in a Phase 1 clinical trial for patients with EGFR-expressing solid tumors.</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the dosing of the first patient in the first-in-human, open-label multi-center Phase 1 clinical trial of ALX2004 for the treatment of advanced or metastatic select EGFR-expressing solid tumors.</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the trial had begun enrolling patients in the third dose cohort at 4 mg/kg after successfully clearing the second dose cohort. No dose-limiting toxicities were observed in the first two dose cohorts.</w:t>
      </w:r>
    </w:p>
    <w:p>
      <w:pPr>
        <w:pStyle w:val="TextBody"/>
        <w:bidi w:val="0"/>
        <w:spacing w:before="180" w:after="283"/>
        <w:ind w:left="0" w:right="0" w:firstLine="490"/>
        <w:jc w:val="left"/>
        <w:rPr>
          <w:rFonts w:ascii="Times New Roman" w:hAnsi="Times New Roman"/>
          <w:color w:val="000000"/>
          <w:sz w:val="20"/>
        </w:rPr>
      </w:pPr>
      <w:r>
        <w:rPr>
          <w:rFonts w:ascii="Times New Roman" w:hAnsi="Times New Roman"/>
          <w:color w:val="000000"/>
          <w:sz w:val="20"/>
        </w:rPr>
        <w:t xml:space="preserve">Our team of industry veterans plans to continue to advance a broad development plan for evorpacept that balances speed to market, scale of unmet need and existing clinical evidence for evorpacept’s combination mechanisms. Members of our management team have brought multiple drugs to the FDA approval. Our Chief Executive Officer, Jason Lettmann, brings a broad suite of expertise as an institutional healthcare investor, most recently at Lightstone Ventures, and has been involved with ALX Oncology for nearly a decade since its founding, having co-led the Company’s first institutional financing and serving as a member of the Company’s Board of Directors. He also previously served as Chief Executive Officer of Promedior, Inc. During his tenure, Promedior was acquired by Roche in 2020 for up to $1.39 billion. Our Chief Medical Officer, Barbara Klencke, M.D., brings more than 30 years of experience in patient care, academic and scientific research and clinical drug development in hematology and oncology. She has served in various executive leadership roles at a range of small, mid-sized, and large biotech companies including Sierra Oncology, Inc., Onyx Pharmaceuticals and Genentech, a member of the Roche Group. Our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Harish Shantharam, has over 20 years of experience guiding public life science companies. Most recently, he was Chief Financial Officer of Cymabay Therapeutics, and prior to this role he was Vice President and Head of Global Commercial Finance at Gilead Sciences. We have funded our operations to date primarily through the issuance and sale of our convertible preferred stock, the issuance and sale of our common stock through an initial public offering in July 2020 and a registered offering in December 2020, a term loan facility in October 2022, a registered offering in October 2023, a registered offering in February 2026, and sales under our ATM offering program. </w:t>
      </w:r>
    </w:p>
    <w:p>
      <w:pPr>
        <w:pStyle w:val="TextBody"/>
        <w:bidi w:val="0"/>
        <w:spacing w:before="36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goal is to transform treatment options for patients with cancer by developing evorpacept as a foundational checkpoint immunotherapy.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Key elements of our strategy to support this goal include: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Expanding the therapeutic potential of CD47 blockade by combining with anti-cancer antibodies. </w:t>
      </w:r>
      <w:r>
        <w:rPr>
          <w:rFonts w:ascii="Times New Roman" w:hAnsi="Times New Roman"/>
          <w:color w:val="000000"/>
          <w:sz w:val="20"/>
        </w:rPr>
        <w:t>We believe evorpacept can overcome the limitations</w:t>
      </w:r>
      <w:r>
        <w:rPr>
          <w:color w:val="000000"/>
        </w:rPr>
        <w:t xml:space="preserve"> </w:t>
      </w:r>
      <w:r>
        <w:rPr>
          <w:rFonts w:ascii="Times New Roman" w:hAnsi="Times New Roman"/>
          <w:color w:val="000000"/>
          <w:sz w:val="20"/>
        </w:rPr>
        <w:t xml:space="preserve">of other CD47 blocking approaches.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Developing a best- and first-in-class EGFR-targeted ADC. </w:t>
      </w:r>
      <w:r>
        <w:rPr>
          <w:rFonts w:ascii="Times New Roman" w:hAnsi="Times New Roman"/>
          <w:color w:val="000000"/>
          <w:sz w:val="20"/>
        </w:rPr>
        <w:t xml:space="preserve">We believe that our differentiated design of ALX2004 based on an affinity-selected matuzumab-derived antibody can overcome the toxicity challenges that limited the therapeutic window of earlier generation EGFR-targeted ADCs.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Continuing to develop strategic partnerships to broaden the potential impact of our current and future product candidates across patient populations.</w:t>
      </w:r>
      <w:r>
        <w:rPr>
          <w:color w:val="000000"/>
        </w:rPr>
        <w:t xml:space="preserve"> </w:t>
      </w:r>
      <w:r>
        <w:rPr>
          <w:rFonts w:ascii="Times New Roman" w:hAnsi="Times New Roman"/>
          <w:color w:val="000000"/>
          <w:sz w:val="20"/>
        </w:rPr>
        <w:t>In order to advance treatment options for the most patients, we have in the past and may in the future partner with other companies with complementary resources that will maximize the value of our current and future product candidates. Such partnerships may allow us to pair evorpacept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interests in our product candidates and selectively consider partnership opportunities.</w:t>
      </w:r>
    </w:p>
    <w:p>
      <w:pPr>
        <w:pStyle w:val="TextBody"/>
        <w:bidi w:val="0"/>
        <w:spacing w:before="360" w:after="283"/>
        <w:jc w:val="left"/>
        <w:rPr>
          <w:rFonts w:ascii="Times New Roman" w:hAnsi="Times New Roman"/>
          <w:sz w:val="20"/>
        </w:rPr>
      </w:pPr>
      <w:r>
        <w:rPr>
          <w:rFonts w:ascii="Times New Roman" w:hAnsi="Times New Roman"/>
          <w:b/>
          <w:color w:val="000000"/>
          <w:sz w:val="20"/>
        </w:rPr>
        <w:t>Pipeline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chart below summarizes the development status of our product candidates pipeline. </w:t>
      </w:r>
    </w:p>
    <w:p>
      <w:pPr>
        <w:pStyle w:val="TextBody"/>
        <w:bidi w:val="0"/>
        <w:spacing w:before="240" w:after="283"/>
        <w:jc w:val="center"/>
        <w:rPr/>
      </w:pPr>
      <w:r>
        <w:rPr/>
        <w:drawing>
          <wp:inline distT="0" distB="0" distL="0" distR="0">
            <wp:extent cx="6858000" cy="3448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448050"/>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color w:val="000000"/>
          <w:sz w:val="20"/>
        </w:rPr>
        <w:t>CD47 Scientific Background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Cancer cells evade phagocytosis by up-regulating CD47, a transmembrane protein that mainly functions as an anti-phagocytic “don’t eat me” signal for healthy cells. CD47 interacts with its cognate receptor SIRPα, a regulatory membrane glycoprotein, that is expressed on macrophages and other myeloid cells and serves to prevent phagocytosis (“don’t eat me”) and cross-priming of the adaptive immune system (“don’t activate T cells”) when bound to CD47. By overexpressing CD47, cancer cells are able to avoid phagocytosis by macrophages and thereby evade subsequent detection by the adaptive immune system.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6858000" cy="2038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038350"/>
                    </a:xfrm>
                    <a:prstGeom prst="rect">
                      <a:avLst/>
                    </a:prstGeom>
                  </pic:spPr>
                </pic:pic>
              </a:graphicData>
            </a:graphic>
          </wp:inline>
        </w:drawing>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mOS of 9.1 months compared to subjects with low levels of CD47 expression who had an mOS of 22.1 months. </w:t>
      </w:r>
    </w:p>
    <w:p>
      <w:pPr>
        <w:pStyle w:val="TextBody"/>
        <w:bidi w:val="0"/>
        <w:spacing w:before="240" w:after="283"/>
        <w:jc w:val="center"/>
        <w:rPr/>
      </w:pPr>
      <w:r>
        <w:rPr/>
        <w:drawing>
          <wp:inline distT="0" distB="0" distL="0" distR="0">
            <wp:extent cx="5248275" cy="2952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48275" cy="2952750"/>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i/>
          <w:color w:val="000000"/>
          <w:sz w:val="20"/>
        </w:rPr>
        <w:t>Evorpacept’s 1-2 Punch: Harnessing the Power of CD47 Blocking to Unmask and Directly Unleash Combination Agent on Cancer Cells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Therapeutic antibodies that target tumor-specific antigens, such as the HER2 receptor, also induce cellular phagocytosis. These antibodies direct macrophages to cancer cells by binding to the tumor-specific antigen and activating the macrophage by engaging the Fcγ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of Prior Approaches to Blocking CD47 by Companies Other than ALX Oncology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have been a number of approaches to blocking CD47 by companies other than ALX Oncology, including monoclonal antibodies and fusion proteins that include an active Fc region. These approaches have encountered limitations that have challenged their ability to maximize the full potential of CD47 blockade.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majority of clinical data to date from other CD47 blocking agents come from drug candidates that incorporate an active Fc region that provides an “eat” me signal to macrophage. We believe that using an active Fc region in a CD47 inhibitor limits the therapeutic window of these approaches. Given that healthy blood cells express CD47, providing a pro-phagocytic “eat me” signal while simultaneously blocking CD47, it can lead to the destruction of healthy cells. Clinical trials of CD47 blocking agents with active Fc domains have shown frequent occurrences of treatment-related cytopenias that we believe are caused by this drug design choice.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majority of clinical data to date from other CD47 blocking agents have come from approaches 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pStyle w:val="TextBody"/>
        <w:bidi w:val="0"/>
        <w:spacing w:before="240" w:after="283"/>
        <w:jc w:val="center"/>
        <w:rPr/>
      </w:pPr>
      <w:r>
        <w:rPr/>
        <w:drawing>
          <wp:inline distT="0" distB="0" distL="0" distR="0">
            <wp:extent cx="6858000" cy="1905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1905000"/>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Advantages of ALX’s Approach to Blocking CD47</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founded ALX Oncology because we believed the limitations described above would prevent CD47 blockade from reaching its full potential as a therapy for patients with cancer. From our inception, we designed evorpacept to overcome these limitations and to maximize the utility of CD47 blockade as an effective anti-cancer therapeutic for a broad range of tumors. Specifically, we believe evorpacept may provide the following significant advantages: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Broader therapeutic window</w:t>
      </w:r>
      <w:r>
        <w:rPr>
          <w:rFonts w:ascii="Times New Roman" w:hAnsi="Times New Roman"/>
          <w:color w:val="000000"/>
          <w:sz w:val="20"/>
        </w:rPr>
        <w:t>: We believe evorpacept’s broader therapeutic window will allow for greater drug exposure than other</w:t>
      </w:r>
      <w:r>
        <w:rPr>
          <w:color w:val="000000"/>
        </w:rPr>
        <w:t xml:space="preserve"> </w:t>
      </w:r>
      <w:r>
        <w:rPr>
          <w:rFonts w:ascii="Times New Roman" w:hAnsi="Times New Roman"/>
          <w:color w:val="000000"/>
          <w:sz w:val="20"/>
        </w:rPr>
        <w:t>CD47 blocking agents potentially translating into improved efficacy across a range of cancers compared to other CD47 blocking agents. Furthermore, flexibility in dosing has allowed for several administration schedules (weekly, bi-weekly, every three weeks, monthly) that are more amenable to combination therapy dosing schedules.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Strong potential for combination with other anti-cancer agents</w:t>
      </w:r>
      <w:r>
        <w:rPr>
          <w:rFonts w:ascii="Times New Roman" w:hAnsi="Times New Roman"/>
          <w:color w:val="000000"/>
          <w:sz w:val="20"/>
        </w:rPr>
        <w:t>: CD47 blocking agents are combined with other therapeutics in</w:t>
      </w:r>
      <w:r>
        <w:rPr>
          <w:color w:val="000000"/>
        </w:rPr>
        <w:t xml:space="preserve"> </w:t>
      </w:r>
      <w:r>
        <w:rPr>
          <w:rFonts w:ascii="Times New Roman" w:hAnsi="Times New Roman"/>
          <w:color w:val="000000"/>
          <w:sz w:val="20"/>
        </w:rPr>
        <w:t>order to maximize their potential in treating patients with cancer. Unlike other CD47 blocking agents, evorpacept was specifically designed to be combined with other anti-cancer agents. We believe evorpacept’s favorable toxicity profile will enable it to be combined with a wider range of anti-cancer agents, including anti-cancer antibodies, chemotherapy and cytotoxic containing regimens, compared to other CD47 blocking agents. Furthermore, we believe that evorpacept’s inactive Fc domain will neither compete with nor potentially limit the efficacy of anti-cancer antibodies when used in combination treatments.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Targeted immune-oncology development</w:t>
      </w:r>
      <w:r>
        <w:rPr>
          <w:rFonts w:ascii="Times New Roman" w:hAnsi="Times New Roman"/>
          <w:color w:val="000000"/>
          <w:sz w:val="20"/>
        </w:rPr>
        <w:t>: Biomarker analyses completed in 2025 and 2026 from clinical trials in with evorpacept combination treatments support the use of CD47 expression as a predictive biomarker for evorpacept activity. We believe that a biomarker-driven approach incorporating CD47 expression may optimize patient selection for evorpacept combinations in subsequent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Broader potential indications</w:t>
      </w:r>
      <w:r>
        <w:rPr>
          <w:rFonts w:ascii="Times New Roman" w:hAnsi="Times New Roman"/>
          <w:color w:val="000000"/>
          <w:sz w:val="20"/>
        </w:rPr>
        <w:t>: We believe evorpacept’s tolerability profile will allow for broad treatment of patient populations in a</w:t>
      </w:r>
      <w:r>
        <w:rPr>
          <w:color w:val="000000"/>
        </w:rPr>
        <w:t xml:space="preserve"> </w:t>
      </w:r>
      <w:r>
        <w:rPr>
          <w:rFonts w:ascii="Times New Roman" w:hAnsi="Times New Roman"/>
          <w:color w:val="000000"/>
          <w:sz w:val="20"/>
        </w:rPr>
        <w:t>wide range of oncology indications. Toxicities such as cytopenias associated with other CD47 blocking agents may potentially constrain their development strategies. We believe evorpacept is well positioned to expand the therapeutic potential of CD47 blockade across a broad spectrum of hematologic and solid tumor indications.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Evorpacept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lead product candidate, evorpacept, is a CD47 blocking biologic in development as a combination therapy with other anti-cancer agents for treatment of various oncology indications, including gastric/GEJ, breast cancer, multiple myeloma, and NHL. We engineered evorpacept to maximize CD47 blockade and to avoid hematologic toxicities. We believe evorpacept enhances the efficacy of both anti-cancer targeted antibodies, numerous small molecule drugs and T cell checkpoint inhibitors and exhibits no dose-dependent cytopenias. Evorpacept has demonstrated encouraging clinical responses in combination with multiple anti-cancer regimens for both hematologic and solid malignancies.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companies have pursued CD47 blocking approaches that prioritize single-agent activity, albeit with limited success in efficacy and significant toxicity. Rather than designing a molecule for monotherapy activity that has been associated with cytopenias, we designed evorpacept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Fusion Protein Design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Evorpacept is a fusion protein designed to provide a high CD47 blocking potency while potentially eliminating any associated toxicities. Our fusion protein comprises an engineered CD47-binding domain of SIRPα that has been genetically linked to a modified human immunoglobulin-derived Fc domain that does not bind to Fcγ receptors. We engineered evorpacept in two important ways: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mutated the binding domain to optimize CD47 affinity. Evorpacept binding domain demonstrates an affinity that is over 3,000 times stronger than wildtype SIRPα.</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fused the CD47-binding region of SIRPα to an inactive Fc domain. Incorporating an inactive Fc domain was intended to eliminate single-agent activation of macrophages while still maintaining an antibody-like pharmacokinetic, or PK, profile.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successful design of evorpacept required in-house generation of approximately 280 different protein constructs to thoroughly evaluate and optimize the impact of differing designs on multiple important evaluation criteria.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order to optimize evorpacept’s properties we conducted the following processes: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Design of the high-affinity CD47 binding domain: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Optimization of binding affinity for human CD47;</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Optimization of cross-reactivity to rodent and monkey CD47 to enable key translational experiments;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Elimination of partially glycosylated sites in SIRPα to remove heterogeneity and enable consistent manufacturing.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Design of the optimal fusion combination for PK extension: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an immunoglobulin isotype to prevent hemagglutination;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mutations to immunoglobulin G1, or IgG1, to functionally eliminate Fcγ binding and avoid associated cytopenias while maintaining neonatal Fc receptor binding that enables antibody-like PK.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illustrated in the figure below, evorpacept comprises: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SIRPα binding domain optimized to bind to CD47 with high affinity at a picomolar level;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inactive Fc domain that reduces cytopenias while preserving the desired PK properties of antibodies with an active Fc domain.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resulting fusion protein has approximately one-half the molecular weight of a typical antibody. Evorpacept’s lower molecular weight enables it to deliver the molar equivalent of an antibody at one half the dose. For example, a 10mg/kg of evorpacept is equivalent to 20 mg/kg of a regular antibody. Evorpacept’s lower molecular weight may also facilitate increased solid tumor penetration and provide greater potency within the tumor microenvironment. Furthermore, evorpacept can be efficiently and consistently produced at high yield at commercial scale utilizing standard monoclonal antibody manufacturing techniques. We believe evorpacept’s differentiated properties potentially overcome the limitations of other CD47 blocking agents and may have utility as a combination agent in oncology.</w:t>
      </w:r>
    </w:p>
    <w:p>
      <w:pPr>
        <w:pStyle w:val="TextBody"/>
        <w:bidi w:val="0"/>
        <w:spacing w:before="360" w:after="283"/>
        <w:jc w:val="left"/>
        <w:rPr>
          <w:rFonts w:ascii="Times New Roman" w:hAnsi="Times New Roman"/>
          <w:sz w:val="20"/>
        </w:rPr>
      </w:pPr>
      <w:r>
        <w:rPr>
          <w:rFonts w:ascii="Times New Roman" w:hAnsi="Times New Roman"/>
          <w:i/>
          <w:color w:val="000000"/>
          <w:sz w:val="20"/>
        </w:rPr>
        <w:t>Our lead candidate, evorpacept, is a fusion protein that potently and selectively binds CD47 to block the SIRP</w:t>
      </w:r>
      <w:r>
        <w:rPr>
          <w:rFonts w:ascii="Times New Roman" w:hAnsi="Times New Roman"/>
          <w:color w:val="000000"/>
          <w:sz w:val="20"/>
        </w:rPr>
        <w:t xml:space="preserve">α </w:t>
      </w:r>
      <w:r>
        <w:rPr>
          <w:rFonts w:ascii="Times New Roman" w:hAnsi="Times New Roman"/>
          <w:i/>
          <w:color w:val="000000"/>
          <w:sz w:val="20"/>
        </w:rPr>
        <w:t>interaction.</w:t>
      </w:r>
    </w:p>
    <w:p>
      <w:pPr>
        <w:pStyle w:val="TextBody"/>
        <w:bidi w:val="0"/>
        <w:spacing w:before="240" w:after="283"/>
        <w:jc w:val="center"/>
        <w:rPr/>
      </w:pPr>
      <w:r>
        <w:rPr/>
        <w:drawing>
          <wp:inline distT="0" distB="0" distL="0" distR="0">
            <wp:extent cx="6581775" cy="2838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81775" cy="2838450"/>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Pre-Clinical Differentiation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preclinical studies of evorpacept support a target product profile of favorable tolerability, the ability to be dosed at high levels and increased anti-tumor activity as compared to other CD47 blocking agents. These data include the following: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Lack of hematologic side effects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preclinical data demonstrate that CD47 blocking agents with an active Fc domain directly cause adverse hematologic side effects. To support this hypothesis, we engineered a fusion protein with a SIRPα CD47-binding domain identical to evorpacept’s binding domain but fused to an active, wild-type IgG1 Fc domain, ALX377. We administered 30 mg/kg evorpacept and 30 mg/kg ALX377 in mouse models and measured red blood cell, or RBC, platelet and white blood cell (lymphocyte, monocytes and granulocytes) counts. As shown in the figure below, mice treated with evorpacept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The inactive Fc domain on evorpacept is responsible for improved hematologic tolerability in preclinical models.</w:t>
      </w:r>
    </w:p>
    <w:p>
      <w:pPr>
        <w:pStyle w:val="TextBody"/>
        <w:bidi w:val="0"/>
        <w:spacing w:before="240" w:after="283"/>
        <w:jc w:val="center"/>
        <w:rPr/>
      </w:pPr>
      <w:r>
        <w:rPr/>
        <w:drawing>
          <wp:inline distT="0" distB="0" distL="0" distR="0">
            <wp:extent cx="6600825" cy="2419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00825" cy="2419350"/>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vitro and in vivo toxicology studies in monkeys show that evorpacept was well-tolerated at intravenous doses of up to 100 mg/kg/week in the 1-month study and up to 30 mg/kg every other week in the 3-month study with no target organ toxicity or toxicity related to the exaggerated pharmacology of evorpacept. Together, these preclinical studies demonstrate that inactivation of the Fc domain of evorpacept avoids adverse effects on normal blood cells seen on other CD47 blocking agents with an active Fc domain. They also support our expectation that evorpacept’s lack of overlapping toxicities with other anti-cancer therapies may result in fewer adverse outcomes in the clinic when combined with these therapies than combinations with conventional CD47 blocking agents.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Evorpacept elicits superior phagocytosis in combination with anti-cancer antibodies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inactive Fc of evorpacept does not compete with the active Fc domain of other therapeutic antibodies for binding with Fcγ receptors on effector cells of the immune system. This fact, coupled with the high-affinity CD47 binding of our agent, results in enhanced phagocytosis from evorpacept in combination with other anti-cancer antibodies to a greater extent than other CD47 blockers. We believe this will allow us to explore evorpacept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evorpacept with cetuximab, an epidermal growth factor receptor, or EGFR, inhibitor that is the FDA approved for several solid tumors, to assess phagocytic activity as compared to single-agent cetuximab. Both cetuximab and the active Fc domain of a CD47 blocking agent bind to the same cell surface Fcγ receptors on a macrophage, potentially creating competition. IgG1 binds to receptors with higher affinity than IgG4 does, and evorpacept’s inactive Fc does not bind. This experiment shows that CD47 blocking agents with active Fc domains and lower affinity, combined with cetuximab result in lower phagocytic activity from macrophages as compared to evorpacept with cetuximab. This experiment suggests evorpacept, the only clinical CD47 blocking agent with an inactive Fc domain and high-affinity CD47 binding, may be unique in its anti-tumor activity when combined with anti-tumor antibodies.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Evorpacept has shown superior antibody-dependent cellular phagocytosis, or ADCP, of solid tumor cells compared to CD47 blockers with an active Fc domain and lower CD47 affinity when combined with an anti-tumor antibody.</w:t>
      </w:r>
    </w:p>
    <w:p>
      <w:pPr>
        <w:pStyle w:val="TextBody"/>
        <w:bidi w:val="0"/>
        <w:spacing w:before="240" w:after="283"/>
        <w:jc w:val="center"/>
        <w:rPr/>
      </w:pPr>
      <w:r>
        <w:rPr/>
        <w:drawing>
          <wp:inline distT="0" distB="0" distL="0" distR="0">
            <wp:extent cx="6858000" cy="3248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248025"/>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ALX2004 scientific background: ADC target selection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EGFR is a transmembrane protein in the ERBB family of receptor tyrosine kinases that consists of EGFR (HER1), HER2, HER3, and HER4 and is over expressed in many cancer types. It is also expressed in normal tissues, but often to a lesser degree. It plays a prominent role in tumor initiation and growth through dysregulation of cell proliferation, differentiation, metabolism, and cell death. Cancers survive and proliferate through aberrant overexpression of and mutational activation of EGFR. Therefore, EGFR has been an attractive target for cancer therapies.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EGFR is a commercially validated antibody target with multiple FDA approved EGFR-targeted antibodies include cetuximab (ERBITUX</w:t>
      </w:r>
      <w:r>
        <w:rPr>
          <w:rFonts w:ascii="Times New Roman" w:hAnsi="Times New Roman"/>
          <w:color w:val="000000"/>
          <w:sz w:val="13"/>
        </w:rPr>
        <w:t>®</w:t>
      </w:r>
      <w:r>
        <w:rPr>
          <w:rFonts w:ascii="Times New Roman" w:hAnsi="Times New Roman"/>
          <w:color w:val="000000"/>
          <w:sz w:val="20"/>
        </w:rPr>
        <w:t>) and panitumumab (VECTIBIX</w:t>
      </w:r>
      <w:r>
        <w:rPr>
          <w:rFonts w:ascii="Times New Roman" w:hAnsi="Times New Roman"/>
          <w:color w:val="000000"/>
          <w:sz w:val="13"/>
        </w:rPr>
        <w:t>®</w:t>
      </w:r>
      <w:r>
        <w:rPr>
          <w:rFonts w:ascii="Times New Roman" w:hAnsi="Times New Roman"/>
          <w:color w:val="000000"/>
          <w:sz w:val="20"/>
        </w:rPr>
        <w:t>) in addition to several small molecules. However, there are no FDA approved EGFR-targeted ADCs. Earlier generation attempts at anti-EGFR ADCs failed to find a therapeutic window.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6686550" cy="4476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86550" cy="44767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1F497D"/>
          <w:sz w:val="18"/>
        </w:rPr>
        <w:t xml:space="preserve">EGFR gene expression levels from RNA sequencing. ALX2004 Phase 1 trial includes patients with colorectal cancer, esophageal carcinoma, head and neck squamous cell carcinoma, and lung cancer. Source: GEPIA </w:t>
      </w:r>
      <w:r>
        <w:rPr>
          <w:rFonts w:ascii="Times New Roman" w:hAnsi="Times New Roman"/>
          <w:i/>
          <w:color w:val="0000FF"/>
          <w:sz w:val="18"/>
        </w:rPr>
        <w:t>http://gepia.cancer-pku.cn/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ALX2004 design process and drug candidate selection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ALX2004 was developed in-house by ALX Oncology protein engineers and designed to maximize potential success based on a rigorous optimization and drug candidate selection process. The ALX2004 linker-payload was selected from a starting point of 600 payloads designed </w:t>
      </w:r>
      <w:r>
        <w:rPr>
          <w:rFonts w:ascii="Times New Roman" w:hAnsi="Times New Roman"/>
          <w:i/>
          <w:color w:val="000000"/>
          <w:sz w:val="20"/>
        </w:rPr>
        <w:t xml:space="preserve">in silico </w:t>
      </w:r>
      <w:r>
        <w:rPr>
          <w:rFonts w:ascii="Times New Roman" w:hAnsi="Times New Roman"/>
          <w:color w:val="000000"/>
          <w:sz w:val="20"/>
        </w:rPr>
        <w:t xml:space="preserve">with 60 topoisomerase I inhibitor payloads subsequently synthesized and tested in lab, which are now part of the ALX ADC library. From this payload library, we generated and tested 70 ADCs across 3 solid tumor antigen targets and 2 ultimately tested in rat and non-human primate (NHP) toxicity studies leading to the final linker and Top1i payload selection for ALX2004.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6581775" cy="3257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581775" cy="3257550"/>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anti-EGFR antibody for ALX2004 was also selected after a rigorous development process. Six different anti-EGFR antibodies with varying EGFR binding epitopes and binding affinities were tested. The goal of this process was to select an antibody that minimized off-tumor EGFR-related toxicity while maintaining an active therapeutic window. ALX2004 was the culmination of this development process. As part of this process, we also generated a proprietary library of potential ADC payloads for future drug candidates.</w:t>
      </w:r>
    </w:p>
    <w:p>
      <w:pPr>
        <w:pStyle w:val="TextBody"/>
        <w:bidi w:val="0"/>
        <w:spacing w:before="240" w:after="283"/>
        <w:jc w:val="center"/>
        <w:rPr/>
      </w:pPr>
      <w:r>
        <w:rPr/>
        <w:drawing>
          <wp:inline distT="0" distB="0" distL="0" distR="0">
            <wp:extent cx="6610350" cy="332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610350" cy="33242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ALX2004 is designed using lessons learned from past attempts at EGFR-targeted ADCs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Several EGFR-targeted ADCs have previously entered clinical trials including depatuxizumab mafadotin, serclutamab talirine, and AMG595. Depatuxizumab mafadotin used a monomethyl auristatin F (MMAF) payload. Serclutamab talirine used a pyrrolobenzodiazapene (PBD) payload. AMG595 used a maytansinoid (DM1) payload. We believe the primary reason these drugs did not reach FDA approval was due to the toxicity profiles of these payload classes and not because they were EGFR-targeted. Consequently, we designed ALX2004 with a topoisomerase 1 inhibitor payload.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further aimed to maximize the likelihood of technical success by using a matuzumab-derived anti-EGFR antibody with an affinity selected to minimize on-target, off-tumor skin toxicity. We believe that using a matuzumab-derived antibody increases the likelihood of finding a clinically meaningful therapeutic window. Additionally, matuzumab binds an EGFR epitope that is distinct from other FDA-approved antibodies. Consequently, patients who developed resistance to cetuximab or panitumumab due to mutations in the EGFR extracellular domain, may still be sensitive to ALX2004. This is important for establishing activity during early stage trials in EGFR-expressing tumors where patients may have been previously treated with EGFR-targeted antibodies.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ALX2004 linker payload selection: 600 payloads designed with 60 payloads synthesized and screened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We first designed 600 Top1i payload candidates in silico from which we synthesized and conducted in vitro screening for over 60 novel ALX Top1i payloads across 8 tumor cell lines each and benchmarked potentcy against two Top1i payloads from approved ADCs – SN38 (payload for TRODELVY</w:t>
      </w:r>
      <w:r>
        <w:rPr>
          <w:rFonts w:ascii="Times New Roman" w:hAnsi="Times New Roman"/>
          <w:color w:val="000000"/>
          <w:sz w:val="13"/>
        </w:rPr>
        <w:t>®</w:t>
      </w:r>
      <w:r>
        <w:rPr>
          <w:rFonts w:ascii="Times New Roman" w:hAnsi="Times New Roman"/>
          <w:color w:val="000000"/>
          <w:sz w:val="20"/>
        </w:rPr>
        <w:t>) and deruxtecan (payload for ENHERTU</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Next, 14 payload candidates were selected for testing as full ADCs based on their cytotoxicity and membrane permeability. Each payload was conjugated to ALX’s proprietary linker, tested for in vitro activity against 6 tumor cell lines, and benchmarked against the deruxtecan payload. The ALX2004 linker-payload was selected for its consistent potency across these models, relatively high membrane permeability, and comparable activity to the deruxtecan benchmark.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this process generated a library of ALX proprietary Top1i payload candidates with a range of potencies and varying properties such as ability to permeate cell membranes as a free payload. Relatively high membrane permeability may improve bystander effect cell killing; whereas low permeability may greatly decrease or eliminate the bystander effect.</w:t>
      </w:r>
    </w:p>
    <w:p>
      <w:pPr>
        <w:pStyle w:val="TextBody"/>
        <w:bidi w:val="0"/>
        <w:spacing w:before="240" w:after="283"/>
        <w:jc w:val="center"/>
        <w:rPr/>
      </w:pPr>
      <w:r>
        <w:rPr/>
        <w:drawing>
          <wp:inline distT="0" distB="0" distL="0" distR="0">
            <wp:extent cx="6648450" cy="2876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648450" cy="28765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1F497D"/>
          <w:sz w:val="18"/>
        </w:rPr>
        <w:t>Cytotoxicity EC</w:t>
      </w:r>
      <w:r>
        <w:rPr>
          <w:rFonts w:ascii="Times New Roman" w:hAnsi="Times New Roman"/>
          <w:i/>
          <w:color w:val="1F497D"/>
          <w:sz w:val="12"/>
        </w:rPr>
        <w:t>50</w:t>
      </w:r>
      <w:r>
        <w:rPr>
          <w:rFonts w:ascii="Times New Roman" w:hAnsi="Times New Roman"/>
          <w:i/>
          <w:color w:val="1F497D"/>
          <w:sz w:val="18"/>
        </w:rPr>
        <w:t>(nM) of synthesized TOP1i payloads robustly tested in eight cancer cell lines and compared to SN-38 (govitecan payload) and DXd (deruxtecan payload). Each x-axis tick corresponds to a payload. The arrow marks ALX2004_payload. The dashed lines show the average EC</w:t>
      </w:r>
      <w:r>
        <w:rPr>
          <w:rFonts w:ascii="Times New Roman" w:hAnsi="Times New Roman"/>
          <w:i/>
          <w:color w:val="1F497D"/>
          <w:sz w:val="12"/>
        </w:rPr>
        <w:t>50</w:t>
      </w:r>
      <w:r>
        <w:rPr>
          <w:rFonts w:ascii="Times New Roman" w:hAnsi="Times New Roman"/>
          <w:color w:val="1F497D"/>
          <w:sz w:val="20"/>
        </w:rPr>
        <w:t xml:space="preserve"> </w:t>
      </w:r>
      <w:r>
        <w:rPr>
          <w:rFonts w:ascii="Times New Roman" w:hAnsi="Times New Roman"/>
          <w:i/>
          <w:color w:val="1F497D"/>
          <w:sz w:val="18"/>
        </w:rPr>
        <w:t>(nM) of DXd across cell lines.</w:t>
      </w:r>
      <w:r>
        <w:rPr>
          <w:rFonts w:ascii="Times New Roman" w:hAnsi="Times New Roman"/>
          <w:color w:val="1F497D"/>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ALX2004 shows improved stability compared to deruxtecan benchmark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ALX2004 linker was designed to improve stability of the ADC in circulation in order to minimize off-tumor linker-payload release. Enhanced stability should both decrease off tumor toxicity and increase the amount of payload that is being delivered to the tumor. Deconjugation of the linker payloads from their antibody in circulation remains a challenge and may lead to increased toxicity.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benchmark our lead linker-payload candidate’s stability, we conducted a head to head comparison against deruxtecan in non-human primates. We conjugated the ALX2004 linker-payload to trastuzumab (a HER2-targeted antibody) in order to make a direct comparison to trastuzumab deruxtecan. We then compared drug antibody ratios, or DAR, of the drugs in circulation over time. An ADC’s DAR is a measurement of how many payloads are conjugated to the antibody. Decreasing DAR over time in circulation indicates that payload has deconjugated from the antibody in a non-targeted way thereby potentially increasing toxicity.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ALX linker-payload demonstrated superior stability and maintained a higher conjugation level, as indicated by DAR, in circulation over time. These data suggest that ALX2004 may deliver more payload to tumors while limiting exposure to healthy tissues due to decrease in linker-payload deconjugation.</w:t>
      </w:r>
    </w:p>
    <w:p>
      <w:pPr>
        <w:pStyle w:val="TextBody"/>
        <w:bidi w:val="0"/>
        <w:spacing w:before="240" w:after="283"/>
        <w:jc w:val="center"/>
        <w:rPr/>
      </w:pPr>
      <w:r>
        <w:rPr/>
        <w:drawing>
          <wp:inline distT="0" distB="0" distL="0" distR="0">
            <wp:extent cx="4391025" cy="2981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391025" cy="298132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1F497D"/>
          <w:sz w:val="18"/>
        </w:rPr>
        <w:t>Improved DAR stability of ALX2004_linkerpayload compared to deruxtecan. Graph shows DAR of two ADCs: trastuzumab conjugated to ALX2004_linkerpayload (DAR ~8) and trastuzumab conjugated to deruxtecan (DAR ~8), as a function of time in non-human primate (NHP) dosed at 30 mg/kg (n=2 per group). DAR was analyzed using reduced middle-down RP-LCMS.</w:t>
      </w:r>
      <w:r>
        <w:rPr>
          <w:rFonts w:ascii="Times New Roman" w:hAnsi="Times New Roman"/>
          <w:color w:val="1F497D"/>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ALX2004 shows comparable direct cell killing and improved bystander effect relative to deruxtecan comparator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ALX2004 was tested in several EGFR-expressing mouse models against a deruxtecan-based ADC comparator generated in-house. These tests showed that ALX2004 matched or exceeded the activity of the deruxtecan comparator ADC both in terms of direct cell killing and bystander effect.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bystander effect is thought to be an important mechanism of cell killing in solid tumors for ADCs. The bystander effect begins when an ADC binds to its target on the cell surface and is internalized into the cell. Payload is then released within the target-expressing cell which results in the direct killing of the target-expressing cell. For some ADCs, the released payloads are then able to permeate into neighboring cells regardless of whether or not target is expressed killing those neighboring cells as well. In heterogenous solid tumors, it is potentially an important mechanism for tumor control as it results in the killing of both target expressing tumor cells and non-target expressing tumor cells in the tumor microenvironment.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selected the ALX2004 payload from the over 60 we synthesized in part because we believed it could have enhanced bystander effect relative to deruxtecan due to the membrane permeability testing we conducted. In order to compare ALX2004’s direct cell killing and bystander effect to deruxtecan, we synthesized an ADC using the ALX2004 anti-EGFR antibody conjugated to the deruxtecan linker payload.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First, we tested the ALX2004 and deruxtecan comparator ADC in a cell-based bystander assay. As shown below, ALX2004 had comparable direct cytotoxicity (A) and improved bystander killing (B).</w:t>
      </w:r>
    </w:p>
    <w:p>
      <w:pPr>
        <w:pStyle w:val="TextBody"/>
        <w:bidi w:val="0"/>
        <w:spacing w:before="240" w:after="283"/>
        <w:jc w:val="center"/>
        <w:rPr/>
      </w:pPr>
      <w:r>
        <w:rPr/>
        <w:drawing>
          <wp:inline distT="0" distB="0" distL="0" distR="0">
            <wp:extent cx="5553075" cy="4533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553075" cy="45339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then compared the potency of ALX2004 in several EGFR-expressing mouse models (A below) and a bystander effect model (B below) to the deruxtecan based comparator ADC.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Across multiple mouse models with varying levels of EGFR expression level, ALX2004 demonstrated equivalent or superior tumor eradication as shown by the percent of mice in which tumors were completely eradicated. ALX2004 outperformed the deruxtecan comparator in a bystander effect model that contained both EGFR high expressing and EGFR ultra-low expressing cancer cells. </w:t>
      </w:r>
    </w:p>
    <w:p>
      <w:pPr>
        <w:pStyle w:val="TextBody"/>
        <w:bidi w:val="0"/>
        <w:spacing w:before="120" w:after="283"/>
        <w:jc w:val="center"/>
        <w:rPr/>
      </w:pPr>
      <w:r>
        <w:rPr/>
        <w:drawing>
          <wp:inline distT="0" distB="0" distL="0" distR="0">
            <wp:extent cx="5105400" cy="2619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105400" cy="261937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1F497D"/>
          <w:sz w:val="18"/>
        </w:rPr>
        <w:t>Percent of tumor-free mice in CDX models dosed with ALX2004 or ALX2004_mAb-deruxtecan (ADC composed of ALX2004’s antibody conjugated to deruxtecan) (both ADCs, DAR ~8). (A) MDA-MB-468 (3 mg/kg, 1 dose), FaDu (1 mg/kg, 3 doses, Q1W), NCI-H292 (3 mg/kg, 3 doses, Q1W), (</w:t>
      </w:r>
      <w:r>
        <w:rPr>
          <w:rFonts w:ascii="Times New Roman" w:hAnsi="Times New Roman"/>
          <w:b/>
          <w:i/>
          <w:color w:val="1F497D"/>
          <w:sz w:val="18"/>
        </w:rPr>
        <w:t>B</w:t>
      </w:r>
      <w:r>
        <w:rPr>
          <w:rFonts w:ascii="Times New Roman" w:hAnsi="Times New Roman"/>
          <w:i/>
          <w:color w:val="1F497D"/>
          <w:sz w:val="18"/>
        </w:rPr>
        <w:t>) Bystander effect CDX model composed of 1:1 NCI-H292 cells (~80,000 EGFR/cell surface) and SW620 cells (~2000 EGFR/cell surface) dosed 3 mg/kg, 3 doses, Q1W. NOD SCID mice, n=5 per group.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ALX2004 showed tumor suppression across a range of cancer types and target expression levels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tested ALX2004 in vivo anti-tumor activity in mouse models representing a range of commercially relevant EGFR-expressing tumor types, EGFR-expression levels, and common mutations. ALX2004 inhibited tumor growth in non-small cell lung cancer (NSCLC), head and neck squamous cell carcinoma (HNSCC), CRC, triple negative breast cancer (TNBC), and pancreatic ductal adenocarcinoma (PDAC) mouse models. These models also show ALX2004’s activity in models harboring KRAS, BRAF, and P53 mutations. Importantly, tumor growth inhibition was seen at all levels of EGFR-target expression ranging from 12,000 units/cell surface to over 400,000 units/cell surface.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6715125" cy="2343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715125" cy="23431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1F497D"/>
          <w:sz w:val="18"/>
        </w:rPr>
        <w:t>ALX2004 has inhibited tumor growth in vivo. Tumor volume (mm</w:t>
      </w:r>
      <w:r>
        <w:rPr>
          <w:rFonts w:ascii="Times New Roman" w:hAnsi="Times New Roman"/>
          <w:i/>
          <w:color w:val="1F497D"/>
          <w:sz w:val="12"/>
        </w:rPr>
        <w:t>3</w:t>
      </w:r>
      <w:r>
        <w:rPr>
          <w:rFonts w:ascii="Times New Roman" w:hAnsi="Times New Roman"/>
          <w:i/>
          <w:color w:val="1F497D"/>
          <w:sz w:val="18"/>
        </w:rPr>
        <w:t>) after IV administration of a single dose or three doses of ALX2004 at indicated dose levels (mg/kg) and dosing frequencies in CDX mouse models of NSCLC (</w:t>
      </w:r>
      <w:r>
        <w:rPr>
          <w:rFonts w:ascii="Times New Roman" w:hAnsi="Times New Roman"/>
          <w:b/>
          <w:i/>
          <w:color w:val="1F497D"/>
          <w:sz w:val="18"/>
        </w:rPr>
        <w:t>A-D</w:t>
      </w:r>
      <w:r>
        <w:rPr>
          <w:rFonts w:ascii="Times New Roman" w:hAnsi="Times New Roman"/>
          <w:i/>
          <w:color w:val="1F497D"/>
          <w:sz w:val="18"/>
        </w:rPr>
        <w:t>) and other EGFR-expressing tumors (</w:t>
      </w:r>
      <w:r>
        <w:rPr>
          <w:rFonts w:ascii="Times New Roman" w:hAnsi="Times New Roman"/>
          <w:b/>
          <w:i/>
          <w:color w:val="1F497D"/>
          <w:sz w:val="18"/>
        </w:rPr>
        <w:t>E-J</w:t>
      </w:r>
      <w:r>
        <w:rPr>
          <w:rFonts w:ascii="Times New Roman" w:hAnsi="Times New Roman"/>
          <w:i/>
          <w:color w:val="1F497D"/>
          <w:sz w:val="18"/>
        </w:rPr>
        <w:t>): (</w:t>
      </w:r>
      <w:r>
        <w:rPr>
          <w:rFonts w:ascii="Times New Roman" w:hAnsi="Times New Roman"/>
          <w:b/>
          <w:i/>
          <w:color w:val="1F497D"/>
          <w:sz w:val="18"/>
        </w:rPr>
        <w:t>A</w:t>
      </w:r>
      <w:r>
        <w:rPr>
          <w:rFonts w:ascii="Times New Roman" w:hAnsi="Times New Roman"/>
          <w:i/>
          <w:color w:val="1F497D"/>
          <w:sz w:val="18"/>
        </w:rPr>
        <w:t>) HCC827, (</w:t>
      </w:r>
      <w:r>
        <w:rPr>
          <w:rFonts w:ascii="Times New Roman" w:hAnsi="Times New Roman"/>
          <w:b/>
          <w:i/>
          <w:color w:val="1F497D"/>
          <w:sz w:val="18"/>
        </w:rPr>
        <w:t>B</w:t>
      </w:r>
      <w:r>
        <w:rPr>
          <w:rFonts w:ascii="Times New Roman" w:hAnsi="Times New Roman"/>
          <w:i/>
          <w:color w:val="1F497D"/>
          <w:sz w:val="18"/>
        </w:rPr>
        <w:t>) NCI-H1975, (</w:t>
      </w:r>
      <w:r>
        <w:rPr>
          <w:rFonts w:ascii="Times New Roman" w:hAnsi="Times New Roman"/>
          <w:b/>
          <w:i/>
          <w:color w:val="1F497D"/>
          <w:sz w:val="18"/>
        </w:rPr>
        <w:t>C</w:t>
      </w:r>
      <w:r>
        <w:rPr>
          <w:rFonts w:ascii="Times New Roman" w:hAnsi="Times New Roman"/>
          <w:i/>
          <w:color w:val="1F497D"/>
          <w:sz w:val="18"/>
        </w:rPr>
        <w:t>) NCI-H292, (</w:t>
      </w:r>
      <w:r>
        <w:rPr>
          <w:rFonts w:ascii="Times New Roman" w:hAnsi="Times New Roman"/>
          <w:b/>
          <w:i/>
          <w:color w:val="1F497D"/>
          <w:sz w:val="18"/>
        </w:rPr>
        <w:t>D</w:t>
      </w:r>
      <w:r>
        <w:rPr>
          <w:rFonts w:ascii="Times New Roman" w:hAnsi="Times New Roman"/>
          <w:i/>
          <w:color w:val="1F497D"/>
          <w:sz w:val="18"/>
        </w:rPr>
        <w:t>) A549, (</w:t>
      </w:r>
      <w:r>
        <w:rPr>
          <w:rFonts w:ascii="Times New Roman" w:hAnsi="Times New Roman"/>
          <w:b/>
          <w:i/>
          <w:color w:val="1F497D"/>
          <w:sz w:val="18"/>
        </w:rPr>
        <w:t>E</w:t>
      </w:r>
      <w:r>
        <w:rPr>
          <w:rFonts w:ascii="Times New Roman" w:hAnsi="Times New Roman"/>
          <w:i/>
          <w:color w:val="1F497D"/>
          <w:sz w:val="18"/>
        </w:rPr>
        <w:t>) FaDu, (</w:t>
      </w:r>
      <w:r>
        <w:rPr>
          <w:rFonts w:ascii="Times New Roman" w:hAnsi="Times New Roman"/>
          <w:b/>
          <w:i/>
          <w:color w:val="1F497D"/>
          <w:sz w:val="18"/>
        </w:rPr>
        <w:t>F</w:t>
      </w:r>
      <w:r>
        <w:rPr>
          <w:rFonts w:ascii="Times New Roman" w:hAnsi="Times New Roman"/>
          <w:i/>
          <w:color w:val="1F497D"/>
          <w:sz w:val="18"/>
        </w:rPr>
        <w:t>) COLO205, (</w:t>
      </w:r>
      <w:r>
        <w:rPr>
          <w:rFonts w:ascii="Times New Roman" w:hAnsi="Times New Roman"/>
          <w:b/>
          <w:i/>
          <w:color w:val="1F497D"/>
          <w:sz w:val="18"/>
        </w:rPr>
        <w:t>G</w:t>
      </w:r>
      <w:r>
        <w:rPr>
          <w:rFonts w:ascii="Times New Roman" w:hAnsi="Times New Roman"/>
          <w:i/>
          <w:color w:val="1F497D"/>
          <w:sz w:val="18"/>
        </w:rPr>
        <w:t>) HCT116, (</w:t>
      </w:r>
      <w:r>
        <w:rPr>
          <w:rFonts w:ascii="Times New Roman" w:hAnsi="Times New Roman"/>
          <w:b/>
          <w:i/>
          <w:color w:val="1F497D"/>
          <w:sz w:val="18"/>
        </w:rPr>
        <w:t>H</w:t>
      </w:r>
      <w:r>
        <w:rPr>
          <w:rFonts w:ascii="Times New Roman" w:hAnsi="Times New Roman"/>
          <w:i/>
          <w:color w:val="1F497D"/>
          <w:sz w:val="18"/>
        </w:rPr>
        <w:t>) MDA-MB-468, (</w:t>
      </w:r>
      <w:r>
        <w:rPr>
          <w:rFonts w:ascii="Times New Roman" w:hAnsi="Times New Roman"/>
          <w:b/>
          <w:i/>
          <w:color w:val="1F497D"/>
          <w:sz w:val="18"/>
        </w:rPr>
        <w:t>I</w:t>
      </w:r>
      <w:r>
        <w:rPr>
          <w:rFonts w:ascii="Times New Roman" w:hAnsi="Times New Roman"/>
          <w:i/>
          <w:color w:val="1F497D"/>
          <w:sz w:val="18"/>
        </w:rPr>
        <w:t>) CFPAC-1, (</w:t>
      </w:r>
      <w:r>
        <w:rPr>
          <w:rFonts w:ascii="Times New Roman" w:hAnsi="Times New Roman"/>
          <w:b/>
          <w:i/>
          <w:color w:val="1F497D"/>
          <w:sz w:val="18"/>
        </w:rPr>
        <w:t>J</w:t>
      </w:r>
      <w:r>
        <w:rPr>
          <w:rFonts w:ascii="Times New Roman" w:hAnsi="Times New Roman"/>
          <w:i/>
          <w:color w:val="1F497D"/>
          <w:sz w:val="18"/>
        </w:rPr>
        <w:t>) PDOX model CRC22420. Dosing frequency indicated by black arrows. Data represented as mean ± SEM, (</w:t>
      </w:r>
      <w:r>
        <w:rPr>
          <w:rFonts w:ascii="Times New Roman" w:hAnsi="Times New Roman"/>
          <w:b/>
          <w:i/>
          <w:color w:val="1F497D"/>
          <w:sz w:val="18"/>
        </w:rPr>
        <w:t>A-B</w:t>
      </w:r>
      <w:r>
        <w:rPr>
          <w:rFonts w:ascii="Times New Roman" w:hAnsi="Times New Roman"/>
          <w:i/>
          <w:color w:val="1F497D"/>
          <w:sz w:val="18"/>
        </w:rPr>
        <w:t xml:space="preserve">, </w:t>
      </w:r>
      <w:r>
        <w:rPr>
          <w:rFonts w:ascii="Times New Roman" w:hAnsi="Times New Roman"/>
          <w:b/>
          <w:i/>
          <w:color w:val="1F497D"/>
          <w:sz w:val="18"/>
        </w:rPr>
        <w:t>E-J</w:t>
      </w:r>
      <w:r>
        <w:rPr>
          <w:rFonts w:ascii="Times New Roman" w:hAnsi="Times New Roman"/>
          <w:i/>
          <w:color w:val="1F497D"/>
          <w:sz w:val="18"/>
        </w:rPr>
        <w:t>) n=12 per group, NU/NU mice, (</w:t>
      </w:r>
      <w:r>
        <w:rPr>
          <w:rFonts w:ascii="Times New Roman" w:hAnsi="Times New Roman"/>
          <w:b/>
          <w:i/>
          <w:color w:val="1F497D"/>
          <w:sz w:val="18"/>
        </w:rPr>
        <w:t>C-D</w:t>
      </w:r>
      <w:r>
        <w:rPr>
          <w:rFonts w:ascii="Times New Roman" w:hAnsi="Times New Roman"/>
          <w:i/>
          <w:color w:val="1F497D"/>
          <w:sz w:val="18"/>
        </w:rPr>
        <w:t>) n=5 per group, NOD SCID mice. (</w:t>
      </w:r>
      <w:r>
        <w:rPr>
          <w:rFonts w:ascii="Times New Roman" w:hAnsi="Times New Roman"/>
          <w:b/>
          <w:i/>
          <w:color w:val="1F497D"/>
          <w:sz w:val="18"/>
        </w:rPr>
        <w:t>K</w:t>
      </w:r>
      <w:r>
        <w:rPr>
          <w:rFonts w:ascii="Times New Roman" w:hAnsi="Times New Roman"/>
          <w:i/>
          <w:color w:val="1F497D"/>
          <w:sz w:val="18"/>
        </w:rPr>
        <w:t>) Representative IHC staining of EGFR in PDOX tissue. wt refers to EGFR wild-type tyrosine kinase domain.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GLP toxicity study in non-human primates supports ALX2004 design for improved therapeutic window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toxicity and toxicokinetic profile of ALX2004 was evaluated in a 6-week repeat-dose (Q3W dosing) GLP toxicity study in monkeys, at doses of 5, 10, and 20 mg/kg. No dose-limiting major target organ toxicity, including on-target toxicity (i.e., skin or other EGFR-expressing cells), was observed. Furthermore, there was no evidence of ILD which is a concern for some Top1i-based ADCs. The no observable adverse event level (NOAEL) was 10 mg/kg and the highest non-severely toxic dose (HNSTD) was 20 mg/kg. All findings were minimal to moderate and fully recoverable.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These findings in addition to the rest of the preclinical data package for ALX2004 allowed us to start at a 1 mg/kg dose level in ALX2004’s first-in-human clinical trial.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ALX2004 first-in-human study is in patients with EGFR-expressing solid tumors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designed ALX2004’s Phase 1 study to maximize both efficiency and the probability of technical success by selecting tumor types with the following characteristics: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EGFR expression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Sensitivity to topoisomerase I inhibitors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Sensitivity to EGFR-targeted antibodies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By evaluating tumor types on these criteria, we selected NSCLC, HNSCC, CRC, and esophageal squamous cell carcinoma (ESCC) as eligible tumor types for the dose finding portion of the Phase 1 trial. Importantly, this group of tumor types represents a significant unmet need with over 450,000 patients living with these tumors in the metastatic stage in the US alone.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study consists of a Phase 1a dose escalation portion followed by optional dose exploration, and a Phase 1b dose expansion. The dose escalation portion of the trial is enrolling patients with previously treated NSCLC, HNSCC, CRC, and ESCC.</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first patient was dosed in this trial in August 2025. As of January 2026, the first two dose levels had been cleared with no dose-limiting toxicities. Initial safety data is anticipated in the first half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6362700" cy="3133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362700" cy="3133725"/>
                    </a:xfrm>
                    <a:prstGeom prst="rect">
                      <a:avLst/>
                    </a:prstGeom>
                  </pic:spPr>
                </pic:pic>
              </a:graphicData>
            </a:graphic>
          </wp:inline>
        </w:drawing>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Licensing and Intellectual Property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January 4, 2026, we own 11 issued U.S. patents, 86 foreign issued patents, 9 pending U.S. nonprovisional patent applications and a portfolio of national patent application filings in a variety of non-U.S. jurisdictions, including Europe, Hong Kong, Brazil, Mexico, New Zealand, Japan, Australia, Canada, China, India, Israel, Republic of Korea, Singapore, Taiwan and Russia. Of these patents and patent applications, the following relate to evorpacept: seven issued U.S. patents, six pending U.S. nonprovisional patent applications, and a portfolio of granted and pending patent filings in a variety of non-U.S. jurisdictions, including Europe, Hong Kong, Brazil, Mexico, New Zealand, Japan, Australia, Canada, China, India, Israel, Republic of Korea, Singapore and Russia. The following relate to antibody shielding technology and exatecan derivatives: one issued U.S. patent, three pending U.S. nonprovisional patent applications, and 49 pending foreign patent applications.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term of individual patents depends upon the legal term for patents in the countries in which they are granted. Our 11 U.S. issued patents and, if issued as U.S. patents, our 8 U.S. nonprovisional patent applications are expected to expire between August 2036 and November 2043 excluding any additional term for patent term adjustments or patent term extensions, with an expiration of between August 2036 and May 2043 with respect to our patent and patent applications related to evorpacept, excluding any additional term for patent term extensions.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obtained a worldwide, royalty-bearing, sublicensable license from the Board of Trustees of the Leland Stanford Junior University, or Stanford, under certain patents relating to high-affinity SIRPα variant polypeptides, to develop, manufacture and commercialize products for use in certain licensed fields, the scope of which would include the application of the licensed intellectual property in oncology. For more information regarding our license agreement with Stanford, please see “—Exclusive (Equity) Agreement with Stanford University.”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patent portfolio we have exclusively licensed from Stanford contains patent families relating to high-affinity SIRPα variant polypeptides, which includes three issued patents in the U.S. and one each in Australia, Canada, China, Europe, Hong Kong and four in Japan. The European patent has been validated as national patents in 37 different European countries. The patent family includes one pending patent application in each of U.S., Europe, and China and two pending patent applications in Hong Kong.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aware of a European patent (EP 2 429 574) owned by UHN and The Hospital for Sick Children that relates to the treatment of hematologic cancers with polypeptides comprising soluble human SIRPα, or a CD47-binding fragment thereof. This patent was subject to European Patent Office opposition proceedings, which resulted in the patent being upheld in amended form.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we are aware of a second European Patent (EP 2 995 315), a divisional of European patent (EP 2 429 574), granted to UHN and The Hospital for Sick Children. This patent relates to the eradication of hematological CD47+ cancer cells and tumors with polypeptides comprising soluble human SIRPα, or a CD47-binding fragment thereof. This patent was upheld as granted by the European Patent Office Opposition Division on November 28, 2025. This decision is currently under appeal.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patent claims of both EP 2 429 574 and EP 2 995 315 could potentially limit our ability to pursue evorpacept in certain indications in certain territories in the EU in the future unless we obtain a license under these patents, these patents are determined to be invalid or unenforceable by the European Patent Office or a national court in one or more relevant territories, these patents are revoked or otherwise limited by the European Patent Office or a national court, or until these patents expire. A license may however not be available on commercially reasonable terms or at all. The U.S. counterpart to EP 2 429 574 was granted in 2021 as US patent 10,907,209. However, we believe that we do not infringe claims listed in this U.S. patent. Further, with respect to the development of our ALX2004 program, many companies have filed, and continue to file, patent applications related to antibody drug conjugates and components thereof that are similar to our approach.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if any, or impair our competitive position.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more information regarding the risks related to our intellectual property, including the above referenced intellectual property proceedings, see “Risk Factors—Risks Related to Our Intellectual Property.”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(Equity) Agreement with Stanford University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March 2015, we entered into a license agreement, or the Stanford Agreement, with The Board of Trustees of the Leland Stanford Junior University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We recorded the first milestone payment of $0.2 million during the year ended December 31, 2021. There have been no milestones met during the year ended December 31, 2025.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diligently developing and commercializing such licensed product under certain conditions or if we fail to achieve specified development milestones for such licensed product by certain dates, subject to our extension rights.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Third-Party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into license agreements with third parties related to the development and commercialization of our product candidates, including evorpacept, and SIRPα antibodies which we are exploring in our research program. In consideration of the foregoing, we have agreed to customary payment terms in these agreements, including certain milestone payments upon the achievement of clinical and commercial milestones and low single-digit royalties. See further details in Note 13 to our consolidated financial statements appearing elsewhere in this Annual Report on Form 10-K.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 and Supply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do not own or operate and do not intend to establish our own manufacturing facilities. We rely on, and will continue to rely on, CMOs for both drug substance and drug product. Evorpacept and ALX2004 bulk drug substance and finished drug product are produced in accordance with current good manufacturing practices, or cGMPs.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existing supply of evorpacept and ALX2004 is sufficient to complete our clinical trials through the first quarter of 2026. We plan to manufacture additional supplies with our existing CMOs to produce evorpacept and ALX2004 drug product sufficient to complete the ongoing and planned clinical trials described in this document. We first entered into an engagement with KBI Biopharma, Inc. in 2015 for evorpacept analytical method development, formulation development, bulk drug manufacturing, release and stability testing. We first entered into an engagement with Patheon Biologics LLC in 2022 for evorpacept bulk drug manufacturing and release testing. We first entered into a drug product manufacturing agreement with Lyophilization Services of New England, Inc. (now PCI Pharma Services) in 2016 for evorpacept drug product used in clinical trials. We subsequently entered into a drug product manufacturing agreement with Patheon UK Limited in 2022 for drug product production of evorpacept drug product used in clinical trials. We first entered into an engagement with WuXi Biologics and WuXi XDC in 2023 for ALX2004 analytical method development, formulation development, bulk drug manufacturing, drug product manufacturing, release and stability testing, used in clinical trials.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ALX2004,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Some of these competitive products and therapies are based on scientific approaches that are the same as or similar to our approach, including with respect to the targeting of the CD47 pathway, targeting EGFR as an ADC target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We are also aware that AstraZeneca, BioNTech, Bristol Myers Squibb with Systimmune, CSPC, and Henlius, among others, are developing or have begun development of antibody drug conjugates targeting EGFR.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ALX2004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Biologics Regulation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future product candidates must be approved by the FDA through the BLA process before they may be legally marketed in the United States.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process generally involves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extensive preclinical laboratory tests and animal studies performed in accordance with the FDA’s current Good Laboratory Practices, or GLP, regulation.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investigational new drug, or IND, application, which must become effective before clinical trials may begin and must be updated annually or when significant changes are made.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or IRB, or ethics committee at each clinical site before the trial is commenced.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trials in accordance with the applicable IND regulations, good clinical practice, or GCP, requirements to establish the safety and effectiveness of the proposed biologic product candidate for its intended purpose.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PREA, BPCA and FDARA regarding development of certain molecularly targeted oncology drugs for pediatric use.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and submission to the FDA of a BLA.</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within 60 days of its receipt of a BLA to file the application for review.</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any FDA audit of selected clinical trial sites that generated the data in support of the BLA.</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a BLA to permit commercial marketing of the product for particular indications for use in the United States.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necessary, FDA review and approval of the combination partner NDA/BLA to address any cross-labeling requirements to permit commercial marketing of the combination product for the particular indications for use in the United States.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any post-approval requirements, including the potential requirement to implement a Risk Evaluation and Mitigation Strategy, or REMS, and the potential requirement to conduct post-approval studies.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Prior to beginning the first clinical trial with a product candidate, we must submit an IND to the FDA. An IND is a request for authorization from the FDA to administer an investigational new biopharmaceutical product to humans.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the clinical data are relevant to the US patient population in terms of medical practice, standard of care, and patient population definition, and the FDA is able to validate the data through an onsite inspection if deemed necessary.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purposes of BLA approval, human clinical trials are typically conducted in three sequential phases that may overlap.</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For biologics being studied in oncology indications, the investigational product is initially introduced into patients with a broader range of malignancies, and may later focus on the target disease or condition. These trials are generally designed to test the safety, dosage tolerance, absorption, metabolism and distribution of the investigational product in humans, to identify possible side effects associated with increasing doses, and, if possible, to gain early evidence on effectiveness.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usually include comparisons with placebo and/or other comparator treatments.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BLA Submission and Review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often includes multiple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Further, FDA’s “real-time” release of newly issued Complete Response Letters associated with withdrawn or abandoned applications, if applicable to any of our product candidates, can materially impact our business and competitive advantage.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regulatory approval of a product is granted, such approval will be granted for particular indications and may entail limitations on the indicated uses for which such product may be marketed. For example, the FDA may approve the BLA with a Risk Evaluation and Management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 2021 court case, the court expanded the scope of orphan drug exclusivity by finding that orphan drug exclusivity applies to all uses or indications within an entire disease or condition. This position was in contrast to the FDA’s longstanding view which ties the scope of orphan drug exclusivity to the uses or indications for which a drug is approved, and thus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 xml:space="preserve">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current U.S. presidential administration may lead to new policies, changes in the regulations, or disruptions to the normal operations of federal agencies, any of which may impact our clinical development plans.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Biosimilars and Reference Product Exclusivity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 Outside of the United States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regulations in the United States, we are subject to a variety of regulations in other jurisdictions where we seek to commercialize any of our product candidates, including countries in Europe and Asia. Such foreign regulations govern,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 candidates. Because biologically sourced raw materials are subject to unique contamination risks, their use may be restricted in some countries.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Whether or not we obtain FDA approval for a product candidate, we must obtain the requisite approvals from regulatory authorities in foreign countries prior to the commencement of a clinical trial or marketing of a product in those countries. Certain countries outside of the United States have a similar approval process that requires the submission of a clinical trial application, or CTA, much like the IND prior to the commencement of human clinical trials. In the European Union, for example, a CTA must be submitted for each clinical trial to each country’s national health authority and an independent ethics committee, much like the FDA and an IRB, respectively. Once the CTA is approved in accordance with a country’s requirements, the corresponding clinical trial may proceed. The requirements and process governing the conduct of clinical trials, product licensing, pricing and reimbursement vary from country to country. In all cases, the clinical trials must be conducted in accordance with GCP requirements, applicable regulatory requirements and the ethical principles that have their origin in the Declaration of Helsinki.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European Union Drug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 The Clinical Trials Regulation EU No 536/2014, which entered into force in January 2022 with a transition period and aims at harmonizing and streamlining clinical-trial authorization, simplifying adverse-event reporting procedures, improving the supervision of clinical trials and increasing their transparency. From January 31, 2025, or the end of the transition period, any trials approved under the Clinical Trials Directive that continue running will need to comply with the Clinical Trials Regulation, and their sponsors must enter information on the trials in the Clinical Trials Information System.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European Economic Area (EEA), which is comprised of the 27 Member States of the European Union (excluding Croatia), Norway, Iceland and Liechtenstein, medicinal products can only be commercialized after obtaining a Marketing Authorization (MA). There are two types of Marketing Authorizations: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U.S Healthcare Laws and Compliance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FDCA, which prohibits, among other things, the adulteration or misbranding of drugs, biologics and medical devices.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Coverage and Reimbursement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Healthcare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 Healthcare Reform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There have been legislative and judicial efforts to repeal, replace, or change some or all of the ACA, including measures taken during the Trump administration.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Trump administration will impact the ACA, our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up to 2% per fiscal year, effective April 1, 2013, which will stay in effect through 2032,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Medicaid statutory rebates are no longer capped at 100% of the average manufacturer price.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Part D drugs for negotiated maximum fair pricing in 2027. For 2028, up to an additional 15 drugs, which may be covered under either Medicare Part B or Part D, will be selected, and for 2029 and subsequent years, up to 20 additional Part B or Part D drugs will be selected. The impact of these legislative, executive, and administrative actions and any future healthcare measures and agency rules implemented by the current U.S. presidential administration on us and the pharmaceutical industry as a whole is unclear. Various industry stakeholders have initiated lawsuits against the federal government asserting that the price negotiation provisions of the Inflation Reduction Act are unconstitutional. The impact of these judicial challenges and future regulations, healthcare measures and agency rules by the government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FDA has authorized the state of Florida to develop a drug importation program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we had 43 employees, 11 of whom hold Ph.D. or M.D. degrees and 29 of whom were engaged in research and development activities. None of our employees are represented by a labor union and we believe we maintain good relations with our employees. We rely on skilled, innovative, and passionate employees to conduct our research, development and business activities. Our employees are united by our goal of developing therapies that help patients fight cancer. Developing a diverse, equitable and inclusive culture is essential to our success and we are committed to building a workplace where all individuals feel welcomed and valued.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biopharmaceutical industry is highly competitive and recruiting and retaining employees is critical to the continued success of our business.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also offer a collaborative work environment, flexible or remote work arrangements, ongoing professional development opportunities, career advancement opportunities, and a culture that values diversity and inclusion.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We present the information included in this Annual Report on Form 10-K as that of ALX Oncology Holdings Inc. unless such information refers to a date prior to April 1, 2020, in which case it reflects that of our predecessor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principal executive offices are located at 323 Allerton Avenue, South San Francisco, California, 94080. Our telephone number is 650-466-7125. Our website address is alxoncology.com.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Annual Reports on Form 10</w:t>
        <w:noBreakHyphen/>
        <w:t>K, Quarterly Reports on Form 10</w:t>
        <w:noBreakHyphen/>
        <w:t>Q, Current Reports on Form 8</w:t>
        <w:noBreakHyphen/>
        <w:t>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SEC’s website.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U.S. Food and Drug Administration, or FDA, or other comparable foreign regulatory authorities;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could adversely impact our business including our ongoing and planned clinical trials and preclinical research;</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implement and maintain effective internal control over financial reporting in the future, investors may lose confidence in our financial reports.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$101.7 million, $134.9 million and $160.8 million for the years ended December 31, 2025, 2024 and 2023, respectively. As of December 31, 2025, we had an accumulated deficit of $722.8 million. We have devoted substantially all of our resources and efforts to research and development. Our product candidates, evorpacept and ALX2004, are in early-stage clinical trials.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ALX2004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we had cash, cash equivalents and investments of $48.3 million. Based on our current operating plan, we believe that our existing cash, cash equivalents, and investments and net proceeds of $140.3 million raised in our registered offering that closed in February 2026 (the February 2026 Offering) will be sufficient to fund our operations through the first half of 2028.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and ALX2004,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ALX2004, and our other programs will require a significant amount of capital. Our current cash, cash equivalents and investments on hand, may not be sufficient to fund all of the actions that are necessary to complete the development of evorpacept and ALX2004, or our other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will be required to obtain further funding through public or private equity offerings, debt financings, collaborations and licensing arrangements or other sources, which may dilute our stockholders or restrict our operating activities. Our ability to raise additional funds may be adversely impacted by market perceptions of our ability to maintain our listing on the Nasdaq.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 sole discretion as of December 31, 2025.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a stockholder’s ownership interest will be diluted, and the terms may include liquidation or other preferences that adversely affect one’s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and Phase 1 clinical trials of ALX2004.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product candidates evorpacept and ALX2004, and our other future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ALX2004 and our other future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ALX2004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ALX2004, and any future product candidates as viable treatment options by patients, the medical community and third-party payors;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October 2022, we entered into the Loan Agreement, most recently amended in December 2023, under which we have borrowed $10.0 million. Under the Loan Agreement, $25.0 million is available for us to draw at the Lenders’ sole discretion as of December 31, 2025. The proceeds of the loans may be used by us for working capital and to fund our general business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term loans under the Loan Agreement mature on October 1, 2027. We began to make principal payments in equal monthly installments beginning on December 1, 2025.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 loans under the Loan Agreement are secured by substantially all of our assets, except our intellectual property, which is the subject of a negative pledge, and will be guaranteed by our future subsidiaries, subject to certain limitations.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or our second product candidate, ALX2004, which are both in clinical development and have not completed a pivotal trial. If we do not obtain regulatory approval for and successfully commercialize evorpacept or ALX2004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product candidates evorpacept and ALX2004, in our ongoing clinical trials. As a result, our business currently depends heavily on the successful development, regulatory approval and, if approved, commercialization of evorpacept in one or more of these indications, such as gastric/gastroesophageal junction, or GEJ, carcinoma, breast cancer, NHL or multiple myeloma.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ALX2004 or any of our future product candidates, would materially harm our business, financial condition and results of operations. We are not permitted to market or promote evorpacept, ALX2004 or any other product candidate, before we receive marketing approval from the FDA and comparable foreign regulatory authorities, and we may never receive such marketing approvals. If we do not receive marketing approvals for evorpacept or ALX2004,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head and neck squamous cell carcinoma (HNSCC).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ALX2004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including with respect to our single-arm ASPEN-09-Breast study in HER2-positive breast cancer, our clinical timelines may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any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and approval of FDA or other comparable foreign regulatory authorities required companion diagnostics necessary for use with our product candidates;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and ALX2004 are focused on indications with small patient populations, our ability to enroll eligible subjects may be limited or may result in slower enrollment than we anticipate.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appropriately enroll an ethnically and racially diverse patient population representative of the target patient population;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evorpacept, ALX2004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azacitidine, or enfortumab vedotin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ALX2004,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approaches, including with respect to the targeting of the CD47 pathway, targeting epidermal growth factor receptor (EGFR) as an antibody-drug conjugate target,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We are also aware that AstraZeneca, BioNTech, Bristol Myers Squibb with Systimmune, CSPC, and Henlius, among others, are developing or have begun development of antibody drug conjugates (ADCs) targeting EGFR.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ALX2004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based on biomarker analyses or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European Medicines Agency (EMA) and other comparable foreign regulatory requirements may subject our company to administrative or judicially imposed sanctions or enforcement actions, including: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2/3 clinical trials of evorpacept in combination with trastuzumab for gastric/GEJ carcinoma. As a result, the results of our clinical trials and the sales of our drugs may be affected by the availability of these third-party drugs. For instance, we entered into clinical trial collaboration and supply agreements with Eli Lilly, pursuant to which our collaboration counterparties will supply doses of ramucirumab for use in certain clinical trials. If the agreement with Eli Lilly is terminated before the trial is completed, we may need to find another source of ramucirumab in order to continue our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ALX2004 and any other product candidates, if any are approved, will depend on a number of factors, including, among others: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ALX2004, and our other product candidates to treat cancer or other applicable targeted diseases, as compared with other available drugs, treatments or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ALX2004, and our other product candidates;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ALX2004, or our other product candidates by the FDA or foreign regulatory authorities;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by government, insurers or third-party payors, and the willingness of patients to pay out-of-pocket in the absence of third-party coverage;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ALX2004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 candidates, evorpacept and ALX2004, are at an early stage of clinical development and not all adverse effects can be predicted or anticipated. Unforeseen side effects from evorpacept, ALX2004, or any of our future product candidates may arise at any time during clinical development or, if approved by regulatory authorities, after the approved drug product has been marketed. Any undesirable or unacceptable side effects of evorpacept, ALX2004,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ALX2004,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under the new leadership at the HHS, reorganization of that department, departure of senior leadership at the FDA and other agencies under HHS, mass layoffs at HHS, government shutdown, and a lapse in U.S. government appropriations may impact operations at the FDA as well as other federal agencies, which can materially delay our timelines. The FDA may lack adequate staff and resources to meet current review, approval, and inspection schedules, which could delay our anticipated timelines. These new policies are also expected to lead to fewer agency guidance documents that could result in interference with FDA programs or lead to delays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presidential administration and the new FDA commissioner or other executive orders. To the extent the agency reorganization and other agency changes lead to disruptions in the FDA’s operations, our interactions, correspondence, and regulatory review processes with the FDA may be delayed. </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 Changes in the leadership of the FDA and other federal agencies under the current U.S. presidential administration may also lead to new policies and changes in the regulations and operations of the FDA, which may impact our clinical development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 xml:space="preserve">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Centers for Medicare &amp; Medicaid Services, or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The One Big Beautiful Bill Act,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General Data Protection Regulation, or, together with the UK’s Data Protection Act 2018,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actual or alleged failure to comply with the GDPR, UK GDPR, FADP, or other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One primary set of safeguards, the Standard Contractual Clauses adopted by the European Commission, has been updated recently. With regard to data transfers outside of the EEA to the United States, in March 2022, the European Union and United States established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Data protection regulation in the United Kingdom is subject to some uncertainty. Although the European Commission granted “adequacy” status to the United Kingdom in June 2021, and personal information can flow from the European Union to the United Kingdom and back, the United Kingdom may change its policy with respect to the export of personal information to third countries, such as the United States, and the European Commission’s adequacy determination for the United Kingdom requires renewal in 2025 and it may be modified or revoked in the interim. The United Kingdom made targeted amendments to the UK GDPR in the UK Data (Use and Access) Act 2025, or DUAA, which was enacted on June 19, 2025. The European Commission has renewed the UK’s adequacy decision after assessing the DUAA through December 2031. In addition, in February 2022, the United Kingdom’s Information Commissioner’s Office issued new Standard Contractual Clauses for the transfer of personal information outside of the United Kingdom. The data transfers enforcement landscape and the longer-term stability of the EU-U.S. DPF and related programs remain uncertain, which could require us to modify our policies and practices and increase our compliance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the UK GDPR, the FADP, and applicable laws and regulations of European Union member states in connection with any measures we take to comply with them.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the California Privacy Rights Act, or the CPRA, was approved by California voters in November 2020. The CPRA modified and augmented the CCPA significantly, effective as of January 1, 2023, resulting in further uncertainty and requiring us to incur additional costs and expenses in an effort to comply. Numerous other states have proposed, and in certain cases enacted similar laws, including comprehensive privacy laws similar to the CCPA enacted in Colorado, Connecticut, Delaware, Florida, Indiana, Iowa, Kentucky, Maryland, Minnesota, Montana, Nebraska, New Hampshire, New Jersey, Oregon, Rhode Island, Tennessee, Texas, Utah, and Virginia. Other states have proposed, and in certain cases enacted, legislation addressing privacy and cybersecurity in the context of specific subject matter such as biometrics and health-related personal information. The U.S. Department of Justice also has issued rules regarding certain bulk sensitive personal data transfers. As we expand our operations, preclinical studies and clinical trials, these new state laws and other state laws and regulations relating to privacy, data security, and the collection, use, transfer, and other processing of data may increase our compliance costs and potential liability. Laws and regulations relating to these matters are not consistent across jurisdictions, and they may impose conflicting or uncertain obligations. Compliance with these and any other applicable laws and regulations relating to these matters is a rigorous, costly and time-intensive process, and we may be required to put in place additional mechanisms to address new and changing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(now abandoned in favor of a divisional application 18/518,353, which has claims that are not related to polypeptides comprising soluble human SIRPα) owned by University Health Network, or UHN, and The Hospital for Sick Children that may encompass certain therapies for the treatment of cancer using polypeptides comprising soluble human SIRPα, as well as related applications in other jurisdictions.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subject to European Patent Office opposition proceedings, which resulted in the patent being upheld in amended form. Additionally, we are aware of a second European Patent (EP 2 995 315), a divisional of European patent (EP 2 429 574), granted to UHN and The Hospital for Sick Children. This patent relates to the eradication of hematological CD47+ cancer cells and tumors with polypeptides comprising soluble human SIRPα, or a CD47-binding fragment thereof. This patent was upheld as granted by the European Patent Office Opposition Division on November 28, 2025. This decision is currently under appeal. The patent claims of both EP 2 429 574 and EP 2 995 315 could potentially limit our ability to pursue evorpacept in certain indications in certain territories in the EU in the future unless we obtain a license under these patents, these patents are determined to be invalid or unenforceable by the European Patent Office or a national court in one or more relevant territories, these patents are revoked or otherwise limited by the European Patent Office or a national court, or until these patents expire. A license may however not be available on commercially reasonable terms or at all. With respect to U.S. patent 10,907,209, we believe that we do not infringe claims listed in this U.S. patent. Further, with respect to the development of our ALX2004 program, many companies have filed, and continue to file, patent applications related to ADCs and components thereof that are similar to our approach.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we had 43 employees, including 29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ALX2004 and any other future product candidates, while complying with applicable contractual obligations to contractors and other third parties;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ALX2004,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ALX2004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ALX2004,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immuno-oncology approach, and our future success depends on the successful development of our product candidates, evorpacept and ALX2004,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including the previously completed RIF, pausing recruiting efforts, or employee attrition could also create delays in the development of our product candidates, yield unintended consequences and costs, such as the loss of institutional knowledge and expertise, attrition beyond the intended reduction in force, the distraction of employees and reduced employee morale, which could all adversely affect our reputation as an employer, making it more difficult for us to hire new employees in the future and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breach or incident or a related breach of our information systems or data;</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2025, we had net operating loss carryforwards of approximately $305.4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carryforwards will begin to expire beginning in 2038. Other limitations may apply under state law. For example, California legislation suspends the use of state net operating losses by taxpayers with net business income or modified adjusted gross income of $1 million or more for tax years beginning on or after January 1, 2024 and before January 1, 2027.</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the Organisation for Economic Co-operation and Development, or OECD, has proposed implementing a global minimum tax of 15%, or Pillar Two, which has been implemented into the domestic laws of European Union member countries and is being considered for implementation by other countries. However, on January 5, 2026, the OECD announced a side-by-side elective safe harbor that exempts U.S.-parented multinational businesses from certain provisions of Pillar Two for fiscal years beginning on or after January 1, 2026.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2025 Shelf Registration Statement provides for aggregate offerings of up to $364.1 million of the Company’s securities inclusive of up to $119.1 million of shares of our common stock through the at-the-market, or ATM, offering. From December 2021 to December 31, 2025, we sold an aggregate of 3,175,681 shares of common stock under our ATM offering. On October 10, 2023, we completed a registered offering (the October 2023 Offering) for the issuance and sale of an aggregate of 8,663,793 shares of common stock at an offering price of $6.38 per share and pre-funded warrants to purchase 1,250,000 shares of common stock at an offering price of $6.379 per pre-funded warrant. On February 2, 2026, we completed the February 2026 Offering for the issuance and sale of an aggregate of 76,979,112 shares of common stock at an offering price of $1.57 per share and pre-funded warrants to purchase 18,574,120 shares of common stock at an offering price of $1.569 per pre-funded warrant. Our stockholders may be further diluted by the exercise of the pre-funded warrants issued in the October 2023 Offering and February 2026 Offering. As of December 31, 2025, no shares underlying the pre-funded warrants had been exercised. If we issue common stock or securities convertible into common stock, our stockholders will experience additional dilution and our stock price may decline.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Annual Report on Form 10-K, the following factors may cause the market price of our common stock to fluctuate: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perceptions of our ability to maintain our listing on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of actual or anticipated reduction in force, including the RIF;</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listing of our securities on the Nasdaq Global Select Market or another reputable stock exchange, it may be more difficult for our stockholders to sell their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it could have a materially adverse effect on our ability to raise additional funds as well as on the price and liquidity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example, if at any time the bid price of our common stock closes below $1.00 per share for more than 30 consecutive business days, we may be subject to delisting from the Nasdaq Global Select Market. On April 23, 2025, we received a notice from Nasdaq notifying us that we have not been in compliance with the minimum bid price requirement for continued listing on the Nasdaq Global Select Market set forth in Nasdaq Listing Rule 5450(a)(1) for a period of 30 consecutive business days. In accordance with Nasdaq Listing Rule 5810(c)(3)(A), we have been provided a compliance period of 180 calendar days from the date of the Notice, or until October 20, 2025, to regain compliance (subject to any additional 180-day compliance period which may be available to us).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In September 2025, we received written confirmation from the Staff of Nasdaq that we had regained compliance with the minimum bid price requirement, as the closing bid price of our common stock had been at $1.00 per share or greater for ten consecutive business days. However, there can be no assurance that we will be able to maintain compliance with the minimum bid price requirement or other Nasdaq listing standards. To the extent that we are unable to maintain compliance with Nasdaq listing standards, there is a risk that our common stock may be delisted from Nasdaq, which would adversely impact liquidity of our common stock and potentially result in even lower bid prices for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ALX2004, and any of our other product candidates, or competing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ALX2004 and any of our other product candidates, and changes in the competitive landscape of our industry, including consolidation among our competitors or partners;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ALX2004 or any of our other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ALX2004 and any of our other product candidates, if approved, which may fluctuate significantly and be difficult to predict;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ALX2004 and any of our other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ALX2004, and any of our other product candidates, if approved, inside and outside of the United States, either independently or working with third parties;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Loan Agreement as described elsewhere in this Annual Report on Form 10-K;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U.S. federal government shutdowns, and any U.S. federal government debt default due to a failure to increase the debt ceiling;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and April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October 10, 2023, we completed the October 2023 Offering and on February 2, 2026, we completed the February 2026 Offering. Our stockholders may be further diluted by the exercise of the pre-funded warrants issued in the October 2023 Offering and February 2026 Offering. As of December 31, 2025, no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2025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have been a “non-accelerated filer” since fiscal year 2023 and we anticipate we will continue to be one throughout fiscal year 2026. This status could make our common stock less attractive to investors.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Each year, we re-evaluate our SEC filing status. Accordingly, we are a non-accelerated filer, and due to our public float as of June 30, 2025, we anticipate we will be a non-accelerated filer throughout calendar year 2026.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a stockholder’s ownership interest will be diluted, and the terms of these new securities may include liquidation or other preferences that adversely affect one’s rights as a common stockholder. Sales of equity securities may be made under our 2025 Shelf Registration Statement and pursuant to our related ATM facility described therein. Additionally, our stockholders may be further diluted by the exercise of the pre-funded warrants issued in the October 2023 Offering and the February 2026 Offering. As of December 31, 2025, no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past, we experienced material weaknesses in our internal control over financial reporting, which have since been remediated for a number of years. 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for a number of years.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and war and instability in Israel and the surrounding region may subject us and our CROs and other third-party service providers to heightened risks of cyber-attacks and security breaches and incidents, any of which could materially disrupt our drug discovery and development programs or other aspects of our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5" w:name="item_1b_un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established policies and processes for assessing, identifying, and managing material risk from cybersecurity threats, and have integrated these processes into our overall risk management systems and processes. We periodically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to manage our risk assessment and mitigation processes, including our Chief Accounting Officer (CAO), who serves as our acting Chief Information Security Officer (CISO), as well as external information technology consultants who help manage our information technology systems and our information security.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part of our overall risk management system, we monitor and test our safeguards and train our employees on these safeguards, in collaboration with our information technology consultants. Employees at all levels and departments are made aware of our cybersecurity policies through trainings.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engage our information technology consultants, including dedicated on-site consultants as well as other third parties, in connection with our risk assessment processes. These partners assist us to help design, implement, monitor, and test our cybersecurity policies and procedures. We also require key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including risks from cybersecurity threats. Our board of directors, which is responsible for monitoring and assessing strategic risk exposure, has delegated primary oversight responsibility for cybersecurity to our audit committee.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CAO and acting CISO, who reports to our President, is responsible for the day-to-day management of our cybersecurity policies and processes, including those described in “Risk Management and Strategy” above, with the assistance of and informed by our consultants. Our CAO and acting CISO, who has many years of senior management and operational oversight at emerging technology companies, is informed about and monitors the prevention, detection, mitigation, and remediation of cybersecurity incidents through the day-to-day management of our information technology consultants, which includes engaging with information provided by the consultants, automated monitoring and detection systems, and other tools and processes defined by our cybersecurity policies.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CAO and acting CISO provides periodic briefings to our executive officers regarding our company’s cybersecurity risks and activities, including any recent cybersecurity incidents and related responses, cybersecurity systems testing, activities of third parties, and the like. Our CAO and acting CISO also provides periodic briefings to the board of directors, including the audit committee, on cybersecurity risks and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principal executive office is located in South San Francisco, California. We currently lease 10,000 square feet of office space in South San Francisco, California, under a lease that expires in 2026, and 11,074 square feet of office and laboratory space in Palo Alto, California, under a lease that expires in 2030. We believe that we have sufficient space to meet our needs for the foreseeable future and that any additional space we may require will be available on commercially reasonable terms.</w:t>
      </w:r>
    </w:p>
    <w:p>
      <w:pPr>
        <w:pStyle w:val="TextBody"/>
        <w:bidi w:val="0"/>
        <w:spacing w:before="36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“ALXO” since July 17, 2020. Prior to that date, there was no public trading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March 2, 2026, there were 127 holders of record of our common stock. Certain shares are held in “street” name and, accordingly, the number of beneficial owners of such shares is not known or included in the foregoing number.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2" w:name="item_6_reserved"/>
      <w:bookmarkEnd w:id="12"/>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consolidated financial statements and related notes included elsewhere in this Annual Report on Form 10-K. This discussion and analysis generally addresses 2025 and 2024 items and year-over-year comparisons between 2025 and 2024. Discussions of 2023 items and year-over-year comparisons between 2024 and 2023 that are not included in this Annual Report on Form 10-K can be found in “Item 7. Management’s Discussion and Analysis of Financial Condition and Results of Operations” in our Annual Report on Form 10-K for the fiscal year ended December 31, 2024, filed with the SEC on March 6, 2025.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 clinical-stage biotechnology company advancing a pipeline of novel therapies designed to treat cancer and extend patients’ lives. Our clinical pipeline includes two clinical-stage product candidates, the CD47 blocker evorpacept and an epidermal growth factor receptor (EGFR)-targeted antibody drug candidate (ADC) ALX2004. Our lead product candidate, evorpacept, has demonstrated potential to serve as a cornerstone therapy upon which the future of immuno-oncology can be built. Evorpacept is currently being evaluated in combination with trastuzumab and chemotherapy in patients with metastatic HER2-positive breast cancer in the Phase 2 ASPEN-09-Breast clinical trial and is also being studied in clinical trials with other targeted anti-cancer antibodies. Cancer cells leverage CD47, a cell surface protein, as a “don’t eat me” signal to evade macrophage phagocytosis. We are developing evorpacept to be a next-generation checkpoint inhibitor designed to have a high affinity for CD47 and to avoid the limitations caused by hematologic toxicities inherent in other CD47 blocking approaches. Our second pipeline candidate, ALX2004, is a novel EGFR-targeted antibody-drug conjugate with a differentiated mechanism of action entered into a Phase 1 clinical trial in August 2025.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found on myeloid cells such as macrophages, that is the natural receptor to CD47.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increased tumor penetration, and greater combination potential with other leading anti-cancer agents.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Data from the randomized ASPEN-06 Phase 2 clinical trial supports the clinical validation of this mechanism of action. ASPEN-06 evaluates the contribution of evorpacept to HERCEPTIN</w:t>
      </w:r>
      <w:r>
        <w:rPr>
          <w:rFonts w:ascii="Times New Roman" w:hAnsi="Times New Roman"/>
          <w:color w:val="000000"/>
          <w:sz w:val="13"/>
        </w:rPr>
        <w:t>®</w:t>
      </w:r>
      <w:r>
        <w:rPr>
          <w:rFonts w:ascii="Times New Roman" w:hAnsi="Times New Roman"/>
          <w:color w:val="000000"/>
          <w:sz w:val="20"/>
        </w:rPr>
        <w:t xml:space="preserve"> (trastuzumab) plus standard of care (CYRAMZA</w:t>
      </w:r>
      <w:r>
        <w:rPr>
          <w:rFonts w:ascii="Times New Roman" w:hAnsi="Times New Roman"/>
          <w:color w:val="000000"/>
          <w:sz w:val="13"/>
        </w:rPr>
        <w:t>®</w:t>
      </w:r>
      <w:r>
        <w:rPr>
          <w:rFonts w:ascii="Times New Roman" w:hAnsi="Times New Roman"/>
          <w:color w:val="000000"/>
          <w:sz w:val="20"/>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The full data set was previously presented. Results from a pre-planned exploratory analysis were presented at the Society for Immunotherapy of Cancer (SITC) Annual Meeting: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 positive on a tumor biopsy after receiving a HER2-targeted treatment or by HER2 amplification by circulating tumor DNA (ctDNA). The data was highlighted as part of a poster presentation at the SITC Annual Meeting in November 2025.</w:t>
      </w:r>
    </w:p>
    <w:p>
      <w:pPr>
        <w:pStyle w:val="TextBody"/>
        <w:bidi w:val="0"/>
        <w:spacing w:before="12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retained HER2-positive and CD47-high gastric cancer (n=43), Evo-TRP had a 65.0% objective response rate (ORR) versus 26.1% ORR for TRP, while patients with retained HER2-positive and CD47-low gastric cancer (n=47), Evo-TRP had a 37.5% ORR compared to 26.1% ORR for TRP.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response (DOR) was three times longer in the Evo-TRP arm relative to TRP in these patients. Evo-TRP had a median DOR (mDOR) of 25.5 months versus 8.4 months mDOR for TRP, while patients with retained HER2-positive and CD47-low gastric cancer, had an mDOR of 11.2 months for Evo-TRP compared to 12 months for TRP. Progression free survival (PFS) and overall survival (OS) data were evaluated in these patients. Treatment with Evo-TRP resulted in a median PFS (mPFS) of 18.4 months versus 7.0 months for TRP, hazard ratio (HR) of 0.39. Treatment with Evo-TRP resulted in a median OS (mOS) of 17 months versus 9.9 months for TRP, HR of 0.70.</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Evorpacept has been combined in clinical trials with multiple anti-cancer antibodies in addition to trastuzumab including the CD20-targeted antibody rituximab, the CD38-targeted antibody isatuximab</w:t>
      </w:r>
      <w:r>
        <w:rPr>
          <w:rFonts w:ascii="Times New Roman" w:hAnsi="Times New Roman"/>
          <w:i/>
          <w:color w:val="000000"/>
          <w:sz w:val="20"/>
        </w:rPr>
        <w:t>-irfc</w:t>
      </w:r>
      <w:r>
        <w:rPr>
          <w:rFonts w:ascii="Times New Roman" w:hAnsi="Times New Roman"/>
          <w:color w:val="000000"/>
          <w:sz w:val="20"/>
        </w:rPr>
        <w:t>, and the HER2-targeted bispecific antibody zanidatamab. Our earlier ASPEN-01 Phase 1 positive data in combination with rituximab in non-Hodgkin lymphoma (NHL); the Phase 1/2 investigator-sponsored trial (IST) of evorpacept in combination with rituximab and lenalidomide in patients with relapsed refractory B-cell NHL (R/R B-NHL) and subsequently, in patients with newly diagnosed indolent B-cell NHL (iNHL); and the Phase 1b/2 trial of evorpacept with zanidatamab in patients with HER2-positive breast cancer provide additional support for the clinical validation of this mechanism of action and support exploring combinations of evorpacept with other anti-cancer antibodies.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second product candidate is ALX2004, a novel EGFR-targeted ADC. ALX2004 was created from our proprietary linker-payload library and fully designed and developed in-house by our scientists. ALX2004 comprises a matuzumab-derived affinity-selected EGFR antibody backbone engineered for optimal activity as an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engaged in the following clinical programs, collaborations, and investigator-sponsored trials:</w:t>
      </w:r>
    </w:p>
    <w:p>
      <w:pPr>
        <w:pStyle w:val="TextBody"/>
        <w:bidi w:val="0"/>
        <w:spacing w:before="18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ind w:left="490" w:right="0" w:hanging="0"/>
        <w:jc w:val="left"/>
        <w:rPr>
          <w:rFonts w:ascii="Times New Roman" w:hAnsi="Times New Roman"/>
          <w:i/>
          <w:color w:val="000000"/>
          <w:sz w:val="20"/>
        </w:rPr>
      </w:pPr>
      <w:r>
        <w:rPr>
          <w:rFonts w:ascii="Times New Roman" w:hAnsi="Times New Roman"/>
          <w:i/>
          <w:color w:val="000000"/>
          <w:sz w:val="20"/>
        </w:rPr>
        <w:t>Combination with the HER2-targeted antibody trastuzumab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ASPEN-09-Breast – HER2+ Breast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that based on the magnitude of benefit in patients with high CD47 expression in HER2-positive gastric cancer, the ASPEN-09-Breast study in HER2-positive breast cancer evaluating evorpacept in combination with trastuzumab and chemotherapy has been amended to a single-arm design in all previously treated HER2 positive patients and will be evaluated by CD47 expression.</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the first patient had been dosed in the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w:t>
      </w:r>
      <w:r>
        <w:rPr>
          <w:rFonts w:ascii="Times New Roman" w:hAnsi="Times New Roman"/>
          <w:color w:val="000000"/>
          <w:sz w:val="13"/>
        </w:rPr>
        <w:t>®</w:t>
      </w:r>
      <w:r>
        <w:rPr>
          <w:color w:val="000000"/>
        </w:rPr>
        <w:t xml:space="preserve"> </w:t>
      </w:r>
      <w:r>
        <w:rPr>
          <w:rFonts w:ascii="Times New Roman" w:hAnsi="Times New Roman"/>
          <w:color w:val="000000"/>
          <w:sz w:val="20"/>
        </w:rPr>
        <w:t>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2025, we presented updated results from the ASPEN-06 Phase 2 clinical trial in an oral presentation at the 2025 American Society of Clinical Oncology Gastrointestinal Cancers Symposium. A confirmed ORR of 41.3% was demonstrated for the Evo-TRP treatment arm compared to 26.6% for the TRP control arm in the intent-to-treat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2025, we received guidance from the FDA that the ASPEN-06 Phase 2 trial data evaluating Evo-TRP was not eligible for submission for accelerated approval given the availability of ENHERTU. A Phase 3 versus ENHERTU trial would be needed to pursue a regulatory approval of evorpacept in the second-line setting for HER2-positive gastric and GEJ. Given our disciplined focus and the allocation of our resources, we will not pursue a U.S. registrational path with a Phase 3 trial in gastric cancer and will consider exploring development partnerships to advance this program in gastric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topline results from pre-planned exploratory analysis of the ASPEN-06 trial in gastric cancer, where CD47 overexpression was identified as a key predictive biomarker for response and durable benefit.</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November 2025, we presented a pre-planned exploratory analysis of the ASPEN-06 clinical trial in gastric cancer in which CD47 overexpression was identified as a key predictive biomarker for response and durable benefit in patients with retained HER2 expression. </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patients with retained HER2-positive and CD47-high gastric cancer (n=43), Evo-TRP had a 65.0% ORR versus 26.1% ORR for TRP, while patients with retained HER2-positive and CD47-low gastric cancer (n=47), Evo-TRP had a 37.5% ORR compared to 26.1% ORR for TRP.</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DOR was three times longer in the Evo-TRP arm relative to TRP in these patients. Evo-TRP had an mDOR of 25.5 months versus 8.4 months mDOR for TRP, while patients with retained HER2-positive and CD47-low gastric cancer, had an mDOR of 11.2 months for Evo-TRP compared to 12 months for TRP. PFS and OS data were evaluated in these patients. Treatment with Evo-TRP resulted in an mPFS of 18.4 months versus 7.0 months for TRP, HR of 0.39. Treatment with Evo-TRP resulted in an mOS of 17 months versus 9.9 months for TRP, HR of 0.70.</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EGFR-targeted antibody cetuximab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ASPEN-CRC – Colorectal Cancer (CRC)</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1b study evaluating evorpacept in combination with the EGFR-targeted antibody cetuximab and FOLFIRI for the treatment of patients with second-line metastatic CRC.</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streamlined evorpacept development program to focus our resources on the ASPEN-09-Breast trial and paused the ASPEN-CRC study announced earlier in March 2025.</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ind w:left="490" w:right="0" w:hanging="0"/>
        <w:jc w:val="left"/>
        <w:rPr>
          <w:rFonts w:ascii="Times New Roman" w:hAnsi="Times New Roman"/>
          <w:i/>
          <w:color w:val="000000"/>
          <w:sz w:val="20"/>
        </w:rPr>
      </w:pPr>
      <w:r>
        <w:rPr>
          <w:rFonts w:ascii="Times New Roman" w:hAnsi="Times New Roman"/>
          <w:i/>
          <w:color w:val="000000"/>
          <w:sz w:val="20"/>
        </w:rPr>
        <w:t>Combination with the HER2-targeted bispecific, zanidatamab, and HER2-targeted ADC, fam-trastuzumab deruxtecan-nxki</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sponsored and managed the Phase 1b/2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an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mDOR was not reached for Cohort 1 patients (range: 3.6-25.9 months) and was 5.5 months for Cohort 2 patients (range: 3.6-11.0 months), with responses ongoing, including the longest observed response, in each cohort. The combination therapy was well tolerated with a manageable safety profile that was consistent with prior experience of each agent.</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an exploratory biomarker analysis showed responses in the trial were largely restricted to patients with higher CD47 expression.</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CD20-targeted antibody rituximab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2024, MD Anderson Cancer Center reported clinical data from the ongoing Phase 1/2 IST of evorpacept in combination with R</w:t>
      </w:r>
      <w:r>
        <w:rPr>
          <w:rFonts w:ascii="Times New Roman" w:hAnsi="Times New Roman"/>
          <w:color w:val="000000"/>
          <w:sz w:val="13"/>
        </w:rPr>
        <w:t>2</w:t>
      </w:r>
      <w:r>
        <w:rPr>
          <w:color w:val="000000"/>
        </w:rPr>
        <w:t xml:space="preserve"> </w:t>
      </w:r>
      <w:r>
        <w:rPr>
          <w:rFonts w:ascii="Times New Roman" w:hAnsi="Times New Roman"/>
          <w:color w:val="000000"/>
          <w:sz w:val="20"/>
        </w:rPr>
        <w:t>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w:t>
      </w:r>
      <w:r>
        <w:rPr>
          <w:rFonts w:ascii="Times New Roman" w:hAnsi="Times New Roman"/>
          <w:color w:val="000000"/>
          <w:sz w:val="13"/>
        </w:rPr>
        <w:t>2</w:t>
      </w:r>
      <w:r>
        <w:rPr>
          <w:color w:val="000000"/>
        </w:rPr>
        <w:t xml:space="preserve"> </w:t>
      </w:r>
      <w:r>
        <w:rPr>
          <w:rFonts w:ascii="Times New Roman" w:hAnsi="Times New Roman"/>
          <w:color w:val="000000"/>
          <w:sz w:val="20"/>
        </w:rPr>
        <w:t xml:space="preserve">treatment. The regimen was well tolerated, and there were no dose-limiting toxicities. Patients with indolent R/R B-NHL (n=18) had a best ORR of 94% and a complete response rate of 83%. The mDOR was not reached.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2025, final data for the Phase 1 portion of the MD Anderson Cancer Center IST was presented at the 2025 AACR Annual Meeting. In the total population (n=20), after a median follow-up of 28 months (95% CI, 18-28 months) the two-year PFS rate was 69% and two-year OS rate was 84%. The Phase 2 portion of the clinical trial in patients with previously untreated indolent NHL is ongoing and has completed enrollment.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December 2025, data for the Phase 2 portion of this trial, which enrolled patients with untreated indolent NHL was presented at the 2025 American Society of Hematology Annual Meeting. The combination of evorpacept with R</w:t>
      </w:r>
      <w:r>
        <w:rPr>
          <w:rFonts w:ascii="Times New Roman" w:hAnsi="Times New Roman"/>
          <w:color w:val="000000"/>
          <w:sz w:val="13"/>
        </w:rPr>
        <w:t>2</w:t>
      </w:r>
      <w:r>
        <w:rPr>
          <w:color w:val="000000"/>
        </w:rPr>
        <w:t xml:space="preserve"> </w:t>
      </w:r>
      <w:r>
        <w:rPr>
          <w:rFonts w:ascii="Times New Roman" w:hAnsi="Times New Roman"/>
          <w:color w:val="000000"/>
          <w:sz w:val="20"/>
        </w:rPr>
        <w:t>generated complete responses in 92% of patients comparing favorably to an approximate 50% historical complete response rate for R</w:t>
      </w:r>
      <w:r>
        <w:rPr>
          <w:rFonts w:ascii="Times New Roman" w:hAnsi="Times New Roman"/>
          <w:color w:val="000000"/>
          <w:sz w:val="13"/>
        </w:rPr>
        <w:t>2</w:t>
      </w:r>
      <w:r>
        <w:rPr>
          <w:color w:val="000000"/>
        </w:rPr>
        <w:t xml:space="preserve"> </w:t>
      </w:r>
      <w:r>
        <w:rPr>
          <w:rFonts w:ascii="Times New Roman" w:hAnsi="Times New Roman"/>
          <w:color w:val="000000"/>
          <w:sz w:val="20"/>
        </w:rPr>
        <w:t>alone.</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CD38-targeted antibody isatuximab-irfc</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(isatuximab-irfc), an anti-cancer antibody, and dexamethasone in combination with evorpacept for the treatment of patients with relapsed or refractory multiple myeloma. We announced the dosing of the first patient in September 2024.</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that the dose escalation portion of this trial was complete and Sanofi had begun the dose optimization portion of the trial.</w:t>
      </w:r>
    </w:p>
    <w:p>
      <w:pPr>
        <w:pStyle w:val="TextBody"/>
        <w:bidi w:val="0"/>
        <w:spacing w:before="180" w:after="283"/>
        <w:ind w:left="0" w:right="0" w:firstLine="490"/>
        <w:jc w:val="left"/>
        <w:rPr>
          <w:rFonts w:ascii="Times New Roman" w:hAnsi="Times New Roman"/>
          <w:color w:val="000000"/>
          <w:sz w:val="20"/>
        </w:rPr>
      </w:pPr>
      <w:r>
        <w:rPr>
          <w:rFonts w:ascii="Times New Roman" w:hAnsi="Times New Roman"/>
          <w:color w:val="000000"/>
          <w:sz w:val="20"/>
        </w:rPr>
        <w:t>Based on our clinical results to date in multiple oncology indications that show encouraging anti-tumor activity and tolerability, our strategy is to pursue evorpacept as a potentially critical component of future oncology treatments in combination with anticancer antibodies.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ALX2004</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filed an investigational new drug (IND) application for our first ADC program, ALX2004 and in April 2025, the FDA cleared the IND to evaluate ALX2004 in a Phase 1 clinical trial for patients with EGFR-expressing solid tumors.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the dosing of the first patient in the first-in-human, open-label multi-center Phase 1 clinical trial of ALX2004 for the treatment of advanced or metastatic select EGFR-expressing solid tumors.</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the trial had begun enrolling patients in the third dose cohort at 4 mg/kg after successfully clearing the second dose cohort. No dose-limiting toxicities were observed in the first two dose cohorts.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including the initiation and advancement of clinical trials of ALX2004,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inception through December 31, 2025, we have raised an aggregate of $644.8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registered offering in December 2020, $9.3 million were net proceeds from borrowings under the Loan Agreement (as defined below), $58.9 million were net proceeds from our registered offering in October 2023, and $31.4 million were net proceeds from our at-the-market (ATM) offering. After December 31, 2025, we also raised $140.4 million in net proceeds from our registered offering in February 2026. For more information on the funding of our operations since inception, see section titled “—Liquidity and Capital Resources; Plan of Operations—Funding Requirements” included elsewhere in this Annual Report on Form 10-K.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$101.7 million, $134.9 million and $160.8 million for the years ended December 31, 2025, 2024 and 2023, respectively. As of December 31, 2025, we had an accumulated deficit of $722.8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ALX2004 through a first-in-human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and clinical development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Nasdaq Minimum Bid Price Compliance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April 23, 2025, we received a written notice (Notice), from the Listing Qualifications Staff (Staff) of The Nasdaq Stock Market LLC (Nasdaq) notifying us that we had not been in compliance with the minimum bid price requirement for continued listing on the Nasdaq Global Select Market set forth in Nasdaq Listing Rule 5450(a)(1) for a period of 30 consecutive business days. The Notice had no immediate effect on the listing of our common stock on the Nasdaq Global Select Market, subject to our compliance with the other listing requirements of Nasdaq. In September 2025, we received written confirmation from the Staff of Nasdaq that we had regained compliance with the minimum bid price requirement for continued listing on the Nasdaq Global Select Market, as the closing bid price of our common stock had been at $1.00 per share or greater for ten consecutive business days.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and the initiation and advancement of ALX2004, which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vendor expenses and third-party drugs related to the execution of preclinical studies and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and amortization expense and other supplies; and</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milestone payments related to our ScalmiBio acquisition.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the initiation and advancement of clinical trials of ALX2004, and include external costs, such as fees paid to consultants, central laboratories, contractors, collaborators, CMOs and CROs in connection with our preclinical and clinical development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Almost all of our research and development expenses to date have been related to the clinical development of our lead product candidate, evorpacept, and the initiation and advancement of clinical trials of ALX2004. We expect to incur significant research and development expenses in the foreseeable future as we continue to invest in research and development activities related to progress on our existing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anticipate that our general and administrative expenses will decrease as a result of the completed reduction in workforce. Other factors that may affect general administrative expenses include inflationary pressures,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Charge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Impairment charge consists of impairment of long-lived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other income (expense), net consists primarily of realized foreign currency transaction gains and losses.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and Net Loss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Years Ended December 31, 2025 and 2024</w:t>
      </w:r>
      <w:r>
        <w:rPr>
          <w:rFonts w:ascii="Times New Roman" w:hAnsi="Times New Roman"/>
          <w:color w:val="000000"/>
          <w:sz w:val="20"/>
        </w:rPr>
        <w:t xml:space="preserve">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2025 and 2024 (in thousands):</w:t>
      </w:r>
    </w:p>
    <w:tbl>
      <w:tblPr>
        <w:tblW w:w="8002" w:type="dxa"/>
        <w:jc w:val="left"/>
        <w:tblInd w:w="0" w:type="dxa"/>
        <w:tblLayout w:type="fixed"/>
        <w:tblCellMar>
          <w:top w:w="28" w:type="dxa"/>
          <w:left w:w="28" w:type="dxa"/>
          <w:bottom w:w="28" w:type="dxa"/>
          <w:right w:w="28" w:type="dxa"/>
        </w:tblCellMar>
      </w:tblPr>
      <w:tblGrid>
        <w:gridCol w:w="2586"/>
        <w:gridCol w:w="146"/>
        <w:gridCol w:w="211"/>
        <w:gridCol w:w="841"/>
        <w:gridCol w:w="166"/>
        <w:gridCol w:w="146"/>
        <w:gridCol w:w="211"/>
        <w:gridCol w:w="841"/>
        <w:gridCol w:w="166"/>
        <w:gridCol w:w="146"/>
        <w:gridCol w:w="211"/>
        <w:gridCol w:w="736"/>
        <w:gridCol w:w="166"/>
        <w:gridCol w:w="146"/>
        <w:gridCol w:w="146"/>
        <w:gridCol w:w="421"/>
        <w:gridCol w:w="716"/>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summarizes our research and development (R&amp;D) expenses incurred for the years ended December 31, 2025 and 2024 (in thousands):</w:t>
      </w:r>
    </w:p>
    <w:tbl>
      <w:tblPr>
        <w:tblW w:w="8602"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781"/>
        <w:gridCol w:w="146"/>
        <w:gridCol w:w="146"/>
        <w:gridCol w:w="211"/>
        <w:gridCol w:w="736"/>
        <w:gridCol w:w="166"/>
        <w:gridCol w:w="146"/>
        <w:gridCol w:w="146"/>
        <w:gridCol w:w="376"/>
        <w:gridCol w:w="51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R&amp;D expenses decreased by $39.4 million for the year ended December 31, 2025 compared to the year ended December 31, 2024. The decrease was primarily attributable to (i) a decrease of $17.5 million in clinical and development costs due to manufacturing of clinical trial materials, the majority of which was completed in early 2024, to support active clinical trials for our product candidate, evorpacept, (ii) a decrease of $12.3 million in stock-based compensation expense due to terminations from the reduction in workforce as well as modification from the December 2024 option exchange, (iii) a decrease of $6.0 million in personnel and related costs primarily driven by the reduction in workforce in the first quarter of 2025, and (iv) a decrease of $4.6 million in preclinical costs due to pipeline prioritization strategy. These decreases were offset by an increase of $1.0 million in other research costs primarily due to a development milestone payment to ScalmiBio stockholders.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future trend of our R&amp;D expenses is dependent on our decision-making on which indications to pursue for future clinical development and the costs, timing, and outcomes of any future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summarizes our general and administrative (G&amp;A) expenses incurred for the years ended December 31, 2025 and 2024 (in thousands):</w:t>
      </w:r>
    </w:p>
    <w:tbl>
      <w:tblPr>
        <w:tblW w:w="8437" w:type="dxa"/>
        <w:jc w:val="left"/>
        <w:tblInd w:w="0" w:type="dxa"/>
        <w:tblLayout w:type="fixed"/>
        <w:tblCellMar>
          <w:top w:w="28" w:type="dxa"/>
          <w:left w:w="28" w:type="dxa"/>
          <w:bottom w:w="28" w:type="dxa"/>
          <w:right w:w="28" w:type="dxa"/>
        </w:tblCellMar>
      </w:tblPr>
      <w:tblGrid>
        <w:gridCol w:w="3741"/>
        <w:gridCol w:w="146"/>
        <w:gridCol w:w="211"/>
        <w:gridCol w:w="676"/>
        <w:gridCol w:w="146"/>
        <w:gridCol w:w="146"/>
        <w:gridCol w:w="211"/>
        <w:gridCol w:w="676"/>
        <w:gridCol w:w="146"/>
        <w:gridCol w:w="146"/>
        <w:gridCol w:w="211"/>
        <w:gridCol w:w="631"/>
        <w:gridCol w:w="166"/>
        <w:gridCol w:w="146"/>
        <w:gridCol w:w="146"/>
        <w:gridCol w:w="376"/>
        <w:gridCol w:w="51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G&amp;A expenses decreased by $2.2 million for the year ended December 31, 2025 compared to the year ended December 31, 2024. The decrease was primarily attributable to (i) a decrease of $2.2 million in stock-based compensation expense primarily due to terminations from the reduction in workforce as well as modification from the December 2024 option exchange and (ii) a decrease of $1.1 million in other G&amp;A costs such as legal patent fees, corporate consulting fees, and accounting consulting costs. This was offset by an increase of $1.1 million in personnel and related costs primarily driven by severance costs from the reduction in workforce and merit increases.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Charge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Impairment charge increased by $3.2 million for the year ended December 31, 2025. In May 2025, we made a decision to sublease our leased property in Palo Alto and are actively marketing the leased property for sublease. We recorded long-lived asset impairment charge based on the performed impairment analysis. There was no impairment charge for the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income decreased by $5.4 million for the year ended December 31, 2025 compared to the year ended December 31, 2024. The decrease was primarily attributable to lower interest rates as well as lower cash and investment balances during the current year as compared to prior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expense decreased by $0.1 million for the year ended December 31, 2025 compared to the year ended December 31, 2024. The decrease was primarily attributable to lower interest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income (expense), net remained flat for the year ended December 31, 2025 compared to the year ended December 31,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December 31, 2025, we had cash, cash equivalents and investments of $48.3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December 31, 2025, we had an accumulated deficit of $722.8 million. We expect to incur significant expenses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and royalty payments thereunder;</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Nasdaq;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which may exacerbate the magnitude of the factors discussed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2020, we completed our registered offering pursuant to a registration statement on Form S-1. In this registered offering, we issued and sold an aggregate of 2,737,000 shares of common stock, including the underwriters’ exercise in full of their overallotment option, under the registration statement at an offering price of $76.00 per share. Net proceeds were approximately $194.9 million, after deducting underwriting discounts and commissions of $12.5 million and offering-related expenses of $0.7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2021, we entered into a sales agreement (as amended, Sales Agreement) with Cantor Fitzgerald &amp; Co. and Credit Suisse Securities (USA) LLC (Credit Suisse), under which we may offer and sell our common stock, having aggregate gross proceeds of up to $150.0 million, from time to time through them as our sales agents in our ATM offering program. In March 2022, we filed a universal shelf registration statement (2022 Shelf Registration Statement) with the SEC, which was declared effective by the SEC on May 31, 2022. In August 2023, we entered into an amendment to the Sales Agreement to include UBS Securities LLC as an additional sales agent and to remove Credit Suisse as a sales agent.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7. Term Loan” to our consolidated financial statements included elsewhere in this Annual Report on Form 10-K.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October 2023, we completed a registered offering pursuant to the 2022 Shelf Registration Statement. In this registered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an offering price of $6.38 per share and $6.379 per pre-funded warrant. Net proceeds were approximately $58.9 million, after deducting underwriting discounts and commissions of $3.8 million and offering-related expenses of $0.6 million. As of December 31, 2025, no shares underlying the pre-funded warrants had been exercised.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to us as of December 31, 2025. The term loans under the Loan Agreement mature on October 1, 2027. We began to make principal payments in equal monthly installments beginning on December 1,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6, 2025, we filed a shelf registration statement with the SEC that became effective on April 24, 2025 (the 2025 Shelf Registration Statement). The 2025 Shelf Registration Statement replaced the 2022 Shelf Registration Statement and registered the unsold securities from the 2022 Shelf Registration Statement, including those available under the ATM program. From December 2021 to December 31, 2025, we sold an aggregate of 3,175,681 shares of common stock under our Sales Agreement for net proceeds of $31.4 million, after deducting commissions. We may terminate this ATM program and the Sales Agreement at any time, pursuant to its terms.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2, 2026, the Company completed a registered offering and issued an aggregate of 76,979,112 shares of common stock at an offering price of $1.57 per share and pre-funded warrants to purchase 18,574,120 shares of common stock at an offering price of $1.569 per pre-funded warrant. The Company received net proceeds of approximately $140.4 million, after deducting underwriting discounts and commissions of $9.0 million and other offering-related expenses of $0.6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existing cash, cash equivalents and investments, including net proceeds from the February 2026 offering, will enable us to fund our operating expenses and capital expenditure requirements through the first half of 2028. Additionally, the Company also has the ability to further utilize the ATM program. We have based these estimates on assumptions in which actuals may materially differ, and we could utilize our available capital resources sooner than we expect.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years ended December 31, 2025, 2024 and 2023 (in thousands):</w:t>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841"/>
        <w:gridCol w:w="166"/>
        <w:gridCol w:w="146"/>
        <w:gridCol w:w="211"/>
        <w:gridCol w:w="841"/>
        <w:gridCol w:w="4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year ended December 31, 2025, net cash used in operating activities of $84.1 million was attributable to a net loss of $101.7 million offset by an increase in net operating assets and liabilities of $0.3 million and non-cash charges of $17.2 million. The change in operating assets and liabilities was primarily driven by an increase in accounts payable and accrued expenses and other current liabilities of $2.3 million, primarily due to timing of invoices and payments, and an increase in other assets of $0.7 million. These increases were partially offset by a decrease in prepaid and other current assets of $0.7 million and a decrease in other non-current liabilities of $1.9 million. Non-cash charges consisted primarily of stock-based compensation expense of $12.6 million, an impairment charge of $3.2 million, non-cash lease costs of $1.7 million, and depreciation and amortization costs of $0.7 million offset by net amortization of premiums and accretion of discounts on investments of $1.2 million.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year ended December 31, 2024, net cash used in operating activities of $121.9 million was attributable to a net loss of $134.9 million and a decrease in net operating assets and liabilities of $12.4 million offset by non-cash charges of $25.4 million. The change in operating assets and liabilities was primarily due to a decrease in accounts payable and accrued expenses and other current liabilities of $17.0 million primarily due to timing of invoices and payments and a decrease in other assets of $7.4 million offset by an increase in prepaid and other current assets of $0.7 million and a decrease in other non-current liabilities of $2.1 million. Non-cash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charges consisted primarily of stock-based compensation expense of $27.1 million, non-cash lease costs of $1.8 million, and depreciation and amortization costs of $0.9 million offset by net amortization of premiums and accretion of discounts on investments of $4.7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year ended December 31, 2025, net cash provided by investing activities of $82.6 million was attributable to cash received for maturities of investments of $134.4 million, offset by purchases of short-term and long-term investments of $51.6 million and purchases of property and equipment of $0.2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year ended December 31, 2024, net cash provided by investing activities of $86.3 million was attributable to cash received for maturities of investments of $194.1 million, offset by purchases of short-term and long-term investments of $107.4 million and purchases of property and equipment of $0.4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year ended December 31, 2025, net cash provided by financing activities of $0.4 million was attributable to proceeds from our ATM offering, net of commissions, of $1.7 million, offset by principal payments on finance leases of $0.9 million and principal payments on term loan of $0.4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year ended December 31, 2024, net cash provided by financing activities of $30.8 million was attributable to proceeds from our ATM offering, net of commissions, of $29.7 million, proceeds from the exercise of stock options under equity incentive plans of $1.6 million, and proceeds from issuance of common stock pursuant to employee stock purchase plan of $0.4 million, offset by principal payments on finance leases of $0.8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consolidated financial statements, which have been prepared in accordance with generally accepted accounting principles in the United States, or U.S.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significant accounting policies are more fully described in the notes to our audited consolidated financial statements elsewhere in this Annual Report on Form 10-K. We believe that the following accounting policy reflects the most critical judgments and estimation uncertainty used in the preparation of our consolidated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and Contract Manufacturing Accruals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Similarly, our contracts with CMOs generally include pass-through fees such as raw materials and other miscellaneous costs, including shipping.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but not yet invoiced in accordance with the respective agreements. We determine the estimated costs through discussions with internal personnel and external service providers as to the progress or stage of completion of the services and the agreed-upon fees to be paid for such services. To assist in our estimates, we rely upon the receipt of timely and accurate reporting from our clinical and non-clinical studies and other third-party vendors.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make judgments and estimates in determining the accrual balance related to our CMOs at the end of each reporting period based on discussion with internal personnel who work directly and meet regularly with the CMOs.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reporting amounts that are too high or too low in any particular period. Through December 31, 2025, there have been no material differences from our accrued estimated expenses to the actual clinical trial and manufacturing development expenses. However, variations in the assumptions used to estimate accruals, including, but not limited to, the number of patients enrolled, the rate of patient enrollment, the actual services performed, and related costs may vary from our estimates, resulting in adjustments to clinical trial expense and manufacturing costs in future periods. Changes in these estimates that result in material changes to our accruals could materially affect our financial position and results of our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See “Note 2.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 </w:t>
      </w:r>
    </w:p>
    <w:p>
      <w:pPr>
        <w:pStyle w:val="TextBody"/>
        <w:bidi w:val="0"/>
        <w:spacing w:before="360" w:after="283"/>
        <w:jc w:val="left"/>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These risks primarily include interest rate sensitivities.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we had cash, cash equivalents and investments of $48.3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we had borrowings of $9.6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continuing to monitor any events involving limited liquidity, defaults, non-performance or other adverse developments that affect financial institutions or other companies in the financial services industry or the financial services industry generally.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impact on our financial results.</w:t>
      </w:r>
    </w:p>
    <w:p>
      <w:pPr>
        <w:pStyle w:val="TextBody"/>
        <w:bidi w:val="0"/>
        <w:spacing w:before="360" w:after="283"/>
        <w:jc w:val="left"/>
        <w:rPr>
          <w:rFonts w:ascii="Times New Roman" w:hAnsi="Times New Roman"/>
          <w:sz w:val="20"/>
        </w:rPr>
      </w:pPr>
      <w:bookmarkStart w:id="15" w:name="item_8_financial_statements_supplementar"/>
      <w:bookmarkEnd w:id="15"/>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6797" w:type="dxa"/>
        <w:jc w:val="left"/>
        <w:tblInd w:w="0" w:type="dxa"/>
        <w:tblLayout w:type="fixed"/>
        <w:tblCellMar>
          <w:top w:w="28" w:type="dxa"/>
          <w:left w:w="28" w:type="dxa"/>
          <w:bottom w:w="28" w:type="dxa"/>
          <w:right w:w="28" w:type="dxa"/>
        </w:tblCellMar>
      </w:tblPr>
      <w:tblGrid>
        <w:gridCol w:w="6331"/>
        <w:gridCol w:w="466"/>
      </w:tblGrid>
      <w:tr>
        <w:trPr/>
        <w:tc>
          <w:tcPr>
            <w:tcW w:w="63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185)</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r_loss">
              <w:r>
                <w:rPr>
                  <w:rStyle w:val="InternetLink"/>
                  <w:rFonts w:ascii="Times New Roman" w:hAnsi="Times New Roman"/>
                  <w:color w:val="0000FF"/>
                  <w:sz w:val="20"/>
                  <w:u w:val="single"/>
                </w:rPr>
                <w:t>Consolidated Statements of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stockholders">
              <w:r>
                <w:rPr>
                  <w:rStyle w:val="InternetLink"/>
                  <w:rFonts w:ascii="Times New Roman" w:hAnsi="Times New Roman"/>
                  <w:color w:val="0000FF"/>
                  <w:sz w:val="20"/>
                  <w:u w:val="single"/>
                </w:rPr>
                <w:t>Consolidated Statements of Stockholders’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w:t>
      </w:r>
    </w:p>
    <w:p>
      <w:pPr>
        <w:pStyle w:val="TextBody"/>
        <w:bidi w:val="0"/>
        <w:jc w:val="left"/>
        <w:rPr>
          <w:rFonts w:ascii="Times New Roman" w:hAnsi="Times New Roman"/>
          <w:color w:val="000000"/>
          <w:sz w:val="20"/>
        </w:rPr>
      </w:pPr>
      <w:r>
        <w:rPr>
          <w:rFonts w:ascii="Times New Roman" w:hAnsi="Times New Roman"/>
          <w:color w:val="000000"/>
          <w:sz w:val="20"/>
        </w:rPr>
        <w:t>ALX Oncology Holdings Inc.:</w:t>
      </w:r>
    </w:p>
    <w:p>
      <w:pPr>
        <w:pStyle w:val="TextBody"/>
        <w:bidi w:val="0"/>
        <w:jc w:val="left"/>
        <w:rPr/>
      </w:pPr>
      <w:r>
        <w:rPr/>
        <w:t> </w:t>
      </w:r>
    </w:p>
    <w:p>
      <w:pPr>
        <w:pStyle w:val="Heading2"/>
        <w:bidi w:val="0"/>
        <w:spacing w:before="40" w:after="283"/>
        <w:jc w:val="left"/>
        <w:rPr>
          <w:rFonts w:ascii="Times New Roman" w:hAnsi="Times New Roman"/>
          <w:b w:val="false"/>
          <w:i/>
          <w:color w:val="000000"/>
          <w:sz w:val="20"/>
        </w:rPr>
      </w:pPr>
      <w:r>
        <w:rPr>
          <w:rFonts w:ascii="Times New Roman" w:hAnsi="Times New Roman"/>
          <w:b w:val="false"/>
          <w:i/>
          <w:color w:val="000000"/>
          <w:sz w:val="20"/>
        </w:rPr>
        <w:t>Opinion on the Consolidated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ALX Oncology Holdings Inc. and subsidiaries (the Company) as of December 31, 2025 and 2024, the related consolidated statements of operations, comprehensive loss,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Heading2"/>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Basis for Opinion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Heading2"/>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Critical Audit Matters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San Francisco, California</w:t>
        <w:br/>
        <w:t>March 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5976"/>
        <w:gridCol w:w="146"/>
        <w:gridCol w:w="252"/>
        <w:gridCol w:w="1008"/>
        <w:gridCol w:w="166"/>
        <w:gridCol w:w="146"/>
        <w:gridCol w:w="252"/>
        <w:gridCol w:w="1008"/>
        <w:gridCol w:w="611"/>
      </w:tblGrid>
      <w:tr>
        <w:trPr/>
        <w:tc>
          <w:tcPr>
            <w:tcW w:w="5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and accrued liabilities 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December 31, 2025 and December 31, 2024; 54,388,022 and </w:t>
              <w:br/>
              <w:t>     53,052,912 shares issued and outstanding as of December 31, 2025</w:t>
              <w:br/>
              <w:t>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consolidated_statements_of_operations"/>
      <w:bookmarkEnd w:id="18"/>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4261"/>
        <w:gridCol w:w="146"/>
        <w:gridCol w:w="211"/>
        <w:gridCol w:w="1036"/>
        <w:gridCol w:w="166"/>
        <w:gridCol w:w="146"/>
        <w:gridCol w:w="211"/>
        <w:gridCol w:w="1036"/>
        <w:gridCol w:w="166"/>
        <w:gridCol w:w="146"/>
        <w:gridCol w:w="211"/>
        <w:gridCol w:w="1036"/>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53,658,399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52,174,904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42,987,767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consolidated_statements_of_compr_loss"/>
      <w:bookmarkEnd w:id="19"/>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9138" w:type="dxa"/>
        <w:jc w:val="left"/>
        <w:tblInd w:w="0" w:type="dxa"/>
        <w:tblLayout w:type="fixed"/>
        <w:tblCellMar>
          <w:top w:w="28" w:type="dxa"/>
          <w:left w:w="28" w:type="dxa"/>
          <w:bottom w:w="28" w:type="dxa"/>
          <w:right w:w="28" w:type="dxa"/>
        </w:tblCellMar>
      </w:tblPr>
      <w:tblGrid>
        <w:gridCol w:w="4821"/>
        <w:gridCol w:w="146"/>
        <w:gridCol w:w="211"/>
        <w:gridCol w:w="841"/>
        <w:gridCol w:w="166"/>
        <w:gridCol w:w="146"/>
        <w:gridCol w:w="211"/>
        <w:gridCol w:w="841"/>
        <w:gridCol w:w="166"/>
        <w:gridCol w:w="146"/>
        <w:gridCol w:w="211"/>
        <w:gridCol w:w="841"/>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consolidated_statements_of_stockholders"/>
      <w:bookmarkEnd w:id="20"/>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0"/>
        <w:gridCol w:w="146"/>
        <w:gridCol w:w="146"/>
        <w:gridCol w:w="916"/>
        <w:gridCol w:w="146"/>
        <w:gridCol w:w="146"/>
        <w:gridCol w:w="249"/>
        <w:gridCol w:w="442"/>
        <w:gridCol w:w="146"/>
        <w:gridCol w:w="146"/>
        <w:gridCol w:w="196"/>
        <w:gridCol w:w="691"/>
        <w:gridCol w:w="146"/>
        <w:gridCol w:w="146"/>
        <w:gridCol w:w="337"/>
        <w:gridCol w:w="879"/>
        <w:gridCol w:w="166"/>
        <w:gridCol w:w="146"/>
        <w:gridCol w:w="217"/>
        <w:gridCol w:w="834"/>
        <w:gridCol w:w="166"/>
        <w:gridCol w:w="146"/>
        <w:gridCol w:w="217"/>
        <w:gridCol w:w="833"/>
        <w:gridCol w:w="412"/>
      </w:tblGrid>
      <w:tr>
        <w:trPr/>
        <w:tc>
          <w:tcPr>
            <w:tcW w:w="2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40,861,386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263,464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and pre-funded warrants in</w:t>
              <w:br/>
              <w:t>   connection with equity offerings, net of underwriter</w:t>
              <w:br/>
              <w:t>   discounts ($3,795) and issuance costs ($567)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8,663,793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189,712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through ATM offering,</w:t>
              <w:br/>
              <w:t>   net of commissions ($839)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29,661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53,052,912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113,618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through ATM offering,</w:t>
              <w:br/>
              <w:t>   net of commissions ($37)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54,388,022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783"/>
        <w:gridCol w:w="146"/>
        <w:gridCol w:w="196"/>
        <w:gridCol w:w="751"/>
        <w:gridCol w:w="166"/>
        <w:gridCol w:w="146"/>
        <w:gridCol w:w="196"/>
        <w:gridCol w:w="751"/>
        <w:gridCol w:w="166"/>
        <w:gridCol w:w="146"/>
        <w:gridCol w:w="196"/>
        <w:gridCol w:w="751"/>
        <w:gridCol w:w="811"/>
      </w:tblGrid>
      <w:tr>
        <w:trPr/>
        <w:tc>
          <w:tcPr>
            <w:tcW w:w="5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fixed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(246,629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292,560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equity offerings, net of underwriter discounts ($3,795) and issuance costs ($567)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ATM offering,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(modified) acquired under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notes_to_consolidated_financial_statemen"/>
      <w:bookmarkEnd w:id="22"/>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biotechnology company advancing a pipeline of novel therapies designed to treat cancer and extend patients’ lives.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expects to incur additional losses in the future to conduct product candidate research and development and to conduct pre-commercialization activities and recognizes that the Company will likely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which includes the capital raised during the February 2026 Offering (see Note 14), will be sufficient to fund the projected operating requirements for at least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the Company evaluates its estimates, including, but not limited to, those related to the estimated useful lives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the Company believes to be reasonable under the circumstances and adjusts those estimates and assumptions when facts and circumstances change. Actual results could differ from those estimates.</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funds and U.S. government agency securities that are stated at cost, which approximate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Investments consist of money market funds, U.S. Treasury securities, U.S. government agency securities, corporate debt securities, and commercial paper. The Company’s investments are classified as available-for-sale and carried at estimated fair values and reported in cash equivalents, short-term investments and long-term investments. The Company determines the appropriate classification of the investments at the time they are purchased and evaluates the appropriateness of such classifications at each balance sheet date. Investments with contractual maturities greater than 12 months are considered long-term investments. The Company has elected to use transaction settlement date as the purchase date of investments.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(expense), net in the consolidated statements of operations, and an allowance for credit loss is recorded on the consolidated balance sheets. In circumstances when the decline in fair value is non-credit related, the difference is reported in accumulated other comprehensive loss, net of tax, as a separate component of consolidated stockholders’ equity.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Concentration of Credit Risk, Credit Losses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Financial instruments that potentially subject the Company to a concentration of credit risk consist primarily of cash, cash equivalents, and investments. The primary objectives for the Company’s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The Company has not experienced any realized losses on its deposits of cash, cash equivalents and investments.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of property and equipment is provided using the straight-line method over the estimated useful lives of the assets. Leasehold improvements are amortized on a straight-line basis over the shorter of the term of the lease, or the useful life of the assets. Upon sale or retirement of assets, the cost and related accumulated depreciation or amortization are removed from the consolidated balance sheets and the resulting gain or loss is reflected in the consolidated statements of operations. Maintenance and repairs are charged to the consolidated statements of operations as incurred.</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short-term lease is a lease that, at the commencement date, has a lease term of 12 months or less and does not include an option to purchase the underlying asset that the lessee is reasonably certain to exercise.</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fair value of the Company’s financial assets and liabilities are determined in accordance with the fair value hierarchy established in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Level 1—Observable inputs, such as quoted prices in active markets;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Level 3—Unobservable inputs in which there is little or no market data, which require the reporting entity to develop its own assumptions.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carrying amount of cash equivalents, prepaid expenses and other current assets, accounts payable and accrued liabilities approximated their estimated fair value due to their relatively short maturities. The carrying amount of our non-current debt approximates fair value based on Level 2 inputs since the debt carries a variable interest rate that is tied to the current SOFR rate plus a spread.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classifies money market funds and U.S. treasury securities as Level 1 within the fair value hierarchy as the fair value is based on quoted prices. The Company classifies its investments in U.S. government agency securities, corporate debt securities, commercial paper, and asset-backed securities as Level 2 within the fair value hierarchy as the fair value is estimated by third-party pricing sources using quoted prices for identical or similar instruments in markets that are not active and industry-standard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Issuance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Equity issuance costs consist of certain legal, professional, accounting and third-party fees directly associated with in-process equity financings. These amounts are capitalized as deferred offering costs until such financings are consummated. After consummation of the equity financing, these costs are recorded in stockholders’ equity as a reduction of additional paid-in capital generated as a result of the equity financing. In the event an anticipated offering is terminated or significantly delayed, deferred offering costs will be immediately expensed as part of general and administrative expenses. As of December 31, 2025 and 2024, no deferred offering costs were included as prepaid expenses and other current assets on the consolidated balance sheets, and all offering costs were offset against offering proceeds and reclassified to additional paid-in capital on the consolidated balance sheets.</w:t>
      </w:r>
    </w:p>
    <w:p>
      <w:pPr>
        <w:pStyle w:val="TextBody"/>
        <w:bidi w:val="0"/>
        <w:spacing w:before="240" w:after="283"/>
        <w:ind w:left="490" w:right="0" w:hanging="0"/>
        <w:jc w:val="left"/>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costs are expensed as incurred and consist primarily of salaries and benefits, stock-based compensation expense, lab supplies and facility costs, as well as fees paid to nonemployees and external entities on behalf of the Company, such as consultants, central laboratories, contractors, collaborators, contract manufacturing organizations, or CMOs, and contract research organizations, or CROs, in connection with our preclinical and clinical development activities and expenses incurred in connection with license agreements.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Clinical and Contract Manufacturing Accruals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CROs and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 To assist in its estimates, the Company relies upon the receipt of timely and accurate reporting from its clinical and non-clinical studies and other third-party vendors.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makes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Through December 31, 2025,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the actual services performed, and related costs may vary from the Company’s estimates, resulting in adjustments to clinical trial expense in future periods. </w:t>
      </w:r>
    </w:p>
    <w:p>
      <w:pPr>
        <w:pStyle w:val="TextBody"/>
        <w:bidi w:val="0"/>
        <w:spacing w:before="240" w:after="283"/>
        <w:ind w:left="490" w:right="0" w:hanging="0"/>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incurs stock-based compensation expense primarily from stock options, restricted stock units, or RSUs, and ESPP purchase rights.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estimates the fair value of stock options granted to employees, directors and non-employees and ESPP purchase rights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grant-date fair value of RSUs is the fair value of the underlying stock on the award’s grant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awards with only service-based vesting conditions, the Company uses the straight-line method to allocate compensation expense to reporting periods over the requisite service period, which is generally the vesting period. For awards that include performance-based vesting conditions, the Company uses the accelerated attribution method to allocate compensation expense on a tranche-by-tranche basis to reporting periods over the requisite service period if and when it becomes probable that the performance condition will be achieved. At each reporting period, the Company will assess the probability of the performance condition being met for each tranche and, as applicable, recognize the cumulative effect of the change in estimate in the period of the change. The Company accounts for the effect of forfeitures as they occur.</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and in assessing performance. The Company’s CODM is its chief executive officer. The Company manages its operations as a single operating segment. All of the Company’s long-lived assets are located in the United States. Refer to “Note 3. Segment Reporting” for further information.</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statements of operations and recorded in other income (expense), net, and were immaterial for the years ended December 31, 2025, 2024 and 2023.</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income taxes comprise the impact of temporary differences between assets and liabilities recognized for financial reporting purposes and the amounts recognized for income tax reporting purposes, net operating loss carryforwards, and other tax credits measured by applying currently enacted tax laws. A valuation allowance is provided when necessary to reduce deferred tax assets to an amount that is more likely than not to be realized.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Comprehensive loss consists of net loss and changes in unrealized gains and losses on investments for all periods presented.</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and pre-funded warrants outstanding during the period, without consideration for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per share is the same as basic net loss per share, since the effects of potentially dilutive securities are antidilutive given the net loss for each period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adopted ASU 2023-09 on January 1, 2025 on a retrospective basis. The adoption did not have a material impact on the Company’s consolidated financial statements. Refer to “Note 11. Income Taxes” for disclosure related to the adoption of ASU 2023-09.</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Reporting - Comprehensive Income - Expense Disaggregation Disclosures (Subtopic 220-40): Disaggregation of Income Statement Expenses</w:t>
      </w:r>
      <w:r>
        <w:rPr>
          <w:rFonts w:ascii="Times New Roman" w:hAnsi="Times New Roman"/>
          <w:color w:val="000000"/>
          <w:sz w:val="20"/>
        </w:rPr>
        <w:t xml:space="preserve"> (ASU 2024-03). ASU 2024-03 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ASU 2025-11 clarifies interim disclosure requirements and the applicability of Topic 270. ASU 2025-11 is effective for annual periods beginning after December 15, 2027 and interim periods beginning after December 15, 2028. Early adoption is permitted. The guidance can be applied either on a prospective basis or a retrospective basis to any or all prior periods presented in the financial statements. The Company is evaluating the impact of this guidance on its consolidated financial statements and related disclosures.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xml:space="preserve"> (ASU 2025-12). ASU 2025-12 aims to make the Codification easier to understand and apply by making changes to the Codification that (1) clarify, (2) correct errors, or (3) make minor improvements. ASU 2025-12 is effective for annual periods beginning after December 15, 2026, including interim periods within those annual periods. Early adoption is permitted. The guidance can be applied on a prospective or retrospective basis. The Company is evaluating the impact of this guidance on its consolidated financial statements and related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SEGMENT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manages its operations as a single operating segment. The Company’s CODM uses consolidated, single-segment financial information for the purposes of assessing performance, making operating decisions, allocating resources, and planning and forecasting for future periods.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CODM reviews cash, cash equivalents and investments as a measure of segment assets. As of December 31, 2025 and 2024, the Company’s cash, cash equivalents and investments were $48.3 million and $131.3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significant segment expenses for the years ended December 31, 2025, 2024 and 2023 (in thousands):</w:t>
      </w:r>
    </w:p>
    <w:p>
      <w:pPr>
        <w:pStyle w:val="TextBody"/>
        <w:bidi w:val="0"/>
        <w:jc w:val="left"/>
        <w:rPr/>
      </w:pPr>
      <w:r>
        <w:rPr/>
        <w:t> </w:t>
      </w:r>
    </w:p>
    <w:tbl>
      <w:tblPr>
        <w:tblW w:w="8458" w:type="dxa"/>
        <w:jc w:val="left"/>
        <w:tblInd w:w="0" w:type="dxa"/>
        <w:tblLayout w:type="fixed"/>
        <w:tblCellMar>
          <w:top w:w="28" w:type="dxa"/>
          <w:left w:w="28" w:type="dxa"/>
          <w:bottom w:w="28" w:type="dxa"/>
          <w:right w:w="28" w:type="dxa"/>
        </w:tblCellMar>
      </w:tblPr>
      <w:tblGrid>
        <w:gridCol w:w="3941"/>
        <w:gridCol w:w="146"/>
        <w:gridCol w:w="211"/>
        <w:gridCol w:w="841"/>
        <w:gridCol w:w="166"/>
        <w:gridCol w:w="146"/>
        <w:gridCol w:w="211"/>
        <w:gridCol w:w="841"/>
        <w:gridCol w:w="166"/>
        <w:gridCol w:w="146"/>
        <w:gridCol w:w="211"/>
        <w:gridCol w:w="841"/>
        <w:gridCol w:w="591"/>
      </w:tblGrid>
      <w:tr>
        <w:trPr/>
        <w:tc>
          <w:tcPr>
            <w:tcW w:w="3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Company’s financial assets that are measured at fair value on a recurring basis by level within the fair value hierarchy as of December 31, 2025 and 2024 (in thousands):</w:t>
      </w:r>
    </w:p>
    <w:tbl>
      <w:tblPr>
        <w:tblW w:w="10205" w:type="dxa"/>
        <w:jc w:val="left"/>
        <w:tblInd w:w="0" w:type="dxa"/>
        <w:tblLayout w:type="fixed"/>
        <w:tblCellMar>
          <w:top w:w="28" w:type="dxa"/>
          <w:left w:w="28" w:type="dxa"/>
          <w:bottom w:w="28" w:type="dxa"/>
          <w:right w:w="28" w:type="dxa"/>
        </w:tblCellMar>
      </w:tblPr>
      <w:tblGrid>
        <w:gridCol w:w="2527"/>
        <w:gridCol w:w="146"/>
        <w:gridCol w:w="1011"/>
        <w:gridCol w:w="146"/>
        <w:gridCol w:w="305"/>
        <w:gridCol w:w="983"/>
        <w:gridCol w:w="146"/>
        <w:gridCol w:w="146"/>
        <w:gridCol w:w="529"/>
        <w:gridCol w:w="870"/>
        <w:gridCol w:w="146"/>
        <w:gridCol w:w="146"/>
        <w:gridCol w:w="545"/>
        <w:gridCol w:w="895"/>
        <w:gridCol w:w="146"/>
        <w:gridCol w:w="146"/>
        <w:gridCol w:w="231"/>
        <w:gridCol w:w="744"/>
        <w:gridCol w:w="397"/>
      </w:tblGrid>
      <w:tr>
        <w:trPr/>
        <w:tc>
          <w:tcPr>
            <w:tcW w:w="2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5"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240" w:hanging="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9"/>
        <w:gridCol w:w="146"/>
        <w:gridCol w:w="1010"/>
        <w:gridCol w:w="146"/>
        <w:gridCol w:w="271"/>
        <w:gridCol w:w="1011"/>
        <w:gridCol w:w="146"/>
        <w:gridCol w:w="146"/>
        <w:gridCol w:w="463"/>
        <w:gridCol w:w="928"/>
        <w:gridCol w:w="146"/>
        <w:gridCol w:w="146"/>
        <w:gridCol w:w="541"/>
        <w:gridCol w:w="889"/>
        <w:gridCol w:w="166"/>
        <w:gridCol w:w="146"/>
        <w:gridCol w:w="214"/>
        <w:gridCol w:w="795"/>
        <w:gridCol w:w="396"/>
      </w:tblGrid>
      <w:tr>
        <w:trPr/>
        <w:tc>
          <w:tcPr>
            <w:tcW w:w="2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 did not have any outstanding financial liabilities to be re-measured on a recurring basis as of December 31, 2025 and 2024.</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consolidated balance sheets was as follows as of December 31, 2025 and 2024 (in thousands):</w:t>
      </w:r>
    </w:p>
    <w:tbl>
      <w:tblPr>
        <w:tblW w:w="5145" w:type="dxa"/>
        <w:jc w:val="left"/>
        <w:tblInd w:w="0" w:type="dxa"/>
        <w:tblLayout w:type="fixed"/>
        <w:tblCellMar>
          <w:top w:w="28" w:type="dxa"/>
          <w:left w:w="28" w:type="dxa"/>
          <w:bottom w:w="28" w:type="dxa"/>
          <w:right w:w="28" w:type="dxa"/>
        </w:tblCellMar>
      </w:tblPr>
      <w:tblGrid>
        <w:gridCol w:w="1996"/>
        <w:gridCol w:w="146"/>
        <w:gridCol w:w="299"/>
        <w:gridCol w:w="961"/>
        <w:gridCol w:w="146"/>
        <w:gridCol w:w="146"/>
        <w:gridCol w:w="268"/>
        <w:gridCol w:w="99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ind w:left="0" w:right="0" w:firstLine="490"/>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$1.7 million and $2.1 million as of December 31, 2025 and 2024, respectively.</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December 31, 2025 and 2024 (in thousands):</w:t>
      </w:r>
    </w:p>
    <w:tbl>
      <w:tblPr>
        <w:tblW w:w="6690" w:type="dxa"/>
        <w:jc w:val="left"/>
        <w:tblInd w:w="0" w:type="dxa"/>
        <w:tblLayout w:type="fixed"/>
        <w:tblCellMar>
          <w:top w:w="28" w:type="dxa"/>
          <w:left w:w="28" w:type="dxa"/>
          <w:bottom w:w="28" w:type="dxa"/>
          <w:right w:w="28" w:type="dxa"/>
        </w:tblCellMar>
      </w:tblPr>
      <w:tblGrid>
        <w:gridCol w:w="3541"/>
        <w:gridCol w:w="146"/>
        <w:gridCol w:w="299"/>
        <w:gridCol w:w="961"/>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ind w:left="0" w:right="0" w:firstLine="490"/>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transfers of assets or liabilities between the fair value measurement levels during the years ended December 31, 2025 and 2024 and there were no financial instruments classified as Level 3 as of December 31, 2025 and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accrued interest receivable related to the Company’s investments of $0.3 million and $0.9 million, respectively, was included in prepaid expenses and other current assets on the consolidated balance sheets.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December 31, 2025 and 2024, no allowance for credit losses for the Company’s investments was recorded. As of December 31, 2025 and 2024, there were no securities in a continuous net unrealized loss position for more than 12 months. As of December 31, 2025 and 2024, the Company has not recognized any impairment losses on available-for-sale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components of prepaid expenses and other current assets as of December 31, 2025 and 2024 (in thousands):</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4131"/>
        <w:gridCol w:w="146"/>
        <w:gridCol w:w="339"/>
        <w:gridCol w:w="921"/>
        <w:gridCol w:w="146"/>
        <w:gridCol w:w="146"/>
        <w:gridCol w:w="339"/>
        <w:gridCol w:w="92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December 31, 2025 and 2024 (in thousands):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781"/>
        <w:gridCol w:w="146"/>
        <w:gridCol w:w="314"/>
        <w:gridCol w:w="946"/>
        <w:gridCol w:w="166"/>
        <w:gridCol w:w="146"/>
        <w:gridCol w:w="314"/>
        <w:gridCol w:w="946"/>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Depreciation was $0.7 million, $0.9 million, and $0.8 million for years ended December 31, 2025, 2024 and 2023, respectively.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net as of December 31, 2025 and 2024 (in thousands): </w:t>
      </w:r>
    </w:p>
    <w:p>
      <w:pPr>
        <w:pStyle w:val="TextBody"/>
        <w:bidi w:val="0"/>
        <w:jc w:val="left"/>
        <w:rPr/>
      </w:pPr>
      <w:r>
        <w:rPr/>
        <w:t> </w:t>
      </w:r>
    </w:p>
    <w:tbl>
      <w:tblPr>
        <w:tblW w:w="7370" w:type="dxa"/>
        <w:jc w:val="left"/>
        <w:tblInd w:w="0" w:type="dxa"/>
        <w:tblLayout w:type="fixed"/>
        <w:tblCellMar>
          <w:top w:w="28" w:type="dxa"/>
          <w:left w:w="28" w:type="dxa"/>
          <w:bottom w:w="28" w:type="dxa"/>
          <w:right w:w="28" w:type="dxa"/>
        </w:tblCellMar>
      </w:tblPr>
      <w:tblGrid>
        <w:gridCol w:w="4021"/>
        <w:gridCol w:w="146"/>
        <w:gridCol w:w="339"/>
        <w:gridCol w:w="921"/>
        <w:gridCol w:w="146"/>
        <w:gridCol w:w="146"/>
        <w:gridCol w:w="339"/>
        <w:gridCol w:w="92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determined it operates in a single operating segment and has one reportable segment. The Company reviews for indicators of impairment on a quarterly basis, including changes in how its property is being used.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2025, the Company made a decision to sublease its leased property in Palo Alto. The Company determined that the change in how this building was being used indicated impairment. The Company identified this property as a separate asset group for purposes of long-lived asset impairment assessment. The Company concluded that the carrying value of this property asset group was not recoverable and the estimated fair value of this asset group was below its carrying value. The lower fair value of this asset group was mainly due to the lower estimated sublease income compared to the lease payments in accordance with the initial operating lease agreement and higher discount rate. The Company applied a discounted cash flow method to estimate fair value of its right-of-use asset and leasehold improvements. Based on this analysis, the Company concluded the fair value of the right-of-use asset and leasehold improvements of $1.5 million was lower than its net book value of $4.7 million. The Company recognized a pre-tax long-lived asset impairment charge of $3.2 million on the right-of-use asset and leasehold improvements. For the year ended December 31, 2025, the Company has recognized impairment of $3.2 million on the right-of-use asset and leasehold improvements.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December 31, 2025 and 2024 (in thousands):</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4461"/>
        <w:gridCol w:w="146"/>
        <w:gridCol w:w="299"/>
        <w:gridCol w:w="961"/>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2016, the Company entered into a pharmaceutical support services agreement, which included embedded leases that allowed the Company the right to direct the use of certain equipment. The embedded leases commenced in September 2020 and were set to expire in August 2023 with no stated option to extend the term. In May 2023, the Company entered into an addendum to extend the existing lease through May 2026 and lease additional number of certain equipment. In October 2023, the Company entered into an additional addendum to lease an additional number of certain equipment through May 2026. In June 2024, the Company entered into another addendum to extend the existing lease through July 2027 and lease additional number of certain equipment. In August 2025, the Company entered into an additional addendum to terminate a number of certain equipment. The Company classified the leases as finance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of the premises commenced in February 2022 and the lease for the second premises commenced in April 2022. The lease provides for an annual base rent of approximately $0.8 million, which increases on an annual basis by 3%. The total lease payments for the life of the lease are approximately $6.9 million. The Company is also responsible for leasehold improvement costs related to the second premises, which totaled to $2.3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The restricted cash deposit was included in the other assets on the consolidated balance sheets.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ROU assets recorded for operating leases and finance leases were $1.2 million and $1.5 million, respectively. As of December 31, 2024, the ROU assets recorded for operating leases and finance leases were $4.0 million and $2.7 million, respectively. The amounts were included in the other assets on the consolidated balance sheets (see “Note 5. Balance Sheet Components—Other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operating and finance lease liabilities as of December 31, 2025 (in thousands, except lease term and discount rate):</w:t>
      </w:r>
    </w:p>
    <w:p>
      <w:pPr>
        <w:pStyle w:val="TextBody"/>
        <w:bidi w:val="0"/>
        <w:ind w:left="0" w:right="0" w:firstLine="490"/>
        <w:jc w:val="left"/>
        <w:rPr/>
      </w:pPr>
      <w:r>
        <w:rPr/>
        <w:t> </w:t>
      </w:r>
    </w:p>
    <w:tbl>
      <w:tblPr>
        <w:tblW w:w="7540" w:type="dxa"/>
        <w:jc w:val="left"/>
        <w:tblInd w:w="0" w:type="dxa"/>
        <w:tblLayout w:type="fixed"/>
        <w:tblCellMar>
          <w:top w:w="28" w:type="dxa"/>
          <w:left w:w="28" w:type="dxa"/>
          <w:bottom w:w="28" w:type="dxa"/>
          <w:right w:w="28" w:type="dxa"/>
        </w:tblCellMar>
      </w:tblPr>
      <w:tblGrid>
        <w:gridCol w:w="4111"/>
        <w:gridCol w:w="146"/>
        <w:gridCol w:w="367"/>
        <w:gridCol w:w="998"/>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spacing w:before="0" w:after="0"/>
        <w:ind w:left="489" w:right="0" w:hanging="0"/>
        <w:jc w:val="left"/>
        <w:rPr>
          <w:rFonts w:ascii="Times New Roman" w:hAnsi="Times New Roman"/>
          <w:color w:val="000000"/>
          <w:sz w:val="18"/>
        </w:rPr>
      </w:pPr>
      <w:r>
        <w:rPr>
          <w:rFonts w:ascii="Times New Roman" w:hAnsi="Times New Roman"/>
          <w:color w:val="000000"/>
          <w:sz w:val="18"/>
        </w:rPr>
        <w:t>(i)</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consolidated balance sheets.</w:t>
      </w:r>
    </w:p>
    <w:p>
      <w:pPr>
        <w:pStyle w:val="TextBody"/>
        <w:bidi w:val="0"/>
        <w:spacing w:before="0" w:after="0"/>
        <w:ind w:left="489" w:right="0" w:hanging="0"/>
        <w:jc w:val="left"/>
        <w:rPr>
          <w:rFonts w:ascii="Times New Roman" w:hAnsi="Times New Roman"/>
          <w:color w:val="000000"/>
          <w:sz w:val="18"/>
        </w:rPr>
      </w:pPr>
      <w:r>
        <w:rPr>
          <w:rFonts w:ascii="Times New Roman" w:hAnsi="Times New Roman"/>
          <w:color w:val="000000"/>
          <w:sz w:val="18"/>
        </w:rPr>
        <w:t>(ii)</w:t>
      </w:r>
    </w:p>
    <w:p>
      <w:pPr>
        <w:pStyle w:val="TextBody"/>
        <w:bidi w:val="0"/>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consolidated balance sheets.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components of lease costs for the years ended December 31, 2025, 2024, and 2023 (in thousands):</w:t>
      </w:r>
    </w:p>
    <w:p>
      <w:pPr>
        <w:pStyle w:val="TextBody"/>
        <w:bidi w:val="0"/>
        <w:ind w:left="0" w:right="0" w:firstLine="490"/>
        <w:jc w:val="left"/>
        <w:rPr/>
      </w:pPr>
      <w:r>
        <w:rPr/>
        <w:t> </w:t>
      </w:r>
    </w:p>
    <w:tbl>
      <w:tblPr>
        <w:tblW w:w="6578" w:type="dxa"/>
        <w:jc w:val="left"/>
        <w:tblInd w:w="0" w:type="dxa"/>
        <w:tblLayout w:type="fixed"/>
        <w:tblCellMar>
          <w:top w:w="28" w:type="dxa"/>
          <w:left w:w="28" w:type="dxa"/>
          <w:bottom w:w="28" w:type="dxa"/>
          <w:right w:w="28" w:type="dxa"/>
        </w:tblCellMar>
      </w:tblPr>
      <w:tblGrid>
        <w:gridCol w:w="3111"/>
        <w:gridCol w:w="146"/>
        <w:gridCol w:w="211"/>
        <w:gridCol w:w="571"/>
        <w:gridCol w:w="146"/>
        <w:gridCol w:w="146"/>
        <w:gridCol w:w="211"/>
        <w:gridCol w:w="571"/>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0" w:after="0"/>
        <w:ind w:left="489" w:right="0" w:hanging="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the years ended December 31, 2025, 2024, and 2023 (in thousands):</w:t>
      </w:r>
    </w:p>
    <w:p>
      <w:pPr>
        <w:pStyle w:val="TextBody"/>
        <w:bidi w:val="0"/>
        <w:jc w:val="left"/>
        <w:rPr/>
      </w:pPr>
      <w:r>
        <w:rPr/>
        <w:t> </w:t>
      </w:r>
    </w:p>
    <w:tbl>
      <w:tblPr>
        <w:tblW w:w="9353" w:type="dxa"/>
        <w:jc w:val="left"/>
        <w:tblInd w:w="0" w:type="dxa"/>
        <w:tblLayout w:type="fixed"/>
        <w:tblCellMar>
          <w:top w:w="28" w:type="dxa"/>
          <w:left w:w="28" w:type="dxa"/>
          <w:bottom w:w="28" w:type="dxa"/>
          <w:right w:w="28" w:type="dxa"/>
        </w:tblCellMar>
      </w:tblPr>
      <w:tblGrid>
        <w:gridCol w:w="5866"/>
        <w:gridCol w:w="146"/>
        <w:gridCol w:w="211"/>
        <w:gridCol w:w="571"/>
        <w:gridCol w:w="166"/>
        <w:gridCol w:w="146"/>
        <w:gridCol w:w="211"/>
        <w:gridCol w:w="57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(modified) acquired under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TERM LOAN</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October 2022, the Company entered into a loan and security agreement, or the Loan Agreement, with Oxford Finance LLC, Oxford Finance Credit Fund II LP, and Silicon Valley Bank, or Lenders, for a secured term loan facility of up to $100.0 million. Pursuant to the Loan Agreement, the Company drew an initial loan of $10.0 million. Under the original terms of the Loan Agreement, the Company had the right to draw an additional $40.0 million through the end of December 2023.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 sole discretion. The proceeds of the loans may be used by the Company for working capital and to fund its general business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Borrowings under the Loan Agreement bear interest at a floating rate per annum equal to the greater of (i) 1-month term Secured Overnight Financing Rate, or SOFR, and (ii) 2.33%, plus 6.25%. The minimum per annum interest rate is 8.58%. Interest on the term loans is payable monthly in arrears. The Company began making interest payments beginning on December 1, 2022 and principal payments in equal monthly installments beginning on December 1, 2025. The term loans mature on October 1, 2027.</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term loans may be prepaid in full or in part, in increments of $10.0 million, with various prepayment premiums. Upon the earlier prepayment or maturity of any term loan, the Company is required to pay a final payment fee of 6.0% of the original principal amount of such funded term loan. The final payment will be accreted to the final payment amount as interest expense using the effective interest method over the term of the loan through maturity date. The term loans once repaid or prepaid may not be reborrowed. The Company is also obligated to pay other customary fees for a loan facility of this size and type.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term loans under the Loan Agreement are secured by substantially all of the Company’s assets, except the Company’s intellectual property, which is the subject of a negative pledge, and will be guaranteed by the Company’s future subsidiaries, subject to certain limitations. The Company and its subsidiary, ALX Oncology Limited, have guaranteed the obligations under the Loan Agreement. The Loan Agreement contains customary affirmative and negative covenants, including covenants limiting the ability of the Company to, among other things, dispose of assets, effect certain mergers, incur debt, grant liens, pay dividends and distributions on its capital stock, make investments and acquisitions, and enter into transactions with affiliates, in each case subject to customary exceptions for a loan facility of this size and type.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Loan Agreement contains customary events of default, which include, but are not limited to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received net proceeds from issuance of the term loan of $9.3 million after deducting debt issuance costs of approximately $0.7 million. Debt issuance costs were recorded as debt discount on the term loan, offsetting term loan, non-current on the consolidated balance sheets. The debt discount will be amortized over the term of the loan as interest expense using the effective interest method. During the years ended December 31, 2025, 2024 and 2023, interest expense incurred in connection with the Loan Agreement was $1.3 million, $1.2 million, and $1.1 million,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December 31, 2025, the value of the embedded derivative is not material, but could become material in future periods if an event of default became more probable than is currently estimated. As of December 31, 2025, we were in compliance with all financial reporting covenants under the Loan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March 2023, Silicon Valley Bank (SVB) was closed by the California Department of Financial Protection and Innovation, which appointed the Federal Deposit Insurance Corporation, or FDIC, to act as receiver. The FDIC created Silicon Valley Bridge Bank, N.A., or SVBB, as successor to SVB. First Citizens BancShares, Inc., or First Citizens Bank, acquired SVBB from the FDIC and operates SVBB as Silicon Valley Bank, a division of First Citizens Bank, or SVB-First Citizens.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2023, we entered into a third amendment to the Loan Agreement. The primary purpose of the third amendment was to (i) extend the draw period for the first tranche loans from December 31, 2023 to June 30, 2024, (ii) add as a condition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as of December 31,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future maturities under the Loan Agreement are as follows (in thousands):</w:t>
      </w:r>
    </w:p>
    <w:p>
      <w:pPr>
        <w:pStyle w:val="TextBody"/>
        <w:bidi w:val="0"/>
        <w:ind w:left="0" w:right="0" w:firstLine="490"/>
        <w:jc w:val="left"/>
        <w:rPr/>
      </w:pPr>
      <w:r>
        <w:rPr/>
        <w:t> </w:t>
      </w:r>
    </w:p>
    <w:tbl>
      <w:tblPr>
        <w:tblW w:w="5278" w:type="dxa"/>
        <w:jc w:val="left"/>
        <w:tblInd w:w="0" w:type="dxa"/>
        <w:tblLayout w:type="fixed"/>
        <w:tblCellMar>
          <w:top w:w="28" w:type="dxa"/>
          <w:left w:w="28" w:type="dxa"/>
          <w:bottom w:w="28" w:type="dxa"/>
          <w:right w:w="28" w:type="dxa"/>
        </w:tblCellMar>
      </w:tblPr>
      <w:tblGrid>
        <w:gridCol w:w="3196"/>
        <w:gridCol w:w="146"/>
        <w:gridCol w:w="409"/>
        <w:gridCol w:w="131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December 31, 2025 and 2024, the Company had 54,388,022 and 53,052,912 shares of common stock outstanding, respectively.</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2020, the Company consummated its registered offering and issued 2,737,000 shares of common stock for net proceeds of approximately $194.9 million, after deducting underwriting discounts and commissions of $12.5 million and offering-related expenses of $0.7 million.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October 2023, the Company completed a registered offering and issued an aggregate of 8,663,793 shares of common stock, including the underwriters’ exercise in full of their overallotment option of 1,293,103 shares of common stock, and, in lieu of common stock to certain investors, pre-funded warrants to purchase 1,250,000 shares of common stock at an offering price of $6.38 per share and $6.379 per pre-funded warrant. Net proceeds were approximately $58.9 million, after deducting underwriting discounts and commissions of $3.8 million and offering-related expenses of $0.6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Common stock reserved for future issuance as of December 31, 2025 consists of the following:</w:t>
      </w:r>
    </w:p>
    <w:p>
      <w:pPr>
        <w:pStyle w:val="TextBody"/>
        <w:bidi w:val="0"/>
        <w:jc w:val="left"/>
        <w:rPr/>
      </w:pPr>
      <w:r>
        <w:rPr/>
        <w:t> </w:t>
      </w:r>
    </w:p>
    <w:tbl>
      <w:tblPr>
        <w:tblW w:w="7727" w:type="dxa"/>
        <w:jc w:val="left"/>
        <w:tblInd w:w="0" w:type="dxa"/>
        <w:tblLayout w:type="fixed"/>
        <w:tblCellMar>
          <w:top w:w="28" w:type="dxa"/>
          <w:left w:w="28" w:type="dxa"/>
          <w:bottom w:w="28" w:type="dxa"/>
          <w:right w:w="28" w:type="dxa"/>
        </w:tblCellMar>
      </w:tblPr>
      <w:tblGrid>
        <w:gridCol w:w="5611"/>
        <w:gridCol w:w="213"/>
        <w:gridCol w:w="1512"/>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12,878,187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2,578,855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 and outstanding</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18,445,488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2021, the Company entered into a sales agreement with Cantor Fitzgerald &amp; Co. and Credit Suisse Securities (USA) LLC (Sales Agreement), under which it may offer and sell shares of the Company’s common stock, having aggregate gross proceeds of up to $150.0 million, from time to time through them as the Company’s sales agents in its at-the-market equity offering program (ATM Offering). In August 2023, the Company entered into an amendment to the Sales Agreement to include UBS Securities LLC as an additional sales agent and to remove Credit Suisse as a sales agent. As of December 31, 2025, the Company had issued approximately 3,175,681 shares of common stock pursuant to the Sales Agreement for net proceeds of $31.4 million. The Company may terminate this ATM program at any time, pursuant to its terms.</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part of the October 2023 Offering, the Company issued pre-funded warrants to certain investors to purchase 1,250,000 shares of common stock in a registered offering at an offering price of $6.379 per pre-funded warrant. Each pre-funded warrant entitles the holder to purchase one share of common stock at an exercise price of $0.001 per share.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pre-funded warrants to purchase shares of common stock are exercisable at any time after their original issuance. However, the pre-funded warrants include a separate provision whereby the exercisability of the pre-funded warrants may be limited if, upon exercise, the warrant holder or any of its affiliates would beneficially own more than 9.99% of the Company’s common stock. This threshold is subject to the warrant holder’s rights under the pre-funded warrants to increase or decrease such percentage to any other percentage not in excess of 19.99% upon at least 61 days’ prior notice from the warrant holder to the Company. The pre-funded warrants will expire on the date the warrants are exercised in full.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pre-funded warrants were classified as equity and accounted for as a component of additional paid-in capital. The pre-funded warrants were classified as equity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offering price approximated their fair value, and allocated the aggregate net proceeds from the offering proportionately to the common stock and pre-funded warrants, including approximately $7.4 million allocated to the pre-funded warrants and recorded as a component of additional paid-in capital on the consolidated balance sheets.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no shares underlying the pre-funded warrants had been exercised. All of the outstanding pre-funded warrants are included in the weighted-average number of shares of common stock used to calculate basic net loss per share attributable to common stockholders (see “Note 12. Net Loss Per Share Attributable to Common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2020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April 1, 2020, the board of directors (the Board) approved a new equity incentive plan, or the 2020 Equity Incentive Plan, that replaced the Company’s existing equity compensation plan, 2015 Share Award Scheme. The 2020 Equity Incentive Plan permitted the issuance of up to 4,379,139 shares of the Company’s common stock pursuant to awards granted under it, and authorized the award of stock options, restricted stock awards, stock appreciation rights and RSUs to employees, directors, and consultants.</w:t>
      </w:r>
    </w:p>
    <w:p>
      <w:pPr>
        <w:pStyle w:val="TextBody"/>
        <w:bidi w:val="0"/>
        <w:spacing w:before="200" w:after="283"/>
        <w:ind w:left="490" w:right="0" w:hanging="0"/>
        <w:jc w:val="left"/>
        <w:rPr>
          <w:rFonts w:ascii="Times New Roman" w:hAnsi="Times New Roman"/>
          <w:i/>
          <w:color w:val="000000"/>
          <w:sz w:val="20"/>
        </w:rPr>
      </w:pPr>
      <w:r>
        <w:rPr>
          <w:rFonts w:ascii="Times New Roman" w:hAnsi="Times New Roman"/>
          <w:i/>
          <w:color w:val="000000"/>
          <w:sz w:val="20"/>
        </w:rPr>
        <w:t>Amended and Restated 2020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July 2020, the Company adopted the Amended and Restated 2020 Equity Incentive Plan, or the 2020 Plan. The 2020 Plan replaced the Company’s 2020 Equity Incentive Plan and a total of 7,874,862 shares were reserved under the 2020 Plan. Unless the Board provides otherwise, beginning on January 1, 2021, the maximum number of shares which shall be made available for issuance under the 2020 Plan will automatically increase on the first day in January of each calendar year (i.e., the first day of our fiscal year) by an amount equal to the least of:</w:t>
      </w:r>
    </w:p>
    <w:p>
      <w:pPr>
        <w:pStyle w:val="TextBody"/>
        <w:bidi w:val="0"/>
        <w:spacing w:before="120" w:after="283"/>
        <w:ind w:left="807"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4,000,000</w:t>
      </w:r>
      <w:r>
        <w:rPr>
          <w:color w:val="000000"/>
        </w:rPr>
        <w:t xml:space="preserve"> </w:t>
      </w:r>
      <w:r>
        <w:rPr>
          <w:rFonts w:ascii="Times New Roman" w:hAnsi="Times New Roman"/>
          <w:color w:val="000000"/>
          <w:sz w:val="20"/>
        </w:rPr>
        <w:t>shares;</w:t>
      </w:r>
    </w:p>
    <w:p>
      <w:pPr>
        <w:pStyle w:val="TextBody"/>
        <w:bidi w:val="0"/>
        <w:spacing w:before="120" w:after="283"/>
        <w:ind w:left="807"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four</w:t>
      </w:r>
      <w:r>
        <w:rPr>
          <w:color w:val="000000"/>
        </w:rPr>
        <w:t xml:space="preserve"> </w:t>
      </w:r>
      <w:r>
        <w:rPr>
          <w:rFonts w:ascii="Times New Roman" w:hAnsi="Times New Roman"/>
          <w:color w:val="000000"/>
          <w:sz w:val="20"/>
        </w:rPr>
        <w:t xml:space="preserve">percent of the outstanding shares of our common stock on the last day of our immediately preceding fiscal year; or </w:t>
      </w:r>
    </w:p>
    <w:p>
      <w:pPr>
        <w:pStyle w:val="TextBody"/>
        <w:bidi w:val="0"/>
        <w:spacing w:before="120" w:after="283"/>
        <w:ind w:left="807"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number of shares as our board of directors may determine no later than the last day of our immediately preceding fiscal year.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terms of the stock option agreements, including vesting requirements, are determined by the Board, subject to the provisions of the 2020 Plan. The term of the options generally expire, upon the earliest of (i) termination of continuous service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All awards that are canceled, forfeited or expired are returned to the 2020 Plan and are available for grant in conjunction with the issuance of new awards. Stock options granted are exercisable over a maximum term of 10 years from the date of grant and generally vest over an agreed service period, usually four years. Certain stock options granted under the 2020 Plan provide option holders the right to elect to exercise unvested options in exchange for common stock. Such unvested common stock is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2025, there was no such unvested early exercised options and related liability.</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2025 Inducement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January 2025, the Company adopted the 2025 Inducement Equity Incentive Plan, or the 2025 Plan. The 2025 Plan provides for the granting of equity-based awards, including non-statutory stock options, stock appreciation rights, restricted stock, RSUs, performance units and performance shares. A total of 1,500,000 shares were reserved under the 2025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terms of the stock option agreements, including vesting requirements, are determined by the Board, subject to the provisions of the 2025 Plan. The term of the options generally expire, upon the earliest of (i) termination of continuous service for cause (ii) three months after the termination of continuous service for reasons other than cause, death or disability (iii) six months after the termination of continuous service due to disability (iv) six months after the employee’s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All awards that are canceled, forfeited or expired are returned to the 2025 Plan and are available for grant in conjunction with the issuance of new awards. Stock options granted are exercisable over a maximum term of 10 years from the date of grant and generally vest over an agreed service period, usually four years. </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Shares Available for Grant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provides a summary of shares available for grant under the 2020 Plan and 2025 Plan:</w:t>
      </w:r>
    </w:p>
    <w:p>
      <w:pPr>
        <w:pStyle w:val="TextBody"/>
        <w:bidi w:val="0"/>
        <w:ind w:left="0" w:right="0" w:firstLine="490"/>
        <w:jc w:val="left"/>
        <w:rPr/>
      </w:pPr>
      <w:r>
        <w:rPr/>
        <w:t> </w:t>
      </w:r>
    </w:p>
    <w:tbl>
      <w:tblPr>
        <w:tblW w:w="5685" w:type="dxa"/>
        <w:jc w:val="left"/>
        <w:tblInd w:w="0" w:type="dxa"/>
        <w:tblLayout w:type="fixed"/>
        <w:tblCellMar>
          <w:top w:w="28" w:type="dxa"/>
          <w:left w:w="28" w:type="dxa"/>
          <w:bottom w:w="28" w:type="dxa"/>
          <w:right w:w="28" w:type="dxa"/>
        </w:tblCellMar>
      </w:tblPr>
      <w:tblGrid>
        <w:gridCol w:w="3991"/>
        <w:gridCol w:w="146"/>
        <w:gridCol w:w="146"/>
        <w:gridCol w:w="991"/>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3,622,116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(7,394,675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5,708,857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2,578,855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Stock Option Exchange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December 2, 2024, the Company commenced an offer to exchange eligible options held by eligible employees of the Company for new options (the Exchange Offer). The Exchange Offer expired on December 30, 2024. Under the Exchange Offer, the Company accepted for exchange eligible options to purchase an aggregate of 2,693,873 shares of the Company’s common stock, representing 80.3% of the total shares of common stock underlying the eligible options. On December 30, 2024, immediately following the expiration of the Exchange Offer, the exchanged options were canceled and new options to purchase 2,155,095 shares of common stock were granted at an exercise price of $1.66 per share, which was the closing price of the common stock on the Nasdaq Global Select Market on the grant date of the new options. The new options are subject to a new vesting schedule, vesting in equal monthly installments following the new option grant date for the longer of (a) 30 months or (b) the number of months remaining in the vesting schedule on the eligible option grant. Each new option has a maximum term of seven years.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exchange of stock options was treated as a modification for accounting purposes. The incremental expense of $0.6 million for the modified options was calculated using the Black-Scholes option pricing model. The incremental expense and the unamortized expense remaining on the exchanged options as of the modification date are being recognized over the new vesting service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July 2020, the Board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Company’s common stock at the end of the offering period at 85% of the lower of the closing price of our common stock on The Nasdaq Global Select Market on the first and last day of the offering period.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initial number of shares of common stock available for issuance under the ESPP was 400,000. Unless the Board provides otherwise, beginning on January 1, 2021, the maximum number of shares which shall be made available for sale under the ESPP will automatically increase on the first day in January of each calendar year (i.e., the first day of our fiscal year) during the term of the ESPP by an amount equal to the least of:</w:t>
      </w:r>
    </w:p>
    <w:p>
      <w:pPr>
        <w:pStyle w:val="TextBody"/>
        <w:bidi w:val="0"/>
        <w:spacing w:before="120" w:after="283"/>
        <w:ind w:left="81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800,000</w:t>
      </w:r>
      <w:r>
        <w:rPr>
          <w:color w:val="000000"/>
        </w:rPr>
        <w:t xml:space="preserve"> </w:t>
      </w:r>
      <w:r>
        <w:rPr>
          <w:rFonts w:ascii="Times New Roman" w:hAnsi="Times New Roman"/>
          <w:color w:val="000000"/>
          <w:sz w:val="20"/>
        </w:rPr>
        <w:t>shares;</w:t>
      </w:r>
    </w:p>
    <w:p>
      <w:pPr>
        <w:pStyle w:val="TextBody"/>
        <w:bidi w:val="0"/>
        <w:spacing w:before="120" w:after="283"/>
        <w:ind w:left="81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one</w:t>
      </w:r>
      <w:r>
        <w:rPr>
          <w:color w:val="000000"/>
        </w:rPr>
        <w:t xml:space="preserve"> </w:t>
      </w:r>
      <w:r>
        <w:rPr>
          <w:rFonts w:ascii="Times New Roman" w:hAnsi="Times New Roman"/>
          <w:color w:val="000000"/>
          <w:sz w:val="20"/>
        </w:rPr>
        <w:t xml:space="preserve">percent of the outstanding shares of our common stock on the last day of our immediately preceding fiscal year; or </w:t>
      </w:r>
    </w:p>
    <w:p>
      <w:pPr>
        <w:pStyle w:val="TextBody"/>
        <w:bidi w:val="0"/>
        <w:spacing w:before="120" w:after="283"/>
        <w:ind w:left="81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number of shares as our board of directors may determine no later than the last day of our immediately preceding fiscal year.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January 1, 2025 and 2024, the number of shares available under the ESPP was increased by 530,529 and zero, respectively. As of December 31, 2025, 294,582 shares of common stock have been purchased under the ESPP, and the number of shares of common stock available for issuance under the ESPP was 1,440,263.</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provides a summary of stock option activity under the 2020 Plan and 2025 Plan and related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6"/>
        <w:gridCol w:w="146"/>
        <w:gridCol w:w="165"/>
        <w:gridCol w:w="1176"/>
        <w:gridCol w:w="166"/>
        <w:gridCol w:w="146"/>
        <w:gridCol w:w="406"/>
        <w:gridCol w:w="1105"/>
        <w:gridCol w:w="146"/>
        <w:gridCol w:w="146"/>
        <w:gridCol w:w="545"/>
        <w:gridCol w:w="1742"/>
        <w:gridCol w:w="146"/>
        <w:gridCol w:w="146"/>
        <w:gridCol w:w="600"/>
        <w:gridCol w:w="1202"/>
        <w:gridCol w:w="396"/>
      </w:tblGrid>
      <w:tr>
        <w:trPr/>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Options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aggregate intrinsic values represent the total pre-tax intrinsic value of options outstanding and exercisable calculated as the difference between the exercise price of the options and the fair value of the Company’s common stock as of December 31, 2025 and 2024. The total intrinsic value of options exercised during the years ended December 31, 2025, 2024 and 2023 were a nominal amount, $2.6 million and $0.2 million, respectively.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Stock Option Valuation Assumptions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uses the Black-Scholes option pricing model to determine the estimated fair value of stock options at the date of the grant, and stock-based compensation is adjusted for actual forfeitures as they occur. The fair value of each option grant during the years ended December 31, 2025, 2024 and 2023 was estimated with the following assumptions:</w:t>
      </w:r>
    </w:p>
    <w:p>
      <w:pPr>
        <w:pStyle w:val="TextBody"/>
        <w:bidi w:val="0"/>
        <w:ind w:left="0" w:right="0" w:firstLine="490"/>
        <w:jc w:val="left"/>
        <w:rPr/>
      </w:pPr>
      <w:r>
        <w:rPr/>
        <w:t> </w:t>
      </w:r>
    </w:p>
    <w:tbl>
      <w:tblPr>
        <w:tblW w:w="7027" w:type="dxa"/>
        <w:jc w:val="left"/>
        <w:tblInd w:w="0" w:type="dxa"/>
        <w:tblLayout w:type="fixed"/>
        <w:tblCellMar>
          <w:top w:w="28" w:type="dxa"/>
          <w:left w:w="28" w:type="dxa"/>
          <w:bottom w:w="28" w:type="dxa"/>
          <w:right w:w="28" w:type="dxa"/>
        </w:tblCellMar>
      </w:tblPr>
      <w:tblGrid>
        <w:gridCol w:w="2626"/>
        <w:gridCol w:w="146"/>
        <w:gridCol w:w="1306"/>
        <w:gridCol w:w="146"/>
        <w:gridCol w:w="1306"/>
        <w:gridCol w:w="146"/>
        <w:gridCol w:w="135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- 4.7%</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93.9% - 99.3%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86.5% - 95.1%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83.6% - 88.6%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ind w:left="0" w:right="0" w:firstLine="490"/>
        <w:jc w:val="left"/>
        <w:rPr>
          <w:rFonts w:ascii="Times New Roman" w:hAnsi="Times New Roman"/>
          <w:sz w:val="20"/>
        </w:rPr>
      </w:pPr>
      <w:r>
        <w:rPr>
          <w:rFonts w:ascii="Times New Roman" w:hAnsi="Times New Roman"/>
          <w:i/>
          <w:color w:val="000000"/>
          <w:sz w:val="20"/>
        </w:rPr>
        <w:t xml:space="preserve">Expected Term. </w:t>
      </w:r>
      <w:r>
        <w:rPr>
          <w:rFonts w:ascii="Times New Roman" w:hAnsi="Times New Roman"/>
          <w:color w:val="000000"/>
          <w:sz w:val="20"/>
        </w:rPr>
        <w:t>The expected term of the options represents the average period the stock options are expected to remain outstanding. As 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 For options granted from the Exchange Offer, the Company used a Monte Carlo simulation to estimate the time it takes for options to return to the money and derived the expected term of options granted from the midpoint between (i) the later of the time it takes to return to the money or the remaining vest term, and (ii) the remaining contractual term.</w:t>
      </w:r>
    </w:p>
    <w:p>
      <w:pPr>
        <w:pStyle w:val="TextBody"/>
        <w:bidi w:val="0"/>
        <w:spacing w:before="200" w:after="283"/>
        <w:ind w:left="0" w:right="0" w:firstLine="490"/>
        <w:jc w:val="left"/>
        <w:rPr>
          <w:rFonts w:ascii="Times New Roman" w:hAnsi="Times New Roman"/>
          <w:sz w:val="20"/>
        </w:rPr>
      </w:pPr>
      <w:r>
        <w:rPr>
          <w:rFonts w:ascii="Times New Roman" w:hAnsi="Times New Roman"/>
          <w:i/>
          <w:color w:val="000000"/>
          <w:sz w:val="20"/>
        </w:rPr>
        <w:t xml:space="preserve">Risk-Free Interest Rate. </w:t>
      </w:r>
      <w:r>
        <w:rPr>
          <w:rFonts w:ascii="Times New Roman" w:hAnsi="Times New Roman"/>
          <w:color w:val="000000"/>
          <w:sz w:val="20"/>
        </w:rPr>
        <w:t>The risk-free interest rate is based on the yield of U.S. Treasury notes as of the grant date with terms commensurate with the expected term of the option.</w:t>
      </w:r>
    </w:p>
    <w:p>
      <w:pPr>
        <w:pStyle w:val="TextBody"/>
        <w:bidi w:val="0"/>
        <w:spacing w:before="200" w:after="283"/>
        <w:ind w:left="0" w:right="0" w:firstLine="490"/>
        <w:jc w:val="left"/>
        <w:rPr>
          <w:rFonts w:ascii="Times New Roman" w:hAnsi="Times New Roman"/>
          <w:sz w:val="20"/>
        </w:rPr>
      </w:pPr>
      <w:r>
        <w:rPr>
          <w:rFonts w:ascii="Times New Roman" w:hAnsi="Times New Roman"/>
          <w:i/>
          <w:color w:val="000000"/>
          <w:sz w:val="20"/>
        </w:rPr>
        <w:t xml:space="preserve">Dividend Yield. </w:t>
      </w:r>
      <w:r>
        <w:rPr>
          <w:rFonts w:ascii="Times New Roman" w:hAnsi="Times New Roman"/>
          <w:color w:val="000000"/>
          <w:sz w:val="20"/>
        </w:rPr>
        <w:t>The expected dividends assumption is based on the Company’s expectation of not paying dividends in the foreseeable future.</w:t>
      </w:r>
    </w:p>
    <w:p>
      <w:pPr>
        <w:pStyle w:val="TextBody"/>
        <w:bidi w:val="0"/>
        <w:spacing w:before="200" w:after="283"/>
        <w:ind w:left="0" w:right="0" w:firstLine="490"/>
        <w:jc w:val="left"/>
        <w:rPr>
          <w:rFonts w:ascii="Times New Roman" w:hAnsi="Times New Roman"/>
          <w:sz w:val="20"/>
        </w:rPr>
      </w:pPr>
      <w:r>
        <w:rPr>
          <w:rFonts w:ascii="Times New Roman" w:hAnsi="Times New Roman"/>
          <w:i/>
          <w:color w:val="000000"/>
          <w:sz w:val="20"/>
        </w:rPr>
        <w:t xml:space="preserve">Volatility. </w:t>
      </w:r>
      <w:r>
        <w:rPr>
          <w:rFonts w:ascii="Times New Roman" w:hAnsi="Times New Roman"/>
          <w:color w:val="000000"/>
          <w:sz w:val="20"/>
        </w:rPr>
        <w:t>Since the Company does not have sufficient trading history for its common stock, the expected volatility is based on a combination of the historical volatilities of the common shares of comparable publicly traded companies as well as the historical volatilities of the Company’s common shares. The Company selected companies with comparable characteristics, including enterprise value, risk profiles, position within the industry, and with historical share price information sufficient to meet the expected life of the Company’s share-based awards. For options granted from the Exchange Offer, the Company used the historical volatilities of the Company’s common shares.</w:t>
      </w:r>
    </w:p>
    <w:p>
      <w:pPr>
        <w:pStyle w:val="TextBody"/>
        <w:bidi w:val="0"/>
        <w:spacing w:before="200" w:after="283"/>
        <w:ind w:left="0" w:right="0" w:firstLine="490"/>
        <w:jc w:val="left"/>
        <w:rPr>
          <w:rFonts w:ascii="Times New Roman" w:hAnsi="Times New Roman"/>
          <w:sz w:val="20"/>
        </w:rPr>
      </w:pPr>
      <w:r>
        <w:rPr>
          <w:rFonts w:ascii="Times New Roman" w:hAnsi="Times New Roman"/>
          <w:i/>
          <w:color w:val="000000"/>
          <w:sz w:val="20"/>
        </w:rPr>
        <w:t>Fair Value</w:t>
      </w:r>
      <w:r>
        <w:rPr>
          <w:rFonts w:ascii="Times New Roman" w:hAnsi="Times New Roman"/>
          <w:color w:val="000000"/>
          <w:sz w:val="20"/>
        </w:rPr>
        <w:t>. Historically, for all periods prior to our initial public offering, the fair value of the shares of common stock underlying our stock option was determined by the Company’s Board. Because there was no public market for the Company’s common stock, the Board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the Board deemed relevant to such determination. Since the completion of our initial public offering, the fair value of each share of common stock underlying stock option grants is based on the closing price of our common stock on the Nasdaq Global Select Market as reported on the date of grant.</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provides a summary of restricted stock unit (RSU) activity under the 2020 Plan and related information:</w:t>
      </w:r>
    </w:p>
    <w:p>
      <w:pPr>
        <w:pStyle w:val="TextBody"/>
        <w:bidi w:val="0"/>
        <w:ind w:left="0" w:right="0" w:firstLine="490"/>
        <w:jc w:val="left"/>
        <w:rPr/>
      </w:pPr>
      <w:r>
        <w:rPr/>
        <w:t> </w:t>
      </w:r>
    </w:p>
    <w:tbl>
      <w:tblPr>
        <w:tblW w:w="6190" w:type="dxa"/>
        <w:jc w:val="left"/>
        <w:tblInd w:w="0" w:type="dxa"/>
        <w:tblLayout w:type="fixed"/>
        <w:tblCellMar>
          <w:top w:w="28" w:type="dxa"/>
          <w:left w:w="28" w:type="dxa"/>
          <w:bottom w:w="28" w:type="dxa"/>
          <w:right w:w="28" w:type="dxa"/>
        </w:tblCellMar>
      </w:tblPr>
      <w:tblGrid>
        <w:gridCol w:w="2926"/>
        <w:gridCol w:w="146"/>
        <w:gridCol w:w="195"/>
        <w:gridCol w:w="1245"/>
        <w:gridCol w:w="166"/>
        <w:gridCol w:w="146"/>
        <w:gridCol w:w="263"/>
        <w:gridCol w:w="712"/>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RSUs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total fair value of RSUs vested during the years ended December 31, 2025, 2024 and 2023 was $0.3 million, $2.3 million and $2.8 million, respectively. </w:t>
      </w:r>
    </w:p>
    <w:p>
      <w:pPr>
        <w:pStyle w:val="TextBody"/>
        <w:bidi w:val="0"/>
        <w:spacing w:before="200" w:after="283"/>
        <w:ind w:left="490" w:right="0" w:hanging="0"/>
        <w:jc w:val="left"/>
        <w:rPr>
          <w:rFonts w:ascii="Times New Roman" w:hAnsi="Times New Roman"/>
          <w:i/>
          <w:color w:val="000000"/>
          <w:sz w:val="20"/>
        </w:rPr>
      </w:pPr>
      <w:r>
        <w:rPr>
          <w:rFonts w:ascii="Times New Roman" w:hAnsi="Times New Roman"/>
          <w:i/>
          <w:color w:val="000000"/>
          <w:sz w:val="20"/>
        </w:rPr>
        <w:t>Performance-Based Restricted Stock Units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determined that the performance conditions for one tranche of PSUs was achieved by the March 31, 2025 deadline. As a result, compensation expense of $0.8 million has been recognized related to this tranche of PSUs for the year ended December 31, 2025. The performance conditions for the other tranche of PSUs was not achieved as of March 31, 2025, and therefore, these awards were forfeited.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there were 57,750 PSUs outstanding and unvested.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Stock options granted are measured based on the grant-date fair value estimated using the Black-Scholes option pricing model. The grant-date fair value of RSUs is the fair value of the underlying stock on the award’s grant date. Compensation expense is recognized over the vesting period of the applicable awards on a straight-line basis. The weighted-average grant date fair value per share for stock options granted during the years ended December 31, 2025, 2024 and 2023 was $1.07, $4.10 and $4.44, respectively. The weighted-average grant date fair value per share for RSUs granted during the years ended December 31, 2024 and 2023 was $15.59 and $5.86, respectively. There were no RSUs granted during the year ended December 31,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Stock-based compensation expense includes stock options and RSUs and has been reported in the Company’s consolidated statements of operations as follows (in thousands):</w:t>
      </w:r>
    </w:p>
    <w:p>
      <w:pPr>
        <w:pStyle w:val="TextBody"/>
        <w:bidi w:val="0"/>
        <w:ind w:left="0" w:right="0" w:firstLine="490"/>
        <w:jc w:val="left"/>
        <w:rPr/>
      </w:pPr>
      <w:r>
        <w:rPr/>
        <w:t> </w:t>
      </w:r>
    </w:p>
    <w:tbl>
      <w:tblPr>
        <w:tblW w:w="6093"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there was unrecognized share-based compensation expense of $12.6 million, related to unvested stock options which the Company expects to recognize over a weighted-average period of 1.7 years. There was unrecognized share-based compensation expense of $2.1 million, related to unvested RSUs which the Company expects to recognize over a weighted-average period of 1.3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RELATED-PARTY TRANSACTIONS</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July 1, 2020, the Company entered into a research and development services agreement, or the Tallac Services Agreement, with Tallac Therapeutics, Inc., or Tallac, a related-party of the Company. The Company’s former Chief Scientific Officer was on the Board of Directors of Tallac. In addition, one of the Company’s investors was also an investor of Tallac. As such, Tallac was deemed to be a related-party.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consolidated statements of operations. For the years ended December 31, 2025, 2024 and 2023, the Company recorded zero, a nominal amount and $0.3 million, respectively, as R&amp;D costs in relation to the Tallac Services Agreement. The Tallac Services Agreement was terminated on July 1, 2024.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4, 2021, the Company entered into a Collaboration Agreement with Tallac, or the Tallac Collaboration Agreement, to jointly develop, manufacture, and commercialize a novel class of cancer immunotherapy.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accounts for R&amp;D costs in accordance with ASC 730, </w:t>
      </w:r>
      <w:r>
        <w:rPr>
          <w:rFonts w:ascii="Times New Roman" w:hAnsi="Times New Roman"/>
          <w:i/>
          <w:color w:val="000000"/>
          <w:sz w:val="20"/>
        </w:rPr>
        <w:t>Research and Development</w:t>
      </w:r>
      <w:r>
        <w:rPr>
          <w:rFonts w:ascii="Times New Roman" w:hAnsi="Times New Roman"/>
          <w:color w:val="000000"/>
          <w:sz w:val="20"/>
        </w:rPr>
        <w:t xml:space="preserve">,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years ended December 31, 2025, 2024 and 2023, the Company recorded $0.1 million, $0.8 million and $1.7 million, respectively, as R&amp;D costs in relation to the Tallac Collaboration Agreement.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Tallac Collaboration Agreement includes the right to set off clause, as such, the Company records the amount due to or reimbursable from Tallac on a net basis. As of December 31, 2025 and 2024, the Company had accrued expenses of zero and $0.1 million, respectively, related to the Tallac Collaboration Agreement which was presented within the payable and accrued liabilities due to related party on the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U.S. domestic and international components of pre-tax loss for the years ending December 31, 2025, 2024 and 2023 are as follows (in thousands):</w:t>
      </w:r>
    </w:p>
    <w:p>
      <w:pPr>
        <w:pStyle w:val="TextBody"/>
        <w:bidi w:val="0"/>
        <w:ind w:left="0" w:right="0" w:firstLine="490"/>
        <w:jc w:val="left"/>
        <w:rPr/>
      </w:pPr>
      <w:r>
        <w:rPr/>
        <w:t> </w:t>
      </w:r>
    </w:p>
    <w:tbl>
      <w:tblPr>
        <w:tblW w:w="6298"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841"/>
        <w:gridCol w:w="166"/>
        <w:gridCol w:w="146"/>
        <w:gridCol w:w="211"/>
        <w:gridCol w:w="84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federal and state provision (benefit) for income taxes consist of the following (in thousands):</w:t>
      </w:r>
    </w:p>
    <w:p>
      <w:pPr>
        <w:pStyle w:val="TextBody"/>
        <w:bidi w:val="0"/>
        <w:ind w:left="0" w:right="0" w:firstLine="490"/>
        <w:jc w:val="left"/>
        <w:rPr/>
      </w:pPr>
      <w:r>
        <w:rPr/>
        <w:t> </w:t>
      </w:r>
    </w:p>
    <w:tbl>
      <w:tblPr>
        <w:tblW w:w="6659" w:type="dxa"/>
        <w:jc w:val="left"/>
        <w:tblInd w:w="0" w:type="dxa"/>
        <w:tblLayout w:type="fixed"/>
        <w:tblCellMar>
          <w:top w:w="28" w:type="dxa"/>
          <w:left w:w="28" w:type="dxa"/>
          <w:bottom w:w="28" w:type="dxa"/>
          <w:right w:w="28" w:type="dxa"/>
        </w:tblCellMar>
      </w:tblPr>
      <w:tblGrid>
        <w:gridCol w:w="3616"/>
        <w:gridCol w:w="146"/>
        <w:gridCol w:w="216"/>
        <w:gridCol w:w="354"/>
        <w:gridCol w:w="149"/>
        <w:gridCol w:w="149"/>
        <w:gridCol w:w="216"/>
        <w:gridCol w:w="354"/>
        <w:gridCol w:w="149"/>
        <w:gridCol w:w="149"/>
        <w:gridCol w:w="216"/>
        <w:gridCol w:w="354"/>
        <w:gridCol w:w="5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not recorded any income tax expense for the years ended December 31, 2025, 2024 and 2023.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U.S. federal statutory income tax rate to the effective tax for the years ended December 31, 2025, 2024 and 2023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6"/>
        <w:gridCol w:w="146"/>
        <w:gridCol w:w="211"/>
        <w:gridCol w:w="736"/>
        <w:gridCol w:w="166"/>
        <w:gridCol w:w="146"/>
        <w:gridCol w:w="146"/>
        <w:gridCol w:w="526"/>
        <w:gridCol w:w="271"/>
        <w:gridCol w:w="146"/>
        <w:gridCol w:w="211"/>
        <w:gridCol w:w="736"/>
        <w:gridCol w:w="166"/>
        <w:gridCol w:w="146"/>
        <w:gridCol w:w="146"/>
        <w:gridCol w:w="526"/>
        <w:gridCol w:w="271"/>
        <w:gridCol w:w="146"/>
        <w:gridCol w:w="211"/>
        <w:gridCol w:w="736"/>
        <w:gridCol w:w="166"/>
        <w:gridCol w:w="146"/>
        <w:gridCol w:w="146"/>
        <w:gridCol w:w="526"/>
        <w:gridCol w:w="516"/>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tax laws or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&amp;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Rate benefit of reorganization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filed a change in tax status for ALX Oncology Limited in 2023. The reorganization resulted in an increase to capitalized R&amp;D and other deferred tax assets, as well as a corresponding increase in valuation allowance.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State income taxes in California comprise the majority of the state income taxes, net of federal effect category for the years ended December 31, 2025, 2024 and 2023,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Significant components of the Company’s deferred tax assets as of December 31, 2025 and 2024 are as follows (in thousands):</w:t>
      </w:r>
    </w:p>
    <w:p>
      <w:pPr>
        <w:pStyle w:val="TextBody"/>
        <w:bidi w:val="0"/>
        <w:jc w:val="left"/>
        <w:rPr/>
      </w:pPr>
      <w:r>
        <w:rPr/>
        <w:t> </w:t>
      </w:r>
    </w:p>
    <w:tbl>
      <w:tblPr>
        <w:tblW w:w="5339" w:type="dxa"/>
        <w:jc w:val="left"/>
        <w:tblInd w:w="0" w:type="dxa"/>
        <w:tblLayout w:type="fixed"/>
        <w:tblCellMar>
          <w:top w:w="28" w:type="dxa"/>
          <w:left w:w="28" w:type="dxa"/>
          <w:bottom w:w="28" w:type="dxa"/>
          <w:right w:w="28" w:type="dxa"/>
        </w:tblCellMar>
      </w:tblPr>
      <w:tblGrid>
        <w:gridCol w:w="2386"/>
        <w:gridCol w:w="146"/>
        <w:gridCol w:w="211"/>
        <w:gridCol w:w="841"/>
        <w:gridCol w:w="166"/>
        <w:gridCol w:w="146"/>
        <w:gridCol w:w="211"/>
        <w:gridCol w:w="841"/>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&amp; other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ASC 740 requires that the tax benefit of net operating losses, temporary differences and credit carryforwards be recorded as an asset to the extent that the Company’s management assesses that realization is “more likely than not.” Realization of the future tax benefits is dependent on the Company’s ability to generate sufficient taxable income within the carryforward period. Because of the Company’s recent history of operating losses, the Company’s management believes that recognition of the deferred tax assets arising from the above-mentioned future tax benefits is currently not likely to be realized and, accordingly, has provided a valuation allowance. The valuation allowance increased by approximately $20.3 million and $33.1 million for the years ended December 31, 2025 and 2024,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for the years ended December 31, 2025, 2024 and 2023 (in thousands):</w:t>
      </w:r>
    </w:p>
    <w:p>
      <w:pPr>
        <w:pStyle w:val="TextBody"/>
        <w:bidi w:val="0"/>
        <w:ind w:left="0" w:right="0" w:firstLine="490"/>
        <w:jc w:val="left"/>
        <w:rPr/>
      </w:pPr>
      <w:r>
        <w:rPr/>
        <w:t> </w:t>
      </w:r>
    </w:p>
    <w:tbl>
      <w:tblPr>
        <w:tblW w:w="6053" w:type="dxa"/>
        <w:jc w:val="left"/>
        <w:tblInd w:w="0" w:type="dxa"/>
        <w:tblLayout w:type="fixed"/>
        <w:tblCellMar>
          <w:top w:w="28" w:type="dxa"/>
          <w:left w:w="28" w:type="dxa"/>
          <w:bottom w:w="28" w:type="dxa"/>
          <w:right w:w="28" w:type="dxa"/>
        </w:tblCellMar>
      </w:tblPr>
      <w:tblGrid>
        <w:gridCol w:w="3406"/>
        <w:gridCol w:w="146"/>
        <w:gridCol w:w="214"/>
        <w:gridCol w:w="793"/>
        <w:gridCol w:w="148"/>
        <w:gridCol w:w="148"/>
        <w:gridCol w:w="214"/>
        <w:gridCol w:w="793"/>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129,411</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149,682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Net operating losses and tax credit carryforwards as of December 31, 2025 are as follows (in thousands):</w:t>
      </w:r>
    </w:p>
    <w:p>
      <w:pPr>
        <w:pStyle w:val="TextBody"/>
        <w:bidi w:val="0"/>
        <w:ind w:left="0" w:right="0" w:firstLine="490"/>
        <w:jc w:val="left"/>
        <w:rPr/>
      </w:pPr>
      <w:r>
        <w:rPr/>
        <w:t> </w:t>
      </w:r>
    </w:p>
    <w:tbl>
      <w:tblPr>
        <w:tblW w:w="7582" w:type="dxa"/>
        <w:jc w:val="left"/>
        <w:tblInd w:w="0" w:type="dxa"/>
        <w:tblLayout w:type="fixed"/>
        <w:tblCellMar>
          <w:top w:w="28" w:type="dxa"/>
          <w:left w:w="28" w:type="dxa"/>
          <w:bottom w:w="28" w:type="dxa"/>
          <w:right w:w="28" w:type="dxa"/>
        </w:tblCellMar>
      </w:tblPr>
      <w:tblGrid>
        <w:gridCol w:w="4531"/>
        <w:gridCol w:w="146"/>
        <w:gridCol w:w="211"/>
        <w:gridCol w:w="781"/>
        <w:gridCol w:w="146"/>
        <w:gridCol w:w="146"/>
        <w:gridCol w:w="162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Years</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 December 31,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 Not Expire</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2038-2040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2039-2045</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Unrecognized Tax Benefits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The Company files income tax returns in the U.S. federal and California jurisdiction, which is not currently under exam, and all years since inception are opened to examination.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unrecognized tax benefits as of December 31, 2025, 2024 and 2023 were $4.7 million, $4.1 million and $3.1 million, respectively. Future changes in the unrecognized tax benefits will not impact the effective tax rate due to the Company’s full valuation allowance.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the following activity relating to unrecognized tax benefits (in thousands):</w:t>
      </w:r>
    </w:p>
    <w:p>
      <w:pPr>
        <w:pStyle w:val="TextBody"/>
        <w:bidi w:val="0"/>
        <w:jc w:val="left"/>
        <w:rPr/>
      </w:pPr>
      <w:r>
        <w:rPr/>
        <w:t> </w:t>
      </w:r>
    </w:p>
    <w:tbl>
      <w:tblPr>
        <w:tblW w:w="7973" w:type="dxa"/>
        <w:jc w:val="left"/>
        <w:tblInd w:w="0" w:type="dxa"/>
        <w:tblLayout w:type="fixed"/>
        <w:tblCellMar>
          <w:top w:w="28" w:type="dxa"/>
          <w:left w:w="28" w:type="dxa"/>
          <w:bottom w:w="28" w:type="dxa"/>
          <w:right w:w="28" w:type="dxa"/>
        </w:tblCellMar>
      </w:tblPr>
      <w:tblGrid>
        <w:gridCol w:w="4666"/>
        <w:gridCol w:w="146"/>
        <w:gridCol w:w="211"/>
        <w:gridCol w:w="571"/>
        <w:gridCol w:w="146"/>
        <w:gridCol w:w="146"/>
        <w:gridCol w:w="211"/>
        <w:gridCol w:w="571"/>
        <w:gridCol w:w="166"/>
        <w:gridCol w:w="146"/>
        <w:gridCol w:w="211"/>
        <w:gridCol w:w="57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Additions/reversals based on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Lapses in statutes of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years ended December 31, 2025, 2024 and 2023, no significant interest or penalties were required to be recognized relating to unrecognized tax benefits.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NET LOSS PER SHARE ATTRIBUTABLE TO COMMON STOCKHOLDERS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attributable to common stockholders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3"/>
        <w:gridCol w:w="146"/>
        <w:gridCol w:w="211"/>
        <w:gridCol w:w="1036"/>
        <w:gridCol w:w="166"/>
        <w:gridCol w:w="146"/>
        <w:gridCol w:w="211"/>
        <w:gridCol w:w="1036"/>
        <w:gridCol w:w="166"/>
        <w:gridCol w:w="146"/>
        <w:gridCol w:w="211"/>
        <w:gridCol w:w="1036"/>
        <w:gridCol w:w="391"/>
      </w:tblGrid>
      <w:tr>
        <w:trPr/>
        <w:tc>
          <w:tcPr>
            <w:tcW w:w="5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53,658,399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52,174,904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42,987,767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Since the Company was in a loss position for all periods presented, basic net loss per share is the same as diluted net loss per share for all periods presented as the inclusion of all potential common stock outstanding would have been anti-dilutive.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years ended December 31, 2025, 2024 and 2023, because including them would have been anti-dilutive:</w:t>
      </w:r>
    </w:p>
    <w:p>
      <w:pPr>
        <w:pStyle w:val="TextBody"/>
        <w:bidi w:val="0"/>
        <w:jc w:val="left"/>
        <w:rPr/>
      </w:pPr>
      <w:r>
        <w:rPr/>
        <w:t> </w:t>
      </w:r>
    </w:p>
    <w:tbl>
      <w:tblPr>
        <w:tblW w:w="7728" w:type="dxa"/>
        <w:jc w:val="left"/>
        <w:tblInd w:w="0" w:type="dxa"/>
        <w:tblLayout w:type="fixed"/>
        <w:tblCellMar>
          <w:top w:w="28" w:type="dxa"/>
          <w:left w:w="28" w:type="dxa"/>
          <w:bottom w:w="28" w:type="dxa"/>
          <w:right w:w="28" w:type="dxa"/>
        </w:tblCellMar>
      </w:tblPr>
      <w:tblGrid>
        <w:gridCol w:w="3166"/>
        <w:gridCol w:w="146"/>
        <w:gridCol w:w="146"/>
        <w:gridCol w:w="1036"/>
        <w:gridCol w:w="146"/>
        <w:gridCol w:w="146"/>
        <w:gridCol w:w="146"/>
        <w:gridCol w:w="1036"/>
        <w:gridCol w:w="146"/>
        <w:gridCol w:w="146"/>
        <w:gridCol w:w="146"/>
        <w:gridCol w:w="93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8,984,671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13,176,370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11,785,006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9,934,340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2025.</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2025, 2024 and 2023, the Company had no pending or threatened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year ended December 31, 2021. There were no milestone payments recorded for the years ended December 31, 2025, 2024 and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evorpacept, and to make, use and sell licensed product containing such compound in all fields of use.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recorded a milestone payment of $0.1 million during the year ended December 31, 2021. There were no milestone payments recorded for the years ended December 31, 2025, 2024 and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March 2017, the Company entered into an agreement with Crystal Bioscience Inc. (now a subsidiary of OmniAb, Inc.),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The Company recorded the first milestone payment of $0.3 million during the year ended December 31, 2022. There were no milestone payments recorded for the years ended December 31, 2025, 2024 and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October 2021, the Company entered into a stock purchase agreement with ScalmiBio, Inc. or ScalmiBio, with plans to develop new anti-cancer drug candidates based on ScalmiBio’s platform. Under the terms of the stock purchase agreement, 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 The Company recorded the first milestone payment of $1.0 million during the year ended December 31, 2024 and the second milestone payment of $2.5 million during the year ended December 31, 2025.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January 2024, the Company entered into a license agreement with WuXi Biologics Ireland, Ltd., or WuXi, under which the Company obtained a worldwide, non-exclusive, non-transferrable, sublicensable license under certain patents, know-how, and other intellectual property, to use WuXi developed cell lines to manufacture, develop, use and sell licensed product containing such compound in all fields of use. The Company agreed to pay WuXi milestone payments up to an aggregate of $3.2 million in respect of all licensed products developed and/or commercialized under the assigned patents that successfully satisfies certain milestone events. The Company recorded the first milestone payment of $0.2 million during the year ended December 31, 2024. There was no milestone payments recorded for the year ended December 31, 2025.</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other contractual obligations and other commitments from manufacturing and service contracts, which are presented as follows as of December 31, 2025 (in thousands):</w:t>
      </w:r>
    </w:p>
    <w:p>
      <w:pPr>
        <w:pStyle w:val="TextBody"/>
        <w:bidi w:val="0"/>
        <w:ind w:left="0" w:right="0" w:firstLine="490"/>
        <w:jc w:val="left"/>
        <w:rPr/>
      </w:pPr>
      <w:r>
        <w:rPr/>
        <w:t> </w:t>
      </w:r>
    </w:p>
    <w:tbl>
      <w:tblPr>
        <w:tblW w:w="9226"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11"/>
        <w:gridCol w:w="421"/>
        <w:gridCol w:w="146"/>
        <w:gridCol w:w="146"/>
        <w:gridCol w:w="335"/>
        <w:gridCol w:w="670"/>
        <w:gridCol w:w="146"/>
        <w:gridCol w:w="146"/>
        <w:gridCol w:w="379"/>
        <w:gridCol w:w="626"/>
        <w:gridCol w:w="146"/>
        <w:gridCol w:w="146"/>
        <w:gridCol w:w="386"/>
        <w:gridCol w:w="635"/>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2029-2030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460" w:hanging="0"/>
        <w:jc w:val="both"/>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$0.3 million. In addition, the Company has commitments with two other pharmaceutical contract manufacturers, including certain future purchase obligations of approximately $0.8 million. These amounts are based on non-cancellable commitments and forecasts that include estimates of future market demand, quantity discounts and manufacturing efficiencies that may impact timing of purchase.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February 2026 Offering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2, 2026, the Company completed a registered offering and issued an aggregate of 76,979,112 shares of common stock at an offering price of $1.57 per share and pre-funded warrants to purchase 18,574,120 shares of common stock at an offering price of $1.569 per pre-funded warrant. The Company received net proceeds of approximately $140.4 million, after deducting underwriting discounts and commissions of $9.0 million and other offering-related expenses of $0.6 million.</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Appointment of Chief Medical Officer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25, 2026, the Board of Directors appointed Barbara Klencke, M.D. to the office of Chief Medical Officer on a permanent basis. She has served as interim Chief Medical Officer since September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December 31, 2025.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and principal financial officers to provide reasonable assurance regarding the reliability of financial reporting and the preparation of our financial statements for external reporting purposes in accordance with U.S. generally accepted accounting principles.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the end of our 2025 fiscal year, management conducted an assessment of the effectiveness of our internal control over financial reporting based on the framework established in the original Internal Control – Integrated Framework issued by the Committee of Sponsoring Organizations of the Treadway Commission (2013 framework) (COSO). Based on this assessment, management has determined that our internal control over financial reporting as of December 31, 2025 was effective.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December 31, 2025 that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25" w:name="item_9b_or_information"/>
      <w:bookmarkEnd w:id="25"/>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our last fiscal quarter, none of our officers or directors, as defined in Rule 16a-1(f), adopted and/or terminated a “Rule 10b5-1 trading arrangement” as defined in Regulation S-K Item 408. </w:t>
      </w:r>
    </w:p>
    <w:p>
      <w:pPr>
        <w:pStyle w:val="TextBody"/>
        <w:bidi w:val="0"/>
        <w:spacing w:before="360" w:after="283"/>
        <w:jc w:val="left"/>
        <w:rPr>
          <w:rFonts w:ascii="Times New Roman" w:hAnsi="Times New Roman"/>
          <w:sz w:val="20"/>
        </w:rPr>
      </w:pPr>
      <w:bookmarkStart w:id="26" w:name="item_9c_disclosure_regarding_foreign_jur"/>
      <w:bookmarkEnd w:id="2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Certain information required by Part III is omitted from this Annual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2025.</w:t>
      </w:r>
    </w:p>
    <w:p>
      <w:pPr>
        <w:pStyle w:val="TextBody"/>
        <w:bidi w:val="0"/>
        <w:spacing w:before="360" w:after="283"/>
        <w:jc w:val="left"/>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this Item concerning our directors, executive officers, corporate governance, Section 16 reporting compliance and code of business conduct and ethics is incorporated by reference to the Proxy Statement. </w:t>
      </w:r>
    </w:p>
    <w:p>
      <w:pPr>
        <w:pStyle w:val="TextBody"/>
        <w:bidi w:val="0"/>
        <w:spacing w:before="36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regarding executive compensation is incorporated by reference to the Proxy Statement.</w:t>
      </w:r>
    </w:p>
    <w:p>
      <w:pPr>
        <w:pStyle w:val="TextBody"/>
        <w:bidi w:val="0"/>
        <w:spacing w:before="360" w:after="283"/>
        <w:jc w:val="left"/>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regarding security ownership of certain beneficial owners and management and related stockholder matters is incorporated by reference to the Proxy Statement.</w:t>
      </w:r>
    </w:p>
    <w:p>
      <w:pPr>
        <w:pStyle w:val="TextBody"/>
        <w:bidi w:val="0"/>
        <w:spacing w:before="360" w:after="283"/>
        <w:jc w:val="left"/>
        <w:rPr>
          <w:rFonts w:ascii="Times New Roman" w:hAnsi="Times New Roman"/>
          <w:b/>
          <w:color w:val="000000"/>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regarding certain relationships and related party transactions and director independence is incorporated by reference to the Proxy Statement.</w:t>
      </w:r>
    </w:p>
    <w:p>
      <w:pPr>
        <w:pStyle w:val="TextBody"/>
        <w:bidi w:val="0"/>
        <w:spacing w:before="360" w:after="283"/>
        <w:jc w:val="left"/>
        <w:rPr>
          <w:rFonts w:ascii="Times New Roman" w:hAnsi="Times New Roman"/>
          <w:b/>
          <w:color w:val="000000"/>
          <w:sz w:val="20"/>
        </w:rPr>
      </w:pPr>
      <w:bookmarkStart w:id="32" w:name="item_14_principal_accounting_fees_servic"/>
      <w:bookmarkEnd w:id="32"/>
      <w:r>
        <w:rPr>
          <w:rFonts w:ascii="Times New Roman" w:hAnsi="Times New Roman"/>
          <w:b/>
          <w:color w:val="000000"/>
          <w:sz w:val="20"/>
        </w:rPr>
        <w:t>Item 14. Principal Accounting Fees and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independent registered public accounting firm is KPMG LLP, Auditor Firm ID: 185.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this Item regarding principal accountant fees and services is incorporated by reference to the Proxy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34" w:name="item_15_exhibits_financial_statement_sch"/>
      <w:bookmarkEnd w:id="34"/>
      <w:r>
        <w:rPr>
          <w:rFonts w:ascii="Times New Roman" w:hAnsi="Times New Roman"/>
          <w:b/>
          <w:color w:val="000000"/>
          <w:sz w:val="20"/>
        </w:rPr>
        <w:t>Item 15. Exhibits, Financial Statement Schedules.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60" w:after="283"/>
        <w:ind w:left="97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financial statements filed as part of this Annual Report on Form 10-K are listed in the “Index to Financial Statements” under Part II, Item 8 of this Annual Report on Form 10-K.</w:t>
      </w:r>
    </w:p>
    <w:p>
      <w:pPr>
        <w:pStyle w:val="TextBody"/>
        <w:bidi w:val="0"/>
        <w:spacing w:before="160" w:after="283"/>
        <w:ind w:left="97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Financial statement schedules have been omitted as the information required is not applicable or the information is presented in the financial statements or related notes included in Part II, Item 8 of this Annual Report on Form 10-K.</w:t>
      </w:r>
    </w:p>
    <w:p>
      <w:pPr>
        <w:pStyle w:val="TextBody"/>
        <w:bidi w:val="0"/>
        <w:spacing w:before="160" w:after="283"/>
        <w:ind w:left="97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Exhibits</w:t>
      </w:r>
    </w:p>
    <w:p>
      <w:pPr>
        <w:pStyle w:val="TextBody"/>
        <w:pBdr/>
        <w:bidi w:val="0"/>
        <w:spacing w:before="120" w:after="283"/>
        <w:ind w:left="980" w:right="0" w:hanging="14"/>
        <w:jc w:val="left"/>
        <w:rPr>
          <w:rFonts w:ascii="Times New Roman" w:hAnsi="Times New Roman"/>
          <w:color w:val="000000"/>
          <w:sz w:val="20"/>
        </w:rPr>
      </w:pPr>
      <w:r>
        <w:rPr>
          <w:rFonts w:ascii="Times New Roman" w:hAnsi="Times New Roman"/>
          <w:color w:val="000000"/>
          <w:sz w:val="20"/>
        </w:rPr>
        <w:t>The exhibits listed below are filed as part of this Annual Report on Form 10-K, or are incorporated herein by reference, in each case as indicated below.</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4196"/>
        <w:gridCol w:w="146"/>
        <w:gridCol w:w="616"/>
        <w:gridCol w:w="146"/>
        <w:gridCol w:w="784"/>
        <w:gridCol w:w="146"/>
        <w:gridCol w:w="796"/>
        <w:gridCol w:w="146"/>
        <w:gridCol w:w="1014"/>
        <w:gridCol w:w="146"/>
        <w:gridCol w:w="1082"/>
      </w:tblGrid>
      <w:tr>
        <w:trPr/>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2" w:type="dxa"/>
            <w:tcBorders/>
            <w:shd w:fill="FFFFFF" w:val="clear"/>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4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EE"/>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21,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Amended and 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EE"/>
                  <w:sz w:val="20"/>
                  <w:u w:val="single"/>
                </w:rPr>
                <w:t>Amended and Restated Investors’ Rights Agreement among the Registrant and certain of its stockholders, dated April 1, 2020.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EE"/>
                  <w:sz w:val="20"/>
                  <w:u w:val="single"/>
                </w:rPr>
                <w:t>Specimen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Loan and Security Agreement, dated as of October 27, 2022, among Oxford Finance LLC, as collateral agent, the lenders from time to time party thereto, ALX Oncology Inc., Alexo Therapeutics International, and Sirpant Therapeutics, each as a borrower, and ALX Oncology Holdings Inc., as guarantor.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Consent and First Amendment to Loan and Security Agreement, dated as of December 22,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Second Amendment to Loan and Security Agreement, dated as of May 31,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10,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Third Amendment to Loan and Security Agreement, dated as of December 22, 2023, among Oxford Finance LLC, as collateral agent, the lenders party thereto, ALX Oncology Inc., as borrower, and ALX Oncology Holdings Inc., as guarantor.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26,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4098"/>
        <w:gridCol w:w="146"/>
        <w:gridCol w:w="616"/>
        <w:gridCol w:w="146"/>
        <w:gridCol w:w="802"/>
        <w:gridCol w:w="146"/>
        <w:gridCol w:w="796"/>
        <w:gridCol w:w="146"/>
        <w:gridCol w:w="1093"/>
        <w:gridCol w:w="146"/>
        <w:gridCol w:w="1083"/>
      </w:tblGrid>
      <w:tr>
        <w:trPr/>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45"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Sales Agreement, dated December 17, 2021, by and among ALX Oncology Holdings Inc., Cantor Fitzgerald &amp; Co., and Credit Suisse Securities (USA)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Amendment No. 1 to the Sales Agreement with Cantor and Credit Suisse, dated August 25,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EE"/>
                  <w:sz w:val="20"/>
                  <w:u w:val="single"/>
                </w:rPr>
                <w:t>Form of Indemnification Agreement between the Registrant and each of its directors and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EE"/>
                  <w:sz w:val="20"/>
                  <w:u w:val="single"/>
                </w:rPr>
                <w:t>Amended and Restated 2020 Equity Incentive Plan and forms of agreements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2025 Inducement Equity Incentive Plan and forms of agreement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EE"/>
                  <w:sz w:val="20"/>
                  <w:u w:val="single"/>
                </w:rPr>
                <w:t>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Confirmatory Employment Letter between the Registrant and Jason Lettmann.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6,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Confirmatory Offer Letter between the Registrant and Harish Shantharam.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Confirmatory Offer Letter between the Registrant and Shelly Pinto.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alxo-ex10_10.htm">
              <w:r>
                <w:rPr>
                  <w:rStyle w:val="InternetLink"/>
                  <w:rFonts w:ascii="Times New Roman" w:hAnsi="Times New Roman"/>
                  <w:color w:val="0000FF"/>
                  <w:sz w:val="20"/>
                  <w:u w:val="single"/>
                </w:rPr>
                <w:t>Offer Letter between the Registrant and Barbara Klencke.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EE"/>
                  <w:sz w:val="20"/>
                  <w:u w:val="single"/>
                </w:rPr>
                <w:t>Executive Incentive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alxo-ex10_12.htm">
              <w:r>
                <w:rPr>
                  <w:rStyle w:val="InternetLink"/>
                  <w:rFonts w:ascii="Times New Roman" w:hAnsi="Times New Roman"/>
                  <w:color w:val="0000FF"/>
                  <w:sz w:val="20"/>
                  <w:u w:val="single"/>
                </w:rPr>
                <w:t>Form of Change in Control and Severance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EE"/>
                  <w:sz w:val="20"/>
                  <w:u w:val="single"/>
                </w:rPr>
                <w:t>Exclusive (Equity) Agreement between the Registrant and The Board of Trustees of the Leland Stanford Junior University, effective as of March 24, 2015, as amended on April 24, 2015 and May 15, 2015.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Outside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List of subsidiaries of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alxo-ex23_1.htm">
              <w:r>
                <w:rPr>
                  <w:rStyle w:val="InternetLink"/>
                  <w:rFonts w:ascii="Times New Roman" w:hAnsi="Times New Roman"/>
                  <w:color w:val="0000EE"/>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EE"/>
                  <w:sz w:val="20"/>
                  <w:u w:val="single"/>
                </w:rPr>
                <w:t>Power of Attorney.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4"/>
        <w:gridCol w:w="146"/>
        <w:gridCol w:w="4469"/>
        <w:gridCol w:w="146"/>
        <w:gridCol w:w="616"/>
        <w:gridCol w:w="146"/>
        <w:gridCol w:w="708"/>
        <w:gridCol w:w="146"/>
        <w:gridCol w:w="796"/>
        <w:gridCol w:w="146"/>
        <w:gridCol w:w="814"/>
        <w:gridCol w:w="146"/>
        <w:gridCol w:w="1082"/>
      </w:tblGrid>
      <w:tr>
        <w:trPr/>
        <w:tc>
          <w:tcPr>
            <w:tcW w:w="8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2" w:type="dxa"/>
            <w:tcBorders/>
            <w:shd w:fill="FFFFFF" w:val="clear"/>
            <w:vAlign w:val="center"/>
          </w:tcPr>
          <w:p>
            <w:pPr>
              <w:pStyle w:val="TableContents"/>
              <w:bidi w:val="0"/>
              <w:spacing w:before="0" w:after="283"/>
              <w:jc w:val="left"/>
              <w:rPr>
                <w:sz w:val="4"/>
                <w:szCs w:val="4"/>
              </w:rPr>
            </w:pPr>
            <w:r>
              <w:rPr>
                <w:sz w:val="4"/>
                <w:szCs w:val="4"/>
              </w:rPr>
            </w:r>
          </w:p>
        </w:tc>
      </w:tr>
      <w:tr>
        <w:trPr/>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7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4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Compensation Recovery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pBdr>
          <w:bottom w:val="single" w:sz="4" w:space="1" w:color="000000"/>
        </w:pBdr>
        <w:bidi w:val="0"/>
        <w:ind w:left="0" w:right="9360" w:hanging="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Certain confidential information contained in this document, marked by [***], has been omitted pursuant to Item 601(b)(10)(iv) of Regulation S-K because it is both (i) not material and (ii) the type of information that the registrant treats as private or confidential. </w:t>
      </w:r>
    </w:p>
    <w:p>
      <w:pPr>
        <w:pStyle w:val="TextBody"/>
        <w:bidi w:val="0"/>
        <w:jc w:val="left"/>
        <w:rPr>
          <w:rFonts w:ascii="Times New Roman" w:hAnsi="Times New Roman"/>
          <w:color w:val="000000"/>
          <w:sz w:val="20"/>
        </w:rPr>
      </w:pPr>
      <w:r>
        <w:rPr>
          <w:rFonts w:ascii="Times New Roman" w:hAnsi="Times New Roman"/>
          <w:color w:val="000000"/>
          <w:sz w:val="20"/>
        </w:rPr>
        <w:t>^ Certain exhibits and schedules have been omitted in accordance with Item 601(a)(5) of Regulation S-K. The registrant agrees to furnish supplementally a copy of any omitted exhibit or schedule to the SEC upon its request.</w:t>
      </w:r>
    </w:p>
    <w:p>
      <w:pPr>
        <w:pStyle w:val="TextBody"/>
        <w:pBdr/>
        <w:bidi w:val="0"/>
        <w:spacing w:before="120" w:after="283"/>
        <w:ind w:left="0" w:right="0" w:hanging="49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360" w:after="283"/>
        <w:jc w:val="left"/>
        <w:rPr>
          <w:rFonts w:ascii="Times New Roman" w:hAnsi="Times New Roman"/>
          <w:sz w:val="20"/>
        </w:rPr>
      </w:pPr>
      <w:bookmarkStart w:id="35" w:name="item_16_form_10k_summary"/>
      <w:bookmarkEnd w:id="35"/>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786"/>
        <w:gridCol w:w="109"/>
        <w:gridCol w:w="406"/>
        <w:gridCol w:w="307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37" w:name="power_attorney"/>
      <w:bookmarkEnd w:id="37"/>
      <w:r>
        <w:rPr>
          <w:rFonts w:ascii="Times New Roman" w:hAnsi="Times New Roman"/>
          <w:b/>
          <w:color w:val="000000"/>
          <w:sz w:val="20"/>
        </w:rPr>
        <w:t>POWER OF ATTORNEY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Jason Lettmann and Harish Shantharam,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in the capacities and on the dates indicated.</w:t>
      </w:r>
    </w:p>
    <w:p>
      <w:pPr>
        <w:pStyle w:val="TextBody"/>
        <w:bidi w:val="0"/>
        <w:jc w:val="left"/>
        <w:rPr/>
      </w:pPr>
      <w:r>
        <w:rPr/>
        <w:t> </w:t>
      </w:r>
    </w:p>
    <w:tbl>
      <w:tblPr>
        <w:tblW w:w="10000" w:type="dxa"/>
        <w:jc w:val="left"/>
        <w:tblInd w:w="0" w:type="dxa"/>
        <w:tblLayout w:type="fixed"/>
        <w:tblCellMar>
          <w:top w:w="28" w:type="dxa"/>
          <w:left w:w="28" w:type="dxa"/>
          <w:bottom w:w="28" w:type="dxa"/>
          <w:right w:w="28" w:type="dxa"/>
        </w:tblCellMar>
      </w:tblPr>
      <w:tblGrid>
        <w:gridCol w:w="3346"/>
        <w:gridCol w:w="146"/>
        <w:gridCol w:w="5026"/>
        <w:gridCol w:w="146"/>
        <w:gridCol w:w="133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Chief Executive Officer and Director</w:t>
              <w:b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Chief Financial Officer</w:t>
              <w:br/>
              <w:t>(</w:t>
            </w:r>
            <w:r>
              <w:rPr>
                <w:rFonts w:ascii="Times New Roman" w:hAnsi="Times New Roman"/>
                <w:i/>
                <w:color w:val="000000"/>
                <w:sz w:val="20"/>
              </w:rPr>
              <w:t>Principal Financial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Senior Vice President, Finance and Chief Accounting Officer</w:t>
              <w:br/>
            </w:r>
            <w:r>
              <w:rPr>
                <w:rFonts w:ascii="Times New Roman" w:hAnsi="Times New Roman"/>
                <w:i/>
                <w:color w:val="000000"/>
                <w:sz w:val="20"/>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Corey Goodman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Corey Goodman,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Curran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Curran,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Garland</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Garland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Rekha Hemrajani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Rekha Hemrajani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Sandler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Sandler,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 H. Takimoto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 H. Takimoto, M.D., Ph.D., FACP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bookmarkStart w:id="38" w:name="alxo-ex10_10.htm"/>
      <w:bookmarkStart w:id="39" w:name="ksalxoex10_10"/>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February 18,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Barbara J. Klencke, M.D.</w:t>
      </w:r>
    </w:p>
    <w:p>
      <w:pPr>
        <w:pStyle w:val="TextBody"/>
        <w:bidi w:val="0"/>
        <w:jc w:val="left"/>
        <w:rPr>
          <w:rFonts w:ascii="Times New Roman" w:hAnsi="Times New Roman"/>
          <w:i/>
          <w:color w:val="000000"/>
          <w:sz w:val="24"/>
        </w:rPr>
      </w:pPr>
      <w:r>
        <w:rPr>
          <w:rFonts w:ascii="Times New Roman" w:hAnsi="Times New Roman"/>
          <w:i/>
          <w:color w:val="000000"/>
          <w:sz w:val="24"/>
        </w:rPr>
        <w:t>Via Email</w:t>
      </w:r>
    </w:p>
    <w:p>
      <w:pPr>
        <w:pStyle w:val="TextBody"/>
        <w:bidi w:val="0"/>
        <w:jc w:val="left"/>
        <w:rPr/>
      </w:pPr>
      <w:r>
        <w:rPr/>
        <w:t> </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 Offer of Employment</w:t>
      </w:r>
    </w:p>
    <w:p>
      <w:pPr>
        <w:pStyle w:val="TextBody"/>
        <w:bidi w:val="0"/>
        <w:spacing w:before="236" w:after="283"/>
        <w:jc w:val="left"/>
        <w:rPr>
          <w:rFonts w:ascii="Times New Roman" w:hAnsi="Times New Roman"/>
          <w:color w:val="000000"/>
          <w:sz w:val="24"/>
        </w:rPr>
      </w:pPr>
      <w:r>
        <w:rPr>
          <w:rFonts w:ascii="Times New Roman" w:hAnsi="Times New Roman"/>
          <w:color w:val="000000"/>
          <w:sz w:val="24"/>
        </w:rPr>
        <w:t>Dear Barbara:</w:t>
      </w:r>
    </w:p>
    <w:p>
      <w:pPr>
        <w:pStyle w:val="TextBody"/>
        <w:bidi w:val="0"/>
        <w:jc w:val="left"/>
        <w:rPr/>
      </w:pPr>
      <w:r>
        <w:rPr/>
        <w:t> </w:t>
      </w:r>
    </w:p>
    <w:p>
      <w:pPr>
        <w:pStyle w:val="TextBody"/>
        <w:bidi w:val="0"/>
        <w:ind w:left="0" w:right="170" w:hanging="0"/>
        <w:jc w:val="both"/>
        <w:rPr>
          <w:rFonts w:ascii="Times New Roman" w:hAnsi="Times New Roman"/>
          <w:sz w:val="20"/>
        </w:rPr>
      </w:pPr>
      <w:r>
        <w:rPr>
          <w:rFonts w:ascii="Times New Roman" w:hAnsi="Times New Roman"/>
          <w:color w:val="000000"/>
          <w:sz w:val="24"/>
        </w:rPr>
        <w:t>I am pleased to offer you a position with ALX Oncology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in accordance with the terms of this Offer of Employment letter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101" w:right="158"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Title; Position; Location</w:t>
      </w:r>
      <w:r>
        <w:rPr>
          <w:rFonts w:ascii="Times New Roman" w:hAnsi="Times New Roman"/>
          <w:color w:val="000000"/>
          <w:sz w:val="24"/>
        </w:rPr>
        <w:t>. If you accept this offer of employment, you will serve as the Company’s Chief Medical Officer (“</w:t>
      </w:r>
      <w:r>
        <w:rPr>
          <w:rFonts w:ascii="Times New Roman" w:hAnsi="Times New Roman"/>
          <w:color w:val="000000"/>
          <w:sz w:val="24"/>
          <w:u w:val="single"/>
        </w:rPr>
        <w:t>CMO</w:t>
      </w:r>
      <w:r>
        <w:rPr>
          <w:color w:val="000000"/>
        </w:rPr>
        <w:t>”</w:t>
      </w:r>
      <w:r>
        <w:rPr>
          <w:rFonts w:ascii="Times New Roman" w:hAnsi="Times New Roman"/>
          <w:color w:val="000000"/>
          <w:sz w:val="24"/>
        </w:rPr>
        <w:t>). In your role as CMO, you will report to the Company’s Chief Executive Officer (“</w:t>
      </w:r>
      <w:r>
        <w:rPr>
          <w:rFonts w:ascii="Times New Roman" w:hAnsi="Times New Roman"/>
          <w:color w:val="000000"/>
          <w:sz w:val="24"/>
          <w:u w:val="single"/>
        </w:rPr>
        <w:t>CEO</w:t>
      </w:r>
      <w:r>
        <w:rPr>
          <w:color w:val="000000"/>
        </w:rPr>
        <w:t>”</w:t>
      </w:r>
      <w:r>
        <w:rPr>
          <w:rFonts w:ascii="Times New Roman" w:hAnsi="Times New Roman"/>
          <w:color w:val="000000"/>
          <w:sz w:val="24"/>
        </w:rPr>
        <w:t>), and will perform the duties and responsibilities customary for such position and such other related duties as are lawfully assigned by the CEO. You will perform your duties from the Company’s corporate offices located in South San Francisco, California which currently permits a hybrid work environment, subject to customary travel as reasonably required by the Company and necessary to perform your job duties.</w:t>
      </w:r>
    </w:p>
    <w:p>
      <w:pPr>
        <w:pStyle w:val="TextBody"/>
        <w:bidi w:val="0"/>
        <w:spacing w:before="241" w:after="283"/>
        <w:ind w:left="101" w:right="158"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both"/>
        <w:rPr/>
      </w:pPr>
      <w:r>
        <w:rPr>
          <w:rFonts w:ascii="Times New Roman" w:hAnsi="Times New Roman"/>
          <w:color w:val="000000"/>
          <w:sz w:val="24"/>
          <w:u w:val="single"/>
        </w:rPr>
        <w:t>Base Salary</w:t>
      </w:r>
      <w:r>
        <w:rPr>
          <w:rFonts w:ascii="Times New Roman" w:hAnsi="Times New Roman"/>
          <w:color w:val="000000"/>
          <w:sz w:val="24"/>
        </w:rPr>
        <w:t>. Your annual base salary will be $575,000 (“</w:t>
      </w:r>
      <w:r>
        <w:rPr>
          <w:rFonts w:ascii="Times New Roman" w:hAnsi="Times New Roman"/>
          <w:color w:val="000000"/>
          <w:sz w:val="24"/>
          <w:u w:val="single"/>
        </w:rPr>
        <w:t>Salary</w:t>
      </w:r>
      <w:r>
        <w:rPr>
          <w:color w:val="000000"/>
        </w:rPr>
        <w:t>”</w:t>
      </w:r>
      <w:r>
        <w:rPr>
          <w:rFonts w:ascii="Times New Roman" w:hAnsi="Times New Roman"/>
          <w:color w:val="000000"/>
          <w:sz w:val="24"/>
        </w:rPr>
        <w:t>), which will be payable, less any applicable withholdings, in accordance with the Company’s normal payroll practices. Your Salary will be subject to review and adjustment from time to time by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or its Compensation Committee (the “</w:t>
      </w:r>
      <w:r>
        <w:rPr>
          <w:rFonts w:ascii="Times New Roman" w:hAnsi="Times New Roman"/>
          <w:color w:val="000000"/>
          <w:sz w:val="24"/>
          <w:u w:val="single"/>
        </w:rPr>
        <w:t>Committee</w:t>
      </w:r>
      <w:r>
        <w:rPr>
          <w:color w:val="000000"/>
        </w:rPr>
        <w:t>”</w:t>
      </w:r>
      <w:r>
        <w:rPr>
          <w:rFonts w:ascii="Times New Roman" w:hAnsi="Times New Roman"/>
          <w:color w:val="000000"/>
          <w:sz w:val="24"/>
        </w:rPr>
        <w:t>), as applicable, in its sole discretion.</w:t>
      </w:r>
    </w:p>
    <w:p>
      <w:pPr>
        <w:pStyle w:val="TextBody"/>
        <w:bidi w:val="0"/>
        <w:spacing w:before="240" w:after="283"/>
        <w:ind w:left="101" w:right="158"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Annual Bonus</w:t>
      </w:r>
      <w:r>
        <w:rPr>
          <w:rFonts w:ascii="Times New Roman" w:hAnsi="Times New Roman"/>
          <w:color w:val="000000"/>
          <w:sz w:val="24"/>
        </w:rPr>
        <w:t xml:space="preserve">. For the Company’s 2026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the Board or Committee, as applicable, in its sole discretion. In addition, the Board or Committee, as appliable and in its sole discretion, may approve that the Company grant additional discretionary bonus amounts to you.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r>
        <w:rPr/>
        <w:t> </w:t>
      </w:r>
    </w:p>
    <w:p>
      <w:pPr>
        <w:pStyle w:val="TextBody"/>
        <w:bidi w:val="0"/>
        <w:ind w:left="990" w:right="1530" w:hanging="0"/>
        <w:jc w:val="center"/>
        <w:rPr/>
      </w:pPr>
      <w:r>
        <w:rPr/>
        <w:t> </w:t>
      </w:r>
    </w:p>
    <w:p>
      <w:pPr>
        <w:pStyle w:val="TextBody"/>
        <w:bidi w:val="0"/>
        <w:jc w:val="left"/>
        <w:rPr/>
      </w:pPr>
      <w:r>
        <w:rPr/>
        <w:t> </w:t>
      </w:r>
    </w:p>
    <w:p>
      <w:pPr>
        <w:pStyle w:val="TextBody"/>
        <w:bidi w:val="0"/>
        <w:spacing w:before="240" w:after="283"/>
        <w:ind w:left="101" w:right="158"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It will be recommended that, subject to the approval of the Board or the Committee, as applicable, in its sole discretion, the Company grant you two awards of stock options (the “</w:t>
      </w:r>
      <w:r>
        <w:rPr>
          <w:rFonts w:ascii="Times New Roman" w:hAnsi="Times New Roman"/>
          <w:color w:val="000000"/>
          <w:sz w:val="24"/>
          <w:u w:val="single"/>
        </w:rPr>
        <w:t>Options</w:t>
      </w:r>
      <w:r>
        <w:rPr>
          <w:color w:val="000000"/>
        </w:rPr>
        <w:t>”</w:t>
      </w:r>
      <w:r>
        <w:rPr>
          <w:rFonts w:ascii="Times New Roman" w:hAnsi="Times New Roman"/>
          <w:color w:val="000000"/>
          <w:sz w:val="24"/>
        </w:rPr>
        <w:t>) to purchase an aggregate of 800,000 shares of the Company’s common stock (“</w:t>
      </w:r>
      <w:r>
        <w:rPr>
          <w:rFonts w:ascii="Times New Roman" w:hAnsi="Times New Roman"/>
          <w:color w:val="000000"/>
          <w:sz w:val="24"/>
          <w:u w:val="single"/>
        </w:rPr>
        <w:t>Shares</w:t>
      </w:r>
      <w:r>
        <w:rPr>
          <w:color w:val="000000"/>
        </w:rPr>
        <w:t>”</w:t>
      </w:r>
      <w:r>
        <w:rPr>
          <w:rFonts w:ascii="Times New Roman" w:hAnsi="Times New Roman"/>
          <w:color w:val="000000"/>
          <w:sz w:val="24"/>
        </w:rPr>
        <w:t>) under the Company’s 2020 Equity Incentive Plan (or any successor plan, as applicable) and applicable option agreements thereunder, each with an exercise price per Share equal to the fair market value per Share on the applicable Option’s date of grant, as determined by the Board or Committee (as applicable). It will be recommended that, subject to the approval of the Board or the Committee, as applicable, the first such Option will cover 700,000 Shares and the second such Option will cover 100,000 Shares, and further, such second Option will be recommended to be granted to you on or around April 16, 2026. The Company will recommend that each Option be scheduled to vest and become exercisable as to one-fourth (1/4th) of the Shares subject to the Option on the one-year anniversary of the vesting commencement date (which shall be the same date as the date the Board or Committee approves the first Option to be granted to you),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pStyle w:val="TextBody"/>
        <w:bidi w:val="0"/>
        <w:spacing w:before="241" w:after="283"/>
        <w:ind w:left="0" w:right="154" w:hanging="0"/>
        <w:jc w:val="both"/>
        <w:rPr>
          <w:rFonts w:ascii="Times New Roman" w:hAnsi="Times New Roman"/>
          <w:color w:val="000000"/>
          <w:sz w:val="24"/>
        </w:rPr>
      </w:pPr>
      <w:r>
        <w:rPr>
          <w:rFonts w:ascii="Times New Roman" w:hAnsi="Times New Roman"/>
          <w:color w:val="000000"/>
          <w:sz w:val="24"/>
        </w:rPr>
        <w:t>For purposes of clarity, outstanding Company equity awards previously granted to you as a Board member and independent consultant will continue to be subject to, and vest according to, the terms of the applicable Company equity plan under which such equity awards were granted and the applicable award agreements thereunder.</w:t>
      </w:r>
    </w:p>
    <w:p>
      <w:pPr>
        <w:pStyle w:val="TextBody"/>
        <w:bidi w:val="0"/>
        <w:spacing w:before="240" w:after="283"/>
        <w:ind w:left="101" w:right="158"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Employee Benefits</w:t>
      </w:r>
      <w:r>
        <w:rPr>
          <w:rFonts w:ascii="Times New Roman" w:hAnsi="Times New Roman"/>
          <w:color w:val="000000"/>
          <w:sz w:val="24"/>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pStyle w:val="TextBody"/>
        <w:bidi w:val="0"/>
        <w:spacing w:before="240" w:after="283"/>
        <w:ind w:left="101" w:right="158"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You will be eligible to enter into a Change in Control and Severance Agreement (the “</w:t>
      </w:r>
      <w:r>
        <w:rPr>
          <w:rFonts w:ascii="Times New Roman" w:hAnsi="Times New Roman"/>
          <w:color w:val="000000"/>
          <w:sz w:val="24"/>
          <w:u w:val="single"/>
        </w:rPr>
        <w:t>Severance Agreement</w:t>
      </w:r>
      <w:r>
        <w:rPr>
          <w:color w:val="000000"/>
        </w:rPr>
        <w:t>”</w:t>
      </w:r>
      <w:r>
        <w:rPr>
          <w:rFonts w:ascii="Times New Roman" w:hAnsi="Times New Roman"/>
          <w:color w:val="000000"/>
          <w:sz w:val="24"/>
        </w:rPr>
        <w:t>)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 For purposes of clarity, other than any vesting acceleration benefits set forth in the Company’s 2020 Equity Incentive Plan and the award agreements thereunder governing the terms of your equity awards covering shares of Company common stock granted thereunder (to the extent not modified or superseded by your Severance Agreement), any severance payments, benefits and arrangements that may have applied to you before the effectiveness of the Severance Agreement no longer will apply, and you will have no rights or entitlements under any such plans, programs, agreements or arrangements.</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r>
        <w:rPr/>
        <w:t> </w:t>
      </w:r>
    </w:p>
    <w:p>
      <w:pPr>
        <w:pStyle w:val="TextBody"/>
        <w:bidi w:val="0"/>
        <w:ind w:left="990" w:right="1530" w:hanging="0"/>
        <w:jc w:val="center"/>
        <w:rPr/>
      </w:pPr>
      <w:r>
        <w:rPr/>
        <w:t> </w:t>
      </w:r>
    </w:p>
    <w:p>
      <w:pPr>
        <w:pStyle w:val="TextBody"/>
        <w:bidi w:val="0"/>
        <w:jc w:val="left"/>
        <w:rPr/>
      </w:pPr>
      <w:r>
        <w:rPr/>
        <w:t> </w:t>
      </w:r>
    </w:p>
    <w:p>
      <w:pPr>
        <w:pStyle w:val="TextBody"/>
        <w:bidi w:val="0"/>
        <w:spacing w:before="80" w:after="283"/>
        <w:ind w:left="101" w:right="158"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80" w:after="283"/>
        <w:jc w:val="both"/>
        <w:rPr/>
      </w:pPr>
      <w:r>
        <w:rPr>
          <w:rFonts w:ascii="Times New Roman" w:hAnsi="Times New Roman"/>
          <w:color w:val="000000"/>
          <w:sz w:val="24"/>
          <w:u w:val="single"/>
        </w:rPr>
        <w:t>Confidentiality Agreement</w:t>
      </w:r>
      <w:r>
        <w:rPr>
          <w:rFonts w:ascii="Times New Roman" w:hAnsi="Times New Roman"/>
          <w:color w:val="000000"/>
          <w:sz w:val="24"/>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Company’s Employee Confidentiality, Inventions and Non-Interference Agreement (the “</w:t>
      </w:r>
      <w:r>
        <w:rPr>
          <w:rFonts w:ascii="Times New Roman" w:hAnsi="Times New Roman"/>
          <w:color w:val="000000"/>
          <w:sz w:val="24"/>
          <w:u w:val="single"/>
        </w:rPr>
        <w:t>Confidentiality Agreement</w:t>
      </w:r>
      <w:r>
        <w:rPr>
          <w:color w:val="000000"/>
        </w:rPr>
        <w:t>”</w:t>
      </w:r>
      <w:r>
        <w:rPr>
          <w:rFonts w:ascii="Times New Roman" w:hAnsi="Times New Roman"/>
          <w:color w:val="000000"/>
          <w:sz w:val="24"/>
        </w:rPr>
        <w:t>). Please note that we must receive your signed Confidentiality Agreement before your first day of employment.</w:t>
      </w:r>
    </w:p>
    <w:p>
      <w:pPr>
        <w:pStyle w:val="TextBody"/>
        <w:bidi w:val="0"/>
        <w:spacing w:before="240" w:after="283"/>
        <w:ind w:left="101" w:right="158"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This Agreement does not imply any right to your continued employment for any period with the Company or any parent, subsidiary, or affiliate of the Company. Your employment with the Company constitutes at-will employment,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pStyle w:val="TextBody"/>
        <w:bidi w:val="0"/>
        <w:spacing w:before="240" w:after="283"/>
        <w:ind w:left="101" w:right="158"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Protected Activity Not Prohibited</w:t>
      </w:r>
      <w:r>
        <w:rPr>
          <w:rFonts w:ascii="Times New Roman" w:hAnsi="Times New Roman"/>
          <w:color w:val="000000"/>
          <w:sz w:val="24"/>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color w:val="000000"/>
          <w:sz w:val="24"/>
          <w:u w:val="single"/>
        </w:rPr>
        <w:t>Government Agencies</w:t>
      </w:r>
      <w:r>
        <w:rPr>
          <w:color w:val="000000"/>
        </w:rPr>
        <w:t>”</w:t>
      </w:r>
      <w:r>
        <w:rPr>
          <w:rFonts w:ascii="Times New Roman" w:hAnsi="Times New Roman"/>
          <w:color w:val="000000"/>
          <w:sz w:val="24"/>
        </w:rPr>
        <w:t xml:space="preserve">), including disclosing documents or other information as permitted by law, without giving notice to, or receiving authorization from, the Company. Nothing in this Agreement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prevents you from discussing or disclosing information about unlawful acts in the workplace, such as harassment or discrimination or any other conduct that you have reason to believe is unlawful.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hAnsi="Times New Roman"/>
          <w:b/>
          <w:color w:val="000000"/>
          <w:sz w:val="24"/>
          <w:u w:val="single"/>
        </w:rPr>
        <w:t>Appendix A</w:t>
      </w:r>
      <w:r>
        <w:rPr>
          <w:rFonts w:ascii="Times New Roman" w:hAnsi="Times New Roman"/>
          <w:color w:val="000000"/>
          <w:sz w:val="24"/>
        </w:rPr>
        <w:t>.</w:t>
      </w:r>
    </w:p>
    <w:p>
      <w:pPr>
        <w:pStyle w:val="TextBody"/>
        <w:bidi w:val="0"/>
        <w:spacing w:before="241" w:after="283"/>
        <w:ind w:left="101" w:right="158"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241" w:after="283"/>
        <w:jc w:val="both"/>
        <w:rPr/>
      </w:pPr>
      <w:r>
        <w:rPr>
          <w:rFonts w:ascii="Times New Roman" w:hAnsi="Times New Roman"/>
          <w:color w:val="000000"/>
          <w:sz w:val="24"/>
          <w:u w:val="single"/>
        </w:rPr>
        <w:t>Additional Employment Provisions</w:t>
      </w:r>
      <w:r>
        <w:rPr>
          <w:rFonts w:ascii="Times New Roman" w:hAnsi="Times New Roman"/>
          <w:color w:val="000000"/>
          <w:sz w:val="24"/>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r>
        <w:rPr/>
        <w:t> </w:t>
      </w:r>
    </w:p>
    <w:p>
      <w:pPr>
        <w:pStyle w:val="TextBody"/>
        <w:bidi w:val="0"/>
        <w:ind w:left="990" w:right="1530" w:hanging="0"/>
        <w:jc w:val="center"/>
        <w:rPr/>
      </w:pPr>
      <w:r>
        <w:rPr/>
        <w:t> </w:t>
      </w:r>
    </w:p>
    <w:p>
      <w:pPr>
        <w:pStyle w:val="TextBody"/>
        <w:bidi w:val="0"/>
        <w:jc w:val="left"/>
        <w:rPr/>
      </w:pPr>
      <w:r>
        <w:rPr/>
        <w:t> </w:t>
      </w:r>
    </w:p>
    <w:p>
      <w:pPr>
        <w:pStyle w:val="TextBody"/>
        <w:bidi w:val="0"/>
        <w:spacing w:before="80" w:after="283"/>
        <w:ind w:left="0" w:right="153" w:hanging="0"/>
        <w:jc w:val="both"/>
        <w:rPr>
          <w:rFonts w:ascii="Times New Roman" w:hAnsi="Times New Roman"/>
          <w:sz w:val="20"/>
        </w:rPr>
      </w:pPr>
      <w:r>
        <w:rPr>
          <w:rFonts w:ascii="Times New Roman" w:hAnsi="Times New Roman"/>
          <w:color w:val="000000"/>
          <w:sz w:val="24"/>
        </w:rPr>
        <w:t xml:space="preserve">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Subject to Board approval, you will be permitted to engage in the outside activities set forth in </w:t>
      </w:r>
      <w:r>
        <w:rPr>
          <w:rFonts w:ascii="Times New Roman" w:hAnsi="Times New Roman"/>
          <w:b/>
          <w:color w:val="000000"/>
          <w:sz w:val="24"/>
          <w:u w:val="single"/>
        </w:rPr>
        <w:t>Appendix B</w:t>
      </w:r>
      <w:r>
        <w:rPr>
          <w:rFonts w:ascii="Times New Roman" w:hAnsi="Times New Roman"/>
          <w:color w:val="000000"/>
          <w:sz w:val="24"/>
        </w:rPr>
        <w:t>, as long as such activities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pStyle w:val="TextBody"/>
        <w:bidi w:val="0"/>
        <w:spacing w:before="241" w:after="283"/>
        <w:ind w:left="0" w:right="155" w:hanging="0"/>
        <w:jc w:val="both"/>
        <w:rPr>
          <w:rFonts w:ascii="Times New Roman" w:hAnsi="Times New Roman"/>
          <w:color w:val="000000"/>
          <w:sz w:val="24"/>
        </w:rPr>
      </w:pPr>
      <w:r>
        <w:rPr>
          <w:rFonts w:ascii="Times New Roman" w:hAnsi="Times New Roman"/>
          <w:color w:val="000000"/>
          <w:sz w:val="24"/>
        </w:rPr>
        <w:t>You agree not to bring any third-party confidential information to the Company, including that of any of your former employers,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Agreement and its terms are intended to be exempt from, or otherwise comply with, the requirements of Section 409A of the Internal Revenue Code of 1986, as amended, and the Treasury Regulations and any formal guidance promulgated thereunder (“</w:t>
      </w:r>
      <w:r>
        <w:rPr>
          <w:rFonts w:ascii="Times New Roman" w:hAnsi="Times New Roman"/>
          <w:color w:val="000000"/>
          <w:sz w:val="24"/>
          <w:u w:val="single"/>
        </w:rPr>
        <w:t>Section 409A</w:t>
      </w:r>
      <w:r>
        <w:rPr>
          <w:rFonts w:ascii="Times New Roman" w:hAnsi="Times New Roman"/>
          <w:color w:val="000000"/>
          <w:sz w:val="20"/>
        </w:rPr>
        <w:t>”</w:t>
      </w:r>
      <w:r>
        <w:rPr>
          <w:rFonts w:ascii="Times New Roman" w:hAnsi="Times New Roman"/>
          <w:color w:val="000000"/>
          <w:sz w:val="24"/>
        </w:rPr>
        <w:t>), so that none of the payments and benefits to be provided hereunder will be subject to the additional tax imposed by Section 409A, and any ambiguities or ambiguous terms herein will be interpreted to so be exempt or comply.</w:t>
      </w:r>
    </w:p>
    <w:p>
      <w:pPr>
        <w:pStyle w:val="TextBody"/>
        <w:bidi w:val="0"/>
        <w:jc w:val="left"/>
        <w:rPr/>
      </w:pPr>
      <w:r>
        <w:rPr/>
        <w:t> </w:t>
      </w:r>
    </w:p>
    <w:p>
      <w:pPr>
        <w:pStyle w:val="TextBody"/>
        <w:bidi w:val="0"/>
        <w:ind w:left="0" w:right="150" w:hanging="0"/>
        <w:jc w:val="both"/>
        <w:rPr>
          <w:rFonts w:ascii="Times New Roman" w:hAnsi="Times New Roman"/>
          <w:sz w:val="20"/>
        </w:rPr>
      </w:pPr>
      <w:r>
        <w:rPr>
          <w:rFonts w:ascii="Times New Roman" w:hAnsi="Times New Roman"/>
          <w:color w:val="000000"/>
          <w:sz w:val="24"/>
        </w:rPr>
        <w:t>To accept the Company’s offer, please sign and date in the spaces indicated below and return this Agreement to me. A duplicate original is enclosed for your records. If you accept our offer, your first day of employment will be February 25, 2026, or such other date as you and the Company mutually agree in writing (the “</w:t>
      </w:r>
      <w:r>
        <w:rPr>
          <w:rFonts w:ascii="Times New Roman" w:hAnsi="Times New Roman"/>
          <w:color w:val="000000"/>
          <w:sz w:val="24"/>
          <w:u w:val="single"/>
        </w:rPr>
        <w:t>Start Date</w:t>
      </w:r>
      <w:r>
        <w:rPr>
          <w:rFonts w:ascii="Times New Roman" w:hAnsi="Times New Roman"/>
          <w:color w:val="000000"/>
          <w:sz w:val="20"/>
        </w:rPr>
        <w:t>”</w:t>
      </w:r>
      <w:r>
        <w:rPr>
          <w:rFonts w:ascii="Times New Roman" w:hAnsi="Times New Roman"/>
          <w:color w:val="000000"/>
          <w:sz w:val="24"/>
        </w:rPr>
        <w:t>). This Agreement, along with the Company equity plan(s) and award agreements governing the terms of any outstanding equity awards covering Shares that you hold, and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r>
        <w:rPr/>
        <w:t> </w:t>
      </w:r>
    </w:p>
    <w:p>
      <w:pPr>
        <w:pStyle w:val="TextBody"/>
        <w:bidi w:val="0"/>
        <w:ind w:left="990" w:right="1530" w:hanging="0"/>
        <w:jc w:val="center"/>
        <w:rPr/>
      </w:pPr>
      <w:r>
        <w:rPr/>
        <w:t> </w:t>
      </w:r>
    </w:p>
    <w:p>
      <w:pPr>
        <w:pStyle w:val="TextBody"/>
        <w:bidi w:val="0"/>
        <w:jc w:val="left"/>
        <w:rPr/>
      </w:pPr>
      <w:r>
        <w:rPr/>
        <w:t> </w:t>
      </w:r>
    </w:p>
    <w:p>
      <w:pPr>
        <w:pStyle w:val="TextBody"/>
        <w:bidi w:val="0"/>
        <w:ind w:left="0" w:right="150" w:hanging="0"/>
        <w:jc w:val="both"/>
        <w:rPr>
          <w:rFonts w:ascii="Times New Roman" w:hAnsi="Times New Roman"/>
          <w:color w:val="000000"/>
          <w:sz w:val="24"/>
        </w:rPr>
      </w:pPr>
      <w:r>
        <w:rPr>
          <w:rFonts w:ascii="Times New Roman" w:hAnsi="Times New Roman"/>
          <w:color w:val="000000"/>
          <w:sz w:val="24"/>
        </w:rPr>
        <w:t>conflict of law provision. This offer of employment will terminate if it is not accepted, signed and returned by February 20, 2026.</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look forward to your favorable reply and to working with you at ALX Oncology.</w:t>
      </w:r>
    </w:p>
    <w:p>
      <w:pPr>
        <w:pStyle w:val="TextBody"/>
        <w:bidi w:val="0"/>
        <w:jc w:val="left"/>
        <w:rPr/>
      </w:pPr>
      <w:r>
        <w:rPr/>
        <w:t> </w:t>
      </w:r>
    </w:p>
    <w:p>
      <w:pPr>
        <w:pStyle w:val="TextBody"/>
        <w:bidi w:val="0"/>
        <w:ind w:left="0" w:right="61" w:hanging="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spacing w:before="80" w:after="283"/>
        <w:ind w:left="819" w:right="157" w:hanging="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r>
        <w:rPr/>
        <w:t> </w:t>
      </w:r>
    </w:p>
    <w:p>
      <w:pPr>
        <w:pStyle w:val="TextBody"/>
        <w:bidi w:val="0"/>
        <w:ind w:left="990" w:right="1530" w:hanging="0"/>
        <w:jc w:val="center"/>
        <w:rPr/>
      </w:pPr>
      <w:r>
        <w:rPr/>
        <w:t> </w:t>
      </w:r>
    </w:p>
    <w:p>
      <w:pPr>
        <w:pStyle w:val="TextBody"/>
        <w:bidi w:val="0"/>
        <w:jc w:val="left"/>
        <w:rPr/>
      </w:pPr>
      <w:r>
        <w:rPr/>
        <w:t> </w:t>
      </w:r>
    </w:p>
    <w:p>
      <w:pPr>
        <w:pStyle w:val="TextBody"/>
        <w:pBdr/>
        <w:bidi w:val="0"/>
        <w:ind w:left="360" w:right="158" w:hanging="461"/>
        <w:jc w:val="left"/>
        <w:rPr>
          <w:rFonts w:ascii="Times New Roman" w:hAnsi="Times New Roman"/>
          <w:color w:val="000000"/>
          <w:sz w:val="24"/>
        </w:rPr>
      </w:pPr>
      <w:r>
        <w:rPr>
          <w:rFonts w:ascii="Times New Roman" w:hAnsi="Times New Roman"/>
          <w:color w:val="000000"/>
          <w:sz w:val="24"/>
        </w:rPr>
        <w:t>Sincerely,</w:t>
      </w:r>
    </w:p>
    <w:p>
      <w:pPr>
        <w:pStyle w:val="TextBody"/>
        <w:pBdr/>
        <w:bidi w:val="0"/>
        <w:ind w:left="360" w:right="158" w:hanging="461"/>
        <w:jc w:val="left"/>
        <w:rPr/>
      </w:pPr>
      <w:r>
        <w:rPr/>
        <w:t> </w:t>
      </w:r>
    </w:p>
    <w:p>
      <w:pPr>
        <w:pStyle w:val="TextBody"/>
        <w:pBdr/>
        <w:bidi w:val="0"/>
        <w:ind w:left="360" w:right="158" w:hanging="461"/>
        <w:jc w:val="left"/>
        <w:rPr>
          <w:rFonts w:ascii="Times New Roman" w:hAnsi="Times New Roman"/>
          <w:color w:val="000000"/>
          <w:sz w:val="24"/>
        </w:rPr>
      </w:pPr>
      <w:r>
        <w:rPr>
          <w:rFonts w:ascii="Times New Roman" w:hAnsi="Times New Roman"/>
          <w:color w:val="000000"/>
          <w:sz w:val="24"/>
        </w:rPr>
        <w:t>ALX Oncology Holdings Inc.</w:t>
      </w:r>
    </w:p>
    <w:p>
      <w:pPr>
        <w:pStyle w:val="TextBody"/>
        <w:bidi w:val="0"/>
        <w:jc w:val="left"/>
        <w:rPr/>
      </w:pPr>
      <w:r>
        <w:rPr/>
        <w:t> </w:t>
      </w:r>
    </w:p>
    <w:p>
      <w:pPr>
        <w:pStyle w:val="TextBody"/>
        <w:bidi w:val="0"/>
        <w:jc w:val="left"/>
        <w:rPr/>
      </w:pPr>
      <w:r>
        <w:rPr/>
        <w:t> </w:t>
      </w:r>
    </w:p>
    <w:p>
      <w:pPr>
        <w:pStyle w:val="TextBody"/>
        <w:bidi w:val="0"/>
        <w:spacing w:before="0" w:after="6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Jason Lettmann</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Jason Lettmann</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 xml:space="preserve">Chief Executive Officer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Agreed to and accepted by:</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u w:val="single"/>
        </w:rPr>
      </w:pPr>
      <w:r>
        <w:rPr>
          <w:rFonts w:ascii="Times New Roman" w:hAnsi="Times New Roman"/>
          <w:color w:val="000000"/>
          <w:sz w:val="24"/>
          <w:u w:val="single"/>
        </w:rPr>
        <w:t>/s/ Barbara J. Klencke, M.D.</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Barbara J. Klencke, M.D.</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Dated: February 19, 2026</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Enclosures</w:t>
      </w:r>
    </w:p>
    <w:p>
      <w:pPr>
        <w:pStyle w:val="TextBody"/>
        <w:bidi w:val="0"/>
        <w:spacing w:before="0" w:after="0"/>
        <w:ind w:left="446" w:right="0" w:hanging="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Duplicate Original Letter</w:t>
      </w:r>
    </w:p>
    <w:p>
      <w:pPr>
        <w:pStyle w:val="TextBody"/>
        <w:bidi w:val="0"/>
        <w:spacing w:before="0" w:after="60"/>
        <w:ind w:left="446" w:right="0" w:hanging="0"/>
        <w:jc w:val="left"/>
        <w:rPr>
          <w:color w:val="000000"/>
        </w:rPr>
      </w:pPr>
      <w:r>
        <w:rPr>
          <w:color w:val="000000"/>
        </w:rPr>
        <w:t>•</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Employee Confidentiality, Inventions and Non-Interference Agreement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r>
        <w:rPr/>
        <w:t> </w:t>
      </w:r>
    </w:p>
    <w:p>
      <w:pPr>
        <w:pStyle w:val="TextBody"/>
        <w:bidi w:val="0"/>
        <w:ind w:left="990" w:right="1530" w:hanging="0"/>
        <w:jc w:val="center"/>
        <w:rPr/>
      </w:pPr>
      <w:r>
        <w:rPr/>
        <w:t> </w:t>
      </w:r>
    </w:p>
    <w:p>
      <w:pPr>
        <w:pStyle w:val="TextBody"/>
        <w:bidi w:val="0"/>
        <w:jc w:val="left"/>
        <w:rPr/>
      </w:pPr>
      <w:r>
        <w:rPr/>
        <w:t> </w:t>
      </w:r>
    </w:p>
    <w:p>
      <w:pPr>
        <w:pStyle w:val="TextBody"/>
        <w:bidi w:val="0"/>
        <w:spacing w:before="84" w:after="283"/>
        <w:ind w:left="0" w:right="54" w:hanging="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left"/>
        <w:rPr/>
      </w:pPr>
      <w:r>
        <w:rPr/>
        <w:t> </w:t>
      </w:r>
    </w:p>
    <w:p>
      <w:pPr>
        <w:pStyle w:val="TextBody"/>
        <w:bidi w:val="0"/>
        <w:ind w:left="0" w:right="61" w:hanging="0"/>
        <w:jc w:val="center"/>
        <w:rPr>
          <w:rFonts w:ascii="Times New Roman" w:hAnsi="Times New Roman"/>
          <w:b/>
          <w:color w:val="000000"/>
          <w:sz w:val="24"/>
        </w:rPr>
      </w:pPr>
      <w:r>
        <w:rPr>
          <w:rFonts w:ascii="Times New Roman" w:hAnsi="Times New Roman"/>
          <w:b/>
          <w:color w:val="000000"/>
          <w:sz w:val="24"/>
        </w:rPr>
        <w:t>Section 7 of the Defend Trade Secrets Act of 2016</w:t>
      </w:r>
    </w:p>
    <w:p>
      <w:pPr>
        <w:pStyle w:val="TextBody"/>
        <w:bidi w:val="0"/>
        <w:spacing w:before="235" w:after="283"/>
        <w:jc w:val="left"/>
        <w:rPr/>
      </w:pPr>
      <w:r>
        <w:rPr/>
        <w:t> </w:t>
      </w:r>
    </w:p>
    <w:p>
      <w:pPr>
        <w:pStyle w:val="TextBody"/>
        <w:bidi w:val="0"/>
        <w:spacing w:before="1" w:after="283"/>
        <w:ind w:left="0" w:right="152" w:hanging="0"/>
        <w:jc w:val="both"/>
        <w:rPr>
          <w:color w:val="000000"/>
        </w:rPr>
      </w:pPr>
      <w:r>
        <w:rPr>
          <w:color w:val="000000"/>
        </w:rPr>
        <w:t xml:space="preserve">“ </w:t>
      </w:r>
      <w:r>
        <w:rPr>
          <w:rFonts w:ascii="Times New Roman" w:hAnsi="Times New Roman"/>
          <w:color w:val="000000"/>
          <w:sz w:val="24"/>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ind w:left="990" w:right="1530" w:hanging="0"/>
        <w:jc w:val="center"/>
        <w:rPr/>
      </w:pPr>
      <w:r>
        <w:rPr/>
        <w:t> </w:t>
      </w:r>
    </w:p>
    <w:p>
      <w:pPr>
        <w:pStyle w:val="TextBody"/>
        <w:bidi w:val="0"/>
        <w:ind w:left="990" w:right="1530" w:hanging="0"/>
        <w:jc w:val="center"/>
        <w:rPr/>
      </w:pPr>
      <w:r>
        <w:rPr/>
        <w:t> </w:t>
      </w:r>
    </w:p>
    <w:p>
      <w:pPr>
        <w:pStyle w:val="TextBody"/>
        <w:bidi w:val="0"/>
        <w:jc w:val="left"/>
        <w:rPr/>
      </w:pPr>
      <w:r>
        <w:rPr/>
        <w:t> </w:t>
      </w:r>
    </w:p>
    <w:p>
      <w:pPr>
        <w:pStyle w:val="TextBody"/>
        <w:bidi w:val="0"/>
        <w:spacing w:before="84" w:after="283"/>
        <w:ind w:left="0" w:right="61" w:hanging="0"/>
        <w:jc w:val="center"/>
        <w:rPr>
          <w:rFonts w:ascii="Times New Roman" w:hAnsi="Times New Roman"/>
          <w:b/>
          <w:color w:val="000000"/>
          <w:sz w:val="24"/>
          <w:u w:val="single"/>
        </w:rPr>
      </w:pPr>
      <w:r>
        <w:rPr>
          <w:rFonts w:ascii="Times New Roman" w:hAnsi="Times New Roman"/>
          <w:b/>
          <w:color w:val="000000"/>
          <w:sz w:val="24"/>
          <w:u w:val="single"/>
        </w:rPr>
        <w:t>Appendix B</w:t>
      </w:r>
    </w:p>
    <w:p>
      <w:pPr>
        <w:pStyle w:val="TextBody"/>
        <w:bidi w:val="0"/>
        <w:spacing w:before="240" w:after="283"/>
        <w:jc w:val="left"/>
        <w:rPr/>
      </w:pPr>
      <w:r>
        <w:rPr/>
        <w:t> </w:t>
      </w:r>
    </w:p>
    <w:p>
      <w:pPr>
        <w:pStyle w:val="TextBody"/>
        <w:bidi w:val="0"/>
        <w:ind w:left="0" w:right="61" w:hanging="0"/>
        <w:jc w:val="center"/>
        <w:rPr>
          <w:rFonts w:ascii="Times New Roman" w:hAnsi="Times New Roman"/>
          <w:b/>
          <w:color w:val="000000"/>
          <w:sz w:val="24"/>
        </w:rPr>
      </w:pPr>
      <w:r>
        <w:rPr>
          <w:rFonts w:ascii="Times New Roman" w:hAnsi="Times New Roman"/>
          <w:b/>
          <w:color w:val="000000"/>
          <w:sz w:val="24"/>
        </w:rPr>
        <w:t>Outside Activities</w:t>
      </w:r>
    </w:p>
    <w:p>
      <w:pPr>
        <w:pStyle w:val="TextBody"/>
        <w:bidi w:val="0"/>
        <w:ind w:left="0" w:right="61" w:hanging="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[Appendix B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left"/>
        <w:rPr/>
      </w:pPr>
      <w:r>
        <w:rPr/>
        <w:t> </w:t>
      </w:r>
    </w:p>
    <w:p>
      <w:pPr>
        <w:pStyle w:val="TextBody"/>
        <w:bidi w:val="0"/>
        <w:spacing w:before="0" w:after="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alxo-ex10_12.htm"/>
      <w:bookmarkStart w:id="41" w:name="ksalxoex10_12"/>
      <w:bookmarkEnd w:id="40"/>
      <w:bookmarkEnd w:id="41"/>
      <w:r>
        <w:rPr>
          <w:rFonts w:ascii="Times New Roman" w:hAnsi="Times New Roman"/>
          <w:b/>
          <w:color w:val="000000"/>
          <w:sz w:val="20"/>
        </w:rPr>
        <w:t>Exhibit 10.12</w:t>
      </w:r>
      <w:r>
        <w:br w:type="page"/>
      </w:r>
    </w:p>
    <w:p>
      <w:pPr>
        <w:pStyle w:val="TextBody"/>
        <w:bidi w:val="0"/>
        <w:jc w:val="center"/>
        <w:rPr>
          <w:rFonts w:ascii="Times New Roman" w:hAnsi="Times New Roman"/>
          <w:b/>
          <w:caps/>
          <w:color w:val="000000"/>
          <w:sz w:val="24"/>
        </w:rPr>
      </w:pPr>
      <w:r>
        <w:rPr>
          <w:rFonts w:ascii="Times New Roman" w:hAnsi="Times New Roman"/>
          <w:b/>
          <w:caps/>
          <w:color w:val="000000"/>
          <w:sz w:val="24"/>
        </w:rPr>
        <w:t>ALX ONCOLOGY HOLDINGS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CHANGE IN CONTROL AND SEVERANCE AGREEMENT</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4"/>
        </w:rPr>
        <w:t>This Change in Control and Severance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by and between ALX Oncology Holdings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___________________</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4"/>
          <w:u w:val="single"/>
        </w:rPr>
        <w:t>Executive</w:t>
      </w:r>
      <w:r>
        <w:rPr>
          <w:rFonts w:ascii="Times New Roman" w:hAnsi="Times New Roman"/>
          <w:color w:val="000000"/>
          <w:sz w:val="24"/>
        </w:rPr>
        <w:t>,” and together with the Company,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 effective as of the Effective Date, as defined in Section 7 below, and amends and restates in its entirety the Change in Control and Severance Agreement made and entered into by and between the Parties, which was effective as of __________________, as such agreement may have been amended and restated from time to time (the “</w:t>
      </w:r>
      <w:r>
        <w:rPr>
          <w:rFonts w:ascii="Times New Roman" w:hAnsi="Times New Roman"/>
          <w:color w:val="000000"/>
          <w:sz w:val="24"/>
          <w:u w:val="single"/>
        </w:rPr>
        <w:t>Prior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00" w:after="283"/>
        <w:ind w:left="0" w:right="0" w:firstLine="720"/>
        <w:jc w:val="both"/>
        <w:rPr>
          <w:rFonts w:ascii="Times New Roman" w:hAnsi="Times New Roman"/>
          <w:sz w:val="20"/>
        </w:rPr>
      </w:pPr>
      <w:r>
        <w:rPr>
          <w:rFonts w:ascii="Times New Roman" w:hAnsi="Times New Roman"/>
          <w:color w:val="000000"/>
          <w:sz w:val="24"/>
        </w:rPr>
        <w:t>This Agreement provides certain protections to Executive in connection with the involuntary termination of Executive’s employment under the circumstances described in this Agreement, including in connection with a change in control of the Company. Certain capitalized terms used in this Agreement are defined in Section 7 below.</w:t>
      </w:r>
      <w:r>
        <w:rPr>
          <w:rFonts w:ascii="Times New Roman" w:hAnsi="Times New Roman"/>
          <w:color w:val="000000"/>
          <w:sz w:val="20"/>
        </w:rPr>
        <w:t xml:space="preserve">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The Company and Executive agree as follows: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Term of Agreement</w:t>
      </w:r>
      <w:r>
        <w:rPr>
          <w:rFonts w:ascii="Times New Roman" w:hAnsi="Times New Roman"/>
          <w:color w:val="000000"/>
          <w:sz w:val="24"/>
        </w:rPr>
        <w:t xml:space="preserve">. This Agreement will continue indefinitely until terminated by written consent of the parties hereto, or if earlier, upon the date that all of the obligations of the parties hereto with respect to this Agreement have been satisfied.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Severance Benefits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Qualifying Termination Outside of the Change in Control Period</w:t>
      </w:r>
      <w:r>
        <w:rPr>
          <w:rFonts w:ascii="Times New Roman" w:hAnsi="Times New Roman"/>
          <w:color w:val="000000"/>
          <w:sz w:val="24"/>
        </w:rPr>
        <w:t>. In the event of a Qualifying Termination that occurs other than during the Change in Control Period, Executive will receive the following payments and benefits from the Company, subject to the requirements of this Agreement:</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Salary Severance</w:t>
      </w:r>
      <w:r>
        <w:rPr>
          <w:rFonts w:ascii="Times New Roman" w:hAnsi="Times New Roman"/>
          <w:color w:val="000000"/>
          <w:sz w:val="24"/>
        </w:rPr>
        <w:t>. A single, lump sum, cash payment equal to one hundred percent (100%) of Executive’s Salary.</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Prorated Bonus Severance</w:t>
      </w:r>
      <w:r>
        <w:rPr>
          <w:rFonts w:ascii="Times New Roman" w:hAnsi="Times New Roman"/>
          <w:color w:val="000000"/>
          <w:sz w:val="24"/>
        </w:rPr>
        <w:t>. A single, lump sum, cash payment equal to one hundred percent (100%) of Executive’s Target Bonus, prorated to reflect the portion (based on number of days) of the year in which the Qualifying Termination occurs that Executive remained employed with the Company.</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COBRA Severance</w:t>
      </w:r>
      <w:r>
        <w:rPr>
          <w:rFonts w:ascii="Times New Roman" w:hAnsi="Times New Roman"/>
          <w:color w:val="000000"/>
          <w:sz w:val="24"/>
        </w:rPr>
        <w:t>. Subject to Executive timely electing continuation coverage under the Consolidated Omnibus Budget Reconciliation Act of 1985, as amended (“</w:t>
      </w:r>
      <w:r>
        <w:rPr>
          <w:rFonts w:ascii="Times New Roman" w:hAnsi="Times New Roman"/>
          <w:color w:val="000000"/>
          <w:sz w:val="24"/>
          <w:u w:val="single"/>
        </w:rPr>
        <w:t>COBRA</w:t>
      </w:r>
      <w:r>
        <w:rPr>
          <w:color w:val="000000"/>
        </w:rPr>
        <w:t>”</w:t>
      </w:r>
      <w:r>
        <w:rPr>
          <w:rFonts w:ascii="Times New Roman" w:hAnsi="Times New Roman"/>
          <w:color w:val="000000"/>
          <w:sz w:val="24"/>
        </w:rPr>
        <w:t xml:space="preserve">) and further subject to Section 5(c), Executive will receive Company-paid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rFonts w:ascii="Times New Roman" w:hAnsi="Times New Roman"/>
          <w:color w:val="000000"/>
          <w:sz w:val="24"/>
        </w:rPr>
        <w:t>group health, dental and vision coverage for Executive and any of Executive’s eligible dependents, as applicable (the “</w:t>
      </w:r>
      <w:r>
        <w:rPr>
          <w:rFonts w:ascii="Times New Roman" w:hAnsi="Times New Roman"/>
          <w:color w:val="000000"/>
          <w:sz w:val="24"/>
          <w:u w:val="single"/>
        </w:rPr>
        <w:t>COBRA Severance</w:t>
      </w:r>
      <w:r>
        <w:rPr>
          <w:color w:val="000000"/>
        </w:rPr>
        <w:t>”</w:t>
      </w:r>
      <w:r>
        <w:rPr>
          <w:rFonts w:ascii="Times New Roman" w:hAnsi="Times New Roman"/>
          <w:color w:val="000000"/>
          <w:sz w:val="24"/>
        </w:rPr>
        <w:t>),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Qualifying Termination During the Change in Control Period</w:t>
      </w:r>
      <w:r>
        <w:rPr>
          <w:rFonts w:ascii="Times New Roman" w:hAnsi="Times New Roman"/>
          <w:color w:val="000000"/>
          <w:sz w:val="24"/>
        </w:rPr>
        <w:t>. In the event of a Qualifying Termination that occurs during the Change in Control Period, Executive will receive the following payments and benefits from the Company, subject to the requirements of this Agreement:</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Salary Severance</w:t>
      </w:r>
      <w:r>
        <w:rPr>
          <w:rFonts w:ascii="Times New Roman" w:hAnsi="Times New Roman"/>
          <w:color w:val="000000"/>
          <w:sz w:val="24"/>
        </w:rPr>
        <w:t>. A single, lump sum, cash payment equal to [one hundred fifty percent (150%) / one hundred percent (100%)] of Executive’s Salary.</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Target Bonus Severance</w:t>
      </w:r>
      <w:r>
        <w:rPr>
          <w:rFonts w:ascii="Times New Roman" w:hAnsi="Times New Roman"/>
          <w:color w:val="000000"/>
          <w:sz w:val="24"/>
        </w:rPr>
        <w:t>. A single, lump sum, cash payment equal to [one hundred fifty percent (150%) / one hundred percent (100%)] of Executive’s Target Bonus.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COBRA Severance</w:t>
      </w:r>
      <w:r>
        <w:rPr>
          <w:rFonts w:ascii="Times New Roman" w:hAnsi="Times New Roman"/>
          <w:color w:val="000000"/>
          <w:sz w:val="24"/>
        </w:rPr>
        <w:t>. Subject to Executive timely electing continuation coverage under COBRA and further subject to Section 5(c), Executive will receive COBRA Severance until the earliest of: (A) [eighteen (18) /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Vesting Acceleration of Service-based Equity Awards</w:t>
      </w:r>
      <w:r>
        <w:rPr>
          <w:rFonts w:ascii="Times New Roman" w:hAnsi="Times New Roman"/>
          <w:color w:val="000000"/>
          <w:sz w:val="24"/>
        </w:rPr>
        <w:t>. Vesting acceleration of one hundred percent (100%) of any Equity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Termination Other Than a Qualifying Termination</w:t>
      </w:r>
      <w:r>
        <w:rPr>
          <w:rFonts w:ascii="Times New Roman" w:hAnsi="Times New Roman"/>
          <w:color w:val="000000"/>
          <w:sz w:val="24"/>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Non-duplication of Payment or Benefits</w:t>
      </w:r>
      <w:r>
        <w:rPr>
          <w:rFonts w:ascii="Times New Roman" w:hAnsi="Times New Roman"/>
          <w:color w:val="000000"/>
          <w:sz w:val="24"/>
        </w:rPr>
        <w:t>. For purposes of clarity, in the event of a Qualifying Termination that occurs during the period within three (3) months prior to a Change in Control, any severance payments and benefits to be provided to Executive under Section 3(b) will be reduced by any amounts that already were provided to Executive under Section 3(a).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Times New Roman" w:hAnsi="Times New Roman"/>
          <w:color w:val="000000"/>
          <w:sz w:val="24"/>
          <w:u w:val="single"/>
        </w:rPr>
        <w:t>Other Benefits</w:t>
      </w:r>
      <w:r>
        <w:rPr>
          <w:color w:val="000000"/>
        </w:rPr>
        <w:t>”</w:t>
      </w:r>
      <w:r>
        <w:rPr>
          <w:rFonts w:ascii="Times New Roman" w:hAnsi="Times New Roman"/>
          <w:color w:val="000000"/>
          <w:sz w:val="24"/>
        </w:rPr>
        <w:t>), then the corresponding severance payments and benefits under this Agreement will be reduced by the amount of Other Benefits paid or provided to Executive.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Death of Executive</w:t>
      </w:r>
      <w:r>
        <w:rPr>
          <w:rFonts w:ascii="Times New Roman" w:hAnsi="Times New Roman"/>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Accrued Compensation</w:t>
      </w:r>
      <w:r>
        <w:rPr>
          <w:rFonts w:ascii="Times New Roman" w:hAnsi="Times New Roman"/>
          <w:color w:val="000000"/>
          <w:sz w:val="24"/>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Conditions to Receipt of Severance</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Separation Agreement and Release of Claims</w:t>
      </w:r>
      <w:r>
        <w:rPr>
          <w:rFonts w:ascii="Times New Roman" w:hAnsi="Times New Roman"/>
          <w:color w:val="000000"/>
          <w:sz w:val="24"/>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Times New Roman" w:hAnsi="Times New Roman"/>
          <w:color w:val="000000"/>
          <w:sz w:val="24"/>
          <w:u w:val="single"/>
        </w:rPr>
        <w:t>Release</w:t>
      </w:r>
      <w:r>
        <w:rPr>
          <w:color w:val="000000"/>
        </w:rPr>
        <w:t>”</w:t>
      </w:r>
      <w:r>
        <w:rPr>
          <w:rFonts w:ascii="Times New Roman" w:hAnsi="Times New Roman"/>
          <w:color w:val="000000"/>
          <w:sz w:val="24"/>
        </w:rPr>
        <w:t>), which must become effective and irrevocable no later than the sixtieth (60</w:t>
      </w:r>
      <w:r>
        <w:rPr>
          <w:rFonts w:ascii="Times New Roman" w:hAnsi="Times New Roman"/>
          <w:color w:val="000000"/>
          <w:sz w:val="16"/>
        </w:rPr>
        <w:t>th</w:t>
      </w:r>
      <w:r>
        <w:rPr>
          <w:rFonts w:ascii="Times New Roman" w:hAnsi="Times New Roman"/>
          <w:color w:val="000000"/>
          <w:sz w:val="24"/>
        </w:rPr>
        <w:t>) day following the date of the Qualifying Termination (the “</w:t>
      </w:r>
      <w:r>
        <w:rPr>
          <w:rFonts w:ascii="Times New Roman" w:hAnsi="Times New Roman"/>
          <w:color w:val="000000"/>
          <w:sz w:val="24"/>
          <w:u w:val="single"/>
        </w:rPr>
        <w:t>Release Deadline Date</w:t>
      </w:r>
      <w:r>
        <w:rPr>
          <w:color w:val="000000"/>
        </w:rPr>
        <w:t>”</w:t>
      </w:r>
      <w:r>
        <w:rPr>
          <w:rFonts w:ascii="Times New Roman" w:hAnsi="Times New Roman"/>
          <w:color w:val="000000"/>
          <w:sz w:val="24"/>
        </w:rPr>
        <w:t>). If the Release does not become effective and irrevocable by the Release Deadline Date, Executive will forfeit any right to severance payments or benefits under Section 3.</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Payment Timing</w:t>
      </w:r>
      <w:r>
        <w:rPr>
          <w:rFonts w:ascii="Times New Roman" w:hAnsi="Times New Roman"/>
          <w:color w:val="000000"/>
          <w:sz w:val="24"/>
        </w:rPr>
        <w:t>. Any lump sum cash severance payments under Section 3 relating to salary severance and any bonus severance will be provided to Executive on the first regularly scheduled payroll date of the Company following the date the Release becomes effective and irrevocable, subject to any delay required by Section 5(d) below. Any Equity Awards that are restricted stock units, performance shares, performance units, and/or similar full value awards (“</w:t>
      </w:r>
      <w:r>
        <w:rPr>
          <w:rFonts w:ascii="Times New Roman" w:hAnsi="Times New Roman"/>
          <w:color w:val="000000"/>
          <w:sz w:val="24"/>
          <w:u w:val="single"/>
        </w:rPr>
        <w:t>Full Value Awards</w:t>
      </w:r>
      <w:r>
        <w:rPr>
          <w:color w:val="000000"/>
        </w:rPr>
        <w:t>”</w:t>
      </w:r>
      <w:r>
        <w:rPr>
          <w:rFonts w:ascii="Times New Roman" w:hAnsi="Times New Roman"/>
          <w:color w:val="000000"/>
          <w:sz w:val="24"/>
        </w:rPr>
        <w:t>) that accelerate vesting under Section 3(b)(iv) will be settled, subject to any delay required by Section 5(d)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(i) on a date within ten (10) days following the date the Release becomes effective and irrevocable, or (ii) if later, in the event of a Qualifying Termination that occurs prior to a Change in Control, on a date on or before the date of completion of the Change in Control.</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COBRA Severance Limitations</w:t>
      </w:r>
      <w:r>
        <w:rPr>
          <w:rFonts w:ascii="Times New Roman" w:hAnsi="Times New Roman"/>
          <w:color w:val="000000"/>
          <w:sz w:val="24"/>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 by Section 5(d) below, the Company will provide to Executive a taxable monthly payment payable on the last day of a given month (except as provided by the immediately following sentence),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Times New Roman" w:hAnsi="Times New Roman"/>
          <w:color w:val="000000"/>
          <w:sz w:val="24"/>
          <w:u w:val="single"/>
        </w:rPr>
        <w:t>COBRA Replacement Payment</w:t>
      </w:r>
      <w:r>
        <w:rPr>
          <w:color w:val="000000"/>
        </w:rPr>
        <w:t>”</w:t>
      </w:r>
      <w:r>
        <w:rPr>
          <w:rFonts w:ascii="Times New Roman" w:hAnsi="Times New Roman"/>
          <w:color w:val="000000"/>
          <w:sz w:val="24"/>
        </w:rPr>
        <w:t>), which COBRA Replacement Payments will be made regardless of whether Executive elects COBRA continuation coverage and will end on the earlier of (i) the date upon which Executive obtains other employment, or (ii) the date the Company has paid an amount totaling the number of COBRA Replacement Payments equal to the number of months in the applicable COBRA Severance period set forth in clause (A) of Section 3(a)(ii) or Section 3(b)(iii),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hAnsi="Times New Roman"/>
          <w:color w:val="000000"/>
          <w:sz w:val="24"/>
          <w:u w:val="single"/>
        </w:rPr>
        <w:t>Deferred Payments</w:t>
      </w:r>
      <w:r>
        <w:rPr>
          <w:color w:val="000000"/>
        </w:rPr>
        <w:t>”</w:t>
      </w:r>
      <w:r>
        <w:rPr>
          <w:rFonts w:ascii="Times New Roman" w:hAnsi="Times New Roman"/>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5(d).</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rFonts w:ascii="Times New Roman" w:hAnsi="Times New Roman"/>
          <w:color w:val="000000"/>
          <w:sz w:val="24"/>
        </w:rPr>
        <w:t>day after Executive’s separation from service; provided that in the event of Executive’s death within such six (6) month period, any payments delayed by this subsection (ii)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r>
        <w:rPr>
          <w:color w:val="000000"/>
        </w:rPr>
        <w:t xml:space="preserve">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Limitation on Payments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Reduction of Severance Benefits</w:t>
      </w:r>
      <w:r>
        <w:rPr>
          <w:rFonts w:ascii="Times New Roman" w:hAnsi="Times New Roman"/>
          <w:color w:val="000000"/>
          <w:sz w:val="24"/>
        </w:rPr>
        <w:t>. If any payment or benefit that Executive would receive from the Company or any other party whether in connection with the provisions in this Agreement or otherwise (the “</w:t>
      </w:r>
      <w:r>
        <w:rPr>
          <w:rFonts w:ascii="Times New Roman" w:hAnsi="Times New Roman"/>
          <w:color w:val="000000"/>
          <w:sz w:val="24"/>
          <w:u w:val="single"/>
        </w:rPr>
        <w:t>Payments</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color w:val="000000"/>
          <w:sz w:val="24"/>
          <w:u w:val="single"/>
        </w:rPr>
        <w:t>Excise Tax</w:t>
      </w:r>
      <w:r>
        <w:rPr>
          <w:color w:val="000000"/>
        </w:rPr>
        <w:t>”</w:t>
      </w:r>
      <w:r>
        <w:rPr>
          <w:rFonts w:ascii="Times New Roman" w:hAnsi="Times New Roman"/>
          <w:color w:val="000000"/>
          <w:sz w:val="24"/>
        </w:rPr>
        <w:t xml:space="preserve">),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equity awards (that is, the most recently granted equity awards will be cancelled first); (C) reduction of the accelerated vesting of equity awards in the reverse order of date of grant of the equity awards (that is, the vesting of the most recently granted equity awards will be cancelled first); and (D) reduction of employee benefits in reverse chronological order (that is, the benefit owed on the latest date following the occurrence of the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Determination of Excise Tax Liability</w:t>
      </w:r>
      <w:r>
        <w:rPr>
          <w:rFonts w:ascii="Times New Roman" w:hAnsi="Times New Roman"/>
          <w:color w:val="000000"/>
          <w:sz w:val="24"/>
        </w:rPr>
        <w:t>. Unless the Company and Executive otherwise agree in writing, any determinations required under this Section 6 will be made in writing by a nationally recognized accounting or valuation firm (the “</w:t>
      </w:r>
      <w:r>
        <w:rPr>
          <w:rFonts w:ascii="Times New Roman" w:hAnsi="Times New Roman"/>
          <w:color w:val="000000"/>
          <w:sz w:val="24"/>
          <w:u w:val="single"/>
        </w:rPr>
        <w:t>Firm</w:t>
      </w:r>
      <w:r>
        <w:rPr>
          <w:color w:val="000000"/>
        </w:rPr>
        <w:t>”</w:t>
      </w:r>
      <w:r>
        <w:rPr>
          <w:rFonts w:ascii="Times New Roman" w:hAnsi="Times New Roman"/>
          <w:color w:val="000000"/>
          <w:sz w:val="24"/>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The following terms referred to in this Agreement will have the following meanings: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means stock options and other equity awards covering shares of Company common stock granted to Executive.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Company’s Board of Directors.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means Executive’s: (i) dishonesty of a material nature; (ii) theft or embezzlement of Company funds or assets; (iii) being convicted of, or guilty plea or no contest plea to, a felony charge or any misdemeanor involving moral turpitude, or the entry of a consent decree with any governmental body; (iv) noncompliance in any material respect with any U.S. or non</w:t>
        <w:noBreakHyphen/>
        <w:t>U.S. laws or regulations; (v) [continued] violation of any express direction or any rule, regulation or policy established by the Company or the Board [after receiving written notice of such violation and failing to remedy the violation within thirty (30) days]; (vi) material breach of this Agreement or the Confidentiality Agreement; (vii) breach of any fiduciary duty to the Company; (viii) gross incompetence, neglect, or misconduct in the performance of Executive’s duties; or (ix) repeated failure to perform Executive’s duties and responsibilities for the Company or follow the reasonable and lawful instructions of the Company [after receiving written notice of such failure and failing to remedy the violation within thirty (30) days] [; provided that the Company shall not have Cause under this Agreement with respect to Section 7(c)(i), (iv), (v), (vi), (viii) or (ix) unless or until it first provides written notice to Executive and at least ten (10) business days to cure the event or occurrence giving rise to Cause if curable in the reasonable judgment of the Company].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first occurrence of any of the following events on or after the Effective Date: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xml:space="preserve">.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market value means the value of the assets of the Company, or the value of the assets being disposed of, determined without regard to any liabilities associated with such assets.</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color w:val="000000"/>
          <w:sz w:val="24"/>
          <w:u w:val="single"/>
        </w:rPr>
        <w:t>Change in Control Period</w:t>
      </w:r>
      <w:r>
        <w:rPr>
          <w:color w:val="000000"/>
        </w:rPr>
        <w:t xml:space="preserve">” </w:t>
      </w:r>
      <w:r>
        <w:rPr>
          <w:rFonts w:ascii="Times New Roman" w:hAnsi="Times New Roman"/>
          <w:color w:val="000000"/>
          <w:sz w:val="24"/>
        </w:rPr>
        <w:t>means the period beginning on the date three (3) months prior to a Change in Control and ending on (and inclusive of) the date that is the one (1) year anniversary of a Change in Control.</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color w:val="000000"/>
          <w:sz w:val="24"/>
          <w:u w:val="single"/>
        </w:rPr>
        <w:t>Confidentiality Agreement</w:t>
      </w:r>
      <w:r>
        <w:rPr>
          <w:color w:val="000000"/>
        </w:rPr>
        <w:t xml:space="preserve">” </w:t>
      </w:r>
      <w:r>
        <w:rPr>
          <w:rFonts w:ascii="Times New Roman" w:hAnsi="Times New Roman"/>
          <w:color w:val="000000"/>
          <w:sz w:val="24"/>
        </w:rPr>
        <w:t>means Executive’s Employee Confidentiality, Inventions and Non</w:t>
        <w:noBreakHyphen/>
        <w:t>Interference Agreement entered into with the Company dated [_____].</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 xml:space="preserve">means a member of the Board.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means total and permanent disability as defined in Code Section 22(e)(3).</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color w:val="000000"/>
        </w:rPr>
        <w:t>“</w:t>
      </w:r>
      <w:r>
        <w:rPr>
          <w:rFonts w:ascii="Times New Roman" w:hAnsi="Times New Roman"/>
          <w:color w:val="000000"/>
          <w:sz w:val="24"/>
          <w:u w:val="single"/>
        </w:rPr>
        <w:t>Effective Date</w:t>
      </w:r>
      <w:r>
        <w:rPr>
          <w:color w:val="000000"/>
        </w:rPr>
        <w:t xml:space="preserve">” </w:t>
      </w:r>
      <w:r>
        <w:rPr>
          <w:rFonts w:ascii="Times New Roman" w:hAnsi="Times New Roman"/>
          <w:color w:val="000000"/>
          <w:sz w:val="24"/>
        </w:rPr>
        <w:t xml:space="preserve">means the last date on which the Parties have executed this Agreement as set forth below.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color w:val="000000"/>
        </w:rPr>
        <w:t>“</w:t>
      </w:r>
      <w:r>
        <w:rPr>
          <w:rFonts w:ascii="Times New Roman" w:hAnsi="Times New Roman"/>
          <w:color w:val="000000"/>
          <w:sz w:val="24"/>
          <w:u w:val="single"/>
        </w:rPr>
        <w:t>Equity Awards</w:t>
      </w:r>
      <w:r>
        <w:rPr>
          <w:color w:val="000000"/>
        </w:rPr>
        <w:t xml:space="preserve">” </w:t>
      </w:r>
      <w:r>
        <w:rPr>
          <w:rFonts w:ascii="Times New Roman" w:hAnsi="Times New Roman"/>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color w:val="000000"/>
        </w:rPr>
        <w:t>“</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 xml:space="preserve">means Executive’s termination of Executive’s employment with the Company within thirty (30) days following the end of the Company’s Cure Period (as defined below) as a result of the occurrence of any of the following without Executive’s written consent: (i) a material diminution in Executive’s base salary [or reduction in Executive’s Target Bonus percentage]; (ii) the assignment to Executive of duties that are materially inconsistent with Executive’s duties that results in a material diminution of Executive’s duties with the Company in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rFonts w:ascii="Times New Roman" w:hAnsi="Times New Roman"/>
          <w:color w:val="000000"/>
          <w:sz w:val="24"/>
        </w:rPr>
        <w:t>effect immediately prior to such assignment; (iii) a material diminution in Executive’s authority, responsibilities, [or job title] [job title, or any change in Executive's reporting line]; (iv) [material breach of any agreement between Executive and the Company; (v) any directive given to Executive in violation of any federal or state law, rule, regulation or Company policy; or (vi)] a material change in the location of Executive’s primary place of work to a location more than thirty (30) miles from Executive’s primary place of work immediately prior to such change and that is further from Executive’s residence; provided, however, that Executive must provide written notice to the [Board / Company] of the condition that could constitute a “Good Reason” event within sixty (60) days following the initial existence of such condition and such condition must not have been remedied by the Company within thirty (30) days (the “</w:t>
      </w:r>
      <w:r>
        <w:rPr>
          <w:rFonts w:ascii="Times New Roman" w:hAnsi="Times New Roman"/>
          <w:color w:val="000000"/>
          <w:sz w:val="24"/>
          <w:u w:val="single"/>
        </w:rPr>
        <w:t>Cure Period</w:t>
      </w:r>
      <w:r>
        <w:rPr>
          <w:color w:val="000000"/>
        </w:rPr>
        <w:t>”</w:t>
      </w:r>
      <w:r>
        <w:rPr>
          <w:rFonts w:ascii="Times New Roman" w:hAnsi="Times New Roman"/>
          <w:color w:val="000000"/>
          <w:sz w:val="24"/>
        </w:rPr>
        <w:t>) of such written notice. To the extent Executive’s primary work location is Executive’s residence due to a shelter</w:t>
        <w:noBreakHyphen/>
        <w:t>in</w:t>
        <w:noBreakHyphen/>
        <w:t>place order or similar work</w:t>
        <w:noBreakHyphen/>
        <w:t>from</w:t>
        <w:noBreakHyphen/>
        <w:t>home arrangement that applies to Executive, Executive’s primary place of work, from which a change in location under the foregoing clause [(iv)][(vi)] will be measured, will be considered the Company’s office location where Executive’s employment with the Company primarily was based immediately prior to the commencement of such shelter-in-place order or similar work-from-home arrangement.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color w:val="000000"/>
        </w:rPr>
        <w:t>“</w:t>
      </w:r>
      <w:r>
        <w:rPr>
          <w:rFonts w:ascii="Times New Roman" w:hAnsi="Times New Roman"/>
          <w:color w:val="000000"/>
          <w:sz w:val="24"/>
          <w:u w:val="single"/>
        </w:rPr>
        <w:t>Qualifying Termination</w:t>
      </w:r>
      <w:r>
        <w:rPr>
          <w:color w:val="000000"/>
        </w:rPr>
        <w:t xml:space="preserve">” </w:t>
      </w:r>
      <w:r>
        <w:rPr>
          <w:rFonts w:ascii="Times New Roman" w:hAnsi="Times New Roman"/>
          <w:color w:val="000000"/>
          <w:sz w:val="24"/>
        </w:rPr>
        <w:t>means a termination of Executive’s employment with the Company either (i) by the Company without Cause and other than due to Executive’s death or Disability, or (ii) by Executive for Good Reason.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color w:val="000000"/>
        </w:rPr>
        <w:t>“</w:t>
      </w:r>
      <w:r>
        <w:rPr>
          <w:rFonts w:ascii="Times New Roman" w:hAnsi="Times New Roman"/>
          <w:color w:val="000000"/>
          <w:sz w:val="24"/>
          <w:u w:val="single"/>
        </w:rPr>
        <w:t>Salary</w:t>
      </w:r>
      <w:r>
        <w:rPr>
          <w:color w:val="000000"/>
        </w:rPr>
        <w:t xml:space="preserve">” </w:t>
      </w:r>
      <w:r>
        <w:rPr>
          <w:rFonts w:ascii="Times New Roman" w:hAnsi="Times New Roman"/>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Treasury Regulations and guidance thereunder, and any applicable state law equivalent, as each may be promulgated, amended or modified from time to time.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both"/>
        <w:rPr/>
      </w:pPr>
      <w:r>
        <w:rPr>
          <w:color w:val="000000"/>
        </w:rPr>
        <w:t>“</w:t>
      </w:r>
      <w:r>
        <w:rPr>
          <w:rFonts w:ascii="Times New Roman" w:hAnsi="Times New Roman"/>
          <w:color w:val="000000"/>
          <w:sz w:val="24"/>
          <w:u w:val="single"/>
        </w:rPr>
        <w:t>Target Bonus</w:t>
      </w:r>
      <w:r>
        <w:rPr>
          <w:color w:val="000000"/>
        </w:rPr>
        <w:t xml:space="preserve">” </w:t>
      </w:r>
      <w:r>
        <w:rPr>
          <w:rFonts w:ascii="Times New Roman" w:hAnsi="Times New Roman"/>
          <w:color w:val="000000"/>
          <w:sz w:val="24"/>
        </w:rPr>
        <w:t xml:space="preserve">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 xml:space="preserve">.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descent and distribution. Any other attempted assignment, transfer, conveyance, or other disposition of Executive’s right to compensation or other benefits will be null and void.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Notice</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 All notices and other communications required or permitted under this Agreement will be in writing and will be effectively given (i) upon actual delivery to the party to be notified, (ii) upon transmission by email, (iii) twenty-four (24) hours after confirmed facsimile transmission, (iv) one (1) business day after deposit with a recognized overnight courier, or (v) three (3) business days after deposit with the U.S. Postal Service by first class certified or registered mail, return receipt requested, postage prepaid, addressed: (A) if to Executive, at the address Executive will have most recently furnished to the Company in writing, (B) if to the Company, at the following address:</w:t>
      </w:r>
    </w:p>
    <w:p>
      <w:pPr>
        <w:pStyle w:val="TextBody"/>
        <w:bidi w:val="0"/>
        <w:spacing w:before="240" w:after="283"/>
        <w:ind w:left="0" w:right="0" w:firstLine="2160"/>
        <w:jc w:val="both"/>
        <w:rPr>
          <w:rFonts w:ascii="Times New Roman" w:hAnsi="Times New Roman"/>
          <w:color w:val="000000"/>
          <w:sz w:val="24"/>
        </w:rPr>
      </w:pPr>
      <w:r>
        <w:rPr>
          <w:rFonts w:ascii="Times New Roman" w:hAnsi="Times New Roman"/>
          <w:color w:val="000000"/>
          <w:sz w:val="24"/>
        </w:rPr>
        <w:t>ALX Oncology Holdings Inc.</w:t>
      </w:r>
    </w:p>
    <w:p>
      <w:pPr>
        <w:pStyle w:val="TextBody"/>
        <w:bidi w:val="0"/>
        <w:ind w:left="0" w:right="0" w:firstLine="2160"/>
        <w:jc w:val="both"/>
        <w:rPr>
          <w:rFonts w:ascii="Times New Roman" w:hAnsi="Times New Roman"/>
          <w:color w:val="000000"/>
          <w:sz w:val="24"/>
        </w:rPr>
      </w:pPr>
      <w:r>
        <w:rPr>
          <w:rFonts w:ascii="Times New Roman" w:hAnsi="Times New Roman"/>
          <w:color w:val="000000"/>
          <w:sz w:val="24"/>
        </w:rPr>
        <w:t>323 Allerton Avenue</w:t>
      </w:r>
    </w:p>
    <w:p>
      <w:pPr>
        <w:pStyle w:val="TextBody"/>
        <w:bidi w:val="0"/>
        <w:ind w:left="0" w:right="0" w:firstLine="2160"/>
        <w:jc w:val="both"/>
        <w:rPr>
          <w:rFonts w:ascii="Times New Roman" w:hAnsi="Times New Roman"/>
          <w:color w:val="000000"/>
          <w:sz w:val="24"/>
        </w:rPr>
      </w:pPr>
      <w:r>
        <w:rPr>
          <w:rFonts w:ascii="Times New Roman" w:hAnsi="Times New Roman"/>
          <w:color w:val="000000"/>
          <w:sz w:val="24"/>
        </w:rPr>
        <w:t>South San Francisco, California 94080</w:t>
      </w:r>
    </w:p>
    <w:p>
      <w:pPr>
        <w:pStyle w:val="TextBody"/>
        <w:bidi w:val="0"/>
        <w:ind w:left="0" w:right="0" w:firstLine="2160"/>
        <w:jc w:val="both"/>
        <w:rPr>
          <w:rFonts w:ascii="Times New Roman" w:hAnsi="Times New Roman"/>
          <w:color w:val="000000"/>
          <w:sz w:val="24"/>
        </w:rPr>
      </w:pPr>
      <w:r>
        <w:rPr>
          <w:rFonts w:ascii="Times New Roman" w:hAnsi="Times New Roman"/>
          <w:color w:val="000000"/>
          <w:sz w:val="24"/>
        </w:rPr>
        <w:t>Attention: [_______]</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Notice of Termination</w:t>
      </w:r>
      <w:r>
        <w:rPr>
          <w:rFonts w:ascii="Times New Roman" w:hAnsi="Times New Roman"/>
          <w:color w:val="000000"/>
          <w:sz w:val="24"/>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9(a).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Resignation</w:t>
      </w:r>
      <w:r>
        <w:rPr>
          <w:rFonts w:ascii="Times New Roman" w:hAnsi="Times New Roman"/>
          <w:color w:val="000000"/>
          <w:sz w:val="24"/>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Duty to Mitigate</w:t>
      </w:r>
      <w:r>
        <w:rPr>
          <w:rFonts w:ascii="Times New Roman" w:hAnsi="Times New Roman"/>
          <w:color w:val="000000"/>
          <w:sz w:val="24"/>
        </w:rPr>
        <w:t>. Executive will not be required to mitigate the amount of any payment contemplated by this Agreement, nor will any payment be reduced by any earnings that Executive may receive from any other source except as specified in Sections 3(d), 5(d) and 6.</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Waiver; Amendment</w:t>
      </w:r>
      <w:r>
        <w:rPr>
          <w:rFonts w:ascii="Times New Roman" w:hAnsi="Times New Roman"/>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Headings are provided herein for convenience only, and will not serve as a basis for interpretation or construction of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This Agreement, together with the Confidentiality Agreement, Executive’s employment letter with the Company dated [____], and the Company’s Amended and Restated 2020 Equity Incentive Plan[, 2025 Inducement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the Prior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This Agreement will be governed by the laws of the State of [California / Colorado]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 Colorado] for any lawsuit filed against Executive by the Company.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Withholding</w:t>
      </w:r>
      <w:r>
        <w:rPr>
          <w:rFonts w:ascii="Times New Roman" w:hAnsi="Times New Roman"/>
          <w:color w:val="000000"/>
          <w:sz w:val="24"/>
        </w:rPr>
        <w:t>. The Company (and any parent, subsidiary or other affiliate of the Company, as applicable) will have the right and authority to deduct from any payments or benefits all applicable federal, state, local, and/or non</w:t>
        <w:noBreakHyphen/>
        <w:t>U.S. taxes or other required withholdings and payroll deductions (“</w:t>
      </w:r>
      <w:r>
        <w:rPr>
          <w:rFonts w:ascii="Times New Roman" w:hAnsi="Times New Roman"/>
          <w:color w:val="000000"/>
          <w:sz w:val="24"/>
          <w:u w:val="single"/>
        </w:rPr>
        <w:t>Withholdings</w:t>
      </w:r>
      <w:r>
        <w:rPr>
          <w:color w:val="000000"/>
        </w:rPr>
        <w:t>”</w:t>
      </w:r>
      <w:r>
        <w:rPr>
          <w:rFonts w:ascii="Times New Roman" w:hAnsi="Times New Roman"/>
          <w:color w:val="000000"/>
          <w:sz w:val="24"/>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each of which will be deemed an original, but all of which together will constitute one and the same instrument.</w:t>
      </w:r>
    </w:p>
    <w:p>
      <w:pPr>
        <w:pStyle w:val="TextBody"/>
        <w:bidi w:val="0"/>
        <w:spacing w:before="240" w:after="283"/>
        <w:ind w:left="0" w:right="0" w:firstLine="72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ind w:left="0" w:right="0" w:firstLine="720"/>
        <w:jc w:val="center"/>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By its signature below, each of the parties signifies its acceptance of the terms of this Agreement, in the case of the Company by its duly authorized officer.</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b/>
          <w:caps/>
          <w:color w:val="000000"/>
          <w:sz w:val="24"/>
        </w:rPr>
        <w:t>ALX ONCOLOGY HOLDINGS INC.</w:t>
      </w:r>
    </w:p>
    <w:p>
      <w:pPr>
        <w:pStyle w:val="TextBody"/>
        <w:bidi w:val="0"/>
        <w:spacing w:before="480" w:after="283"/>
        <w:ind w:left="5040" w:right="0"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[Name]</w:t>
      </w:r>
    </w:p>
    <w:p>
      <w:pPr>
        <w:pStyle w:val="TextBody"/>
        <w:pBdr/>
        <w:bidi w:val="0"/>
        <w:spacing w:before="360" w:after="283"/>
        <w:ind w:left="5040" w:right="0" w:hanging="72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[Title] </w:t>
      </w:r>
    </w:p>
    <w:p>
      <w:pPr>
        <w:pStyle w:val="TextBody"/>
        <w:bidi w:val="0"/>
        <w:spacing w:before="360" w:after="283"/>
        <w:ind w:left="4320" w:right="0" w:firstLine="720"/>
        <w:jc w:val="left"/>
        <w:rPr>
          <w:rFonts w:ascii="Times New Roman" w:hAnsi="Times New Roman"/>
          <w:color w:val="000000"/>
          <w:sz w:val="24"/>
        </w:rPr>
      </w:pPr>
      <w:r>
        <w:rPr>
          <w:rFonts w:ascii="Times New Roman" w:hAnsi="Times New Roman"/>
          <w:color w:val="000000"/>
          <w:sz w:val="24"/>
        </w:rPr>
        <w:t xml:space="preserve">Date: </w:t>
      </w:r>
    </w:p>
    <w:p>
      <w:pPr>
        <w:pStyle w:val="TextBody"/>
        <w:bidi w:val="0"/>
        <w:spacing w:before="360" w:after="283"/>
        <w:jc w:val="left"/>
        <w:rPr/>
      </w:pPr>
      <w:r>
        <w:rPr/>
        <w:t>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 xml:space="preserve">EXECUTIVE </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[Name]</w:t>
      </w:r>
    </w:p>
    <w:p>
      <w:pPr>
        <w:pStyle w:val="TextBody"/>
        <w:bidi w:val="0"/>
        <w:spacing w:before="240" w:after="283"/>
        <w:ind w:left="4320" w:right="0" w:firstLine="720"/>
        <w:jc w:val="left"/>
        <w:rPr>
          <w:rFonts w:ascii="Times New Roman" w:hAnsi="Times New Roman"/>
          <w:color w:val="000000"/>
          <w:sz w:val="24"/>
        </w:rPr>
      </w:pPr>
      <w:r>
        <w:rPr>
          <w:rFonts w:ascii="Times New Roman" w:hAnsi="Times New Roman"/>
          <w:color w:val="000000"/>
          <w:sz w:val="24"/>
        </w:rPr>
        <w:t xml:space="preserve">Date: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alxo-ex23_1.htm"/>
      <w:bookmarkStart w:id="43" w:name="ksalxoex23_1"/>
      <w:bookmarkEnd w:id="42"/>
      <w:bookmarkEnd w:id="43"/>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333-239927, 333-254459, 333-263090, 333-270424, 333-277765, 333-284348, and 333-292860) on Form S-8 and (Nos. 333-274314 and 333-285620) on Form S-3 of our report dated March 9, 2026, with respect to the consolidated financial statements of ALX Oncology Holdings Inc.</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March 9,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alxo-ex31_1.htm"/>
      <w:bookmarkStart w:id="45" w:name="ksalxoex31_1"/>
      <w:bookmarkEnd w:id="44"/>
      <w:bookmarkEnd w:id="4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557" w:type="dxa"/>
        <w:jc w:val="left"/>
        <w:tblInd w:w="0" w:type="dxa"/>
        <w:tblLayout w:type="fixed"/>
        <w:tblCellMar>
          <w:top w:w="28" w:type="dxa"/>
          <w:left w:w="28" w:type="dxa"/>
          <w:bottom w:w="28" w:type="dxa"/>
          <w:right w:w="28" w:type="dxa"/>
        </w:tblCellMar>
      </w:tblPr>
      <w:tblGrid>
        <w:gridCol w:w="1786"/>
        <w:gridCol w:w="109"/>
        <w:gridCol w:w="406"/>
        <w:gridCol w:w="325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alxo-ex31_2.htm"/>
      <w:bookmarkStart w:id="47" w:name="ksalxoex31_2"/>
      <w:bookmarkEnd w:id="46"/>
      <w:bookmarkEnd w:id="4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Harish Shantharam,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4867" w:type="dxa"/>
        <w:jc w:val="left"/>
        <w:tblInd w:w="0" w:type="dxa"/>
        <w:tblLayout w:type="fixed"/>
        <w:tblCellMar>
          <w:top w:w="28" w:type="dxa"/>
          <w:left w:w="28" w:type="dxa"/>
          <w:bottom w:w="28" w:type="dxa"/>
          <w:right w:w="28" w:type="dxa"/>
        </w:tblCellMar>
      </w:tblPr>
      <w:tblGrid>
        <w:gridCol w:w="1786"/>
        <w:gridCol w:w="109"/>
        <w:gridCol w:w="406"/>
        <w:gridCol w:w="256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alxo-ex32_1.htm"/>
      <w:bookmarkStart w:id="49" w:name="ksalxoex32_1"/>
      <w:bookmarkEnd w:id="48"/>
      <w:bookmarkEnd w:id="4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Annual Report of ALX Oncology Holdings Inc. (the “Company”), on Form 10-K for the fiscal year ended December 31, 2025, as filed with the Securities and Exchange Commission on the date hereof (the “Report”), I certify, pursuant to 18 U.S.C. §1350, as adopted pursuant to section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786"/>
        <w:gridCol w:w="109"/>
        <w:gridCol w:w="406"/>
        <w:gridCol w:w="325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alxo-ex32_2.htm"/>
      <w:bookmarkStart w:id="51" w:name="ksalxoex32_2"/>
      <w:bookmarkEnd w:id="50"/>
      <w:bookmarkEnd w:id="5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Annual Report of ALX Oncology Holdings Inc. (the “Company”), on Form 10-K for the fiscal year ended December 31, 2025, as filed with the Securities and Exchange Commission on the date hereof (the “Report”), I certify, pursuant to 18 U.S.C. §1350, as adopted pursuant to section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4867" w:type="dxa"/>
        <w:jc w:val="left"/>
        <w:tblInd w:w="0" w:type="dxa"/>
        <w:tblLayout w:type="fixed"/>
        <w:tblCellMar>
          <w:top w:w="28" w:type="dxa"/>
          <w:left w:w="28" w:type="dxa"/>
          <w:bottom w:w="28" w:type="dxa"/>
          <w:right w:w="28" w:type="dxa"/>
        </w:tblCellMar>
      </w:tblPr>
      <w:tblGrid>
        <w:gridCol w:w="1786"/>
        <w:gridCol w:w="109"/>
        <w:gridCol w:w="406"/>
        <w:gridCol w:w="256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hyperlink" Target="https://www.sec.gov/Archives/edgar/data/1810182/000119312520196288/d47591dex31.htm" TargetMode="External"/><Relationship Id="rId19" Type="http://schemas.openxmlformats.org/officeDocument/2006/relationships/hyperlink" Target="https://www.sec.gov/Archives/edgar/data/1810182/000095017023028787/alxo-ex3_1.htm" TargetMode="External"/><Relationship Id="rId20" Type="http://schemas.openxmlformats.org/officeDocument/2006/relationships/hyperlink" Target="https://www.sec.gov/Archives/edgar/data/1810182/000119312520181021/d913838dex41.htm" TargetMode="External"/><Relationship Id="rId21" Type="http://schemas.openxmlformats.org/officeDocument/2006/relationships/hyperlink" Target="https://www.sec.gov/Archives/edgar/data/1810182/000119312520181021/d913838dex42.htm" TargetMode="External"/><Relationship Id="rId22" Type="http://schemas.openxmlformats.org/officeDocument/2006/relationships/hyperlink" Target="https://www.sec.gov/Archives/edgar/data/1810182/000095017024027955/alxo-ex4_3.htm" TargetMode="External"/><Relationship Id="rId23" Type="http://schemas.openxmlformats.org/officeDocument/2006/relationships/hyperlink" Target="https://www.sec.gov/Archives/edgar/data/1810182/000119312523251917/d534693dex41.htm" TargetMode="External"/><Relationship Id="rId24" Type="http://schemas.openxmlformats.org/officeDocument/2006/relationships/hyperlink" Target="https://www.sec.gov/Archives/edgar/data/1810182/000119312526030579/d12882dex41.htm" TargetMode="External"/><Relationship Id="rId25" Type="http://schemas.openxmlformats.org/officeDocument/2006/relationships/hyperlink" Target="https://www.sec.gov/Archives/edgar/data/1810182/000095017022020521/alxo-ex10_1.htm" TargetMode="External"/><Relationship Id="rId26" Type="http://schemas.openxmlformats.org/officeDocument/2006/relationships/hyperlink" Target="https://www.sec.gov/Archives/edgar/data/1810182/000095017023007013/alxo-ex10_11.htm" TargetMode="External"/><Relationship Id="rId27" Type="http://schemas.openxmlformats.org/officeDocument/2006/relationships/hyperlink" Target="https://www.sec.gov/Archives/edgar/data/1810182/000095017023041319/alxo-ex10_1.htm" TargetMode="External"/><Relationship Id="rId28" Type="http://schemas.openxmlformats.org/officeDocument/2006/relationships/hyperlink" Target="https://www.sec.gov/Archives/edgar/data/1810182/000095017023073016/alxo-ex10_1.htm" TargetMode="External"/><Relationship Id="rId29" Type="http://schemas.openxmlformats.org/officeDocument/2006/relationships/hyperlink" Target="https://www.sec.gov/Archives/edgar/data/0001810182/000119312521361275/d227281dex11.htm" TargetMode="External"/><Relationship Id="rId30" Type="http://schemas.openxmlformats.org/officeDocument/2006/relationships/hyperlink" Target="https://www.sec.gov/Archives/edgar/data/1810182/000095017023062929/alxo-ex10_1.htm" TargetMode="External"/><Relationship Id="rId31" Type="http://schemas.openxmlformats.org/officeDocument/2006/relationships/hyperlink" Target="https://www.sec.gov/Archives/edgar/data/1810182/000119312520181021/d913838dex101.htm" TargetMode="External"/><Relationship Id="rId32" Type="http://schemas.openxmlformats.org/officeDocument/2006/relationships/hyperlink" Target="https://www.sec.gov/Archives/edgar/data/1810182/000119312520191500/d913838dex102.htm" TargetMode="External"/><Relationship Id="rId33" Type="http://schemas.openxmlformats.org/officeDocument/2006/relationships/hyperlink" Target="https://www.sec.gov/Archives/edgar/data/1810182/000119312526018094/alxo-ex10_1.htm" TargetMode="External"/><Relationship Id="rId34" Type="http://schemas.openxmlformats.org/officeDocument/2006/relationships/hyperlink" Target="https://www.sec.gov/Archives/edgar/data/1810182/000119312520191500/d913838dex103.htm" TargetMode="External"/><Relationship Id="rId35" Type="http://schemas.openxmlformats.org/officeDocument/2006/relationships/hyperlink" Target="https://www.sec.gov/Archives/edgar/data/1810182/000119312523229584/d846509dex101.htm" TargetMode="External"/><Relationship Id="rId36" Type="http://schemas.openxmlformats.org/officeDocument/2006/relationships/hyperlink" Target="https://www.sec.gov/Archives/edgar/data/1810182/000095017025034761/alxo-ex10_8.htm" TargetMode="External"/><Relationship Id="rId37" Type="http://schemas.openxmlformats.org/officeDocument/2006/relationships/hyperlink" Target="https://www.sec.gov/Archives/edgar/data/1810182/000156459022007364/alxo-ex106_1098.htm" TargetMode="External"/><Relationship Id="rId38" Type="http://schemas.openxmlformats.org/officeDocument/2006/relationships/hyperlink" Target="https://www.sec.gov/Archives/edgar/data/1810182/000119312520191500/d913838dex109.htm" TargetMode="External"/><Relationship Id="rId39" Type="http://schemas.openxmlformats.org/officeDocument/2006/relationships/hyperlink" Target="https://www.sec.gov/Archives/edgar/data/1810182/000119312520181021/d913838dex1012.htm" TargetMode="External"/><Relationship Id="rId40" Type="http://schemas.openxmlformats.org/officeDocument/2006/relationships/hyperlink" Target="https://www.sec.gov/Archives/edgar/data/1810182/000095017025066894/alxo-ex10_3.htm" TargetMode="External"/><Relationship Id="rId41" Type="http://schemas.openxmlformats.org/officeDocument/2006/relationships/hyperlink" Target="https://www.sec.gov/Archives/edgar/data/1810182/000095017025034761/alxo-ex19_1.htm" TargetMode="External"/><Relationship Id="rId42" Type="http://schemas.openxmlformats.org/officeDocument/2006/relationships/hyperlink" Target="https://www.sec.gov/Archives/edgar/data/1810182/000095017025034761/alxo-ex21_1.htm" TargetMode="External"/><Relationship Id="rId43" Type="http://schemas.openxmlformats.org/officeDocument/2006/relationships/hyperlink" Target="https://www.sec.gov/Archives/edgar/data/1810182/000095017024027955/alxo-ex97_1.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102313</Words>
  <Characters>570223</Characters>
  <CharactersWithSpaces>673303</CharactersWithSpaces>
  <Paragraphs>9164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