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20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001-39386</w:t>
            </w:r>
          </w:p>
        </w:tc>
        <w:tc>
          <w:tcPr>
            <w:tcW w:w="226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20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60" w:type="dxa"/>
            <w:vAlign w:val="bottom"/>
          </w:tcPr>
          <w:p>
            <w:pPr>
              <w:jc w:val="center"/>
              <w:ind w:left="11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0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21"/>
              <w:spacing w:after="0"/>
              <w:rPr>
                <w:sz w:val="20"/>
                <w:szCs w:val="20"/>
                <w:color w:val="auto"/>
              </w:rPr>
            </w:pPr>
            <w:r>
              <w:rPr>
                <w:rFonts w:ascii="Arial" w:cs="Arial" w:eastAsia="Arial" w:hAnsi="Arial"/>
                <w:sz w:val="13"/>
                <w:szCs w:val="13"/>
                <w:b w:val="1"/>
                <w:bCs w:val="1"/>
                <w:color w:val="auto"/>
                <w:w w:val="94"/>
              </w:rPr>
              <w:t>(Commission File Number)</w:t>
            </w:r>
          </w:p>
        </w:tc>
        <w:tc>
          <w:tcPr>
            <w:tcW w:w="2260" w:type="dxa"/>
            <w:vAlign w:val="bottom"/>
          </w:tcPr>
          <w:p>
            <w:pPr>
              <w:jc w:val="center"/>
              <w:ind w:left="112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0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3200" w:type="dxa"/>
            <w:vAlign w:val="bottom"/>
          </w:tcPr>
          <w:p>
            <w:pPr>
              <w:jc w:val="center"/>
              <w:ind w:right="801"/>
              <w:spacing w:after="0"/>
              <w:rPr>
                <w:sz w:val="20"/>
                <w:szCs w:val="20"/>
                <w:color w:val="auto"/>
              </w:rPr>
            </w:pPr>
            <w:r>
              <w:rPr>
                <w:rFonts w:ascii="Arial" w:cs="Arial" w:eastAsia="Arial" w:hAnsi="Arial"/>
                <w:sz w:val="18"/>
                <w:szCs w:val="18"/>
                <w:b w:val="1"/>
                <w:bCs w:val="1"/>
                <w:color w:val="auto"/>
                <w:w w:val="93"/>
              </w:rPr>
              <w:t>Burlingame, California</w:t>
            </w:r>
          </w:p>
        </w:tc>
        <w:tc>
          <w:tcPr>
            <w:tcW w:w="3660" w:type="dxa"/>
            <w:vAlign w:val="bottom"/>
          </w:tcPr>
          <w:p>
            <w:pPr>
              <w:spacing w:after="0"/>
              <w:rPr>
                <w:sz w:val="19"/>
                <w:szCs w:val="19"/>
                <w:color w:val="auto"/>
              </w:rPr>
            </w:pPr>
          </w:p>
        </w:tc>
        <w:tc>
          <w:tcPr>
            <w:tcW w:w="2260" w:type="dxa"/>
            <w:vAlign w:val="bottom"/>
          </w:tcPr>
          <w:p>
            <w:pPr>
              <w:jc w:val="right"/>
              <w:ind w:right="24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60" w:type="dxa"/>
            <w:vAlign w:val="bottom"/>
          </w:tcPr>
          <w:p>
            <w:pPr>
              <w:jc w:val="center"/>
              <w:ind w:left="112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4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179" w:lineRule="exact"/>
        <w:rPr>
          <w:sz w:val="20"/>
          <w:szCs w:val="20"/>
          <w:color w:val="auto"/>
        </w:rPr>
      </w:pPr>
    </w:p>
    <w:p>
      <w:pPr>
        <w:sectPr>
          <w:pgSz w:w="11900" w:h="16838" w:orient="portrait"/>
          <w:cols w:equalWidth="0" w:num="2">
            <w:col w:w="780" w:space="720"/>
            <w:col w:w="9740"/>
          </w:cols>
          <w:pgMar w:left="320" w:top="580" w:right="339" w:bottom="1440" w:gutter="0" w:footer="0" w:header="0"/>
        </w:sectPr>
      </w:pPr>
    </w:p>
    <w:p>
      <w:pPr>
        <w:ind w:right="100" w:firstLine="413"/>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26, 2021, Graham Walmsley, M.D., Ph.D., informed the Board of Directors (the “Board”) of ALX Oncology Holdings Inc. (the “Company”) that he would resign from the Board effective August 26, 2021. Dr. Walmsley’s decision to resign from the Board was due to his professional responsibilities to Logos Global Management, LP, and not a result of any disagreement with the Company or any matter relating to the Company’s operations, and policies or practices.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with Dr. Walmsley’s resignation, the Board reduced the size of the Board from seven to six directors. In addition, in connection with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Walmsley’s resignation, director Jason Lettmann was appointed to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0680"/>
      </w:cols>
      <w:pgMar w:left="320" w:top="35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2021-08-27T20:25:46Z</dcterms:created>
  <dcterms:modified xsi:type="dcterms:W3CDTF">2021-08-27T20:25:46Z</dcterms:modified>
</cp:coreProperties>
</file>