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31113.htm"/>
      <w:bookmarkStart w:id="1" w:name="ksalxo20231113"/>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 November 13, 2023</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ALX ONCOLOGY HOLDINGS INC.</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001-39386</w:t>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821"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821" w:type="dxa"/>
            <w:tcBorders/>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323 Allerton Avenue,</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650-466-7125</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b/>
          <w:color w:val="000000"/>
          <w:sz w:val="20"/>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226"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Written communications pursuant to Rule 425 under the Securities Act (17 CFR 230.425)</w:t>
            </w:r>
            <w:r>
              <w:rPr>
                <w:rFonts w:ascii="Times New Roman" w:hAnsi="Times New Roman"/>
                <w:color w:val="000000"/>
                <w:sz w:val="20"/>
              </w:rPr>
              <w:t xml:space="preserve">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sz w:val="20"/>
              </w:rPr>
            </w:pPr>
            <w:r>
              <w:rPr>
                <w:rFonts w:ascii="Times New Roman" w:hAnsi="Times New Roman"/>
                <w:b w:val="false"/>
                <w:color w:val="000000"/>
                <w:sz w:val="20"/>
              </w:rPr>
              <w:t>Soliciting material pursuant to Rule 14a-12 under the Exchange Act (17 CFR 240.14a-12)</w:t>
            </w:r>
            <w:r>
              <w:rPr>
                <w:rFonts w:ascii="Times New Roman" w:hAnsi="Times New Roman"/>
                <w:color w:val="000000"/>
                <w:sz w:val="20"/>
              </w:rPr>
              <w:t xml:space="preserve">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sz w:val="20"/>
              </w:rPr>
            </w:pPr>
            <w:r>
              <w:rPr>
                <w:rFonts w:ascii="Times New Roman" w:hAnsi="Times New Roman"/>
                <w:b w:val="false"/>
                <w:color w:val="000000"/>
                <w:sz w:val="20"/>
              </w:rPr>
              <w:t>Pre-commencement communications pursuant to Rule 14d-2(b) under the Exchange Act (17 CFR 240.14d-2(b))</w:t>
            </w:r>
            <w:r>
              <w:rPr>
                <w:rFonts w:ascii="Times New Roman" w:hAnsi="Times New Roman"/>
                <w:color w:val="000000"/>
                <w:sz w:val="20"/>
              </w:rPr>
              <w:t xml:space="preserve">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sz w:val="20"/>
              </w:rPr>
            </w:pPr>
            <w:r>
              <w:rPr>
                <w:rFonts w:ascii="Times New Roman" w:hAnsi="Times New Roman"/>
                <w:b w:val="false"/>
                <w:color w:val="000000"/>
                <w:sz w:val="20"/>
              </w:rPr>
              <w:t>Pre-commencement communications pursuant to Rule 13e-4(c) under the Exchange Act (17 CFR 240.13e-4(c))</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ALXO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xml:space="preserve">The Nasdaq </w:t>
            </w:r>
            <w:r>
              <w:rPr>
                <w:rFonts w:ascii="Times New Roman" w:hAnsi="Times New Roman"/>
                <w:b w:val="false"/>
                <w:color w:val="212529"/>
                <w:sz w:val="20"/>
              </w:rPr>
              <w:t>Global Select Market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13, 2023, ALX Oncology Holdings Inc. (the "Company"), issued a press release announcing its financial results for the third quarter ended September 30, 2023. A copy of this press release is furnished as Exhibit 99.1 to this Current Report on Form 8-K and is incorporated herein by 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Exhibits.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706"/>
        <w:gridCol w:w="146"/>
        <w:gridCol w:w="502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lxo-ex99_1.htm">
              <w:r>
                <w:rPr>
                  <w:rStyle w:val="InternetLink"/>
                  <w:rFonts w:ascii="Times New Roman" w:hAnsi="Times New Roman"/>
                  <w:b w:val="false"/>
                  <w:color w:val="0000FF"/>
                  <w:sz w:val="20"/>
                  <w:u w:val="single"/>
                </w:rPr>
                <w:t>Press Release dated November 13,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07" w:type="dxa"/>
        <w:jc w:val="left"/>
        <w:tblInd w:w="0" w:type="dxa"/>
        <w:tblLayout w:type="fixed"/>
        <w:tblCellMar>
          <w:top w:w="28" w:type="dxa"/>
          <w:left w:w="28" w:type="dxa"/>
          <w:bottom w:w="28" w:type="dxa"/>
          <w:right w:w="28" w:type="dxa"/>
        </w:tblCellMar>
      </w:tblPr>
      <w:tblGrid>
        <w:gridCol w:w="2206"/>
        <w:gridCol w:w="146"/>
        <w:gridCol w:w="527"/>
        <w:gridCol w:w="2728"/>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ALX ONCOLOGY HOLDINGS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7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Peter Garcia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Peter Garcia</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bookmarkStart w:id="2" w:name="alxo-ex99_1.htm"/>
      <w:bookmarkStart w:id="3" w:name="ksalxoex99_1"/>
      <w:bookmarkEnd w:id="2"/>
      <w:bookmarkEnd w:id="3"/>
      <w:r>
        <w:rPr/>
        <w:t> </w:t>
      </w:r>
      <w:r>
        <w:br w:type="page"/>
      </w:r>
    </w:p>
    <w:tbl>
      <w:tblPr>
        <w:tblW w:w="4677" w:type="dxa"/>
        <w:jc w:val="left"/>
        <w:tblInd w:w="0" w:type="dxa"/>
        <w:tblLayout w:type="fixed"/>
        <w:tblCellMar>
          <w:top w:w="28" w:type="dxa"/>
          <w:left w:w="28" w:type="dxa"/>
          <w:bottom w:w="28" w:type="dxa"/>
          <w:right w:w="28" w:type="dxa"/>
        </w:tblCellMar>
      </w:tblPr>
      <w:tblGrid>
        <w:gridCol w:w="3341"/>
        <w:gridCol w:w="1336"/>
      </w:tblGrid>
      <w:tr>
        <w:trPr/>
        <w:tc>
          <w:tcPr>
            <w:tcW w:w="33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drawing>
                <wp:inline distT="0" distB="0" distL="0" distR="0">
                  <wp:extent cx="20193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742950"/>
                          </a:xfrm>
                          <a:prstGeom prst="rect">
                            <a:avLst/>
                          </a:prstGeom>
                        </pic:spPr>
                      </pic:pic>
                    </a:graphicData>
                  </a:graphic>
                </wp:inline>
              </w:drawing>
            </w:r>
            <w:r>
              <w:rPr/>
              <w:t> </w:t>
            </w:r>
          </w:p>
        </w:tc>
        <w:tc>
          <w:tcPr>
            <w:tcW w:w="1336" w:type="dxa"/>
            <w:tcBorders/>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Exhibit 99.1</w:t>
            </w:r>
          </w:p>
        </w:tc>
      </w:tr>
    </w:tbl>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ALX Oncology Reports Third Quarter 2023 Financial Results and Provides Corporate Update</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2"/>
        </w:rPr>
        <w:t xml:space="preserve">SOUTH SAN FRANCISCO, Calif., November 13, 2023 (GLOBE NEWSWIRE) -- </w:t>
      </w:r>
      <w:r>
        <w:rPr>
          <w:rFonts w:ascii="Times New Roman" w:hAnsi="Times New Roman"/>
          <w:b w:val="false"/>
          <w:color w:val="000000"/>
          <w:sz w:val="22"/>
        </w:rPr>
        <w:t>ALX Oncology Holdings Inc., (“ALX Oncology” or “the Company”) (Nasdaq: ALXO), an immuno-oncology company developing therapies that block the CD47 immune checkpoint pathway, today reported financial results for the third quarter ended September 30, 2023, and provided a corporate update.</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Third Quarter 2023 Highlights and Recent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Reported positive interim Phase 2 ASPEN-06 clinical trial results for evorpacept for the treatment of advanced HER2-positive gastric/gastroesophageal junction (“GEJ”) cancer.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Completed public offering generating gross proceeds of approximately $63.2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Realigned leadership team to match platform asset evorpacept’s maturing portfolio of programs and refined long-term development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Advanced pipeline of nine programs evaluating evorpacept in combination with anti-cancer antibodies, antibody-drug conjugates (“ADCs”), and PD-1/PD-L1 immune checkpoint inhibitors.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Commenced assessment of indications for future clinical studies where standard of care and market opportunities maximize evorpacept’s potential.</w:t>
      </w:r>
    </w:p>
    <w:p>
      <w:pPr>
        <w:pStyle w:val="TextBody"/>
        <w:bidi w:val="0"/>
        <w:spacing w:before="240" w:after="283"/>
        <w:jc w:val="left"/>
        <w:rPr>
          <w:color w:val="000000"/>
        </w:rPr>
      </w:pPr>
      <w:r>
        <w:rPr>
          <w:color w:val="000000"/>
        </w:rPr>
        <w:t>“</w:t>
      </w:r>
      <w:r>
        <w:rPr>
          <w:rFonts w:ascii="Times New Roman" w:hAnsi="Times New Roman"/>
          <w:b w:val="false"/>
          <w:color w:val="000000"/>
          <w:sz w:val="22"/>
        </w:rPr>
        <w:t>This past quarter proved to be an important growth milestone for the Company highlighted by the outstanding interim results from the ASPEN-06 phase 2 clinical trial which again demonstrated evorpacept’s best-in-class safety profile and unique mechanism of action,” commented Jason Lettmann, Chief Executive Officer of ALX Oncology. “With this additional clinical validation in gastric cancer and having completed an oversubscribed public offering, we are now accelerating our portfolio of clinical programs combining evorpacept with anti-cancer antibodies as well as with ADCs and PD-1/PD-L1 immune checkpoint inhibitors and are heading into the final months of 2023 with a great deal of momentum.”</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Evorpacept Pipeline Update</w:t>
      </w:r>
    </w:p>
    <w:p>
      <w:pPr>
        <w:pStyle w:val="TextBody"/>
        <w:bidi w:val="0"/>
        <w:spacing w:before="120" w:after="283"/>
        <w:jc w:val="left"/>
        <w:rPr>
          <w:rFonts w:ascii="Times New Roman" w:hAnsi="Times New Roman"/>
          <w:sz w:val="20"/>
        </w:rPr>
      </w:pPr>
      <w:r>
        <w:rPr>
          <w:rFonts w:ascii="Times New Roman" w:hAnsi="Times New Roman"/>
          <w:b w:val="false"/>
          <w:color w:val="000000"/>
          <w:sz w:val="22"/>
        </w:rPr>
        <w:t>Throughout the third quarter, the Company continued to advance its pipeline of proprietary and partnered programs addressing multiple hematologic and solid malignancies. In October 2023, the Company reported positive interim Phase 2 data from the ASPEN-06 clinical trial, a randomized multi-center international study evaluating evorpacept in combination with trastuzumab, CYRAMZA® (ramucirumab) and paclitaxel for the treatment of patients with HER2-positive gastric/GEJ cancer, which is the first randomized clinical trial to show activity in the solid tumor setting in the CD47 space. This prespecified interim analysis represented results from 54 randomized patients with second and third line gastric/GEJ cancer, including a meaningful number of patients previously treated with ENHERTU® (trastuzumab deruxtecan) and checkpoint inhibitors. Patients were treated with evorpacept at 30 mg/kg every two weeks, mirroring the treatment cycle of trastuzumab, CYRAMZA and paclitaxel.</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2"/>
        </w:rPr>
      </w:pPr>
      <w:r>
        <w:rPr>
          <w:rFonts w:ascii="Times New Roman" w:hAnsi="Times New Roman"/>
          <w:b w:val="false"/>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To summarize the key findings, a confirmed overall response rate (“ORR”) of 52% was demonstrated for the evorpacept combination treatment arm compared to 22% for the control group of trastuzumab + CYRAMZA + paclitaxel; median duration of response (“mDOR”) was not reached for the evorpacept combination treatment arm compared to 7.4 months for the control group; and the safety profile of evorpacept was consistent with the Company’s previous clinical trials and was well-tolerated. Furthermore, the interim results compare favorably to the efficacy reported for CYRAMZA + paclitaxel in the RAINBOW study (ORR of 28% and mDOR of 4.4 months), which is the regulatory benchmark and global standard of care for second line gastric/GEJ cancer.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Upcoming Clinical Milestones for Evorpacept’s Development Pipeline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1H 2024</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Non-Hodgkin Lymphoma – Phase 1b investigator-sponsored trial with rituximab + lenalidomide top line results (Q1/Q2 2024)</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Gastric/GEJ Cancer – Phase 2 ASPEN-06 randomized top line final results (Q2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2H 2024</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Head and Neck Squamous Cell Carcinoma – Phase 2 ASPEN-03 with KEYTRUDA randomized top line results</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Head and Neck Squamous Cell Carcinoma – Phase 2 ASPEN-04 with KEYTRUDA + chemotherapy randomized top line results</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Gastric/GEJ Cancer – Phase 3 ASPEN-06 study initiation</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Urothelial Carcinoma – Phase 1b ASPEN-07 with PADCEV® (enfortumab vedotin-ejfv) top line results</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both"/>
        <w:rPr>
          <w:rFonts w:ascii="Times New Roman" w:hAnsi="Times New Roman"/>
          <w:b w:val="false"/>
          <w:color w:val="000000"/>
          <w:sz w:val="22"/>
        </w:rPr>
      </w:pPr>
      <w:r>
        <w:rPr>
          <w:rFonts w:ascii="Times New Roman" w:hAnsi="Times New Roman"/>
          <w:b w:val="false"/>
          <w:color w:val="000000"/>
          <w:sz w:val="22"/>
        </w:rPr>
        <w:t>Breast Cancer – Phase 1b I-SPY study with ENHERTU top line results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Corporate Update</w:t>
      </w:r>
    </w:p>
    <w:p>
      <w:pPr>
        <w:pStyle w:val="TextBody"/>
        <w:bidi w:val="0"/>
        <w:spacing w:before="120" w:after="283"/>
        <w:jc w:val="left"/>
        <w:rPr>
          <w:rFonts w:ascii="Times New Roman" w:hAnsi="Times New Roman"/>
          <w:sz w:val="20"/>
        </w:rPr>
      </w:pPr>
      <w:r>
        <w:rPr>
          <w:rFonts w:ascii="Times New Roman" w:hAnsi="Times New Roman"/>
          <w:b w:val="false"/>
          <w:color w:val="000000"/>
          <w:sz w:val="22"/>
        </w:rPr>
        <w:t>ALX Oncology achieved a significant corporate development milestone during the third quarter with the realignment of the Company’s leadership team. Jason Lettmann, who has been involved with ALX Oncology for nearly a decade since its founding, having co-led the Company’s first institutional financing and serving as a member of its Board of Directors since 2015, was appointed Chief Executive Officer in September 2023. In turn, Dr. Jaume Pons who founded ALX Oncology and served as its Chief Executive Officer since inception, transitioned to the role of President and Chief Scientific Officer. This represents an important growth milestone for the Company as it signifies the clinical maturity of evorpacept’s portfolio of therapeutic candidates and enables Dr. Pons to focus on pipeline extension opportunities while continuing to generate scientific support for the platform asset.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2"/>
        </w:rPr>
        <w:t>An additional recent highlight was the closing of an underwritten public offering of common stock and pre-funded warrants in October 2023 which provided ALX Oncology with gross proceeds of approximately $63.2 million. The Company sold 8,663,793 shares of common stock, which included 1,293,103 shares of common stock pursuant to the full exercise of the underwriters’ option to purchase additional shares and, in lieu of common stock to certain investors, pre-funded warrants to purchase 1,250,000 shares of common stock in the offering. The shares of common stock were sold at a public offering price of $6.38 per share (the closing price on October 4, 2023), and the pre-funded warrants were sold at a public offering price of $6.379 per pre-funded warrant.</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2"/>
        </w:rPr>
      </w:pPr>
      <w:r>
        <w:rPr>
          <w:rFonts w:ascii="Times New Roman" w:hAnsi="Times New Roman"/>
          <w:b w:val="false"/>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2"/>
        </w:rPr>
        <w:t>Third Quarter 2023 Financial Results: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Cash, Cash Equivalents and Investments: </w:t>
      </w:r>
      <w:r>
        <w:rPr>
          <w:rFonts w:ascii="Times New Roman" w:hAnsi="Times New Roman"/>
          <w:b w:val="false"/>
          <w:color w:val="000000"/>
          <w:sz w:val="22"/>
        </w:rPr>
        <w:t xml:space="preserve">Cash, cash equivalents and investments as of September 30, 2023, were $196.4 million. ALX Oncology believes its cash, cash equivalents, and investments along with the ability to draw down an additional $40 million of its term loan and the net proceeds from its recent public offering are sufficient to fund planned operations into early 2026.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Research and Development (“R&amp;D”) Expenses: </w:t>
      </w:r>
      <w:r>
        <w:rPr>
          <w:rFonts w:ascii="Times New Roman" w:hAnsi="Times New Roman"/>
          <w:b w:val="false"/>
          <w:color w:val="000000"/>
          <w:sz w:val="22"/>
        </w:rPr>
        <w:t xml:space="preserve">R&amp;D expenses consist primarily of pre-clinical, clinical and manufacturing expenses related to the development of the Company’s current lead product candidate, evorpacept, and R&amp;D employee-related expenses. These expenses for the three months ended September 30, 2023, were $45.8 million, compared to $29.4 million for the prior-year period. The increase was primarily attributable to an increase of $16.4 million in clinical costs from an increase in the number of active trials and patient enrollment as well as manufacturing of clinical trial materials to support a higher number of active clinical trials and future expected patient enrollment related to the advancement of evorpacept.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General and Administrative (“G&amp;A”) Expenses: </w:t>
      </w:r>
      <w:r>
        <w:rPr>
          <w:rFonts w:ascii="Times New Roman" w:hAnsi="Times New Roman"/>
          <w:b w:val="false"/>
          <w:color w:val="000000"/>
          <w:sz w:val="22"/>
        </w:rPr>
        <w:t>G&amp;A expenses consist primarily of administrative employee-related expenses, legal and other professional fees, patent filing and maintenance fees, and insurance. These expenses for the three months ended September 30, 2023, were $7.5 million, compared to $7.3 million for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Net loss: </w:t>
      </w:r>
      <w:r>
        <w:rPr>
          <w:rFonts w:ascii="Times New Roman" w:hAnsi="Times New Roman"/>
          <w:b w:val="false"/>
          <w:color w:val="000000"/>
          <w:sz w:val="22"/>
        </w:rPr>
        <w:t xml:space="preserve">GAAP net loss was $51.0 million for the third quarter ended September 30, 2023, or $1.24 per basic and diluted share, as compared to a GAAP net loss of $35.3 million for the third quarter ended September 30, 2022, or $0.87 per basic and diluted share. Non-GAAP net loss was $44.0 million for the third quarter ended September 30, 2023, as compared to a non-GAAP net loss of $29.1 million for the third quarter ended September 30, 2022. A reconciliation of GAAP to non-GAAP financial results can be found at the end of this news release.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About ALX Oncology</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ALX Oncology is a publicly traded, clinical-stage immuno-oncology company focused on helping patients fight cancer by developing therapies that block the CD47 immune checkpoint inhibitor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antibodies. ALX Oncology is currently focusing on combining evorpacept with anti-cancer antibodies, ADCs, and PD-1/PD-L1 immune checkpoint inhibitors.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Evorpacept’s Unique Profile: Anchored by a Rational Design and Dual Development Pillars</w:t>
      </w:r>
    </w:p>
    <w:p>
      <w:pPr>
        <w:pStyle w:val="TextBody"/>
        <w:bidi w:val="0"/>
        <w:spacing w:before="120" w:after="283"/>
        <w:jc w:val="left"/>
        <w:rPr>
          <w:rFonts w:ascii="Times New Roman" w:hAnsi="Times New Roman"/>
          <w:sz w:val="20"/>
        </w:rPr>
      </w:pPr>
      <w:r>
        <w:rPr>
          <w:rFonts w:ascii="Times New Roman" w:hAnsi="Times New Roman"/>
          <w:b w:val="false"/>
          <w:color w:val="000000"/>
          <w:sz w:val="22"/>
        </w:rPr>
        <w:t>Rationally engineered with an inactive Fc effector function, evorpacept’s clinical data to date has demonstrated a substantially improved safety profile over other anti-CD47 molecules in the clinic with an active Fc (i.e., binding the Fc gamma receptor on macrophages). This best-in-class safety profile allows for higher dosage with minimal overlapping toxicity in the combination treatment setting. CD47 expressed on cancer cells binds to its receptor SIRP alpha, which is predominantly expressed on two cell types: macrophages and dendritic cells. The Company’s pipeline of therapeutic candidates with standard-of-care agents include: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2"/>
        </w:rPr>
        <w:t>Anti-cancer antibodies (the “</w:t>
      </w:r>
      <w:r>
        <w:rPr>
          <w:rFonts w:ascii="Times New Roman" w:hAnsi="Times New Roman"/>
          <w:b/>
          <w:i/>
          <w:color w:val="000000"/>
          <w:sz w:val="22"/>
        </w:rPr>
        <w:t>don’t eat me</w:t>
      </w:r>
      <w:r>
        <w:rPr>
          <w:rFonts w:ascii="Times New Roman" w:hAnsi="Times New Roman"/>
          <w:color w:val="000000"/>
          <w:sz w:val="20"/>
        </w:rPr>
        <w:t xml:space="preserve">” </w:t>
      </w:r>
      <w:r>
        <w:rPr>
          <w:rFonts w:ascii="Times New Roman" w:hAnsi="Times New Roman"/>
          <w:b/>
          <w:color w:val="000000"/>
          <w:sz w:val="22"/>
        </w:rPr>
        <w:t>signal):</w:t>
      </w:r>
      <w:r>
        <w:rPr>
          <w:rFonts w:ascii="Times New Roman" w:hAnsi="Times New Roman"/>
          <w:color w:val="000000"/>
          <w:sz w:val="20"/>
        </w:rPr>
        <w:t xml:space="preserve"> </w:t>
      </w:r>
      <w:r>
        <w:rPr>
          <w:rFonts w:ascii="Times New Roman" w:hAnsi="Times New Roman"/>
          <w:b w:val="false"/>
          <w:color w:val="000000"/>
          <w:sz w:val="22"/>
        </w:rPr>
        <w:t>evorpacept enables Fc-mediated antibody-dependent phagocytosis by macrophages in combination with anti-cancer antibodies (e.g., Herceptin</w:t>
      </w:r>
      <w:r>
        <w:rPr>
          <w:rFonts w:ascii="Times New Roman" w:hAnsi="Times New Roman"/>
          <w:b w:val="false"/>
          <w:color w:val="000000"/>
          <w:sz w:val="15"/>
        </w:rPr>
        <w:t>®</w:t>
      </w:r>
      <w:r>
        <w:rPr>
          <w:rFonts w:ascii="Times New Roman" w:hAnsi="Times New Roman"/>
          <w:b w:val="false"/>
          <w:color w:val="000000"/>
          <w:sz w:val="22"/>
        </w:rPr>
        <w:t>) with an active Fc domain, which is otherwise impaired by CD47 expression on cancer cells binding to SIRP alpha on macrophages. This same mechanism of action applies to ADCs.</w:t>
      </w:r>
    </w:p>
    <w:p>
      <w:pPr>
        <w:pStyle w:val="TextBody"/>
        <w:bidi w:val="0"/>
        <w:spacing w:before="120" w:after="283"/>
        <w:jc w:val="center"/>
        <w:rPr>
          <w:rFonts w:ascii="Times New Roman" w:hAnsi="Times New Roman"/>
          <w:b w:val="false"/>
          <w:color w:val="000000"/>
          <w:sz w:val="22"/>
        </w:rPr>
      </w:pPr>
      <w:r>
        <w:rPr>
          <w:rFonts w:ascii="Times New Roman" w:hAnsi="Times New Roman"/>
          <w:b w:val="false"/>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2"/>
        </w:rPr>
        <w:t>PD-1/PD-L1 immune checkpoint inhibitors (the “</w:t>
      </w:r>
      <w:r>
        <w:rPr>
          <w:rFonts w:ascii="Times New Roman" w:hAnsi="Times New Roman"/>
          <w:b/>
          <w:i/>
          <w:color w:val="000000"/>
          <w:sz w:val="22"/>
        </w:rPr>
        <w:t>don’t activate T-cells</w:t>
      </w:r>
      <w:r>
        <w:rPr>
          <w:rFonts w:ascii="Times New Roman" w:hAnsi="Times New Roman"/>
          <w:color w:val="000000"/>
          <w:sz w:val="20"/>
        </w:rPr>
        <w:t xml:space="preserve">” </w:t>
      </w:r>
      <w:r>
        <w:rPr>
          <w:rFonts w:ascii="Times New Roman" w:hAnsi="Times New Roman"/>
          <w:b/>
          <w:color w:val="000000"/>
          <w:sz w:val="22"/>
        </w:rPr>
        <w:t>signal)</w:t>
      </w:r>
      <w:r>
        <w:rPr>
          <w:rFonts w:ascii="Times New Roman" w:hAnsi="Times New Roman"/>
          <w:b w:val="false"/>
          <w:color w:val="000000"/>
          <w:sz w:val="22"/>
        </w:rPr>
        <w:t>: evorpacept enables T-cell activation by dendritic cells that are constitutively inhibited by CD47 expression on cancer cells binding to SIRP alpha on dendritic cells. Activated dendritic cells present neoantigens to T-cells that once activated will kill cancer cells when the PD-1/PD-L1 inhibitory interaction is blocked by T-cell checkpoint inhibitors.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Cautionary Note Regarding Forward-Looking Statements</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pStyle w:val="TextBody"/>
        <w:bidi w:val="0"/>
        <w:spacing w:before="120" w:after="283"/>
        <w:jc w:val="center"/>
        <w:rPr>
          <w:rFonts w:ascii="Times New Roman" w:hAnsi="Times New Roman"/>
          <w:b w:val="false"/>
          <w:color w:val="000000"/>
          <w:sz w:val="22"/>
        </w:rPr>
      </w:pPr>
      <w:r>
        <w:rPr>
          <w:rFonts w:ascii="Times New Roman" w:hAnsi="Times New Roman"/>
          <w:b w:val="false"/>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ALX ONCOLOGY HOLDINGS INC.</w:t>
      </w:r>
    </w:p>
    <w:p>
      <w:pPr>
        <w:pStyle w:val="TextBody"/>
        <w:bidi w:val="0"/>
        <w:jc w:val="center"/>
        <w:rPr>
          <w:rFonts w:ascii="Times New Roman" w:hAnsi="Times New Roman"/>
          <w:sz w:val="20"/>
        </w:rPr>
      </w:pPr>
      <w:bookmarkStart w:id="4" w:name="condensed_consolidated_statements_operat"/>
      <w:bookmarkEnd w:id="4"/>
      <w:r>
        <w:rPr>
          <w:rFonts w:ascii="Times New Roman" w:hAnsi="Times New Roman"/>
          <w:b/>
          <w:color w:val="000000"/>
          <w:sz w:val="22"/>
        </w:rPr>
        <w:t>Condensed Consolidated Statements of</w:t>
      </w:r>
      <w:r>
        <w:rPr>
          <w:rFonts w:ascii="Times New Roman" w:hAnsi="Times New Roman"/>
          <w:color w:val="000000"/>
          <w:sz w:val="20"/>
        </w:rPr>
        <w:t xml:space="preserve"> </w:t>
      </w:r>
      <w:r>
        <w:rPr>
          <w:rFonts w:ascii="Times New Roman" w:hAnsi="Times New Roman"/>
          <w:b/>
          <w:color w:val="000000"/>
          <w:sz w:val="22"/>
        </w:rPr>
        <w:t>Operations</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(unaudited)</w:t>
      </w:r>
    </w:p>
    <w:p>
      <w:pPr>
        <w:pStyle w:val="TextBody"/>
        <w:bidi w:val="0"/>
        <w:jc w:val="center"/>
        <w:rPr>
          <w:rFonts w:ascii="Times New Roman" w:hAnsi="Times New Roman"/>
          <w:sz w:val="20"/>
        </w:rPr>
      </w:pPr>
      <w:r>
        <w:rPr>
          <w:rFonts w:ascii="Times New Roman" w:hAnsi="Times New Roman"/>
          <w:b w:val="false"/>
          <w:color w:val="000000"/>
          <w:sz w:val="22"/>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73,203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(95,217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(92,773</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(92,773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of common stock</w:t>
              <w:br/>
              <w:t>   used to compute net loss per shares,</w:t>
              <w:br/>
              <w:t>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41,147,938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40,747,026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40,963,015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40,684,172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 Data</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(unaudited)</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(in thousands)</w:t>
      </w:r>
    </w:p>
    <w:p>
      <w:pPr>
        <w:pStyle w:val="TextBody"/>
        <w:bidi w:val="0"/>
        <w:jc w:val="center"/>
        <w:rPr/>
      </w:pPr>
      <w:r>
        <w:rPr/>
        <w:t> </w:t>
      </w:r>
    </w:p>
    <w:tbl>
      <w:tblPr>
        <w:tblW w:w="6565" w:type="dxa"/>
        <w:jc w:val="left"/>
        <w:tblInd w:w="0" w:type="dxa"/>
        <w:tblLayout w:type="fixed"/>
        <w:tblCellMar>
          <w:top w:w="28" w:type="dxa"/>
          <w:left w:w="28" w:type="dxa"/>
          <w:bottom w:w="28" w:type="dxa"/>
          <w:right w:w="28" w:type="dxa"/>
        </w:tblCellMar>
      </w:tblPr>
      <w:tblGrid>
        <w:gridCol w:w="3331"/>
        <w:gridCol w:w="146"/>
        <w:gridCol w:w="261"/>
        <w:gridCol w:w="1044"/>
        <w:gridCol w:w="166"/>
        <w:gridCol w:w="146"/>
        <w:gridCol w:w="252"/>
        <w:gridCol w:w="1008"/>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investments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282,906</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306,489</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43,025</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(440,800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(325,467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263,464</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GAAP to Non-GAAP Reconciliation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2"/>
        </w:rPr>
        <w:t>(unaudited)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(in thousands)</w:t>
      </w:r>
    </w:p>
    <w:p>
      <w:pPr>
        <w:pStyle w:val="TextBody"/>
        <w:bidi w:val="0"/>
        <w:jc w:val="center"/>
        <w:rPr/>
      </w:pPr>
      <w:r>
        <w:rPr/>
        <w:t> </w:t>
      </w:r>
    </w:p>
    <w:tbl>
      <w:tblPr>
        <w:tblW w:w="9782" w:type="dxa"/>
        <w:jc w:val="left"/>
        <w:tblInd w:w="0" w:type="dxa"/>
        <w:tblLayout w:type="fixed"/>
        <w:tblCellMar>
          <w:top w:w="28" w:type="dxa"/>
          <w:left w:w="28" w:type="dxa"/>
          <w:bottom w:w="28" w:type="dxa"/>
          <w:right w:w="28" w:type="dxa"/>
        </w:tblCellMar>
      </w:tblPr>
      <w:tblGrid>
        <w:gridCol w:w="4416"/>
        <w:gridCol w:w="146"/>
        <w:gridCol w:w="211"/>
        <w:gridCol w:w="736"/>
        <w:gridCol w:w="166"/>
        <w:gridCol w:w="146"/>
        <w:gridCol w:w="211"/>
        <w:gridCol w:w="736"/>
        <w:gridCol w:w="166"/>
        <w:gridCol w:w="146"/>
        <w:gridCol w:w="211"/>
        <w:gridCol w:w="841"/>
        <w:gridCol w:w="166"/>
        <w:gridCol w:w="146"/>
        <w:gridCol w:w="211"/>
        <w:gridCol w:w="736"/>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GAAP net loss, as reported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(92,773</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4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Adjustments: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17,544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Accretion of term loan discount and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Non-GAAP 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2"/>
        </w:rPr>
      </w:pPr>
      <w:r>
        <w:rPr>
          <w:rFonts w:ascii="Times New Roman" w:hAnsi="Times New Roman"/>
          <w:b w:val="false"/>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spacing w:before="120" w:after="283"/>
        <w:jc w:val="left"/>
        <w:rPr>
          <w:rFonts w:ascii="Times New Roman" w:hAnsi="Times New Roman"/>
          <w:sz w:val="20"/>
        </w:rPr>
      </w:pPr>
      <w:r>
        <w:rPr>
          <w:rFonts w:ascii="Times New Roman" w:hAnsi="Times New Roman"/>
          <w:b w:val="false"/>
          <w:color w:val="000000"/>
          <w:sz w:val="22"/>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r>
        <w:rPr>
          <w:rFonts w:ascii="Times New Roman" w:hAnsi="Times New Roman"/>
          <w:b w:val="false"/>
          <w:color w:val="000000"/>
          <w:sz w:val="22"/>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Investor Contact:</w:t>
      </w:r>
    </w:p>
    <w:p>
      <w:pPr>
        <w:pStyle w:val="TextBody"/>
        <w:bidi w:val="0"/>
        <w:spacing w:before="200" w:after="283"/>
        <w:jc w:val="left"/>
        <w:rPr>
          <w:rFonts w:ascii="Times New Roman" w:hAnsi="Times New Roman"/>
          <w:b w:val="false"/>
          <w:color w:val="000000"/>
          <w:sz w:val="22"/>
        </w:rPr>
      </w:pPr>
      <w:r>
        <w:rPr>
          <w:rFonts w:ascii="Times New Roman" w:hAnsi="Times New Roman"/>
          <w:b w:val="false"/>
          <w:color w:val="000000"/>
          <w:sz w:val="22"/>
        </w:rPr>
        <w:t>Peter Garcia</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Chief Financial Officer, ALX Oncology</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(650) 466-7125 Ext. 113</w:t>
      </w:r>
    </w:p>
    <w:p>
      <w:pPr>
        <w:pStyle w:val="TextBody"/>
        <w:bidi w:val="0"/>
        <w:jc w:val="left"/>
        <w:rPr>
          <w:rFonts w:ascii="Times New Roman" w:hAnsi="Times New Roman"/>
          <w:b w:val="false"/>
          <w:sz w:val="22"/>
        </w:rPr>
      </w:pPr>
      <w:r>
        <w:rPr>
          <w:rFonts w:ascii="Times New Roman" w:hAnsi="Times New Roman"/>
          <w:b w:val="false"/>
          <w:sz w:val="22"/>
        </w:rPr>
        <w:t>peter@alxoncology.com</w:t>
      </w:r>
    </w:p>
    <w:p>
      <w:pPr>
        <w:pStyle w:val="TextBody"/>
        <w:bidi w:val="0"/>
        <w:jc w:val="left"/>
        <w:rPr/>
      </w:pPr>
      <w:r>
        <w:rPr/>
        <w:t>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Malini Chatterjee, Ph.D.</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Blueprint Life Science Group</w:t>
      </w:r>
    </w:p>
    <w:p>
      <w:pPr>
        <w:pStyle w:val="TextBody"/>
        <w:bidi w:val="0"/>
        <w:jc w:val="left"/>
        <w:rPr>
          <w:rFonts w:ascii="Times New Roman" w:hAnsi="Times New Roman"/>
          <w:b w:val="false"/>
          <w:sz w:val="22"/>
        </w:rPr>
      </w:pPr>
      <w:r>
        <w:rPr>
          <w:rFonts w:ascii="Times New Roman" w:hAnsi="Times New Roman"/>
          <w:b w:val="false"/>
          <w:sz w:val="22"/>
        </w:rPr>
        <w:t>mchatterjee@bplifescience.com</w:t>
      </w:r>
    </w:p>
    <w:p>
      <w:pPr>
        <w:pStyle w:val="TextBody"/>
        <w:bidi w:val="0"/>
        <w:jc w:val="left"/>
        <w:rPr/>
      </w:pPr>
      <w:r>
        <w:rPr/>
        <w:t>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Media Contact:</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Karen Sharma</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MacDougall</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(781) 235-3060</w:t>
      </w:r>
    </w:p>
    <w:p>
      <w:pPr>
        <w:pStyle w:val="TextBody"/>
        <w:bidi w:val="0"/>
        <w:jc w:val="left"/>
        <w:rPr>
          <w:rFonts w:ascii="Times New Roman" w:hAnsi="Times New Roman"/>
          <w:b w:val="false"/>
          <w:sz w:val="22"/>
        </w:rPr>
      </w:pPr>
      <w:r>
        <w:rPr>
          <w:rFonts w:ascii="Times New Roman" w:hAnsi="Times New Roman"/>
          <w:b w:val="false"/>
          <w:sz w:val="22"/>
        </w:rPr>
        <w:t>alx@macbiocom.com</w:t>
      </w:r>
    </w:p>
    <w:p>
      <w:pPr>
        <w:pStyle w:val="TextBody"/>
        <w:bidi w:val="0"/>
        <w:spacing w:before="120" w:after="283"/>
        <w:jc w:val="center"/>
        <w:rPr>
          <w:rFonts w:ascii="Times New Roman" w:hAnsi="Times New Roman"/>
          <w:b w:val="false"/>
          <w:color w:val="000000"/>
          <w:sz w:val="22"/>
        </w:rPr>
      </w:pPr>
      <w:r>
        <w:rPr>
          <w:rFonts w:ascii="Times New Roman" w:hAnsi="Times New Roman"/>
          <w:b w:val="false"/>
          <w:color w:val="000000"/>
          <w:sz w:val="22"/>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2741</Words>
  <Characters>15747</Characters>
  <CharactersWithSpaces>18497</CharactersWithSpaces>
  <Paragraphs>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