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31115</wp:posOffset>
            </wp:positionV>
            <wp:extent cx="6972935" cy="1684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402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Vivo Capital IX, LLC</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(Last)</w:t>
            </w:r>
          </w:p>
        </w:tc>
        <w:tc>
          <w:tcPr>
            <w:tcW w:w="1060" w:type="dxa"/>
            <w:vAlign w:val="bottom"/>
          </w:tcPr>
          <w:p>
            <w:pPr>
              <w:ind w:left="180"/>
              <w:spacing w:after="0"/>
              <w:rPr>
                <w:sz w:val="20"/>
                <w:szCs w:val="20"/>
                <w:color w:val="auto"/>
              </w:rPr>
            </w:pPr>
            <w:r>
              <w:rPr>
                <w:rFonts w:ascii="Arial" w:cs="Arial" w:eastAsia="Arial" w:hAnsi="Arial"/>
                <w:sz w:val="12"/>
                <w:szCs w:val="12"/>
                <w:color w:val="auto"/>
              </w:rPr>
              <w:t>(First)</w:t>
            </w:r>
          </w:p>
        </w:tc>
        <w:tc>
          <w:tcPr>
            <w:tcW w:w="1540" w:type="dxa"/>
            <w:vAlign w:val="bottom"/>
          </w:tcPr>
          <w:p>
            <w:pPr>
              <w:ind w:left="340"/>
              <w:spacing w:after="0"/>
              <w:rPr>
                <w:sz w:val="20"/>
                <w:szCs w:val="20"/>
                <w:color w:val="auto"/>
              </w:rPr>
            </w:pPr>
            <w:r>
              <w:rPr>
                <w:rFonts w:ascii="Arial" w:cs="Arial" w:eastAsia="Arial" w:hAnsi="Arial"/>
                <w:sz w:val="12"/>
                <w:szCs w:val="12"/>
                <w:color w:val="auto"/>
              </w:rPr>
              <w:t>(Middle)</w:t>
            </w:r>
          </w:p>
        </w:tc>
      </w:tr>
      <w:tr>
        <w:trPr>
          <w:trHeight w:val="261"/>
        </w:trPr>
        <w:tc>
          <w:tcPr>
            <w:tcW w:w="20" w:type="dxa"/>
            <w:vAlign w:val="bottom"/>
          </w:tcPr>
          <w:p>
            <w:pPr>
              <w:spacing w:after="0"/>
              <w:rPr>
                <w:sz w:val="22"/>
                <w:szCs w:val="22"/>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0000FF"/>
              </w:rPr>
              <w:t>C/O VIVO CAPITAL LLC</w:t>
            </w:r>
          </w:p>
        </w:tc>
        <w:tc>
          <w:tcPr>
            <w:tcW w:w="154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0000FF"/>
              </w:rPr>
              <w:t>192 LYTTON AVENUE</w:t>
            </w:r>
          </w:p>
        </w:tc>
        <w:tc>
          <w:tcPr>
            <w:tcW w:w="154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48"/>
        </w:trPr>
        <w:tc>
          <w:tcPr>
            <w:tcW w:w="10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PALO ALTO</w:t>
            </w:r>
          </w:p>
        </w:tc>
        <w:tc>
          <w:tcPr>
            <w:tcW w:w="1060" w:type="dxa"/>
            <w:vAlign w:val="bottom"/>
          </w:tcPr>
          <w:p>
            <w:pPr>
              <w:ind w:left="180"/>
              <w:spacing w:after="0"/>
              <w:rPr>
                <w:sz w:val="20"/>
                <w:szCs w:val="20"/>
                <w:color w:val="auto"/>
              </w:rPr>
            </w:pPr>
            <w:r>
              <w:rPr>
                <w:rFonts w:ascii="Arial" w:cs="Arial" w:eastAsia="Arial" w:hAnsi="Arial"/>
                <w:sz w:val="16"/>
                <w:szCs w:val="16"/>
                <w:color w:val="0000FF"/>
              </w:rPr>
              <w:t>CA</w:t>
            </w:r>
          </w:p>
        </w:tc>
        <w:tc>
          <w:tcPr>
            <w:tcW w:w="1540" w:type="dxa"/>
            <w:vAlign w:val="bottom"/>
          </w:tcPr>
          <w:p>
            <w:pPr>
              <w:ind w:left="340"/>
              <w:spacing w:after="0"/>
              <w:rPr>
                <w:sz w:val="20"/>
                <w:szCs w:val="20"/>
                <w:color w:val="auto"/>
              </w:rPr>
            </w:pPr>
            <w:r>
              <w:rPr>
                <w:rFonts w:ascii="Arial" w:cs="Arial" w:eastAsia="Arial" w:hAnsi="Arial"/>
                <w:sz w:val="16"/>
                <w:szCs w:val="16"/>
                <w:color w:val="0000FF"/>
              </w:rPr>
              <w:t>94301</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180"/>
              <w:spacing w:after="0"/>
              <w:rPr>
                <w:sz w:val="20"/>
                <w:szCs w:val="20"/>
                <w:color w:val="auto"/>
              </w:rPr>
            </w:pPr>
            <w:r>
              <w:rPr>
                <w:rFonts w:ascii="Arial" w:cs="Arial" w:eastAsia="Arial" w:hAnsi="Arial"/>
                <w:sz w:val="12"/>
                <w:szCs w:val="12"/>
                <w:color w:val="auto"/>
              </w:rPr>
              <w:t>(State)</w:t>
            </w:r>
          </w:p>
        </w:tc>
        <w:tc>
          <w:tcPr>
            <w:tcW w:w="1540" w:type="dxa"/>
            <w:vAlign w:val="bottom"/>
          </w:tcPr>
          <w:p>
            <w:pPr>
              <w:ind w:left="3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 w:type="dxa"/>
            <w:vAlign w:val="bottom"/>
          </w:tcPr>
          <w:p>
            <w:pPr>
              <w:ind w:left="60"/>
              <w:spacing w:after="0"/>
              <w:rPr>
                <w:sz w:val="20"/>
                <w:szCs w:val="20"/>
                <w:color w:val="auto"/>
              </w:rPr>
            </w:pPr>
            <w:r>
              <w:rPr>
                <w:rFonts w:ascii="Arial" w:cs="Arial" w:eastAsia="Arial" w:hAnsi="Arial"/>
                <w:sz w:val="12"/>
                <w:szCs w:val="12"/>
                <w:color w:val="auto"/>
              </w:rPr>
              <w:t>2.</w:t>
            </w:r>
          </w:p>
        </w:tc>
        <w:tc>
          <w:tcPr>
            <w:tcW w:w="3640" w:type="dxa"/>
            <w:vAlign w:val="bottom"/>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2"/>
          </w:tcPr>
          <w:p>
            <w:pPr>
              <w:ind w:left="60"/>
              <w:spacing w:after="0" w:line="131"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ALX ONCOLOGY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ALXO</w:t>
            </w:r>
          </w:p>
        </w:tc>
        <w:tc>
          <w:tcPr>
            <w:tcW w:w="16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0" w:type="dxa"/>
            <w:vAlign w:val="bottom"/>
            <w:vMerge w:val="restart"/>
          </w:tcPr>
          <w:p>
            <w:pPr>
              <w:ind w:left="60"/>
              <w:spacing w:after="0" w:line="199" w:lineRule="exact"/>
              <w:rPr>
                <w:sz w:val="20"/>
                <w:szCs w:val="20"/>
                <w:color w:val="auto"/>
              </w:rPr>
            </w:pPr>
            <w:r>
              <w:rPr>
                <w:rFonts w:ascii="Arial" w:cs="Arial" w:eastAsia="Arial" w:hAnsi="Arial"/>
                <w:sz w:val="20"/>
                <w:szCs w:val="20"/>
                <w:color w:val="auto"/>
              </w:rPr>
              <w:t>]</w:t>
            </w:r>
          </w:p>
        </w:tc>
        <w:tc>
          <w:tcPr>
            <w:tcW w:w="364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0" w:type="dxa"/>
            <w:vAlign w:val="bottom"/>
            <w:vMerge w:val="continue"/>
          </w:tcPr>
          <w:p>
            <w:pPr>
              <w:spacing w:after="0"/>
              <w:rPr>
                <w:sz w:val="14"/>
                <w:szCs w:val="14"/>
                <w:color w:val="auto"/>
              </w:rPr>
            </w:pPr>
          </w:p>
        </w:tc>
        <w:tc>
          <w:tcPr>
            <w:tcW w:w="3640" w:type="dxa"/>
            <w:vAlign w:val="bottom"/>
          </w:tcPr>
          <w:p>
            <w:pPr>
              <w:spacing w:after="0"/>
              <w:rPr>
                <w:sz w:val="14"/>
                <w:szCs w:val="14"/>
                <w:color w:val="auto"/>
              </w:rPr>
            </w:pPr>
          </w:p>
        </w:tc>
        <w:tc>
          <w:tcPr>
            <w:tcW w:w="16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400" w:type="dxa"/>
            <w:vAlign w:val="bottom"/>
            <w:vMerge w:val="continue"/>
          </w:tcPr>
          <w:p>
            <w:pPr>
              <w:spacing w:after="0"/>
              <w:rPr>
                <w:sz w:val="14"/>
                <w:szCs w:val="14"/>
                <w:color w:val="auto"/>
              </w:rPr>
            </w:pPr>
          </w:p>
        </w:tc>
        <w:tc>
          <w:tcPr>
            <w:tcW w:w="1220" w:type="dxa"/>
            <w:vAlign w:val="bottom"/>
            <w:vMerge w:val="restart"/>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36"/>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40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42"/>
        </w:trPr>
        <w:tc>
          <w:tcPr>
            <w:tcW w:w="20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tcPr>
          <w:p>
            <w:pPr>
              <w:spacing w:after="0"/>
              <w:rPr>
                <w:sz w:val="12"/>
                <w:szCs w:val="12"/>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below)</w:t>
            </w:r>
          </w:p>
        </w:tc>
        <w:tc>
          <w:tcPr>
            <w:tcW w:w="400" w:type="dxa"/>
            <w:vAlign w:val="bottom"/>
          </w:tcPr>
          <w:p>
            <w:pPr>
              <w:spacing w:after="0"/>
              <w:rPr>
                <w:sz w:val="12"/>
                <w:szCs w:val="12"/>
                <w:color w:val="auto"/>
              </w:rPr>
            </w:pPr>
          </w:p>
        </w:tc>
        <w:tc>
          <w:tcPr>
            <w:tcW w:w="1220" w:type="dxa"/>
            <w:vAlign w:val="bottom"/>
          </w:tcPr>
          <w:p>
            <w:pPr>
              <w:ind w:left="1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8"/>
        </w:trPr>
        <w:tc>
          <w:tcPr>
            <w:tcW w:w="200" w:type="dxa"/>
            <w:vAlign w:val="bottom"/>
          </w:tcPr>
          <w:p>
            <w:pPr>
              <w:ind w:left="60"/>
              <w:spacing w:after="0"/>
              <w:rPr>
                <w:sz w:val="20"/>
                <w:szCs w:val="20"/>
                <w:color w:val="auto"/>
              </w:rPr>
            </w:pPr>
            <w:r>
              <w:rPr>
                <w:rFonts w:ascii="Arial" w:cs="Arial" w:eastAsia="Arial" w:hAnsi="Arial"/>
                <w:sz w:val="12"/>
                <w:szCs w:val="12"/>
                <w:color w:val="auto"/>
              </w:rPr>
              <w:t>3.</w:t>
            </w:r>
          </w:p>
        </w:tc>
        <w:tc>
          <w:tcPr>
            <w:tcW w:w="3640" w:type="dxa"/>
            <w:vAlign w:val="bottom"/>
          </w:tcPr>
          <w:p>
            <w:pPr>
              <w:spacing w:after="0"/>
              <w:rPr>
                <w:sz w:val="20"/>
                <w:szCs w:val="20"/>
                <w:color w:val="auto"/>
              </w:rPr>
            </w:pPr>
            <w:r>
              <w:rPr>
                <w:rFonts w:ascii="Arial" w:cs="Arial" w:eastAsia="Arial" w:hAnsi="Arial"/>
                <w:sz w:val="12"/>
                <w:szCs w:val="12"/>
                <w:color w:val="auto"/>
              </w:rPr>
              <w:t>Date of Earliest Transaction (Month/Day/Year)</w:t>
            </w:r>
          </w:p>
        </w:tc>
        <w:tc>
          <w:tcPr>
            <w:tcW w:w="1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07/21/2020</w:t>
            </w:r>
          </w:p>
        </w:tc>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328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 w:type="dxa"/>
            <w:vAlign w:val="bottom"/>
          </w:tcPr>
          <w:p>
            <w:pPr>
              <w:ind w:left="60"/>
              <w:spacing w:after="0"/>
              <w:rPr>
                <w:sz w:val="20"/>
                <w:szCs w:val="20"/>
                <w:color w:val="auto"/>
              </w:rPr>
            </w:pPr>
            <w:r>
              <w:rPr>
                <w:rFonts w:ascii="Arial" w:cs="Arial" w:eastAsia="Arial" w:hAnsi="Arial"/>
                <w:sz w:val="12"/>
                <w:szCs w:val="12"/>
                <w:color w:val="auto"/>
              </w:rPr>
              <w:t>4.</w:t>
            </w:r>
          </w:p>
        </w:tc>
        <w:tc>
          <w:tcPr>
            <w:tcW w:w="3640" w:type="dxa"/>
            <w:vAlign w:val="bottom"/>
          </w:tcPr>
          <w:p>
            <w:pPr>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Line)</w:t>
            </w: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One Reporting Person</w:t>
      </w:r>
    </w:p>
    <w:p>
      <w:pPr>
        <w:spacing w:after="0" w:line="5" w:lineRule="exact"/>
        <w:rPr>
          <w:sz w:val="24"/>
          <w:szCs w:val="24"/>
          <w:color w:val="auto"/>
        </w:rPr>
      </w:pPr>
    </w:p>
    <w:p>
      <w:pPr>
        <w:ind w:left="4100"/>
        <w:spacing w:after="0"/>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274955</wp:posOffset>
            </wp:positionV>
            <wp:extent cx="6972935" cy="1842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935" cy="1842135"/>
                    </a:xfrm>
                    <a:prstGeom prst="rect">
                      <a:avLst/>
                    </a:prstGeom>
                    <a:noFill/>
                  </pic:spPr>
                </pic:pic>
              </a:graphicData>
            </a:graphic>
          </wp:anchor>
        </w:drawing>
      </w:r>
    </w:p>
    <w:p>
      <w:pPr>
        <w:spacing w:after="0" w:line="490"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800"/>
              <w:spacing w:after="0" w:line="121"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0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5"/>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2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88"/>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0"/>
                <w:szCs w:val="20"/>
                <w:color w:val="auto"/>
              </w:rPr>
            </w:pPr>
          </w:p>
        </w:tc>
        <w:tc>
          <w:tcPr>
            <w:tcW w:w="1760" w:type="dxa"/>
            <w:vAlign w:val="bottom"/>
            <w:gridSpan w:val="2"/>
            <w:vMerge w:val="restart"/>
          </w:tcPr>
          <w:p>
            <w:pPr>
              <w:ind w:left="900"/>
              <w:spacing w:after="0"/>
              <w:rPr>
                <w:sz w:val="20"/>
                <w:szCs w:val="20"/>
                <w:color w:val="auto"/>
              </w:rPr>
            </w:pPr>
            <w:r>
              <w:rPr>
                <w:rFonts w:ascii="Arial" w:cs="Arial" w:eastAsia="Arial" w:hAnsi="Arial"/>
                <w:sz w:val="16"/>
                <w:szCs w:val="16"/>
                <w:color w:val="0000FF"/>
              </w:rPr>
              <w:t>07/21/2020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0000FF"/>
              </w:rPr>
              <w:t>P</w:t>
            </w:r>
          </w:p>
        </w:tc>
        <w:tc>
          <w:tcPr>
            <w:tcW w:w="980" w:type="dxa"/>
            <w:vAlign w:val="bottom"/>
            <w:gridSpan w:val="2"/>
            <w:vMerge w:val="restart"/>
          </w:tcPr>
          <w:p>
            <w:pPr>
              <w:jc w:val="right"/>
              <w:ind w:right="162"/>
              <w:spacing w:after="0"/>
              <w:rPr>
                <w:sz w:val="20"/>
                <w:szCs w:val="20"/>
                <w:color w:val="auto"/>
              </w:rPr>
            </w:pPr>
            <w:r>
              <w:rPr>
                <w:rFonts w:ascii="Arial" w:cs="Arial" w:eastAsia="Arial" w:hAnsi="Arial"/>
                <w:sz w:val="16"/>
                <w:szCs w:val="16"/>
                <w:color w:val="0000FF"/>
              </w:rPr>
              <w:t>789,474</w:t>
            </w:r>
          </w:p>
        </w:tc>
        <w:tc>
          <w:tcPr>
            <w:tcW w:w="320" w:type="dxa"/>
            <w:vAlign w:val="bottom"/>
            <w:vMerge w:val="restart"/>
          </w:tcPr>
          <w:p>
            <w:pPr>
              <w:ind w:left="16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15"/>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19</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789,474</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0"/>
                <w:szCs w:val="20"/>
                <w:color w:val="auto"/>
              </w:rPr>
            </w:pPr>
          </w:p>
        </w:tc>
        <w:tc>
          <w:tcPr>
            <w:tcW w:w="1760" w:type="dxa"/>
            <w:vAlign w:val="bottom"/>
            <w:gridSpan w:val="2"/>
            <w:vMerge w:val="restart"/>
          </w:tcPr>
          <w:p>
            <w:pPr>
              <w:ind w:left="900"/>
              <w:spacing w:after="0"/>
              <w:rPr>
                <w:sz w:val="20"/>
                <w:szCs w:val="20"/>
                <w:color w:val="auto"/>
              </w:rPr>
            </w:pPr>
            <w:r>
              <w:rPr>
                <w:rFonts w:ascii="Arial" w:cs="Arial" w:eastAsia="Arial" w:hAnsi="Arial"/>
                <w:sz w:val="16"/>
                <w:szCs w:val="16"/>
                <w:color w:val="0000FF"/>
              </w:rPr>
              <w:t>07/21/2020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980" w:type="dxa"/>
            <w:vAlign w:val="bottom"/>
            <w:gridSpan w:val="2"/>
            <w:vMerge w:val="restart"/>
          </w:tcPr>
          <w:p>
            <w:pPr>
              <w:jc w:val="right"/>
              <w:ind w:right="42"/>
              <w:spacing w:after="0"/>
              <w:rPr>
                <w:sz w:val="20"/>
                <w:szCs w:val="20"/>
                <w:color w:val="auto"/>
              </w:rPr>
            </w:pPr>
            <w:r>
              <w:rPr>
                <w:rFonts w:ascii="Arial" w:cs="Arial" w:eastAsia="Arial" w:hAnsi="Arial"/>
                <w:sz w:val="16"/>
                <w:szCs w:val="16"/>
                <w:color w:val="0000FF"/>
                <w:w w:val="98"/>
              </w:rPr>
              <w:t>3,245,048</w:t>
            </w:r>
            <w:r>
              <w:rPr>
                <w:rFonts w:ascii="Arial" w:cs="Arial" w:eastAsia="Arial" w:hAnsi="Arial"/>
                <w:sz w:val="20"/>
                <w:szCs w:val="20"/>
                <w:color w:val="008000"/>
                <w:w w:val="98"/>
                <w:vertAlign w:val="superscript"/>
              </w:rPr>
              <w:t>(3)</w:t>
            </w:r>
          </w:p>
        </w:tc>
        <w:tc>
          <w:tcPr>
            <w:tcW w:w="320" w:type="dxa"/>
            <w:vAlign w:val="bottom"/>
            <w:vMerge w:val="restart"/>
          </w:tcPr>
          <w:p>
            <w:pPr>
              <w:ind w:left="16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95"/>
              <w:spacing w:after="0"/>
              <w:rPr>
                <w:sz w:val="20"/>
                <w:szCs w:val="20"/>
                <w:color w:val="auto"/>
              </w:rPr>
            </w:pPr>
            <w:r>
              <w:rPr>
                <w:rFonts w:ascii="Arial" w:cs="Arial" w:eastAsia="Arial" w:hAnsi="Arial"/>
                <w:sz w:val="10"/>
                <w:szCs w:val="10"/>
                <w:color w:val="008000"/>
                <w:w w:val="97"/>
              </w:rPr>
              <w:t>(2)</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4,034,522</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0"/>
                <w:szCs w:val="20"/>
                <w:color w:val="auto"/>
              </w:rPr>
            </w:pPr>
          </w:p>
        </w:tc>
        <w:tc>
          <w:tcPr>
            <w:tcW w:w="1760" w:type="dxa"/>
            <w:vAlign w:val="bottom"/>
            <w:gridSpan w:val="2"/>
            <w:vMerge w:val="restart"/>
          </w:tcPr>
          <w:p>
            <w:pPr>
              <w:ind w:left="900"/>
              <w:spacing w:after="0"/>
              <w:rPr>
                <w:sz w:val="20"/>
                <w:szCs w:val="20"/>
                <w:color w:val="auto"/>
              </w:rPr>
            </w:pPr>
            <w:r>
              <w:rPr>
                <w:rFonts w:ascii="Arial" w:cs="Arial" w:eastAsia="Arial" w:hAnsi="Arial"/>
                <w:sz w:val="16"/>
                <w:szCs w:val="16"/>
                <w:color w:val="0000FF"/>
              </w:rPr>
              <w:t>07/21/2020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0000FF"/>
              </w:rPr>
              <w:t>P</w:t>
            </w:r>
          </w:p>
        </w:tc>
        <w:tc>
          <w:tcPr>
            <w:tcW w:w="980" w:type="dxa"/>
            <w:vAlign w:val="bottom"/>
            <w:gridSpan w:val="2"/>
            <w:vMerge w:val="restart"/>
          </w:tcPr>
          <w:p>
            <w:pPr>
              <w:jc w:val="right"/>
              <w:ind w:right="162"/>
              <w:spacing w:after="0"/>
              <w:rPr>
                <w:sz w:val="20"/>
                <w:szCs w:val="20"/>
                <w:color w:val="auto"/>
              </w:rPr>
            </w:pPr>
            <w:r>
              <w:rPr>
                <w:rFonts w:ascii="Arial" w:cs="Arial" w:eastAsia="Arial" w:hAnsi="Arial"/>
                <w:sz w:val="16"/>
                <w:szCs w:val="16"/>
                <w:color w:val="0000FF"/>
              </w:rPr>
              <w:t>185,526</w:t>
            </w:r>
          </w:p>
        </w:tc>
        <w:tc>
          <w:tcPr>
            <w:tcW w:w="320" w:type="dxa"/>
            <w:vAlign w:val="bottom"/>
            <w:vMerge w:val="restart"/>
          </w:tcPr>
          <w:p>
            <w:pPr>
              <w:ind w:left="16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15"/>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19</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185,526</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2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 w:type="dxa"/>
            <w:vAlign w:val="bottom"/>
          </w:tcPr>
          <w:p>
            <w:pPr>
              <w:spacing w:after="0"/>
              <w:rPr>
                <w:sz w:val="12"/>
                <w:szCs w:val="12"/>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Convertible</w:t>
            </w:r>
          </w:p>
        </w:tc>
        <w:tc>
          <w:tcPr>
            <w:tcW w:w="740" w:type="dxa"/>
            <w:vAlign w:val="bottom"/>
          </w:tcPr>
          <w:p>
            <w:pPr>
              <w:ind w:left="320"/>
              <w:spacing w:after="0"/>
              <w:rPr>
                <w:sz w:val="20"/>
                <w:szCs w:val="20"/>
                <w:color w:val="auto"/>
              </w:rPr>
            </w:pPr>
            <w:r>
              <w:rPr>
                <w:rFonts w:ascii="Arial" w:cs="Arial" w:eastAsia="Arial" w:hAnsi="Arial"/>
                <w:sz w:val="10"/>
                <w:szCs w:val="10"/>
                <w:color w:val="008000"/>
              </w:rPr>
              <w:t>(2)</w:t>
            </w:r>
          </w:p>
        </w:tc>
        <w:tc>
          <w:tcPr>
            <w:tcW w:w="1060" w:type="dxa"/>
            <w:vAlign w:val="bottom"/>
            <w:vMerge w:val="restart"/>
          </w:tcPr>
          <w:p>
            <w:pPr>
              <w:ind w:left="260"/>
              <w:spacing w:after="0"/>
              <w:rPr>
                <w:sz w:val="20"/>
                <w:szCs w:val="20"/>
                <w:color w:val="auto"/>
              </w:rPr>
            </w:pPr>
            <w:r>
              <w:rPr>
                <w:rFonts w:ascii="Arial" w:cs="Arial" w:eastAsia="Arial" w:hAnsi="Arial"/>
                <w:sz w:val="12"/>
                <w:szCs w:val="12"/>
                <w:color w:val="0000FF"/>
              </w:rPr>
              <w:t>07/21/2020</w:t>
            </w:r>
          </w:p>
        </w:tc>
        <w:tc>
          <w:tcPr>
            <w:tcW w:w="1060" w:type="dxa"/>
            <w:vAlign w:val="bottom"/>
          </w:tcPr>
          <w:p>
            <w:pPr>
              <w:spacing w:after="0"/>
              <w:rPr>
                <w:sz w:val="10"/>
                <w:szCs w:val="10"/>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940" w:type="dxa"/>
            <w:vAlign w:val="bottom"/>
            <w:gridSpan w:val="2"/>
            <w:vMerge w:val="restart"/>
          </w:tcPr>
          <w:p>
            <w:pPr>
              <w:ind w:left="340"/>
              <w:spacing w:after="0"/>
              <w:rPr>
                <w:sz w:val="20"/>
                <w:szCs w:val="20"/>
                <w:color w:val="auto"/>
              </w:rPr>
            </w:pPr>
            <w:r>
              <w:rPr>
                <w:rFonts w:ascii="Arial" w:cs="Arial" w:eastAsia="Arial" w:hAnsi="Arial"/>
                <w:sz w:val="12"/>
                <w:szCs w:val="12"/>
                <w:color w:val="0000FF"/>
              </w:rPr>
              <w:t>3,158,851</w:t>
            </w:r>
          </w:p>
        </w:tc>
        <w:tc>
          <w:tcPr>
            <w:tcW w:w="760" w:type="dxa"/>
            <w:vAlign w:val="bottom"/>
            <w:gridSpan w:val="2"/>
          </w:tcPr>
          <w:p>
            <w:pPr>
              <w:ind w:left="280"/>
              <w:spacing w:after="0"/>
              <w:rPr>
                <w:sz w:val="20"/>
                <w:szCs w:val="20"/>
                <w:color w:val="auto"/>
              </w:rPr>
            </w:pPr>
            <w:r>
              <w:rPr>
                <w:rFonts w:ascii="Arial" w:cs="Arial" w:eastAsia="Arial" w:hAnsi="Arial"/>
                <w:sz w:val="10"/>
                <w:szCs w:val="10"/>
                <w:color w:val="008000"/>
              </w:rPr>
              <w:t>(2)</w:t>
            </w:r>
          </w:p>
        </w:tc>
        <w:tc>
          <w:tcPr>
            <w:tcW w:w="640" w:type="dxa"/>
            <w:vAlign w:val="bottom"/>
          </w:tcPr>
          <w:p>
            <w:pPr>
              <w:ind w:left="240"/>
              <w:spacing w:after="0"/>
              <w:rPr>
                <w:sz w:val="20"/>
                <w:szCs w:val="20"/>
                <w:color w:val="auto"/>
              </w:rPr>
            </w:pPr>
            <w:r>
              <w:rPr>
                <w:rFonts w:ascii="Arial" w:cs="Arial" w:eastAsia="Arial" w:hAnsi="Arial"/>
                <w:sz w:val="10"/>
                <w:szCs w:val="10"/>
                <w:color w:val="008000"/>
              </w:rPr>
              <w:t>(2)</w:t>
            </w:r>
          </w:p>
        </w:tc>
        <w:tc>
          <w:tcPr>
            <w:tcW w:w="660" w:type="dxa"/>
            <w:vAlign w:val="bottom"/>
            <w:gridSpan w:val="2"/>
          </w:tcPr>
          <w:p>
            <w:pPr>
              <w:ind w:left="80"/>
              <w:spacing w:after="0" w:line="121" w:lineRule="exact"/>
              <w:rPr>
                <w:sz w:val="20"/>
                <w:szCs w:val="20"/>
                <w:color w:val="auto"/>
              </w:rPr>
            </w:pPr>
            <w:r>
              <w:rPr>
                <w:rFonts w:ascii="Arial" w:cs="Arial" w:eastAsia="Arial" w:hAnsi="Arial"/>
                <w:sz w:val="12"/>
                <w:szCs w:val="12"/>
                <w:color w:val="0000FF"/>
              </w:rPr>
              <w:t>Common</w:t>
            </w:r>
          </w:p>
        </w:tc>
        <w:tc>
          <w:tcPr>
            <w:tcW w:w="720" w:type="dxa"/>
            <w:vAlign w:val="bottom"/>
            <w:vMerge w:val="restart"/>
          </w:tcPr>
          <w:p>
            <w:pPr>
              <w:ind w:left="20"/>
              <w:spacing w:after="0"/>
              <w:rPr>
                <w:sz w:val="20"/>
                <w:szCs w:val="20"/>
                <w:color w:val="auto"/>
              </w:rPr>
            </w:pPr>
            <w:r>
              <w:rPr>
                <w:rFonts w:ascii="Arial" w:cs="Arial" w:eastAsia="Arial" w:hAnsi="Arial"/>
                <w:sz w:val="16"/>
                <w:szCs w:val="16"/>
                <w:color w:val="0000FF"/>
                <w:w w:val="95"/>
              </w:rPr>
              <w:t>3,158,851</w:t>
            </w:r>
          </w:p>
        </w:tc>
        <w:tc>
          <w:tcPr>
            <w:tcW w:w="20" w:type="dxa"/>
            <w:vAlign w:val="bottom"/>
          </w:tcPr>
          <w:p>
            <w:pPr>
              <w:spacing w:after="0"/>
              <w:rPr>
                <w:sz w:val="10"/>
                <w:szCs w:val="10"/>
                <w:color w:val="auto"/>
              </w:rPr>
            </w:pPr>
          </w:p>
        </w:tc>
        <w:tc>
          <w:tcPr>
            <w:tcW w:w="700" w:type="dxa"/>
            <w:vAlign w:val="bottom"/>
          </w:tcPr>
          <w:p>
            <w:pPr>
              <w:ind w:left="260"/>
              <w:spacing w:after="0"/>
              <w:rPr>
                <w:sz w:val="20"/>
                <w:szCs w:val="20"/>
                <w:color w:val="auto"/>
              </w:rPr>
            </w:pPr>
            <w:r>
              <w:rPr>
                <w:rFonts w:ascii="Arial" w:cs="Arial" w:eastAsia="Arial" w:hAnsi="Arial"/>
                <w:sz w:val="10"/>
                <w:szCs w:val="10"/>
                <w:color w:val="008000"/>
              </w:rPr>
              <w:t>(2)</w:t>
            </w: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10"/>
                <w:szCs w:val="10"/>
                <w:color w:val="auto"/>
              </w:rPr>
            </w:pP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ind w:left="16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4"/>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Vivo Capital IX, LLC</w:t>
              </w:r>
            </w:hyperlink>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Pr>
          <w:p>
            <w:pPr>
              <w:ind w:left="400"/>
              <w:spacing w:after="0"/>
              <w:rPr>
                <w:sz w:val="20"/>
                <w:szCs w:val="20"/>
                <w:color w:val="auto"/>
              </w:rPr>
            </w:pPr>
            <w:r>
              <w:rPr>
                <w:rFonts w:ascii="Arial" w:cs="Arial" w:eastAsia="Arial" w:hAnsi="Arial"/>
                <w:sz w:val="12"/>
                <w:szCs w:val="12"/>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Arial" w:cs="Arial" w:eastAsia="Arial" w:hAnsi="Arial"/>
                <w:sz w:val="16"/>
                <w:szCs w:val="16"/>
                <w:color w:val="0000FF"/>
              </w:rPr>
              <w:t>C/O VIVO CAPITAL LLC</w:t>
            </w: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3"/>
          </w:tcPr>
          <w:p>
            <w:pPr>
              <w:ind w:left="20"/>
              <w:spacing w:after="0"/>
              <w:rPr>
                <w:sz w:val="20"/>
                <w:szCs w:val="20"/>
                <w:color w:val="auto"/>
              </w:rPr>
            </w:pPr>
            <w:r>
              <w:rPr>
                <w:rFonts w:ascii="Arial" w:cs="Arial" w:eastAsia="Arial" w:hAnsi="Arial"/>
                <w:sz w:val="16"/>
                <w:szCs w:val="16"/>
                <w:color w:val="0000FF"/>
              </w:rPr>
              <w:t>192 LYTTON AVENUE</w:t>
            </w: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PALO ALTO</w:t>
            </w:r>
          </w:p>
        </w:tc>
        <w:tc>
          <w:tcPr>
            <w:tcW w:w="1060" w:type="dxa"/>
            <w:vAlign w:val="bottom"/>
          </w:tcPr>
          <w:p>
            <w:pPr>
              <w:ind w:left="40"/>
              <w:spacing w:after="0"/>
              <w:rPr>
                <w:sz w:val="20"/>
                <w:szCs w:val="20"/>
                <w:color w:val="auto"/>
              </w:rPr>
            </w:pPr>
            <w:r>
              <w:rPr>
                <w:rFonts w:ascii="Arial" w:cs="Arial" w:eastAsia="Arial" w:hAnsi="Arial"/>
                <w:sz w:val="16"/>
                <w:szCs w:val="16"/>
                <w:color w:val="0000FF"/>
              </w:rPr>
              <w:t>CA</w:t>
            </w:r>
          </w:p>
        </w:tc>
        <w:tc>
          <w:tcPr>
            <w:tcW w:w="1060" w:type="dxa"/>
            <w:vAlign w:val="bottom"/>
          </w:tcPr>
          <w:p>
            <w:pPr>
              <w:ind w:left="400"/>
              <w:spacing w:after="0"/>
              <w:rPr>
                <w:sz w:val="20"/>
                <w:szCs w:val="20"/>
                <w:color w:val="auto"/>
              </w:rPr>
            </w:pPr>
            <w:r>
              <w:rPr>
                <w:rFonts w:ascii="Arial" w:cs="Arial" w:eastAsia="Arial" w:hAnsi="Arial"/>
                <w:sz w:val="16"/>
                <w:szCs w:val="16"/>
                <w:color w:val="0000FF"/>
              </w:rPr>
              <w:t>94301</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tcPr>
          <w:p>
            <w:pPr>
              <w:ind w:left="40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Vivo Capital Fund IX, L.P.</w:t>
              </w:r>
            </w:hyperlink>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Pr>
          <w:p>
            <w:pPr>
              <w:ind w:left="400"/>
              <w:spacing w:after="0"/>
              <w:rPr>
                <w:sz w:val="20"/>
                <w:szCs w:val="20"/>
                <w:color w:val="auto"/>
              </w:rPr>
            </w:pPr>
            <w:r>
              <w:rPr>
                <w:rFonts w:ascii="Arial" w:cs="Arial" w:eastAsia="Arial" w:hAnsi="Arial"/>
                <w:sz w:val="12"/>
                <w:szCs w:val="12"/>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Arial" w:cs="Arial" w:eastAsia="Arial" w:hAnsi="Arial"/>
                <w:sz w:val="16"/>
                <w:szCs w:val="16"/>
                <w:color w:val="0000FF"/>
              </w:rPr>
              <w:t>C/O VIVO CAPITAL LLC</w:t>
            </w: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3"/>
          </w:tcPr>
          <w:p>
            <w:pPr>
              <w:ind w:left="20"/>
              <w:spacing w:after="0"/>
              <w:rPr>
                <w:sz w:val="20"/>
                <w:szCs w:val="20"/>
                <w:color w:val="auto"/>
              </w:rPr>
            </w:pPr>
            <w:r>
              <w:rPr>
                <w:rFonts w:ascii="Arial" w:cs="Arial" w:eastAsia="Arial" w:hAnsi="Arial"/>
                <w:sz w:val="16"/>
                <w:szCs w:val="16"/>
                <w:color w:val="0000FF"/>
              </w:rPr>
              <w:t>192 LYTTON AVENUE</w:t>
            </w: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PALO ALTO</w:t>
            </w:r>
          </w:p>
        </w:tc>
        <w:tc>
          <w:tcPr>
            <w:tcW w:w="1060" w:type="dxa"/>
            <w:vAlign w:val="bottom"/>
          </w:tcPr>
          <w:p>
            <w:pPr>
              <w:ind w:left="40"/>
              <w:spacing w:after="0"/>
              <w:rPr>
                <w:sz w:val="20"/>
                <w:szCs w:val="20"/>
                <w:color w:val="auto"/>
              </w:rPr>
            </w:pPr>
            <w:r>
              <w:rPr>
                <w:rFonts w:ascii="Arial" w:cs="Arial" w:eastAsia="Arial" w:hAnsi="Arial"/>
                <w:sz w:val="16"/>
                <w:szCs w:val="16"/>
                <w:color w:val="0000FF"/>
              </w:rPr>
              <w:t>CA</w:t>
            </w:r>
          </w:p>
        </w:tc>
        <w:tc>
          <w:tcPr>
            <w:tcW w:w="1060" w:type="dxa"/>
            <w:vAlign w:val="bottom"/>
          </w:tcPr>
          <w:p>
            <w:pPr>
              <w:ind w:left="400"/>
              <w:spacing w:after="0"/>
              <w:rPr>
                <w:sz w:val="20"/>
                <w:szCs w:val="20"/>
                <w:color w:val="auto"/>
              </w:rPr>
            </w:pPr>
            <w:r>
              <w:rPr>
                <w:rFonts w:ascii="Arial" w:cs="Arial" w:eastAsia="Arial" w:hAnsi="Arial"/>
                <w:sz w:val="16"/>
                <w:szCs w:val="16"/>
                <w:color w:val="0000FF"/>
              </w:rPr>
              <w:t>94301</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tcPr>
          <w:p>
            <w:pPr>
              <w:ind w:left="40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Vivo Opportunity, LLC</w:t>
              </w:r>
            </w:hyperlink>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Pr>
          <w:p>
            <w:pPr>
              <w:ind w:left="400"/>
              <w:spacing w:after="0"/>
              <w:rPr>
                <w:sz w:val="20"/>
                <w:szCs w:val="20"/>
                <w:color w:val="auto"/>
              </w:rPr>
            </w:pPr>
            <w:r>
              <w:rPr>
                <w:rFonts w:ascii="Arial" w:cs="Arial" w:eastAsia="Arial" w:hAnsi="Arial"/>
                <w:sz w:val="12"/>
                <w:szCs w:val="12"/>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-5650865</wp:posOffset>
            </wp:positionV>
            <wp:extent cx="7035800" cy="5897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5800" cy="589788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p>
      <w:pPr>
        <w:spacing w:after="0" w:line="55"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C/O VIVO CAPITAL LLC</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6"/>
          <w:szCs w:val="16"/>
          <w:color w:val="0000FF"/>
        </w:rPr>
        <w:t>192 LYTTON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-110490</wp:posOffset>
            </wp:positionV>
            <wp:extent cx="2782570" cy="254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2570" cy="2545715"/>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4"/>
        </w:trPr>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PALO ALTO</w:t>
            </w:r>
          </w:p>
        </w:tc>
        <w:tc>
          <w:tcPr>
            <w:tcW w:w="1440" w:type="dxa"/>
            <w:vAlign w:val="bottom"/>
          </w:tcPr>
          <w:p>
            <w:pPr>
              <w:ind w:left="26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94301</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1440" w:type="dxa"/>
            <w:vAlign w:val="bottom"/>
          </w:tcPr>
          <w:p>
            <w:pPr>
              <w:ind w:left="26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580" w:type="dxa"/>
            <w:vAlign w:val="bottom"/>
            <w:gridSpan w:val="2"/>
          </w:tcPr>
          <w:p>
            <w:pPr>
              <w:ind w:left="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Vivo Opportunity Fund, L.P.</w:t>
              </w:r>
            </w:hyperlink>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2"/>
        </w:trPr>
        <w:tc>
          <w:tcPr>
            <w:tcW w:w="8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(Last)</w:t>
            </w:r>
          </w:p>
        </w:tc>
        <w:tc>
          <w:tcPr>
            <w:tcW w:w="1440" w:type="dxa"/>
            <w:vAlign w:val="bottom"/>
          </w:tcPr>
          <w:p>
            <w:pPr>
              <w:ind w:left="26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C/O VIVO CAPITAL LLC</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192 LYTTON AVENUE</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2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PALO ALTO</w:t>
            </w:r>
          </w:p>
        </w:tc>
        <w:tc>
          <w:tcPr>
            <w:tcW w:w="1440" w:type="dxa"/>
            <w:vAlign w:val="bottom"/>
          </w:tcPr>
          <w:p>
            <w:pPr>
              <w:ind w:left="26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94301</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1440" w:type="dxa"/>
            <w:vAlign w:val="bottom"/>
          </w:tcPr>
          <w:p>
            <w:pPr>
              <w:ind w:left="26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jc w:val="both"/>
        <w:ind w:left="20" w:right="60" w:hanging="3"/>
        <w:spacing w:after="0" w:line="254"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Vivo Capital Fund IX, L.P. (VIVO IX LP). Vivo Capital IX, LLC (VIVO IX LLC) is the General Partner of VIVO IX LP. As the managing members of Vivo Capital IX, LLC, Frank Kung, Albert Cha, Edgar Engleman, Shan Fu and Chen Yu share voting and dispositive power with respect to the shares held of record by VIVO IX LP but each disclaims beneficial ownership of such shares except to the extent of his individual pecuniary interest therein.</w:t>
      </w:r>
    </w:p>
    <w:p>
      <w:pPr>
        <w:spacing w:after="0" w:line="22" w:lineRule="exact"/>
        <w:rPr>
          <w:rFonts w:ascii="Arial" w:cs="Arial" w:eastAsia="Arial" w:hAnsi="Arial"/>
          <w:sz w:val="12"/>
          <w:szCs w:val="12"/>
          <w:color w:val="008000"/>
        </w:rPr>
      </w:pPr>
    </w:p>
    <w:p>
      <w:pPr>
        <w:ind w:left="20" w:right="4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C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86,197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20" w:hanging="3"/>
        <w:spacing w:after="0" w:line="254"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Vivo Opportunity Fund, L.P. (VOF). Vivo Opportunity, LLC is the general partner of VOF. As the managing members of Vivo Opportunity, LLC, Albert Cha, Gaurav Aggarwal, Shan Fu, Frank Kung and Michael Chang share voting and dispositive power with respect to the shares held of record by VIVO IX LP but each disclaims beneficial ownership of such shares except to the extent of his individual pecuniary interest therein.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880"/>
          </w:cols>
          <w:pgMar w:left="480" w:top="131" w:right="539" w:bottom="1440" w:gutter="0" w:footer="0" w:header="0"/>
        </w:sectPr>
      </w:pPr>
    </w:p>
    <w:p>
      <w:pPr>
        <w:spacing w:after="0" w:line="13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Albert Cha, as 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-7620</wp:posOffset>
            </wp:positionV>
            <wp:extent cx="12160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16025"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550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5506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943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94310" cy="7620"/>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Albert Cha, as 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-7620</wp:posOffset>
            </wp:positionV>
            <wp:extent cx="12160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16025"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550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5506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271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VIVO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5365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36575" cy="7620"/>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Albert Cha, as 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-7620</wp:posOffset>
            </wp:positionV>
            <wp:extent cx="12160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16025"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member of Vivo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204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2047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943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94310" cy="7620"/>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Albert Cha, as 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-7620</wp:posOffset>
            </wp:positionV>
            <wp:extent cx="12160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16025"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member of Vivo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204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2047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LLC, the general partner of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1905</wp:posOffset>
            </wp:positionV>
            <wp:extent cx="13519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51915" cy="7620"/>
                    </a:xfrm>
                    <a:prstGeom prst="rect">
                      <a:avLst/>
                    </a:prstGeom>
                    <a:noFill/>
                  </pic:spPr>
                </pic:pic>
              </a:graphicData>
            </a:graphic>
          </wp:anchor>
        </w:drawing>
      </w:r>
    </w:p>
    <w:p>
      <w:pPr>
        <w:spacing w:after="0" w:line="1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Opportunity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505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950595" cy="7620"/>
                    </a:xfrm>
                    <a:prstGeom prst="rect">
                      <a:avLst/>
                    </a:prstGeom>
                    <a:noFill/>
                  </pic:spPr>
                </pic:pic>
              </a:graphicData>
            </a:graphic>
          </wp:anchor>
        </w:drawing>
      </w:r>
    </w:p>
    <w:p>
      <w:pPr>
        <w:spacing w:after="0" w:line="46"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 Signature of Reporting Person</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1500" w:hanging="3"/>
        <w:spacing w:after="0" w:line="323"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82" w:lineRule="exact"/>
        <w:rPr>
          <w:sz w:val="20"/>
          <w:szCs w:val="20"/>
          <w:color w:val="auto"/>
        </w:rPr>
      </w:pPr>
    </w:p>
    <w:p>
      <w:pPr>
        <w:sectPr>
          <w:pgSz w:w="11900" w:h="16838" w:orient="portrait"/>
          <w:cols w:equalWidth="0" w:num="2">
            <w:col w:w="8700" w:space="80"/>
            <w:col w:w="2100"/>
          </w:cols>
          <w:pgMar w:left="480" w:top="131" w:right="5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13" Type="http://schemas.openxmlformats.org/officeDocument/2006/relationships/hyperlink" Target="http://www.sec.gov/cgi-bin/browse-edgar?action=getcompany&amp;CIK=0001750698" TargetMode="External"/><Relationship Id="rId14" Type="http://schemas.openxmlformats.org/officeDocument/2006/relationships/hyperlink" Target="http://www.sec.gov/cgi-bin/browse-edgar?action=getcompany&amp;CIK=0001810182" TargetMode="External"/><Relationship Id="rId16" Type="http://schemas.openxmlformats.org/officeDocument/2006/relationships/hyperlink" Target="http://www.sec.gov/cgi-bin/browse-edgar?action=getcompany&amp;CIK=0001750117" TargetMode="External"/><Relationship Id="rId17" Type="http://schemas.openxmlformats.org/officeDocument/2006/relationships/hyperlink" Target="http://www.sec.gov/cgi-bin/browse-edgar?action=getcompany&amp;CIK=0001728970" TargetMode="External"/><Relationship Id="rId20" Type="http://schemas.openxmlformats.org/officeDocument/2006/relationships/hyperlink" Target="http://www.sec.gov/cgi-bin/browse-edgar?action=getcompany&amp;CIK=0001726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2020-07-21T19:26:22Z</dcterms:created>
  <dcterms:modified xsi:type="dcterms:W3CDTF">2020-07-21T19:26:22Z</dcterms:modified>
</cp:coreProperties>
</file>