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41231.htm"/>
      <w:bookmarkStart w:id="1" w:name="ksalxo20241231"/>
      <w:bookmarkEnd w:id="0"/>
      <w:bookmarkEnd w:id="1"/>
      <w:r>
        <w:rPr/>
        <w:t> </w:t>
      </w:r>
    </w:p>
    <w:p>
      <w:pPr>
        <w:pStyle w:val="TextBody"/>
        <w:bidi w:val="0"/>
        <w:jc w:val="center"/>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fiscal year ended December 31, 2024</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001-39386</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323 Allerton Avenue</w:t>
            </w:r>
          </w:p>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94080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Registrant’s telephone number, including area code: 650-466-7125</w:t>
      </w:r>
    </w:p>
    <w:p>
      <w:pPr>
        <w:pStyle w:val="TextBody"/>
        <w:bidi w:val="0"/>
        <w:spacing w:before="4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ALXO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aggregate market value of the registrant’s common stock held by non-affiliates of the registrant on June 30, 2024, the last business day of its most recently completed second fiscal quarter, was $251.2</w:t>
      </w:r>
      <w:r>
        <w:rPr>
          <w:rFonts w:ascii="Times New Roman" w:hAnsi="Times New Roman"/>
          <w:color w:val="000000"/>
          <w:sz w:val="20"/>
        </w:rPr>
        <w:t xml:space="preserve"> </w:t>
      </w:r>
      <w:r>
        <w:rPr>
          <w:rFonts w:ascii="Times New Roman" w:hAnsi="Times New Roman"/>
          <w:color w:val="000000"/>
          <w:sz w:val="16"/>
        </w:rPr>
        <w:t>million based on the closing sales price of the registrant’s common stock on that date.</w:t>
      </w:r>
    </w:p>
    <w:p>
      <w:pPr>
        <w:pStyle w:val="TextBody"/>
        <w:bidi w:val="0"/>
        <w:spacing w:before="40" w:after="283"/>
        <w:jc w:val="left"/>
        <w:rPr>
          <w:rFonts w:ascii="Times New Roman" w:hAnsi="Times New Roman"/>
          <w:sz w:val="20"/>
        </w:rPr>
      </w:pPr>
      <w:r>
        <w:rPr>
          <w:rFonts w:ascii="Times New Roman" w:hAnsi="Times New Roman"/>
          <w:color w:val="000000"/>
          <w:sz w:val="16"/>
        </w:rPr>
        <w:t>The number of shares of registrant’s Common Stock outstanding as of February 27, 2025 was 53,384,145.</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Certain portions of the registrant’s definitive proxy statement relating to the Company’s 2024 Annual Meeting of Stockholders, to be filed with the Securities and Exchange Commission within 120 days of the registrant’s fiscal year ended December 31, 2024, are incorporated by reference into Part III of this Annual Report on Form 10-K where indicated.</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existing cash to fund our future operating expenses and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including the geographic areas of focus and our ability to grow a sales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preclinical research activities, and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beneficial characteristics, mechanisms of action, safety profile, efficacy and therapeutic effects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and focus of our current and future clinical trials, and the reporting of data from those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clinical trials, including collaborations and investigator sponsored trials, to demonstrate the safety and efficacy of our product candidates, and other positive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competing product candidates and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the further development and manufacturing of our product candidates, including additional indications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regulations and regulatory developments in the United States and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and ability to successfully manufacture and supply our product candidates for clinical trials and for commercial use,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reliance on third parties to conduct clinical trials of our product candidates, and for the manufacture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including our technology platform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continued service of our key personnel, the impacts of any executive officer changes, and to identify, hire, and then retain additional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outbreaks or public health crises, including the COVID-19 pandemic, interest rate changes, bank failures or instability in the financial services sector, or geopolitical risks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for and prospects of our acquisitions and other business development activities, and our ability to successfully capitalize on these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financial and internal controls;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and cash equivalents, short-term and long-term investments, and the funds available from our term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EE"/>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EE"/>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EE"/>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EE"/>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EE"/>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EE"/>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EE"/>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EE"/>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EE"/>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EE"/>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EE"/>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EE"/>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EE"/>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EE"/>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EE"/>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EE"/>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EE"/>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EE"/>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EE"/>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EE"/>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EE"/>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EE"/>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EE"/>
                  <w:sz w:val="20"/>
                  <w:u w:val="single"/>
                </w:rPr>
                <w:t>SIGNATURES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BUSINESS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ALX Oncology was founded to address fundamental challenges in blocking CD47 and to realize the full potential of this therapeutic target. Clinical data on competing CD47 blockers to date have come from molecules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 Additionally, the molecular weight of evorpacept is half that of a typical antibody, therefore allowing for higher dosing (10mg/kg of evorpacept is equivalent to 20 mg/kg of a regular antibody). The relatively smaller size of our molecule may facilitate increased penetrance into the tumor microenvironment. We believe these properties may enable evorpacept to provide superior therapeutic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data to date in evorpacept have not shown the dose-dependent hematologic toxicities characteristic of other CD47 blockers that incorporate an active Fc domain. Over 700 subjects have been treated with evorpacept in combination with targeted anti-cancer agents, small molecules, and checkpoint inhibitors to date. Evorpacept has not reached a maximum tolerated dose in any of the combinations evaluated to date.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 as discussed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distinct mechanism of actions and examples of the combinations of priority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Anti-cancer antibodies (the “</w:t>
      </w:r>
      <w:r>
        <w:rPr>
          <w:rFonts w:ascii="Times New Roman" w:hAnsi="Times New Roman"/>
          <w:b/>
          <w:i/>
          <w:color w:val="000000"/>
          <w:sz w:val="20"/>
        </w:rPr>
        <w:t>don’t eat me</w:t>
      </w:r>
      <w:r>
        <w:rPr>
          <w:color w:val="000000"/>
        </w:rPr>
        <w:t xml:space="preserve">” </w:t>
      </w:r>
      <w:r>
        <w:rPr>
          <w:rFonts w:ascii="Times New Roman" w:hAnsi="Times New Roman"/>
          <w:b/>
          <w:color w:val="000000"/>
          <w:sz w:val="20"/>
        </w:rPr>
        <w:t>signal)</w:t>
      </w:r>
      <w:r>
        <w:rPr>
          <w:rFonts w:ascii="Times New Roman" w:hAnsi="Times New Roman"/>
          <w:color w:val="000000"/>
          <w:sz w:val="20"/>
        </w:rPr>
        <w:t xml:space="preserve">: </w:t>
      </w:r>
      <w:r>
        <w:rPr>
          <w:rFonts w:ascii="Times New Roman" w:hAnsi="Times New Roman"/>
          <w:b/>
          <w:color w:val="000000"/>
          <w:sz w:val="20"/>
        </w:rPr>
        <w:t>Combining with anti-cancer targeted antibodies with an active Fc domain, where evorpacept enables the Fc-mediated antibody dependent phagocytosis that is impaired by the expression of CD47 on cancer cells</w:t>
      </w:r>
      <w:r>
        <w:rPr>
          <w:rFonts w:ascii="Times New Roman" w:hAnsi="Times New Roman"/>
          <w:color w:val="000000"/>
          <w:sz w:val="20"/>
        </w:rPr>
        <w:t xml:space="preserve">. </w:t>
        <w:br/>
        <w:t>Data from the randomized ASPEN-06 Phase 2 clinical trial supports the clinical validation of this mechanism of action. ASPEN-06 evaluates the contribution of evorpacept to HERCEPTIN</w:t>
      </w:r>
      <w:r>
        <w:rPr>
          <w:rFonts w:ascii="Times New Roman" w:hAnsi="Times New Roman"/>
          <w:color w:val="000000"/>
          <w:sz w:val="13"/>
        </w:rPr>
        <w:t xml:space="preserve">® </w:t>
      </w:r>
      <w:r>
        <w:rPr>
          <w:rFonts w:ascii="Times New Roman" w:hAnsi="Times New Roman"/>
          <w:color w:val="000000"/>
          <w:sz w:val="20"/>
        </w:rPr>
        <w:t>(trastuzumab) plus standard of care (CYRAMZA</w:t>
      </w:r>
      <w:r>
        <w:rPr>
          <w:rFonts w:ascii="Times New Roman" w:hAnsi="Times New Roman"/>
          <w:color w:val="000000"/>
          <w:sz w:val="13"/>
        </w:rPr>
        <w:t>®</w:t>
      </w:r>
      <w:r>
        <w:rPr>
          <w:color w:val="000000"/>
        </w:rPr>
        <w:t xml:space="preserve"> </w:t>
      </w:r>
      <w:r>
        <w:rPr>
          <w:rFonts w:ascii="Times New Roman" w:hAnsi="Times New Roman"/>
          <w:color w:val="000000"/>
          <w:sz w:val="20"/>
        </w:rPr>
        <w:t xml:space="preserve">(ramucirumab) + paclitaxel) (Evo-TRP), versus trastuzumab, ramucirumab, and paclitaxel (TRP) in second line or later human epidermal growth factor receptor 2 (HER2)-positive gastric/gastroesophageal junction (GEJ) cancer, where all patients had received an anti-HER2 agent in prior lines of therapy. Results from the December 2024 data cutoff were presented at an oral presentation at the 2025 American Society of Clinical Oncology (ASCO) Gastrointestinal Cancers Symposium: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b/>
          <w:color w:val="000000"/>
          <w:sz w:val="20"/>
        </w:rPr>
        <w:t>Primary endpoints</w:t>
      </w:r>
      <w:r>
        <w:rPr>
          <w:color w:val="000000"/>
        </w:rPr>
        <w:t xml:space="preserve"> </w:t>
      </w:r>
      <w:r>
        <w:rPr>
          <w:rFonts w:ascii="Times New Roman" w:hAnsi="Times New Roman"/>
          <w:color w:val="000000"/>
          <w:sz w:val="20"/>
        </w:rPr>
        <w:t>(December 2024 data cutoff):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Intent-to-treat (ITT) patient population overall response rate (ORR) (n=127):</w:t>
      </w:r>
      <w:r>
        <w:rPr>
          <w:color w:val="000000"/>
        </w:rPr>
        <w:t xml:space="preserve"> </w:t>
      </w:r>
      <w:r>
        <w:rPr>
          <w:rFonts w:ascii="Times New Roman" w:hAnsi="Times New Roman"/>
          <w:color w:val="000000"/>
          <w:sz w:val="20"/>
        </w:rPr>
        <w:t>Evo-TRP demonstrated an ORR of 41.3% compared to 30% for ramucirumab and paclitaxel (RP) historical control and 26.6% for TRP control.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Fresh HER2-positive biopsy patient population ORR (n=48)</w:t>
      </w:r>
      <w:r>
        <w:rPr>
          <w:rFonts w:ascii="Times New Roman" w:hAnsi="Times New Roman"/>
          <w:color w:val="000000"/>
          <w:sz w:val="20"/>
        </w:rPr>
        <w:t>: Evo-TRP demonstrated an ORR of 59.1% compared to 30% for RP historical control and 23.1% for TRP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ITT population, Evo-TRP demonstrated a median duration of response (mDOR) of 15.7 months and a median progression-free survival (mPFS) of 7.5 months compared to an mDOR of 9.1 months and mPFS of 7.4 months in the TRP control group, with a PFS Hazard Ratio (PFS HR) in this population of 0.77.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fresh HER2-positive biopsies, Evo-TRP demonstrated an mDOR of 15.7 months and mPFS of 9.5 months compared to an mDOR of 14.5 months and mPFS of 7.1 months in the TRP control group, with a PFS HR of 0.62.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confirmed HER2-positive expression as determined by either fresh biopsy or circulating tumor DNA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Evo-TRP was generally well tolerated, with the incidence of adverse events in the evorpacept population consistent with those in TRP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earlier ASPEN-01 Phase 1 positive data in combination with rituximab in non-Hodgkin lymphoma (NHL) and the recent clinical data of our investigator-sponsored trial (IST) collaborator from the ongoing Phase 1/2 IST of evorpacept in combination with rituximab and lenalidomide patients with relapsed refractory B-cell NHL (R/R B-NHL) provide additional support for the clinical validation of this mechanism of action and support exploring combinations of evorpacept with other anti-cancer antibodies.</w:t>
      </w:r>
    </w:p>
    <w:p>
      <w:pPr>
        <w:pStyle w:val="TextBody"/>
        <w:bidi w:val="0"/>
        <w:spacing w:before="120" w:after="283"/>
        <w:jc w:val="left"/>
        <w:rPr>
          <w:rFonts w:ascii="Times New Roman" w:hAnsi="Times New Roman"/>
          <w:sz w:val="20"/>
        </w:rPr>
      </w:pPr>
      <w:r>
        <w:rPr>
          <w:rFonts w:ascii="Times New Roman" w:hAnsi="Times New Roman"/>
          <w:color w:val="000000"/>
          <w:sz w:val="20"/>
        </w:rPr>
        <w:t>This mechanism of action may also apply to antibody-drug conjugates (ADCs), which are being investigated in two separate Phase 1 trials: one in combination with PADCEV</w:t>
      </w:r>
      <w:r>
        <w:rPr>
          <w:rFonts w:ascii="Times New Roman" w:hAnsi="Times New Roman"/>
          <w:color w:val="000000"/>
          <w:sz w:val="13"/>
        </w:rPr>
        <w:t>®</w:t>
      </w:r>
      <w:r>
        <w:rPr>
          <w:rFonts w:ascii="Times New Roman" w:hAnsi="Times New Roman"/>
          <w:color w:val="000000"/>
          <w:sz w:val="20"/>
        </w:rPr>
        <w:t xml:space="preserve"> (enfortumab vedotin-ejfv) in patients with urothelial cancer (ASPEN-07), and the other in combination with ENHERTU</w:t>
      </w:r>
      <w:r>
        <w:rPr>
          <w:rFonts w:ascii="Times New Roman" w:hAnsi="Times New Roman"/>
          <w:color w:val="000000"/>
          <w:sz w:val="13"/>
        </w:rPr>
        <w:t>®</w:t>
      </w:r>
      <w:r>
        <w:rPr>
          <w:rFonts w:ascii="Times New Roman" w:hAnsi="Times New Roman"/>
          <w:color w:val="000000"/>
          <w:sz w:val="20"/>
        </w:rPr>
        <w:t xml:space="preserve"> (fam-trastuzumab deruxtecan-nxki) in patients with unresectable or metastatic HER2-positive and HER2-low breast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PD-1/programmed death-ligand 1 (PD-L1) immune checkpoint inhibitors (the “</w:t>
      </w:r>
      <w:r>
        <w:rPr>
          <w:rFonts w:ascii="Times New Roman" w:hAnsi="Times New Roman"/>
          <w:b/>
          <w:i/>
          <w:color w:val="000000"/>
          <w:sz w:val="20"/>
        </w:rPr>
        <w:t>don’t activate T-cells</w:t>
      </w:r>
      <w:r>
        <w:rPr>
          <w:color w:val="000000"/>
        </w:rPr>
        <w:t xml:space="preserve">” </w:t>
      </w:r>
      <w:r>
        <w:rPr>
          <w:rFonts w:ascii="Times New Roman" w:hAnsi="Times New Roman"/>
          <w:b/>
          <w:color w:val="000000"/>
          <w:sz w:val="20"/>
        </w:rPr>
        <w:t>signal):</w:t>
      </w:r>
      <w:r>
        <w:rPr>
          <w:color w:val="000000"/>
        </w:rPr>
        <w:t xml:space="preserve"> </w:t>
      </w:r>
      <w:r>
        <w:rPr>
          <w:rFonts w:ascii="Times New Roman" w:hAnsi="Times New Roman"/>
          <w:b/>
          <w:color w:val="000000"/>
          <w:sz w:val="20"/>
        </w:rPr>
        <w:t>Combining with PD-1/PD-L1 checkpoint inhibitor, where evorpacept activates dendritic cells that are constitutively inhibited by the CD47/ SIRP alpha pathway.</w:t>
      </w:r>
      <w:r>
        <w:rPr>
          <w:color w:val="000000"/>
        </w:rPr>
        <w:t xml:space="preserve"> </w:t>
      </w:r>
      <w:r>
        <w:rPr>
          <w:rFonts w:ascii="Times New Roman" w:hAnsi="Times New Roman"/>
          <w:color w:val="000000"/>
          <w:sz w:val="20"/>
        </w:rPr>
        <w:b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This mechanism of action is being investigated in our clinical trials, ASPEN-03 and ASPEN-04, two randomized Phase 2 studies in combination with KEYTRUDA</w:t>
      </w:r>
      <w:r>
        <w:rPr>
          <w:rFonts w:ascii="Times New Roman" w:hAnsi="Times New Roman"/>
          <w:color w:val="000000"/>
          <w:sz w:val="13"/>
        </w:rPr>
        <w:t>®</w:t>
      </w:r>
      <w:r>
        <w:rPr>
          <w:color w:val="000000"/>
        </w:rPr>
        <w:t xml:space="preserve"> </w:t>
      </w:r>
      <w:r>
        <w:rPr>
          <w:rFonts w:ascii="Times New Roman" w:hAnsi="Times New Roman"/>
          <w:color w:val="000000"/>
          <w:sz w:val="20"/>
        </w:rPr>
        <w:t xml:space="preserve">(pembrolizumab),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pursuing the following clinical programs, collaborations, and investigator-sponsored trials: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2020, the U.S. Food and Drug Administration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2023, the European Commission granted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TRP control arm. An mDOR was not reached for the Evo-TRP treatment arm compared to 7.4 months for the control group. The safety profile of evorpacept was consistent with previous clinical trials and was well-tolerated.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 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2025, we presented updated results from the ASPEN-06 Phase 2 clinical trial in an oral presentation at the 2025 ASCO Gastrointestinal Cancers Symposium. A confirmed ORR of 41.3% was demonstrated for the Evo-TRP treatment arm compared to 26.6% for the TRP control arm in the ITT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ASPEN-Breast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Phase 2 study evaluating evorpacept in combination with trastuzumab and chemotherapy for the treatment of patients with metastatic HER2-positive breast cancer.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ASPEN-CRC - Colorectal Cancer (CRC)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Phase 1b study evaluating evorpacept in combination with the epidermal growth factor receptor (EGFR)-targeted antibody cetuximab and chemotherapy for the treatment of patients with metastatic CRC.</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antibody-drug conjugate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ASPEN-07 - Urothelial Cancer (UC)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2023, we announced the dosing of the first patient in the ASPEN-07 trial, a Phase 1 study evaluating evorpacept in combination with an ADC, enfortumab vedotin-ejfv (EV), for the second-line treatment of locally advanced or metastatic UC.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2024, interim Phase 1 data were presented in a poster presentation at the 2024 ASCO Annual Meeting. The ASCO poster presentation data-cut reported an unconfirmed ORR of 59% (n=22) with evorpacept plus EV (EV single agent ORR benchmark is 41%). Following the April data cut-off, four additional response evaluable patients yielded an unconfirmed ORR of 61% (n=26) including two confirmed complete responses and six confirmed partial responses. These findings represent the first evorpacept combination data with an ADC from ASPEN-07’s ongoing, open-label, single-arm, clinical trial of evorpacept in combination with EV in patients with locally advanced or metastatic urothelial cancer. Continued follow-up for patients who are EV-naïve on ASPEN-07 is ongoing and, enrollment of a new cohort of patients who have received prior EV has begun.</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ASPEN-03 -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2021, we announced the dosing of the first patient in the ASPEN-03 trial, a randomized Phase 2 trial of evorpacept in combination with pembrolizumab for the treatment of first-line advanced PD-L1 positive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2022, the FDA granted Fast Track designation for evorpacept in combination with pembrolizumab for first-line treatment of adult patients with metastatic or unresectable, recurrent HNSCC whose tumors express PD-L1.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ASPEN-04 -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2020, the FDA granted Fast Track designation for evorpacept in combination with pembrolizumab, platinum, and fluorouracil for the first-line treatment of adult patients with metastatic or unresectable, recurrent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July 2021, we announced the dosing of the first patient in the ASPEN-04 trial, a randomized Phase 2 trial of evorpacept in combination with pembrolizumab, platinum, and fluorouracil for the treatment of first-line advanced HNSCC.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 or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is sponsoring and managing an ongoing Phase 1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 median progression free survival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median duration of response was not reached for Cohort 1 patients (range: 3.6-25.9 months) and was 5.5 months for Cohort 2 patients (range: 3.6-11.0 months), with responses ongoing, including the longest observed response, in each cohort.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Quantum Leap Healthcare Collaborative - I-SPY Trial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Quantum Leap Healthcare Collaborative (Quantum Leap), is sponsoring and managing an ongoing Phase 1 trial (I-SPY) to evaluate evorpacept in combination with fam-trastuzumab deruxtecan-nxki for the treatment of patients with unresectable or metastatic HER2-positive and HER2-low breast cancer. We announced the dosing of the first patient in March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2021, an IST of evorpacept was initiated in combination with rituximab and lenalidomide (R</w:t>
      </w:r>
      <w:r>
        <w:rPr>
          <w:rFonts w:ascii="Times New Roman" w:hAnsi="Times New Roman"/>
          <w:color w:val="000000"/>
          <w:sz w:val="13"/>
        </w:rPr>
        <w:t>2</w:t>
      </w:r>
      <w:r>
        <w:rPr>
          <w:rFonts w:ascii="Times New Roman" w:hAnsi="Times New Roman"/>
          <w:color w:val="000000"/>
          <w:sz w:val="20"/>
        </w:rPr>
        <w:t>) for the treatment of patients with indolent and aggressive NHL, sponsored by MD Anderson Cancer Center in Texas. We announced the dosing of the first patient in September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2024, MD Anderson Cancer Center reported clinical data from the ongoing Phase 1/2 IST of evorpacept in combination with R2 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R2 treatment. The regimen was well tolerated, and there were no dose-limiting toxicities. Patients with indolent R/R B-NHL (n=18) had a best ORR of 94% and a complete response rate of 83%. The median duration of response was not reached. The Phase 2 portion of the clinical trial is actively accruing treatment naïve patients in the 1L setting.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2023, we announced a collaboration with Sanofi who will sponsor and manage a Phase 1/2 trial of SARCLISA</w:t>
      </w:r>
      <w:r>
        <w:rPr>
          <w:rFonts w:ascii="Times New Roman" w:hAnsi="Times New Roman"/>
          <w:color w:val="000000"/>
          <w:sz w:val="13"/>
        </w:rPr>
        <w:t>®</w:t>
      </w:r>
      <w:r>
        <w:rPr>
          <w:color w:val="000000"/>
        </w:rPr>
        <w:t xml:space="preserve"> </w:t>
      </w:r>
      <w:r>
        <w:rPr>
          <w:rFonts w:ascii="Times New Roman" w:hAnsi="Times New Roman"/>
          <w:color w:val="000000"/>
          <w:sz w:val="20"/>
        </w:rPr>
        <w:t>(isatuximab), an anti-cancer antibody, and dexamethasone in combination with evorpacept for the treatment of patients with relapsed or refractory multiple myeloma. We announced the dosing of the first patients in September 2024.</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Pittsburgh - Ovarian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California San Diego - Oropharyngeal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2024, a Phase 2 IST of evorpacept was initiated in combination with neoadjuvant radiation and pembrolizumab in patients with previously untreated and early-stage locally advanced, resectable, human papillomavirus-mediated oropharyngeal cancer, sponsored by the University of California San Diego.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Early Pipeline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Tallac Therapeutics - ALTA-002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2024, we filed an investigative new drug (IND) application for ALTA-002 and in March 2024, the FDA cleared the IND to evaluate ALTA-002 in a Phase 1 clinical trial for patients with advanced solid tumors.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ADC Program - ALX2004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With our acquisition of ScalmiBio, Inc. (ScalmiBio) in October 2021, we developed ADC drug candidates based on our expertise in protein engineering and oncology.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2024, we declared a development candidate ALX2004 based on ScalmiBio acquired technology, triggering the first milestone payment to ScalmiBio stockholders.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intend to file an IND for our first ADC program, ALX2004, in the first quarter of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our clinical results to date in multiple oncology indications that show encouraging anti-tumor activity and tolerability and our clinical development plans, our strategy is to pursue evorpacept as a potentially critical component of future oncology combination treatments.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team of industry veterans plans to continue to advance a broad development plan for evorpacept that balances speed to market, scale of unmet need and existing clinical evidence for evorpacept’s combination mechanisms. Members of our management team have brought multiple drugs to the FDA approval. Our Chief Executive Officer, Jason Lettmann, brings a broad suite of expertise as an institutional healthcare investor, most recently at Lightstone Ventures, and has been involved with ALX Oncology for nearly a decade since its founding, having co-led the Company’s first institutional financing and serving as a member of the Company’s Board of Directors. He also previously served as Chief Executive Officer of Promedior, Inc. During his tenure, Promedior was acquired by Roche in 2020 for up to $1.39 billion. Our Chief Medical Officer, Alan Sandler, M.D., brings more than 30 years of experience as a distinguished leader in oncology and drug development. He previously held the position of Executive Vice President, Chief Medical Officer at Mirati Therapeutics, prior to which he was the President, Global Head of Development Oncology at Zai Lab. Our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Harish Shantharam, has over 20 years of experience guiding public life science companies. Most recently, he was Chief Financial Officer of Cymabay Therapeutics, and prior to this role he was Vice President and Head of Global Commercial Finance at Gilead Sciences. We have funded our operations to date primarily through the issuance and sale of our convertible preferred stock, the issuance and sale of our common stock through an initial public offering in July 2020 and a follow-on public offering in December 2020, a term loan facility in October 2022, a follow-on public offering in October 2023, and sales under our ATM offering program. </w:t>
      </w:r>
    </w:p>
    <w:p>
      <w:pPr>
        <w:pStyle w:val="TextBody"/>
        <w:bidi w:val="0"/>
        <w:spacing w:before="36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goal is to transform treatment options for patients with cancer by developing evorpacept as a foundational checkpoint immunotherapy.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Key elements of our strategy to support this goal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Expanding the therapeutic potential of CD47 blockade by combining with anti-cancer antibodies and ADCs. </w:t>
      </w:r>
      <w:r>
        <w:rPr>
          <w:rFonts w:ascii="Times New Roman" w:hAnsi="Times New Roman"/>
          <w:color w:val="000000"/>
          <w:sz w:val="20"/>
        </w:rPr>
        <w:t>We believe evorpacept can overcome the limitations</w:t>
      </w:r>
      <w:r>
        <w:rPr>
          <w:color w:val="000000"/>
        </w:rPr>
        <w:t xml:space="preserve"> </w:t>
      </w:r>
      <w:r>
        <w:rPr>
          <w:rFonts w:ascii="Times New Roman" w:hAnsi="Times New Roman"/>
          <w:color w:val="000000"/>
          <w:sz w:val="20"/>
        </w:rPr>
        <w:t xml:space="preserve">of other CD47 blocking approaches.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Expanding the therapeutic potential of CD47 blockade by combining with PD-1/PD-L1 immune checkpoint inhibitors. </w:t>
      </w:r>
      <w:r>
        <w:rPr>
          <w:rFonts w:ascii="Times New Roman" w:hAnsi="Times New Roman"/>
          <w:color w:val="000000"/>
          <w:sz w:val="20"/>
        </w:rPr>
        <w:t xml:space="preserve">Based on encouraging early Phase 1 clinical data in our ASPEN-01 study in subjects with advanced HNSCC treated with evorpacept in combination with a PD-1 checkpoint inhibitor with and without chemotherapy, we are conducting two randomized Phase 2 trials (ASPEN-03 and ASPEN-04) of evorpacept for the treatment of first-line advanced HNSCC.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Continuing development of a pipeline of innovative therapeutics based on our protein engineering expertise and knowledge of the immune system and cancer biology.</w:t>
      </w:r>
      <w:r>
        <w:rPr>
          <w:color w:val="000000"/>
        </w:rPr>
        <w:t xml:space="preserve"> </w:t>
      </w:r>
      <w:r>
        <w:rPr>
          <w:rFonts w:ascii="Times New Roman" w:hAnsi="Times New Roman"/>
          <w:color w:val="000000"/>
          <w:sz w:val="20"/>
        </w:rPr>
        <w:t>We are developing a pipeline of immuno-oncology programs that represent complementary, but differentiated, approaches to engaging the innate and adaptive immune systems.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Continuing to develop strategic partnerships to broaden the potential impact of our current and future product candidates across patient populations.</w:t>
      </w:r>
      <w:r>
        <w:rPr>
          <w:color w:val="000000"/>
        </w:rPr>
        <w:t xml:space="preserve"> </w:t>
      </w:r>
      <w:r>
        <w:rPr>
          <w:rFonts w:ascii="Times New Roman" w:hAnsi="Times New Roman"/>
          <w:color w:val="000000"/>
          <w:sz w:val="20"/>
        </w:rPr>
        <w:t>In order to advance treatment options for the most patients, we have in the past and may in the future partner with other companies with complementary resources that will maximize the value of our current and future product candidates. Such partnerships may allow us to pair evorpacept and any future product candidates with other novel agents owned fully or in part by strategic partners. Partnerships may and will also help realize the full potential of our product candidates in markets where we are unlikely to pursue development or commercialization on our own. We intend to maintain significant economic interests in our product candidates and selectively consider partnership opportunities.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Pipeline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initial programs are focused on targeting CD47 across various oncology indications. Many forms of cancer use CD47 expression as a means of evading immune response. We are targeting solid tumor and hematologic malignancies indications where we believe we have the greatest potential to address unmet medical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chart below summarizes the development status of our product candidate pipeline. </w:t>
      </w:r>
    </w:p>
    <w:p>
      <w:pPr>
        <w:pStyle w:val="TextBody"/>
        <w:bidi w:val="0"/>
        <w:spacing w:before="240" w:after="283"/>
        <w:jc w:val="center"/>
        <w:rPr/>
      </w:pPr>
      <w:r>
        <w:rPr/>
        <w:drawing>
          <wp:inline distT="0" distB="0" distL="0" distR="0">
            <wp:extent cx="6858000" cy="3705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705225"/>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Times New Roman" w:hAnsi="Times New Roman"/>
          <w:b/>
          <w:color w:val="000000"/>
          <w:sz w:val="20"/>
        </w:rPr>
        <w:t>CD47 Scientific Background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cells evade phagocytosis by up-regulating CD47, a transmembrane protein that mainly functions as an anti-phagocytic “don’t eat me” signal for healthy cells. CD47 interacts with its cognate receptor SIRPα, a regulatory membrane glycoprotein, that is expressed on macrophages and other myeloid cells and serves to prevent phagocytosis (“don’t eat me”) and cross-priming of the adaptive immune system (“don’t activate T cells”) when bound to CD47. By overexpressing CD47, cancer cells are able to avoid phagocytosis by macrophages and thereby evade subsequent detection by the adaptive immune system.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drawing>
          <wp:inline distT="0" distB="0" distL="0" distR="0">
            <wp:extent cx="6858000" cy="2038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038350"/>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 CD47 expression in cancer cells has been shown to be a prognostic indicator of decreased survival in multiple oncology indications. A study published by Majeti, et al. in 2009, assessed this association in a validation cohort of 137 subjects with AML. As shown in the figure below, normal karyotype AML, or NK-AML, subjects with high levels of CD47 expression had shorter median overall survival, or mOS, of 9.1 months compared to subjects with low levels of CD47 expression who had an mOS of 22.1 months. </w:t>
      </w:r>
    </w:p>
    <w:p>
      <w:pPr>
        <w:pStyle w:val="TextBody"/>
        <w:bidi w:val="0"/>
        <w:spacing w:before="240" w:after="283"/>
        <w:jc w:val="center"/>
        <w:rPr/>
      </w:pPr>
      <w:r>
        <w:rPr/>
        <w:drawing>
          <wp:inline distT="0" distB="0" distL="0" distR="0">
            <wp:extent cx="5248275" cy="2952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48275" cy="2952750"/>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Times New Roman" w:hAnsi="Times New Roman"/>
          <w:b/>
          <w:i/>
          <w:color w:val="000000"/>
          <w:sz w:val="20"/>
        </w:rPr>
        <w:t>Evorpacept’s 1-2 Punch: Harnessing the Power of CD47 Blocking to Unmask and Directly Unleash Combination Agent on Cancer Cells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Therapeutic antibodies that target tumor-specific antigens, such as the HER2 receptor, also induce cellular phagocytosis. These antibodies direct macrophages to cancer cells by binding to the tumor-specific antigen and activating the macrophage by engaging the Fcγ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cells can also modulate their environment to suppress detection by immune cells. Overexpression of CD47 helps cancer cells avoid innate immune system detection by dendritic cells and subsequent antigen presentation to T cells, thereby limiting anti-tumor immune response. PD-1/PD-L1 targeting immunotherapies are designed to reduce the suppression of T cells but do not address the initial evasion of the innate immune system by cancer cells. By removing the suppression of dendritic cells, CD47 blocking therapies in combination with PD-1/PD-L1 targeted therapies can complement their T cell stimulatory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drawing>
          <wp:inline distT="0" distB="0" distL="0" distR="0">
            <wp:extent cx="6858000" cy="2581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2581275"/>
                    </a:xfrm>
                    <a:prstGeom prst="rect">
                      <a:avLst/>
                    </a:prstGeom>
                  </pic:spPr>
                </pic:pic>
              </a:graphicData>
            </a:graphic>
          </wp:inline>
        </w:drawing>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of Current Approaches to Blocking CD47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 number of approaches to blocking CD47, including monoclonal antibodies and fusion proteins that include an active Fc region. These approaches have encountered limitations that have challenged their ability to maximize the full potential of CD47 blockade. These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Limited dosing and therapeutic window</w:t>
      </w:r>
      <w:r>
        <w:rPr>
          <w:rFonts w:ascii="Times New Roman" w:hAnsi="Times New Roman"/>
          <w:color w:val="000000"/>
          <w:sz w:val="20"/>
        </w:rPr>
        <w:t>: The majority of clinical data to date from other CD47 blocking agents have come from approaches</w:t>
      </w:r>
      <w:r>
        <w:rPr>
          <w:color w:val="000000"/>
        </w:rPr>
        <w:t xml:space="preserve"> </w:t>
      </w:r>
      <w:r>
        <w:rPr>
          <w:rFonts w:ascii="Times New Roman" w:hAnsi="Times New Roman"/>
          <w:color w:val="000000"/>
          <w:sz w:val="20"/>
        </w:rPr>
        <w:t>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Limited ability to combine with other anti-cancer agents</w:t>
      </w:r>
      <w:r>
        <w:rPr>
          <w:rFonts w:ascii="Times New Roman" w:hAnsi="Times New Roman"/>
          <w:color w:val="000000"/>
          <w:sz w:val="20"/>
        </w:rPr>
        <w:t>: Combination therapies continue to play an important role in treating</w:t>
      </w:r>
      <w:r>
        <w:rPr>
          <w:color w:val="000000"/>
        </w:rPr>
        <w:t xml:space="preserve"> </w:t>
      </w:r>
      <w:r>
        <w:rPr>
          <w:rFonts w:ascii="Times New Roman" w:hAnsi="Times New Roman"/>
          <w:color w:val="000000"/>
          <w:sz w:val="20"/>
        </w:rPr>
        <w:t>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Fcγ receptors on immune cells.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Limited efficacy in solid tumors</w:t>
      </w:r>
      <w:r>
        <w:rPr>
          <w:rFonts w:ascii="Times New Roman" w:hAnsi="Times New Roman"/>
          <w:color w:val="000000"/>
          <w:sz w:val="20"/>
        </w:rPr>
        <w:t>: To date, other CD47 blocking agents have failed to achieve meaningful clinical activity in the</w:t>
      </w:r>
      <w:r>
        <w:rPr>
          <w:color w:val="000000"/>
        </w:rPr>
        <w:t xml:space="preserve"> </w:t>
      </w:r>
      <w:r>
        <w:rPr>
          <w:rFonts w:ascii="Times New Roman" w:hAnsi="Times New Roman"/>
          <w:color w:val="000000"/>
          <w:sz w:val="20"/>
        </w:rPr>
        <w:t>treatment of solid tumors, as the balance between managing cytopenias and maximizing efficacy may lead to tolerable doses that are too low to facilitate tumor penetration and efficacy.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Limited indications due to patient selection</w:t>
      </w:r>
      <w:r>
        <w:rPr>
          <w:rFonts w:ascii="Times New Roman" w:hAnsi="Times New Roman"/>
          <w:color w:val="000000"/>
          <w:sz w:val="20"/>
        </w:rPr>
        <w:t>: Toxicities associated with other CD47 blocking agents may require careful patient</w:t>
      </w:r>
      <w:r>
        <w:rPr>
          <w:color w:val="000000"/>
        </w:rPr>
        <w:t xml:space="preserve"> </w:t>
      </w:r>
      <w:r>
        <w:rPr>
          <w:rFonts w:ascii="Times New Roman" w:hAnsi="Times New Roman"/>
          <w:color w:val="000000"/>
          <w:sz w:val="20"/>
        </w:rPr>
        <w:t>selection when evaluating potential indications. In some cases, only subjects with lower risk of hematologic complications have been selected for treatment for other CD47 blocking agents due to drug related risk of severe cytopenias.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drawing>
          <wp:inline distT="0" distB="0" distL="0" distR="0">
            <wp:extent cx="6858000" cy="1905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1905000"/>
                    </a:xfrm>
                    <a:prstGeom prst="rect">
                      <a:avLst/>
                    </a:prstGeom>
                  </pic:spPr>
                </pic:pic>
              </a:graphicData>
            </a:graphic>
          </wp:inline>
        </w:drawing>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Advantages of ALX’s Approach to Blocking CD47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founded ALX Oncology because we believed the limitations described above would prevent CD47 blockade from reaching its full potential as a therapy for patients with cancer. From our inception, we designed evorpacept to overcome these limitations and to maximize the utility of CD47 blockade as an effective anti-cancer therapeutic for a broad range of tumors. Specifically, we believe evorpacept may provide the following significant advantages: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Broader therapeutic window</w:t>
      </w:r>
      <w:r>
        <w:rPr>
          <w:rFonts w:ascii="Times New Roman" w:hAnsi="Times New Roman"/>
          <w:color w:val="000000"/>
          <w:sz w:val="20"/>
        </w:rPr>
        <w:t>: We believe evorpacept’s broader therapeutic window will allow for greater drug exposure than other</w:t>
      </w:r>
      <w:r>
        <w:rPr>
          <w:color w:val="000000"/>
        </w:rPr>
        <w:t xml:space="preserve"> </w:t>
      </w:r>
      <w:r>
        <w:rPr>
          <w:rFonts w:ascii="Times New Roman" w:hAnsi="Times New Roman"/>
          <w:color w:val="000000"/>
          <w:sz w:val="20"/>
        </w:rPr>
        <w:t>CD47 blocking agents potentially translating into improved efficacy across a range of cancers compared to other CD47 blocking agents. Furthermore, flexibility in dosing has allowed for several administration schedules (weekly, bi-weekly, every three weeks, monthly) that are more amenable to combination therapy dosing schedules.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Strong potential for combination with other anti-cancer agents</w:t>
      </w:r>
      <w:r>
        <w:rPr>
          <w:rFonts w:ascii="Times New Roman" w:hAnsi="Times New Roman"/>
          <w:color w:val="000000"/>
          <w:sz w:val="20"/>
        </w:rPr>
        <w:t>: CD47 blocking agents are combined with other therapeutics in</w:t>
      </w:r>
      <w:r>
        <w:rPr>
          <w:color w:val="000000"/>
        </w:rPr>
        <w:t xml:space="preserve"> </w:t>
      </w:r>
      <w:r>
        <w:rPr>
          <w:rFonts w:ascii="Times New Roman" w:hAnsi="Times New Roman"/>
          <w:color w:val="000000"/>
          <w:sz w:val="20"/>
        </w:rPr>
        <w:t>order to maximize their potential in treating patients with cancer. Unlike other CD47 blocking agents, evorpacept was specifically designed to be combined with other anti-cancer agents. We believe evorpacept’s favorable toxicity profile will enable it to be combined with a wider range of anti-cancer agents, including chemotherapy and cytotoxic containing regimens, compared to other CD47 blocking agents. Furthermore, we believe that evorpacept’s inactive Fc domain will neither compete with nor potentially limit the efficacy of anti-cancer antibodies when used in combination treatments.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Encouraging responses in solid tumors</w:t>
      </w:r>
      <w:r>
        <w:rPr>
          <w:rFonts w:ascii="Times New Roman" w:hAnsi="Times New Roman"/>
          <w:color w:val="000000"/>
          <w:sz w:val="20"/>
        </w:rPr>
        <w:t>: Evorpacept has demonstrated encouraging first-in-human (FIH) Phase 1b and randomized Phase 2 clinical data in the treatment of solid tumors. While other CD47 blocking agents have failed to demonstrate meaningful clinical activity in solid tumors, evorpacept’s differentiated properties may underlie its encouraging results. Based on the data generated with evorpacept in combination with anti-cancer antibodies and checkpoint inhibitors with and without chemotherapy, our strategy is to pursue evorpacept as a potentially important component for future combination treatment of solid tumors.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Broader potential indications</w:t>
      </w:r>
      <w:r>
        <w:rPr>
          <w:rFonts w:ascii="Times New Roman" w:hAnsi="Times New Roman"/>
          <w:color w:val="000000"/>
          <w:sz w:val="20"/>
        </w:rPr>
        <w:t>: We believe evorpacept’s tolerability profile will allow for broad treatment of patient populations in a</w:t>
      </w:r>
      <w:r>
        <w:rPr>
          <w:color w:val="000000"/>
        </w:rPr>
        <w:t xml:space="preserve"> </w:t>
      </w:r>
      <w:r>
        <w:rPr>
          <w:rFonts w:ascii="Times New Roman" w:hAnsi="Times New Roman"/>
          <w:color w:val="000000"/>
          <w:sz w:val="20"/>
        </w:rPr>
        <w:t>wide range of oncology indications. Toxicities such as cytopenias associated with other CD47 blocking agents may potentially constrain their development strategies. We believe evorpacept is well positioned to expand the therapeutic potential of CD47 blockade across a broad spectrum of hematologic and solid tumor indications.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Evorpacept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 product candidate, evorpacept, is a CD47 blocking biologic in development as a combination therapy with other anti-cancer agents for treatment of various oncology indications, including HNSCC, gastric/GEJ, breast cancer, urothelial cancer, multiple myeloma, and NHL. We engineered evorpacept to maximize CD47 blockade and to avoid hematologic toxicities. We believe evorpacept enhances the efficacy of both anti-cancer targeted antibodies, numerous small molecule drugs and T cell checkpoint inhibitors and exhibits no dose-dependent cytopenias. Evorpacept has demonstrated encouraging clinical responses in combination with multiple anti-cancer regimens for both hematologic and solid malignancies.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have pursued CD47 blocking approaches that prioritize single-agent activity, albeit with limited success in efficacy and significant toxicity. Rather than designing a molecule for monotherapy activity that has been associated with cytopenias, we designed evorpacept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Fusion Protein Design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Evorpacept is a fusion protein designed to provide a high CD47 blocking potency while potentially eliminating any associated toxicities. Our fusion protein comprises an engineered CD47-binding domain of SIRPα that has been genetically linked to a modified human immunoglobulin-derived Fc domain that does not bind to Fcγ receptors. We engineered evorpacept in two important ways: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mutated the binding domain to optimize CD47 affinity. Evorpacept binding domain demonstrates an affinity that is over 3,000 times stronger than wildtype SIRPα.</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fused the CD47-binding region of SIRPα to an inactive Fc domain. Incorporating an inactive Fc domain was intended to eliminate single-agent activation of macrophages while still maintaining an antibody-like pharmacokinetic, or PK,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design of evorpacept required in-house generation of approximately 280 different protein constructs to thoroughly evaluate and optimize the impact of differing designs on multiple important evaluation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optimize evorpacept’s properties we conducted the following processes: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high-affinity CD47 binding domain: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Optimization of binding affinity for human CD47;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Optimization of cross-reactivity to rodent and monkey CD47 to enable key translational experiments;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Elimination of partially glycosylated sites in SIRPα to remove heterogeneity and enable consistent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optimal fusion combination for PK extension: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an immunoglobulin isotype to prevent hemagglutination;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mutations to immunoglobulin G1, or IgG1, to functionally eliminate Fcγ binding and avoid associated cytopenias while maintaining neonatal Fc receptor binding that enables antibody-like PK.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illustrated in the figure below, evorpacept comprises: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SIRPα binding domain optimized to bind to CD47 with high affinity at a picomolar level;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inactive Fc domain that reduces cytopenias while preserving the desired PK properties of antibodies with an active Fc domain.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resulting fusion protein has approximately one-half the molecular weight of a typical antibody. Evorpacept’s lower molecular weight enables it to deliver the molar equivalent of an antibody at one half the dose. For example, a 10mg/kg of evorpacept is equivalent to 20 mg/kg of a regular antibody. Evorpacept’s lower molecular weight may also facilitate increased solid tumor penetration and provide greater potency within the tumor microenvironment. Furthermore, evorpacept can be efficiently and consistently produced at high yield at commercial scale utilizing standard monoclonal antibody manufacturing techniques. We believe evorpacept’s differentiated properties potentially overcome the limitations of other CD47 blocking agents and may have utility as a combination agent in oncology.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Our lead candidate, evorpacept, is a fusion protein that potently and selectively binds CD47 to block the SIRP</w:t>
      </w:r>
      <w:r>
        <w:rPr>
          <w:rFonts w:ascii="Times New Roman" w:hAnsi="Times New Roman"/>
          <w:color w:val="000000"/>
          <w:sz w:val="20"/>
        </w:rPr>
        <w:t xml:space="preserve">α </w:t>
      </w:r>
      <w:r>
        <w:rPr>
          <w:rFonts w:ascii="Times New Roman" w:hAnsi="Times New Roman"/>
          <w:i/>
          <w:color w:val="000000"/>
          <w:sz w:val="20"/>
        </w:rPr>
        <w:t>interaction.</w:t>
      </w:r>
    </w:p>
    <w:p>
      <w:pPr>
        <w:pStyle w:val="TextBody"/>
        <w:bidi w:val="0"/>
        <w:spacing w:before="240" w:after="283"/>
        <w:jc w:val="center"/>
        <w:rPr/>
      </w:pPr>
      <w:r>
        <w:rPr/>
        <w:drawing>
          <wp:inline distT="0" distB="0" distL="0" distR="0">
            <wp:extent cx="6858000" cy="2952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2952750"/>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Pre-Clinical Differentiation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preclinical studies of evorpacept support a target product profile of favorable tolerability, the ability to be dosed at high levels and increased anti-tumor activity as compared to other CD47 blocking agents. These data include the following: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Lack of hematologic side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preclinical data demonstrate that CD47 blocking agents with an active Fc domain directly cause adverse hematologic side effects. To support this hypothesis, we engineered a fusion protein with a SIRPα CD47-binding domain identical to evorpacept’s binding domain but fused to an active, wild-type IgG1 Fc domain, ALX377. We administered 30 mg/kg evorpacept and 30 mg/kg ALX377 in mouse models and measured red blood cell, or RBC, platelet and white blood cell (lymphocyte, monocytes and granulocytes) counts. As shown in the figure below, mice treated with evorpacept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The inactive Fc domain on evorpacept is responsible for improved hematologic tolerability in preclinical models.</w:t>
      </w:r>
    </w:p>
    <w:p>
      <w:pPr>
        <w:pStyle w:val="TextBody"/>
        <w:bidi w:val="0"/>
        <w:spacing w:before="240" w:after="283"/>
        <w:jc w:val="center"/>
        <w:rPr/>
      </w:pPr>
      <w:r>
        <w:rPr/>
        <w:drawing>
          <wp:inline distT="0" distB="0" distL="0" distR="0">
            <wp:extent cx="6600825" cy="2419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00825" cy="241935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vitro and in vivo toxicology studies in monkeys show that evorpacept was well-tolerated at intravenous doses of up to 100 mg/kg/week in the 1-month study and up to 30 mg/kg every other week in the 3-month study with no target organ toxicity or toxicity related to the exaggerated pharmacology of evorpacept. Together, these preclinical studies demonstrate that inactivation of the Fc domain of evorpacept avoids adverse effects on normal blood cells seen on other CD47 blocking agents with an active Fc domain. They also support our expectation that evorpacept’s lack of overlapping toxicities with other anti-cancer therapies may result in fewer adverse outcomes in the clinic when combined with these therapies than combinations with conventional CD47 blocking agents.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Evorpacept elicits superior phagocytosis in combination with anti-cancer antibodies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inactive Fc of evorpacept does not compete with the active Fc domain of other therapeutic antibodies for binding with Fcγ receptors on effector cells of the immune system. This fact, coupled with the high-affinity CD47 binding of our agent, results in enhanced phagocytosis from evorpacept in combination with other anti-cancer antibodies to a greater extent than other CD47 blockers. We believe this will allow us to explore evorpacept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evorpacept with cetuximab, an epidermal growth factor receptor, or EGFR, inhibitor that is the FDA approved for several solid tumors, to assess phagocytic activity as compared to single-agent cetuximab. Both cetuximab and the active Fc domain of a CD47 blocking agent bind to the same cell surface Fcγ receptors on a macrophage, potentially creating competition. IgG1 binds to receptors with higher affinity than IgG4 does, and evorpacept’s inactive Fc does not bind. This experiment shows that CD47 blocking agents with active Fc domains and lower affinity, combined with cetuximab result in lower phagocytic activity from macrophages as compared to evorpacept with cetuximab. This experiment suggests evorpacept, the only clinical CD47 blocking agent with an inactive Fc domain and high-affinity CD47 binding, may be unique in its anti-tumor activity when combined with anti-tumor antibodies.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Evorpacept has shown superior antibody-dependent cellular phagocytosis, or ADCP, of solid tumor cells compared to CD47 blockers with an active Fc domain and lower CD47 affinity when combined with an anti-tumor antibody.</w:t>
      </w:r>
    </w:p>
    <w:p>
      <w:pPr>
        <w:pStyle w:val="TextBody"/>
        <w:bidi w:val="0"/>
        <w:spacing w:before="240" w:after="283"/>
        <w:jc w:val="center"/>
        <w:rPr/>
      </w:pPr>
      <w:r>
        <w:rPr/>
        <w:drawing>
          <wp:inline distT="0" distB="0" distL="0" distR="0">
            <wp:extent cx="6858000" cy="3248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2480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Licensing and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6, 2025, we own 11 issued U.S. patents, 79 foreign issued patents, 13 pending U.S. nonprovisional patent applications and a portfolio of national patent application filings in a variety of non-U.S. jurisdictions, including Europe, Hong Kong, Brazil, Mexico, New Zealand, Japan, Australia, Canada, China, India, Israel, Republic of Korea, Singapore, Taiwan and Russia. Of these patents and patent applications, the following relate to evorpacept: six issued U.S. patents, nine pending U.S. nonprovisional patent applications, and a portfolio of granted and pending patent filings in a variety of non-U.S. jurisdictions, including Europe, Hong Kong, Brazil, Mexico, New Zealand, Japan, Australia, Canada, China, India, Israel, Republic of Korea, Singapore and Russia. The following relate to antibody shielding technology and exatecan derivatives: one issued U.S. patent, three pending U.S. nonprovisional patent applications, and 58 pending foreign patent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individual patents depends upon the legal term for patents in the countries in which they are granted. Our 11 U.S. issued patents and, if issued as U.S. patents, our 13 U.S. nonprovisional patent applications are expected to expire between August 2036 and November 2043 excluding any additional term for patent term adjustments or patent term extensions, with an expiration of between August 2036 and May 2043 with respect to our patent and patent applications related to evorpacept, excluding any additional term for patent term extensions.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obtained a worldwide, royalty-bearing, sublicensable license from the Board of Trustees of the Leland Stanford Junior University, or Stanford, under certain patents relating to high-affinity SIRPα variant polypeptides, to develop, manufacture and commercialize products for use in certain licensed fields, the scope of which would include the application of the licensed intellectual property in oncology. For more information regarding our license agreement with Stanford, please see “—Exclusive (Equity) Agreement with Stanford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portfolio we have exclusively licensed from Stanford contains patent families relating to high-affinity SIRPα variant polypeptides, which includes three issued patents in the U.S. and one each in Australia, Canada, China, Europe, Hong Kong and four in Japan. The European patent has been validated as national patents in 37 different European countries. The patent family includes one pending patent application in each of U.S., Europe, and China and two pending patent applications in Hong Kong.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European patent (EP 2 429 574) owned by UHN and The Hospital for Sick Children that relates to the treatment of hematologic cancers with polypeptides comprising soluble human SIRPα, or a CD47-binding fragment thereof. This patent, which was originally granted on May 6, 2015,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Board’s ruling regarding sufficiency of disclosure. The hearing before the Board of Appeal has been scheduled for December 9, 2025.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SIRPα, or a CD47-binding fragment thereof. On February 27, 2024, the Opposition Division announced that it had received a notice of opposition with respect to EP 2 995 315. A date for the opposition hearing has not yet been announced. The patent claims of both EP 2 429 574 and EP 2 995 315, if not revoked or otherwise limited by the European Patent Office, could potentially limit our ability to pursue evorpacept in certain indications in certain geographies in the future. The U.S. counterpart to EP 2 429 574 was granted in 2021 as US patent 10,907,209. However, we believe that we do not infringe claims listed in this U.S. patent.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regarding the risks related to our intellectual property, including the above referenced intellectual property proceedings, see “Risk Factors—Risks Related to Our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Exclusive (Equity) Agreement with Stanford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2015, we entered into a license agreement, or the Stanford Agreement, with The Board of Trustees of the Leland Stanford Junior University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to us under the Stanford Agreement, we paid Stanford a nonrefundable license royalty and reimbursed Stanford for past patent expenses, together totaling less than $0.1 million, and granted Stanford a specified number of our common stock.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We recorded the first milestone payment of $0.2 million during the year ended December 31, 2021. There have been no milestones met during the year ended December 31, 2024.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Third-Party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license agreements with third parties related to the development and commercialization of our product candidates, including evorpacept, and SIRPα antibodies which we are exploring in our research program. In consideration of the foregoing, we have agreed to customary payment terms in these agreements, including certain milestone payments upon the achievement of clinical and commercial milestones and low single-digit royalties. See further details in Note 12 to our consolidated financial statements appearing elsewhere in this Annual Report on Form 10-K.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Manufacturing and Supply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and do not intend to establish our own manufacturing facilities. We rely on, and will continue to rely on, CMOs for both drug substance and drug product. Both evorpacept bulk drug substance and finished drug product are produced in accordance with current good manufacturing practices, or cGMPs.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supply of evorpacept is sufficient to complete our clinical trials through the first quarter of 2026. We plan to manufacture additional supplies with our existing CMOs to produce evorpacept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(now PCI Pharma Services) in 2016 for all evorpacept drug product used in clinical trials. We subsequently entered into a drug product manufacturing agreement with Patheon UK Limited in 2022 for additional drug product production of evorpacept drug product used in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but are not limited to, AstraZeneca, Bristol Myers Squibb, Coherus BioSciences, Gilead Sciences, Merck, Merck KGaA, Novartis, Pfizer, Regeneron Pharmaceuticals and Roche/Genentech. Newly approved therapeutics could change the treatment paradigm or standard of care, which could negatively impact the design of our clinical trials and the prospects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Biologics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product candidates must be approved by the FDA through the BLA process before they may be legally marketed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extensive preclinical laboratory tests and animal studies performed in accordance with the FDA’s current Good Laboratory Practices, or GLP,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investigational new drug, or IND, application, which must become effective before clinical trials may begin and must be updated annually or when significant changes are made.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an independent institutional review board, or IRB, or ethics committee at each clinical site before the trial is commenced.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Performance of adequate and well-controlled human clinical trials in accordance with the applicable IND regulations, good clinical practice, or GCP, requirements to establish the safety, purity and potency (</w:t>
      </w:r>
      <w:r>
        <w:rPr>
          <w:rFonts w:ascii="Times New Roman" w:hAnsi="Times New Roman"/>
          <w:i/>
          <w:color w:val="000000"/>
          <w:sz w:val="20"/>
        </w:rPr>
        <w:t>i.e.</w:t>
      </w:r>
      <w:r>
        <w:rPr>
          <w:rFonts w:ascii="Times New Roman" w:hAnsi="Times New Roman"/>
          <w:color w:val="000000"/>
          <w:sz w:val="20"/>
        </w:rPr>
        <w:t>, safety and effectiveness) of the proposed biologic product candidate for its intended purpose.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PREA, BPCA and FDARA regarding development of certain molecularly targeted oncology drugs for pediatric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Preparation of and submission to the FDA of a BLA after completion of all pivotal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by the FDA within 60 days of its receipt of a BLA to file the application for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any FDA audit of selected clinical trial sites that generated the data in support of the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a BLA to permit commercial marketing of the product for particular indications for use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the combination partner NDA/BLA to address any necessary cross-labeling requirements to permit commercial marketing of the combination product for the particular indications for use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any post-approval requirements, including the potential requirement to implement a Risk Evaluation and Mitigation Strategy, or REMS, and the potential requirement to conduct post-approval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Preclinical and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beginning the first clinical trial with a product candidate, we must submit an IND to the FDA. An IND is a request for authorization from the FDA to administer an investigational new biopharmaceutical product to humans.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trial was conducted in accordance with GCP requirements, the clinical data are relevant to the US patient population in terms of medical practice, standard of care, and patient population definition, and the FDA is able to validate the data through an onsite inspection if deemed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purposes of BLA approval, human clinical trials are typically conducted in three sequential phases that may overlap.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For biologics being studied in oncology indications, the investigational product is initially introduced into patients with the target disease or condition. These trials are generally designed to test the safety, dosage tolerance, absorption, metabolism and distribution of the investigational product in humans, to identify possible side effects associated with increasing doses, and, if possible, to gain early evidence on 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BLA Submission and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regulatory approval of a product is granted, such approval will be granted for particular indications and may entail limitations on the indicated uses for which such product may be marketed. For example, the FDA may approve the BLA with a Risk Evaluation and Management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 2021 court case, the court expanded the scope of orphan drug exclusivity by finding that orphan drug exclusivity applies to all uses or indications within an entire disease or condition. This position was in contrast to the FDA’s longstanding view which ties the scope of orphan drug exclusivity to the uses or indications for which a drug is approved, and thus permits other sponsors to obtain approval of a drug for new uses or indications within the same orphan designated disease or condition that have not yet been approved. Following the case, the FDA has indicated that while the agency complies with the court’s order it intends to continue taking a more limited view of orphan designation. As a result, it is unclear how future litigation, legislation, agency decisions, and administrative actions will impact the scope of the orphan drug exclusivity.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June 2024, the U.S. Supreme Court overruled the </w:t>
      </w:r>
      <w:r>
        <w:rPr>
          <w:rFonts w:ascii="Times New Roman" w:hAnsi="Times New Roman"/>
          <w:i/>
          <w:color w:val="000000"/>
          <w:sz w:val="20"/>
        </w:rPr>
        <w:t xml:space="preserve">Chevron </w:t>
      </w:r>
      <w:r>
        <w:rPr>
          <w:rFonts w:ascii="Times New Roman" w:hAnsi="Times New Roman"/>
          <w:color w:val="000000"/>
          <w:sz w:val="20"/>
        </w:rPr>
        <w:t xml:space="preserve">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such as market exclusivities, which could lead to uncertainties in the industry. Further, changes in the leadership of the FDA and other federal agencies under the current U.S. presidential administration may lead to new policies, changes in the regulations, or disruptions to the normal operations of federal agencies, any of which may impact our clinical development plans.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a product,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post-approval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existing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of the FDA to permit the import or export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Biosimilars and Reference Product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Regulation Outside of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regulations in the United States, we are subject to a variety of regulations in other jurisdictions where we seek to commercialize any of our product candidates, including countries in Europe and Asia. Such foreign regulations govern,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 candidates. Because biologically sourced raw materials are subject to unique contamination risks, their use may be restricted in some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we obtain FDA approval for a product candidate, we must obtain the requisite approvals from regulatory authorities in foreign countries prior to the commencement of a clinical trial or marketing of a product in those countries. Certain countries outside of the United States have a similar approval process that requires the submission of a clinical trial application, or CTA, much like the IND prior to the commencement of human clinical trials. In the European Union, for example, a CTA must be submitted for each clinical trial to each country’s national health authority and an independent ethics committee, much like the FDA and an IRB, respectively. Once the CTA is approved in accordance with a country’s requirements, the corresponding clinical trial may proceed. The requirements and process governing the conduct of clinical trials, product licensing, pricing and reimbursement vary from country to country. In all cases, the clinical trials must be conducted in accordance with GCP requirements, applicable regulatory requirements and the ethical principles that have their origin in the Declaration of Helsinki.</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European Union Drug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 The Clinical Trials Regulation EU No 536/2014, which entered into force in January 2022 with a transition period and aims at harmonizing and streamlining clinical-trial authorization, simplifying adverse-event reporting procedures, improving the supervision of clinical trials and increasing their transparency. From January 31, 2025, or the end of the transition period, any trials approved under the Clinical Trials Directive that continue running will need to comply with the Clinical Trials Regulation, and their sponsors must enter information on the trials in the Clinical Trials Information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European Economic Area (EEA), which is comprised of the 27 Member States of the European Union (excluding Croatia), Norway, Iceland and Liechtenstein, medicinal products can only be commercialized after obtaining a Marketing Authorization (MA). There are two types of Marketing Authorizations: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Community MA is issued by the European Commission through the Centralized Procedure, based on the opinion of the Committee for 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U.S Healthcare Laws and Compliance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the U.S.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or FCA. In addition, the intent standard under the federal Anti-Kickback Statute was amended by the ACA to eliminate the need to prove specific intent and actual knowledge to establish an Anti-Kickback Statute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FDCA, which prohibits, among other things, the adulteration or misbranding of drugs, biologics and medical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Coverage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Healthcare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 Healthcare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There have been legislative and judicial efforts to repeal, replace, or change some or all of the ACA, including measures taken during the Trump administration.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Trump administration will impact the ACA,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These changes include aggregate reductions to Medicare payments to providers of up to 2% per fiscal year, effective April 1, 2013, which will stay in effect through 2032, unless additional congressional action is taken.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under the American Rescue Plan Act of 2021, Medicaid statutory rebates are no longer capped at 100% of the average manufacturer price.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Medicare Part D drugs for negotiated maximum fair pricing in 2027. For 2028, up to an additional 15 drugs, which may be covered under either Medicare Part B or Part D, will be selected, and for 2029 and subsequent years, up to 20 additional Part B or Part D drugs will be selected. The impact of these legislative, executive, and administrative actions and any future healthcare measures and agency rules implemented by the current U.S. presidential administration on us and the pharmaceutical industry as a whole is unclear. Various industry stakeholders have initiated lawsuits against the federal government asserting that the price negotiation provisions of the Inflation Reduction Act are unconstitutional. The impact of these judicial challenges and future regulations, healthcare measures and agency rules by the government on us and the pharmaceutical industry as a whole is currently unknown.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FDA has authorized the state of Florida to develop a drug importation program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affect the prices we may obtain for any of our product candidates for which we may obtain regulatory approval or the frequency with which any such product candidate, if approved, is prescribed or used.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80 employees, 30 of whom hold Ph.D. or M.D. degrees and 64 of whom were engaged in research and development activities. None of our employees are represented by a labor union and we believe we maintain good relations with our employees. We rely on skilled, innovative, and passionate employees to conduct our research, development and business activities. Our employees are united by our goal of developing therapies that help patients fight cancer. Developing a diverse, equitable and inclusive culture is essential to our success and we are committed to building a workplace where all individuals feel welcomed and valued.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biopharmaceutical industry is highly competitive and recruiting and retaining employees is critical to the continued success of our business.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also offer a collaborative work environment, flexible or remote work arrangements, ongoing professional development opportunities, career advancement opportunities, and a culture that values diversity and inclusion.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We present the information included in this Annual Report on Form 10-K as that of ALX Oncology Holdings Inc. unless such information refers to a date prior to April 1, 2020, in which case it reflects that of our predecessor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offices are located at 323 Allerton Avenue, South San Francisco, California, 94080. Our telephone number is 650-466-7125. Our website address is alxoncology.com.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ALX Oncology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Annual Reports on Form 10</w:t>
        <w:noBreakHyphen/>
        <w:t>K, Quarterly Reports on Form 10</w:t>
        <w:noBreakHyphen/>
        <w:t>Q, Current Reports on Form 8</w:t>
        <w:noBreakHyphen/>
        <w:t>K, proxy and information statements and amendments to reports filed pursuant to Sections 13(a), and 15(d) of the Securities Exchange Act of 1934, as amended (the Exchange Act) are filed with the U.S. Securities and Exchange Commission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the Investor section of our website (ir.alxoncology.com) when such reports are available on the SEC’s website.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and others should note that we may announce material information to the public through filings with the SEC, our website (alxoncology.com),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together with the other information contained elsewhere in this Annual Report on Form 10-K, including our consolidated financial statements and the related notes, Part II, Item 7.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since our inception, and we expect to continue to incur significant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such capital may not be available to us when needed or may only be available on terms that are unfavorable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no products approved for commercial sale, and have not generated any revenue from product sales, licenses or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preclinical testing and early clinical trials may not be predictive of the success of later clinical trials, and the results of our clinical trials may not satisfy the requirements of the Food and Drug Administration, or FDA, or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significant adverse events or other undesirable side effects when used alone or in combination with other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manufacturers for clinical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levels of our debt and compliance with the terms of our loan agreement could restrict our ability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outbreaks or public health crises, such as the COVID-19 pandemic, geopolitical unrest related to Russia’s war with Ukraine, and war and instability in Israel and the surrounding region could adversely impact our business including our ongoing and planned clinical trials and preclinical research;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stock may be volatile, and you could lose all or part of your investment;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we have identified material weaknesses in our internal control over financial reporting, and if we are unable to implement and maintain effective internal control over financial reporting in the future, investors may lose confidence in our financial reports.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$134.9 million, $160.8 million and $123.5 million for the years ended December 31, 2024, 2023 and 2022, respectively. As of December 31, 2024, we had an accumulated deficit of $621.1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cash, cash equivalents and investments of $131.3 million. Based on our current operating plan, we believe that our existing cash, cash equivalents, and investments will be sufficient to fund our operations into the fourth quarter of 2026.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 required to obtain further funding through public or private equity offerings, debt financings, collaborations and licensing arrangements or other sources, which may dilute our stockholders or restrict our operating activities.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Under the Loan Agreement, $25.0 million is available for us to draw down at the Lenders’ sole discretion as of December 31, 2024.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and clinical development of our lead product candidate,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relationships with contract research organizations, or CROs, and clinical sites for the clinical development of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acceptance of evorpacept and any future product candidates as viable treatment options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favorable coverage and adequate reimbursement by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patent protection,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including our licensed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or infringement claims,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our Loan Agreement require us to meet certain operating and financial covenants, place restrictions on our operating and financial flexibility, and may subject us to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most recently amended in December 2023, under which we have borrowed $10.0 million. Under the Loan Agreement, $25.0 million is available for us to draw at the Lenders’ sole discretion as of December 31, 2024. The proceeds of the loans may be used by us for working capital and to fund our general business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mature on October 1, 2027. We will begin to make principal payments in equal monthly installments beginning on December 1, 2025, and if either of the milestone related tranche term loans are funded, then we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loans under the Loan Agreement are secured by substantially all of our assets, except our intellectual property, which is the subject of a negative pledge, and will be guaranteed by our future subsidiaries, subject to certain limitations.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head and neck squamous cell carcinoma, or HNSCC, gastric/gastroesophageal junction, or GEJ, carcinoma, urothelial cancer, breast cancer, NHL, multiple myeloma, or colorectal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our clinical timelines may be delayed.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our future clinical trials will begin or enroll subjects on time or whether our ongoing and/or future clinical trials will be completed on schedule or at all. Clinical trials can be delayed for a variety of reasons, including delays related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reaching agreement on acceptable terms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institutional review board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adding necessary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subjects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site or trial subjects withdrawing or dropping out of clinical trials at a higher rate than anticipated;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sufficient quantities of product candidate for use in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receipt of marketing approval or our ability to commercialize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are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being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demonstrate consistent or adequate safety and efficacy sufficient to obtain marketing approval of our product candidates or to market our drugs after any such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eligibility criteria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by us and the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subjects adequately during and after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of clinical trial sites to prospective subjects;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of subjects enrolled in clinical trials dropping out before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delay in enrollment of subjects due to a variety of reasons, including outbreaks and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appropriately enroll an ethnically and racially diverse patient population representative of the target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adverse effects related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such as our topline Phase 2 ASPEN-06 clinical trial results of evorpacept for the treatment of advanced HER2-Positive gastric cancer announced in July 2024 and the updated data from a December 2024 data cutoff announced in January 2025.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ALX-Oncology-sponsored clinical trials, the most common adverse events of any grade associated with evorpacept (frequency ≥20%) are fatigue, anemia, nausea, diarrhea, constipation, and neutrophil count decrease. These events have been reported across the program in patients administered evorpacept as a single agent, in combination with pembrolizumab, trastuzumab, rituximab, or azacitidine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but are not limited to, AstraZeneca, Bristol Myers Squibb, Coherus BioSciences, Gilead Sciences, Merck, Merck KGaA, Novartis, Pfizer, Regeneron Pharmaceuticals and Roche/Genentech. Newly approved therapeutics could change the treatment paradigm or standard of care, which could negatively impact the design of our clinical trials and the prospects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our product candidates receive regulatory approval, they will be subject to significant post-marketing regulatory requirements and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hAnsi="Times New Roman"/>
          <w:i/>
          <w:color w:val="000000"/>
          <w:sz w:val="20"/>
        </w:rPr>
        <w:t>e.g.</w:t>
      </w:r>
      <w:r>
        <w:rPr>
          <w:rFonts w:ascii="Times New Roman" w:hAnsi="Times New Roman"/>
          <w:color w:val="000000"/>
          <w:sz w:val="20"/>
        </w:rPr>
        <w:t xml:space="preserve">,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the rejection of product approvals;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products, manufacturers or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civil and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seizures, detentions or import bans;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product recalls and publicity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restrictions on operations, including costly new manufacturing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 previously relied on Tallac Therapeutics Inc., a third-party service provider, to conduct substantially all of our preclinical research activities for evorpacept. If we are unable to successfully transition preclinical research activities in-house or identify an alternative provider as needed, there may be disruptions or delays to our evorpacept development pipeline and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the ability to independently conduct our preclinical research activities but we previously relied on a third-party service provider to conduct all of our preclinical research activities for evorpacept. Effective as of July 1, 2020, we transferred our preclinical research capabilities at such time and nine of our employees, including a former Chief Scientific Officer, to Tallac Therapeutics Inc., a third-party service provider, formerly known as Tollnine, Inc., or Tallac Therapeutics, and entered into a research and development services agreement, or the Tallac Services Agreement, with Tallac Therapeutics. Under the terms of the Tallac Services Agreement, Tallac Therapeutics provided preclinical research services to us for the cost of these services plus a mark-up equal to 10.0% of such costs. The Tallac Services Agreement terminated on July 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transition preclinical research activities in-house, or identify an alternative provider as needed, our preclinical research efforts and studies may be extended or delayed, and there may be disruptions or delays to our evorpacept development pipeline. As a result, our evorpacept product candidate research and development efforts may be delayed or harmed, and our costs could increase and our future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additional internal research and development employees will involve additional efforts and costs and could divert management’s time and focus. In addition, there is a natural transition period to train new employees. As a result, delays may occur, which can materially impact our ability to meet our desired preclinical timelines.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 </w:t>
      </w:r>
    </w:p>
    <w:p>
      <w:pPr>
        <w:pStyle w:val="TextBody"/>
        <w:bidi w:val="0"/>
        <w:spacing w:before="120" w:after="283"/>
        <w:jc w:val="left"/>
        <w:rPr>
          <w:rFonts w:ascii="Times New Roman" w:hAnsi="Times New Roman"/>
          <w:sz w:val="20"/>
        </w:rPr>
      </w:pPr>
      <w:r>
        <w:rPr>
          <w:rFonts w:ascii="Times New Roman" w:hAnsi="Times New Roman"/>
          <w:b/>
          <w:i/>
          <w:color w:val="000000"/>
          <w:sz w:val="20"/>
        </w:rPr>
        <w:t>Material modifications in the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and Phase 2/3 clinical trials of evorpacept in combination with pembrolizumab for HNSCC and trastuzumab for gastric/GEJ carcinoma, respectively. As a result, both the results of our clinical trials and the sales of our drugs may be affected by the availability of these third-party drugs. For instance, we entered into clinical trial collaboration and supply agreements with Merck, Eli Lilly and Jazz,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Jazz is terminated before the trials are completed, our ability to continue the trials with zanidatamab would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also may be implicated if any of our CROs violates fraud and abuse or false claims laws and regulations or healthcare privacy and security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evorpacept and our other product candidates to treat cancer or other applicable targeted diseases, as compared with other available drugs, treatments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other new therapies for the same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adverse side effects associated with evorpacept and our other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for evorpacept or our other product candidates by the FDA or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alternative treatments and 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target patient population and 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and effectiveness of marketing and distribution support and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for our product candidates and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cost-effectiveness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sufficient third-party coverage or reimbursement, and the willingness of patients to pay out-of-pocket in the absence of third-party coverage;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is approved but does not achieve an adequate level of acceptance by patients, physicians and/or third-party payors, we may not generate sufficient revenue to become or remain profitable and our business may be harmed.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opportunities for the product candidates we develop, if approved, may be limited to certain smaller patient subsets.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receive marketing approval, if we or others later identify undesirable or unacceptable side effects caused by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us to take our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contraindication, precaution or field alerts to physicians and pharmacies;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coverage and adequate reimbursement for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w:t>
      </w:r>
    </w:p>
    <w:p>
      <w:pPr>
        <w:pStyle w:val="TextBody"/>
        <w:bidi w:val="0"/>
        <w:spacing w:before="12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drug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product seizure or detention, or refusal to permit the import or export of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In June 2024,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changes in the leadership of the FDA and other federal agencies under the current U.S. presidential administration may lead to new policies and changes in the regulations that can increase our compliance costs or delay our clinical development and timelines.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the design, implementation or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potency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or comparable international regulatory authorities that a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international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government shutdowns, return-to-office policy and other policies and executive actions under the current U.S. presidential administration,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granted Fast Track designation for evorpacept in combination with pembrolizumab, platinum, and fluorouracil for the first-line treatment of adult patients with metastatic or unresectable, recurrent HNSCC in February 2020,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and for evorpacept in combination with pembrolizumab for first-line treatment of adult patients with metastatic or unresectable, recurrent HNSCC whose tumors express PD-L1 in July 2022.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Further, in view of the overturn of the Chevron doctrine, this landmark Supreme Court decision may invite various stakeholders to bring lawsuits against the FDA to challenge longstanding decisions and policies, which could lead to uncertainties in the industry. Changes in the leadership of the FDA and other federal agencies under the current U.S. presidential administration may also lead to new policies and changes in the regulations and operations of the FDA, which may impact our clinical development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 </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June 2024, the U.S. Supreme Court overruled the </w:t>
      </w:r>
      <w:r>
        <w:rPr>
          <w:rFonts w:ascii="Times New Roman" w:hAnsi="Times New Roman"/>
          <w:i/>
          <w:color w:val="000000"/>
          <w:sz w:val="20"/>
        </w:rPr>
        <w:t xml:space="preserve">Chevron </w:t>
      </w:r>
      <w:r>
        <w:rPr>
          <w:rFonts w:ascii="Times New Roman" w:hAnsi="Times New Roman"/>
          <w:color w:val="000000"/>
          <w:sz w:val="20"/>
        </w:rPr>
        <w:t xml:space="preserve">doctrine, which may invite more companies and other stakeholders to bring lawsuits against the FDA to challenge longstanding decisions and policies of the FDA and other federal agencies, which could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drugs, if we obtain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current U.S. presidential administration will impact the ACA. Complying with any new legislation or reversing changes implemented under the ACA could be time-intensive and expensive, resulting in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judicial challenges in view of the U.S. Supreme Court’s overturn of the </w:t>
      </w:r>
      <w:r>
        <w:rPr>
          <w:rFonts w:ascii="Times New Roman" w:hAnsi="Times New Roman"/>
          <w:i/>
          <w:color w:val="000000"/>
          <w:sz w:val="20"/>
        </w:rPr>
        <w:t>Chevron</w:t>
      </w:r>
      <w:r>
        <w:rPr>
          <w:rFonts w:ascii="Times New Roman" w:hAnsi="Times New Roman"/>
          <w:color w:val="000000"/>
          <w:sz w:val="20"/>
        </w:rPr>
        <w:t xml:space="preserve"> doctrine, and other legislative, executive, and administrative actions and agency rules implemented by the current U.S. presidential administration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hAnsi="Times New Roman"/>
          <w:i/>
          <w:color w:val="000000"/>
          <w:sz w:val="20"/>
        </w:rPr>
        <w:t>i.e.</w:t>
      </w:r>
      <w:r>
        <w:rPr>
          <w:rFonts w:ascii="Times New Roman" w:hAnsi="Times New Roman"/>
          <w:color w:val="000000"/>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Food, Drug and Cosmetic Act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European and other foreign law equivalents of each of the laws also impose legal requirements, including reporting requirements detailing interactions with and payments to healthcare providers.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the ability to hire and retain key personnel, return-to-office policies and other executive actions by the current U.S. presidential administration, and changes in the leadership and operations of the FDA.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products may be subject to U.S. and foreign export controls, trade sanctions and import laws and regulations, including increased tariffs. Governmental regulation of the import or export of our products, including the potential negative impact of tariff increases,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collect, process, use or transfer personal information from individuals located in the European Economic Area, or EEA, Switzerland and the United Kingdom in connection with our business, including in connection with conducting clinical trials in these regions.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alleged failure to comply with the GDPR, UK GDPR, FADP, or related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GDPR, UK GDPR and FADP also restrict the transfer of personal information outside of the EEA, United Kingdom and Switzerland, respectively, unless appropriate safeguards are in place.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primary set of safeguards, the Standard Contractual Clauses adopted by the European Commission, has been updated recently. With regard to data transfers outside of the EEA to the United States, in March 2022, the European Union and United States announced a political agreement on a new framework for personal information transfers, the EU-U.S. Data Privacy Framework, or the EU-U.S. DPF. A related framework, the Swiss-U.S. Data Privacy Framework, or Swiss-U.S. DPF, also was established, and was the subject of an adequacy decision by the Swiss Federal Council on August 14, 2024.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The data transfers enforcement landscape and the longer term stability of the EU-U.S. DPF and related programs remain uncertain, which could increase our compliance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 also has implemented new and revised laws and regulations relating to cybersecurity, including the Network and Information Security Directive II, or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therefore, incur liabilities, expenses, costs, and other operational losses under the GDPR, UK GDPR, the FADP, and applicable laws and regulations of European Union member states in connection with any measures we take to comply with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California Privacy Rights Act, or the CPRA, was approved by California voters in November 2020. The CPRA modified and augmented the CCPA significantly, effective as of January 1, 2023, potentially resulting in further uncertainty and requiring us to incur additional costs and expenses in an effort to comply. Numerous other states have proposed, and in certain cases enacted similar laws, including comprehensive privacy laws similar to the CCPA enacted in Colorado, Connecticut, Delaware, Florida, Indiana, Iowa, Kentucky, Maryland, Minnesota, Montana, Nebraska, New Hampshire, New Jersey, Oregon, Rhode Island, Tennessee, Texas, Utah, and Virginia. Other states have proposed, and in certain cases enacted, legislation addressing privacy and cybersecurity in the context of specific subject matter such as biometrics and health-related personal information.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and enforce patent protection for our product candidates and related technology, our business could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challenging our patent rights or the patent rights of others.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120" w:after="283"/>
        <w:jc w:val="left"/>
        <w:rPr>
          <w:rFonts w:ascii="Times New Roman" w:hAnsi="Times New Roman"/>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hAnsi="Times New Roman"/>
          <w:i/>
          <w:color w:val="000000"/>
          <w:sz w:val="20"/>
        </w:rPr>
        <w:t>e.g.</w:t>
      </w:r>
      <w:r>
        <w:rPr>
          <w:rFonts w:ascii="Times New Roman" w:hAnsi="Times New Roman"/>
          <w:color w:val="000000"/>
          <w:sz w:val="20"/>
        </w:rPr>
        <w:t xml:space="preserve">, via post-grant reviews or </w:t>
      </w:r>
      <w:r>
        <w:rPr>
          <w:rFonts w:ascii="Times New Roman" w:hAnsi="Times New Roman"/>
          <w:i/>
          <w:color w:val="000000"/>
          <w:sz w:val="20"/>
        </w:rPr>
        <w:t>inter partes</w:t>
      </w:r>
      <w:r>
        <w:rPr>
          <w:rFonts w:ascii="Times New Roman" w:hAnsi="Times New Roman"/>
          <w:color w:val="000000"/>
          <w:sz w:val="20"/>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patents covering one or more of our product candidates could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protection, prosecution, assertion and defense for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and trade secrets,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are examples of litigation and other adversarial proceedings or disputes that we could become a party to involving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initiate litigation or other proceedings against third parties to enforce our patent and trade secret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 </w:t>
      </w:r>
    </w:p>
    <w:p>
      <w:pPr>
        <w:pStyle w:val="TextBody"/>
        <w:bidi w:val="0"/>
        <w:spacing w:before="120" w:after="283"/>
        <w:jc w:val="left"/>
        <w:rPr>
          <w:rFonts w:ascii="Times New Roman" w:hAnsi="Times New Roman"/>
          <w:sz w:val="20"/>
        </w:rPr>
      </w:pPr>
      <w:r>
        <w:rPr>
          <w:rFonts w:ascii="Times New Roman" w:hAnsi="Times New Roman"/>
          <w:b/>
          <w:i/>
          <w:color w:val="000000"/>
          <w:sz w:val="20"/>
        </w:rPr>
        <w:t>Our commercial success depends in part on our ability to operate without infringing the patents and other proprietary rights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(now abandoned in favor of a divisional application 18/518,353, which has claims that are not related to polypeptides comprising soluble human SIRPα) owned by University Health Network, or UHN, and The Hospital for Sick Children that may encompass certain therapies for the treatment of cancer using polypeptides comprising soluble human SIRPα, as well as related applications in other jurisdictions.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Board’s ruling regarding sufficiency of disclosure. The hearing before the Board of Appeal has been scheduled for December 9, 2025.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SIRPα, or a CD47-binding fragment thereof. On February 27, 2024, the Opposition Division announced that it had received a notice of opposition with respect to EP 2 995 315. A date for the opposition hearing has not yet been announced. The patent claims of both EP 2 429 574 and EP 2 995 315, if not revoked or otherwise limited by the European Patent Office, could potentially limit our ability to pursue evorpacept in certain indications in certain geographies in the future. With respect to U.S. patent 10,907,209,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obtain FDA approval for any proposed product candidate names, and any failure or delay associated with product candidate name approval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rights to develop and commercialize our product candidates may be subject, in part, to the terms and conditions of agreements with others.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disputes may arise regarding intellectual property subject to a collaboration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the option or license rights granted under the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under the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80 employees, including 64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evorpacept and any other future product candidates, while complying with applicable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updating our operational, financial and management controls, reporting systems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maintain our organization by retaining employees or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are based on a novel technology, which makes it difficult to predict the time and cost of product candidate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pausing recruiting efforts, or employee attrition could also create delays in the development of our product candidates and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international operations may expose us to business, regulatory, political, operational, financial, pricing and reimbursement risks associated with doing business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conflicting and changing laws and regulations such as privacy regulations, tax laws, export and import restrictions, including changes in tariff and trade policies, employment laws, regulatory requirements and other governmental approvals, permits and licenses, including within the European Union and in the United Kingdom as a result of Brexit;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obtain and maintain regulatory approvals for the use of our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rejection or qualification of foreign clinical trial data by the competent authorities of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staffing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multiple payor reimbursement regimes, government payors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in our ability to penetrate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foreign currency exchange rate fluctuations;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such as the geopolitical unrest and regional economic disruptions caused by Russia’s war with Ukraine, and war and instability in Israel and the surrounding region, and including wars, terrorism and political unrest, boycotts, curtailment of trade and other business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such as a fire, an earthquake or a flood, or outbreaks or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security breach or incident or a related breach of our information systems or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expenses including, among others, expenses for travel, translation and insurance;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factors could harm our future international expansion and operations and, consequently, our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I-SPY,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acquire businesses or assets and we may not realize the benefits of such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U.S. Internal Revenue Code of 1986, as amended, if a corporation undergoes an “ownership change” (generally defined as a greater than 50%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2024, we had net operating loss carryforwards of approximately $162.6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carryforwards will begin to expire beginning in 2038. Other limitations may apply under state law. For example, recently enacted California legislation suspends the use of state net operating losses by taxpayers with net business income or modified adjusted gross income of $1 million or more for tax years beginning on or after January 1, 2024 and before January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Irish net operating loss carryforwards of approximately $5.5 million. These Irish net operating loss carryforwards do not expire but may not be fully utilized unless we generate sufficient income in Ireland. We may also be limited in the amount of net operating loss carryforwards that we can use in the future to offset taxable income for Irish corporation tax purposes if we experience ownership changes in the future as a result of subsequent movements in our share ownership, some of which are outside of our control, or if we experience a major change in the nature or conduct of our trade or our trade becomes small or negligible. Furthermore, in the event we incur net income in certain jurisdictions but incur losses (or have net operating loss carryforwards) in other jurisdictions, we cannot offset the income from one jurisdiction with the loss from another, which could increase our effective tax 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w:t>
      </w:r>
      <w:r>
        <w:rPr>
          <w:rFonts w:ascii="Times New Roman" w:hAnsi="Times New Roman"/>
          <w:color w:val="000000"/>
          <w:sz w:val="20"/>
        </w:rPr>
        <w:t xml:space="preserve"> </w:t>
      </w:r>
      <w:r>
        <w:rPr>
          <w:rFonts w:ascii="Times New Roman" w:hAnsi="Times New Roman"/>
          <w:b/>
          <w:i/>
          <w:color w:val="000000"/>
          <w:sz w:val="20"/>
        </w:rPr>
        <w:t>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eliminated the option to deduct domestic research and development costs in the year incurred and instead requires taxpayers to amortize such costs over five or fifteen years. The United States has also enacted the Inflation Reduction Act of 2022, which introduced, among other provisions, a 1% excise tax on certain stock buybacks by U.S. publicly-traded corporations on or after January 1, 2023. The Organisation for Economic Co-operation and Development has proposed implementing a global minimum tax of 15%, or Pillar Two, which has been implemented into the domestic laws of European Union member countries. We continue to assess the effect of the Pillar Two rules in all jurisdictions and do not currently expect Pillar Two to have a material impact on our financial position.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know whether an active, liquid and orderly trading market will be sustained for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sell shares of our common stock in future financings, stockholders may experience immediate dilution and, as a result, our stock price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amended Shelf Registration Statement, declared effective by the SEC on May 31, 2022, provides for aggregate offerings of up to $450.0 million of the Company’s securities inclusive of up to $150.0 million of shares of our common stock through the at-the-market (ATM) offering. As of December 31, 2024, we sold an aggregate of 2,199,542 shares of common stock under our ATM offering. On October 10, 2023, we completed the October 2023 Offering for the issuance and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As of December 31, 2024, no shares underlying the pre-funded warrants had been exercised. If we issue common stock or securities convertible into common stock, our stockholders will experience additional dilution and our stock price may decline.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may be highly volatile and subject to wide fluctuations in response to various factors, some of which are beyond our control. In addition to those discussed in this “Risk Factors” section and elsewhere in this Annual Report on Form 10-K, the following factors may cause the market price of our common stock to fluctuate: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and timing of our preclinical studies and clinical trials and studies and trials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manufacturing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or enforcement in the United States and foreign countries with respect to our product candidates or our competitors’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products or new products that may emerge;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our growth and development relative to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 candidates or technological innovations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our future strategic partners or our competitors of significant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or recommendations by securities analysts, if any cover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concern over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our common stock by us, our insiders or our other stockholders including pursuant to the existing primary and secondary shelf registration statements that we have filed with the SEC;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price and volume fluctuations attributable to inconsistent trading volume levels of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 care payment systems in the United States or overseas;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any of our product candidates, if approved, to achieve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such as inflation, trade and other global disputes and interruptions, including related to tariffs and trade protection measures, economic downturns, disasters, and medical or public health crises, such as the COVID-19 pandemic, including the impact of recent bank failures, the ongoing geopolitical unrest related to Russia’s war with Ukraine, and war and instability in Israel and the surrounding region;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or expectations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fluctuations in U.S. equity markets, general market conditions and market conditions for biotechnology stocks;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may be unanticipated or out of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operating results may fluctuate due to a variety of other factors, many of which are outside of our control and may be difficult to predict,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subjects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product candidates and technologies or other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outcomes of clinical trials for evorpacept, and any of our other product candidates, or competing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conduct unanticipated clinical trials or trials that are larger or more complex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products that compete with evorpacept and any of our other product candidates, and changes in the competitive landscape of our industry, including consolidation among our competitors or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regulatory review or approval of evorpacept or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evorpacept and any of our other product candidates, if approved, which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products that compete with evorpacept and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evorpacept and any of our other product candidates, if approved, inside and outside of the United States, either independently or working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increase in interest expense due to an increase in the floating rate under the Loan Agreement as described elsewhere in this Annual Report on Form 10-K;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weak or declining economy resulting from adverse macroeconomic conditions such as inflation, interest rate changes, uncertainty in the financial services industry, trade and other global disputes and interruptions, including related to tariffs and trade protection measures, and any U.S. federal government debt default due to a failure to increase the debt ceiling;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outbreaks or public health crises, such as the COVID-19 pandemic, geopolitical unrest related to Russia’s conflict with Ukraine, war and instability in Israel and the surrounding region, and bank failures or instability in the financial services sector on the global economy.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In February 2025, the current U.S. presidential administration imposed new tariffs on China and China responded with tariffs on select U.S. goods.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October 10, 2023, we completed the October 2023 Offering for </w:t>
      </w:r>
      <w:r>
        <w:rPr>
          <w:rFonts w:ascii="Times New Roman" w:hAnsi="Times New Roman"/>
          <w:color w:val="231F20"/>
          <w:sz w:val="20"/>
        </w:rPr>
        <w:t>the sale of</w:t>
      </w:r>
      <w:r>
        <w:rPr>
          <w:rFonts w:ascii="Times New Roman" w:hAnsi="Times New Roman"/>
          <w:color w:val="000000"/>
          <w:sz w:val="20"/>
        </w:rPr>
        <w:t xml:space="preserve">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As of December 31, 2024, no shares underlying the pre-funded warrants had been exercised.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and will continue to incur significant increased costs and management resources as a result of operating as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were a large-accelerated filer for fiscal year 2022, we were a “non-accelerated filer” for fiscal year 2023 and 2024 and we anticipate we will continue to be one throughout fiscal year 2025. This status could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year, we re-evaluate our SEC filing status. Accordingly, we were a non-accelerated filer for fiscal year 2023 and 2024, and due to our public float as of June 30, 2024, we anticipate we will be a non-accelerated filer throughout fiscal year 2025.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next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Our affiliated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our executive officers, directors, and affiliated holders of 5% or more of our capital stock and their respective affiliates beneficially owned approximately 23.8% of our outstanding voting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anticipate paying cash dividends and, accordingly, stockholders must rely on share appreciation for any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substantial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under our Shelf Registration Statement and pursuant to our related ATM facility described therein. Additionally, our stockholders may be further diluted by the exercise of the pre-funded warrants issued in the follow-on public offering. As of December 31, 2024, no shares underlying the pre-funded warrants had been exercised.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that our board of directors is divided into three classes, with each class serving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only be removed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behalf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a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 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Securities Exchange Act of 1934, as amended, or Exchange Act, or any other claim for which the U.S. federal courts have exclusive jurisdiction.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further provide that the federal district courts of the United States will be the exclusive forum for resolving any complaint asserting a cause of action arising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2024,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effective internal control over financial reporting could have a material adverse effect on our business, financial condition and results of operations and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disruptions and delays or incur financial damages as a result of system failures or security breaches or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our implementation of security measures, any of the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or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policies for those employees. Also, ongoing geopolitical unrest and related events such as Russia’s war with Ukraine may subject us and our CROs and other third-party service providers to heightened risks of cyber-attacks and security breaches and incidents, any of which could materially disrupt our drug discovery and development programs or other aspects of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system failure or security breach or incident that leads to the loss, corruption or unavailability of clinical trial data from completed, ongoing,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bidi w:val="0"/>
        <w:spacing w:before="12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5" w:name="item_1b_unresolved_staff_comments"/>
      <w:bookmarkEnd w:id="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6" w:name="item_1c_cybersecurity"/>
      <w:bookmarkEnd w:id="6"/>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policies and processes for assessing, identifying, and managing material risk from cybersecurity threats, and have integrated these processes into our overall risk management systems and processes. We periodically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to manage our risk assessment and mitigation processes, including our Vice President of Operations (VPO), who serves as our acting Chief Information Security Officer (CISO), as well as external information technology consultants who help manage our information technology systems and our information 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overall risk management system, we monitor and test our safeguards and train our employees on these safeguards, in collaboration with our information technology consultants. Employees at all levels and departments are made aware of our cybersecurity policies through trainings.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engage our information technology consultants, including dedicated on-site consultants as well as other third parties, in connection with our risk assessment processes. These partners assist us to help design, implement, monitor, and test our cybersecurity policies and procedures. We also require key third-party service providers to certify that they have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key functions of our board of directors is informed oversight of our risk management process, including risks from cybersecurity threats. Our board of directors, which is responsible for monitoring and assessing strategic risk exposure, has delegated primary oversight responsibility for cybersecurity to our 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VPO and acting CISO, who reports to our President, is responsible for the day-to-day management of our cybersecurity policies and processes, including those described in “Risk Management and Strategy” above, with the assistance of and informed by our consultants. Our VPO and acting CISO, who has many years of senior management and operational oversight at emerging technology companies, is informed about and monitors the prevention, detection, mitigation, and remediation of cybersecurity incidents through the day-to-day management of our information technology consultants, which includes engaging with information provided by the consultants, automated monitoring and detection systems, and other tools and processes defined by our cybersecurity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VPO and acting CISO provides periodic briefings to our executive officers regarding our company’s cybersecurity risks and activities, including any recent cybersecurity incidents and related responses, cybersecurity systems testing, activities of third parties, and the like. Our VPO and acting CISO also provides periodic briefings to the board of directors, including the audit committee, on cybersecurity risks and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item_2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 is located in South San Francisco, California. We currently lease 10,000 square feet of office space in South San Francisco, California, under a lease that expires in 2026. We believe that this space is sufficient to meet our needs for the foreseeable future and that any additional space we may require will be available on commercially reasonable terms.</w:t>
      </w:r>
    </w:p>
    <w:p>
      <w:pPr>
        <w:pStyle w:val="TextBody"/>
        <w:bidi w:val="0"/>
        <w:spacing w:before="360" w:after="283"/>
        <w:jc w:val="left"/>
        <w:rPr>
          <w:rFonts w:ascii="Times New Roman" w:hAnsi="Times New Roman"/>
          <w:sz w:val="20"/>
        </w:rPr>
      </w:pPr>
      <w:bookmarkStart w:id="8" w:name="item_3_legal_proceedings"/>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w:t>
      </w:r>
    </w:p>
    <w:p>
      <w:pPr>
        <w:pStyle w:val="TextBody"/>
        <w:bidi w:val="0"/>
        <w:spacing w:before="3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 for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“ALXO” since July 17, 2020. Prior to that date, there was no public trading market for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27, 2025, there were 104 holders of record of our common stock. Certain shares are held in “street” name and, accordingly, the number of beneficial owners of such shares is not known or included in the foregoing number.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2" w:name="item_6_reserved"/>
      <w:bookmarkEnd w:id="12"/>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together with our consolidated financial statements and related notes included elsewhere in this Annual Report on Form 10-K. This discussion and analysis generally addresses 2024 and 2023 items and year-over-year comparisons between 2024 and 2023. Discussions of 2022 items and year-over-year comparisons between 2023 and 2022 that are not included in this Annual Report on Form 10-K can be found in “Item 7. Management’s Discussion and Analysis of Financial Condition and Results of Operations” in our Annual Report on Form 10-K for the fiscal year ended December 31, 2023, filed with the SEC on March 7, 2024.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immuno-oncology company focused on helping patients fight cancer by developing therapies that block the CD47 immune checkpoint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 as discussed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distinct mechanism of actions and examples of the combinations of priority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Anti-cancer antibodies (the “</w:t>
      </w:r>
      <w:r>
        <w:rPr>
          <w:rFonts w:ascii="Times New Roman" w:hAnsi="Times New Roman"/>
          <w:b/>
          <w:i/>
          <w:color w:val="000000"/>
          <w:sz w:val="20"/>
        </w:rPr>
        <w:t>don’t eat me</w:t>
      </w:r>
      <w:r>
        <w:rPr>
          <w:color w:val="000000"/>
        </w:rPr>
        <w:t xml:space="preserve">” </w:t>
      </w:r>
      <w:r>
        <w:rPr>
          <w:rFonts w:ascii="Times New Roman" w:hAnsi="Times New Roman"/>
          <w:b/>
          <w:color w:val="000000"/>
          <w:sz w:val="20"/>
        </w:rPr>
        <w:t>signal)</w:t>
      </w:r>
      <w:r>
        <w:rPr>
          <w:rFonts w:ascii="Times New Roman" w:hAnsi="Times New Roman"/>
          <w:color w:val="000000"/>
          <w:sz w:val="20"/>
        </w:rPr>
        <w:t xml:space="preserve">: </w:t>
      </w:r>
      <w:r>
        <w:rPr>
          <w:rFonts w:ascii="Times New Roman" w:hAnsi="Times New Roman"/>
          <w:b/>
          <w:color w:val="000000"/>
          <w:sz w:val="20"/>
        </w:rPr>
        <w:t>Combining with anti-cancer targeted antibodies with an active Fc domain, where evorpacept enables the Fc-mediated antibody dependent phagocytosis that is impaired by the expression of CD47 on cancer cells</w:t>
      </w:r>
      <w:r>
        <w:rPr>
          <w:rFonts w:ascii="Times New Roman" w:hAnsi="Times New Roman"/>
          <w:color w:val="000000"/>
          <w:sz w:val="20"/>
        </w:rPr>
        <w:t xml:space="preserve">. </w:t>
        <w:br/>
        <w:t>Data from the randomized ASPEN-06 Phase 2 clinical trial supports the clinical validation of this mechanism of action. ASPEN-06 evaluates the contribution of evorpacept to HERCEPTIN</w:t>
      </w:r>
      <w:r>
        <w:rPr>
          <w:rFonts w:ascii="Times New Roman" w:hAnsi="Times New Roman"/>
          <w:color w:val="000000"/>
          <w:sz w:val="13"/>
        </w:rPr>
        <w:t xml:space="preserve">® </w:t>
      </w:r>
      <w:r>
        <w:rPr>
          <w:rFonts w:ascii="Times New Roman" w:hAnsi="Times New Roman"/>
          <w:color w:val="000000"/>
          <w:sz w:val="20"/>
        </w:rPr>
        <w:t>(trastuzumab) plus standard of care (CYRAMZA</w:t>
      </w:r>
      <w:r>
        <w:rPr>
          <w:rFonts w:ascii="Times New Roman" w:hAnsi="Times New Roman"/>
          <w:color w:val="000000"/>
          <w:sz w:val="13"/>
        </w:rPr>
        <w:t>®</w:t>
      </w:r>
      <w:r>
        <w:rPr>
          <w:color w:val="000000"/>
        </w:rPr>
        <w:t xml:space="preserve"> </w:t>
      </w:r>
      <w:r>
        <w:rPr>
          <w:rFonts w:ascii="Times New Roman" w:hAnsi="Times New Roman"/>
          <w:color w:val="000000"/>
          <w:sz w:val="20"/>
        </w:rPr>
        <w:t xml:space="preserve">(ramucirumab) + paclitaxel) (Evo-TRP), versus trastuzumab, ramucirumab, and paclitaxel (TRP) in second line or later human epidermal growth factor receptor 2 (HER2)-positive gastric/gastroesophageal junction (GEJ) cancer, where all patients had received an anti-HER2 agent in prior lines of therapy. Results from the December 2024 data cutoff were presented at an oral presentation at the 2025 American Society of Clinical Oncology (ASCO) Gastrointestinal Cancers Symposium: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b/>
          <w:color w:val="000000"/>
          <w:sz w:val="20"/>
        </w:rPr>
        <w:t>Primary endpoints</w:t>
      </w:r>
      <w:r>
        <w:rPr>
          <w:color w:val="000000"/>
        </w:rPr>
        <w:t xml:space="preserve"> </w:t>
      </w:r>
      <w:r>
        <w:rPr>
          <w:rFonts w:ascii="Times New Roman" w:hAnsi="Times New Roman"/>
          <w:color w:val="000000"/>
          <w:sz w:val="20"/>
        </w:rPr>
        <w:t>(December 2024 data cutoff):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Intent-to-treat (ITT) patient population overall response rate (ORR) (n=127):</w:t>
      </w:r>
      <w:r>
        <w:rPr>
          <w:color w:val="000000"/>
        </w:rPr>
        <w:t xml:space="preserve"> </w:t>
      </w:r>
      <w:r>
        <w:rPr>
          <w:rFonts w:ascii="Times New Roman" w:hAnsi="Times New Roman"/>
          <w:color w:val="000000"/>
          <w:sz w:val="20"/>
        </w:rPr>
        <w:t>Evo-TRP demonstrated an ORR of 41.3% compared to 30% for ramucirumab and paclitaxel (RP) historical control and 26.6% for TRP control.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Fresh HER2-positive biopsy patient population ORR (n=48)</w:t>
      </w:r>
      <w:r>
        <w:rPr>
          <w:rFonts w:ascii="Times New Roman" w:hAnsi="Times New Roman"/>
          <w:color w:val="000000"/>
          <w:sz w:val="20"/>
        </w:rPr>
        <w:t>: Evo-TRP demonstrated an ORR of 59.1% compared to 30% for RP historical control and 23.1% for TRP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ITT population, Evo-TRP demonstrated a median duration of response (mDOR) of 15.7 months and a median progression-free survival (mPFS) of 7.5 months compared to an mDOR of 9.1 months and mPFS of 7.4 months in the TRP control group, with a PFS Hazard Ratio (PFS HR) in this population of 0.77.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fresh HER2-positive biopsies, Evo-TRP demonstrated an mDOR of 15.7 months and mPFS of 9.5 months compared to an mDOR of 14.5 months and mPFS of 7.1 months in the TRP control group, with a PFS HR of 0.62.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confirmed HER2-positive expression as determined by either fresh biopsy or circulating tumor DNA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Evo-TRP was generally well tolerated, with the incidence of adverse events in the evorpacept population consistent with those in TRP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earlier ASPEN-01 Phase 1 positive data in combination with rituximab in non-Hodgkin lymphoma (NHL) and the recent clinical data of our investigator-sponsored trial (IST) collaborator from the ongoing Phase 1/2 IST of evorpacept in combination with rituximab and lenalidomide patients with relapsed refractory B-cell NHL (R/R B-NHL) provide additional support for the clinical validation of this mechanism of action and support exploring combinations of evorpacept with other anti-cancer antibodies.</w:t>
      </w:r>
    </w:p>
    <w:p>
      <w:pPr>
        <w:pStyle w:val="TextBody"/>
        <w:bidi w:val="0"/>
        <w:spacing w:before="120" w:after="283"/>
        <w:jc w:val="left"/>
        <w:rPr>
          <w:rFonts w:ascii="Times New Roman" w:hAnsi="Times New Roman"/>
          <w:sz w:val="20"/>
        </w:rPr>
      </w:pPr>
      <w:r>
        <w:rPr>
          <w:rFonts w:ascii="Times New Roman" w:hAnsi="Times New Roman"/>
          <w:color w:val="000000"/>
          <w:sz w:val="20"/>
        </w:rPr>
        <w:t>This mechanism of action may also apply to antibody-drug conjugates (ADCs), which are being investigated in two separate Phase 1 trials: one in combination with PADCEV</w:t>
      </w:r>
      <w:r>
        <w:rPr>
          <w:rFonts w:ascii="Times New Roman" w:hAnsi="Times New Roman"/>
          <w:color w:val="000000"/>
          <w:sz w:val="13"/>
        </w:rPr>
        <w:t>®</w:t>
      </w:r>
      <w:r>
        <w:rPr>
          <w:rFonts w:ascii="Times New Roman" w:hAnsi="Times New Roman"/>
          <w:color w:val="000000"/>
          <w:sz w:val="20"/>
        </w:rPr>
        <w:t xml:space="preserve"> (enfortumab vedotin-ejfv) in patients with urothelial cancer (ASPEN-07), and the other in combination with ENHERTU</w:t>
      </w:r>
      <w:r>
        <w:rPr>
          <w:rFonts w:ascii="Times New Roman" w:hAnsi="Times New Roman"/>
          <w:color w:val="000000"/>
          <w:sz w:val="13"/>
        </w:rPr>
        <w:t>®</w:t>
      </w:r>
      <w:r>
        <w:rPr>
          <w:rFonts w:ascii="Times New Roman" w:hAnsi="Times New Roman"/>
          <w:color w:val="000000"/>
          <w:sz w:val="20"/>
        </w:rPr>
        <w:t xml:space="preserve"> (fam-trastuzumab deruxtecan-nxki) in patients with unresectable or metastatic HER2-positive and HER2-low breast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PD-1/programmed death-ligand 1 (PD-L1) immune checkpoint inhibitors (the “</w:t>
      </w:r>
      <w:r>
        <w:rPr>
          <w:rFonts w:ascii="Times New Roman" w:hAnsi="Times New Roman"/>
          <w:b/>
          <w:i/>
          <w:color w:val="000000"/>
          <w:sz w:val="20"/>
        </w:rPr>
        <w:t>don’t activate T-cells</w:t>
      </w:r>
      <w:r>
        <w:rPr>
          <w:color w:val="000000"/>
        </w:rPr>
        <w:t xml:space="preserve">” </w:t>
      </w:r>
      <w:r>
        <w:rPr>
          <w:rFonts w:ascii="Times New Roman" w:hAnsi="Times New Roman"/>
          <w:b/>
          <w:color w:val="000000"/>
          <w:sz w:val="20"/>
        </w:rPr>
        <w:t>signal):</w:t>
      </w:r>
      <w:r>
        <w:rPr>
          <w:color w:val="000000"/>
        </w:rPr>
        <w:t xml:space="preserve"> </w:t>
      </w:r>
      <w:r>
        <w:rPr>
          <w:rFonts w:ascii="Times New Roman" w:hAnsi="Times New Roman"/>
          <w:b/>
          <w:color w:val="000000"/>
          <w:sz w:val="20"/>
        </w:rPr>
        <w:t>Combining with PD-1/PD-L1 checkpoint inhibitor, where evorpacept activates dendritic cells that are constitutively inhibited by the CD47/ SIRP alpha pathway.</w:t>
      </w:r>
      <w:r>
        <w:rPr>
          <w:color w:val="000000"/>
        </w:rPr>
        <w:t xml:space="preserve"> </w:t>
      </w:r>
      <w:r>
        <w:rPr>
          <w:rFonts w:ascii="Times New Roman" w:hAnsi="Times New Roman"/>
          <w:color w:val="000000"/>
          <w:sz w:val="20"/>
        </w:rPr>
        <w:b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This mechanism of action is being investigated in our clinical trials, ASPEN-03 and ASPEN-04, two randomized Phase 2 studies in combination with KEYTRUDA</w:t>
      </w:r>
      <w:r>
        <w:rPr>
          <w:rFonts w:ascii="Times New Roman" w:hAnsi="Times New Roman"/>
          <w:color w:val="000000"/>
          <w:sz w:val="13"/>
        </w:rPr>
        <w:t>®</w:t>
      </w:r>
      <w:r>
        <w:rPr>
          <w:color w:val="000000"/>
        </w:rPr>
        <w:t xml:space="preserve"> </w:t>
      </w:r>
      <w:r>
        <w:rPr>
          <w:rFonts w:ascii="Times New Roman" w:hAnsi="Times New Roman"/>
          <w:color w:val="000000"/>
          <w:sz w:val="20"/>
        </w:rPr>
        <w:t xml:space="preserve">(pembrolizumab),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pursuing the following clinical programs, collaborations, and investigator-sponsored trials: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2020, the U.S. Food and Drug Administration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2023, the European Commission granted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TRP control arm. An mDOR was not reached for the Evo-TRP treatment arm compared to 7.4 months for the control group. The safety profile of evorpacept was consistent with previous clinical trials and was well-tolerated.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 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2025, we presented updated results from the ASPEN-06 Phase 2 clinical trial in an oral presentation at the 2025 ASCO Gastrointestinal Cancers Symposium. A confirmed ORR of 41.3% was demonstrated for the Evo-TRP treatment arm compared to 26.6% for the TRP control arm in the ITT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ASPEN-Breast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Phase 2 study evaluating evorpacept in combination with trastuzumab and chemotherapy for the treatment of patients with metastatic HER2-positive breast cancer.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ASPEN-CRC - Colorectal Cancer (CRC)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Phase 1b study evaluating evorpacept in combination with the epidermal growth factor receptor (EGFR)-targeted antibody cetuximab and chemotherapy for the treatment of patients with metastatic CRC.</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antibody-drug conjugate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ASPEN-07 - Urothelial Cancer (UC)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2023, we announced the dosing of the first patient in the ASPEN-07 trial, a Phase 1 study evaluating evorpacept in combination with an ADC, enfortumab vedotin-ejfv (EV), for the second-line treatment of locally advanced or metastatic UC.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2024, interim Phase 1 data were presented in a poster presentation at the 2024 ASCO Annual Meeting. The ASCO poster presentation data-cut reported an unconfirmed ORR of 59% (n=22) with evorpacept plus EV (EV single agent ORR benchmark is 41%). Following the April data cut-off, four additional response evaluable patients yielded an unconfirmed ORR of 61% (n=26) including two confirmed complete responses and six confirmed partial responses. These findings represent the first evorpacept combination data with an ADC from ASPEN-07’s ongoing, open-label, single-arm, clinical trial of evorpacept in combination with EV in patients with locally advanced or metastatic urothelial cancer. Continued follow-up for patients who are EV-naïve on ASPEN-07 is ongoing and, enrollment of a new cohort of patients who have received prior EV has begun.</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ASPEN-03 -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2021, we announced the dosing of the first patient in the ASPEN-03 trial, a randomized Phase 2 trial of evorpacept in combination with pembrolizumab for the treatment of first-line advanced PD-L1 positive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2022, the FDA granted Fast Track designation for evorpacept in combination with pembrolizumab for first-line treatment of adult patients with metastatic or unresectable, recurrent HNSCC whose tumors express PD-L1.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ASPEN-04 -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2020, the FDA granted Fast Track designation for evorpacept in combination with pembrolizumab, platinum, and fluorouracil for the first-line treatment of adult patients with metastatic or unresectable, recurrent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2021, we announced the dosing of the first patient in the ASPEN-04 trial, a randomized Phase 2 trial of evorpacept in combination with pembrolizumab, platinum, and fluorouracil for the treatment of first-line advanced HNSCC.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 or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is sponsoring and managing an ongoing Phase 1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 median progression free survival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median duration of response was not reached for Cohort 1 patients (range: 3.6-25.9 months) and was 5.5 months for Cohort 2 patients (range: 3.6-11.0 months), with responses ongoing, including the longest observed response, in each cohort.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Quantum Leap Healthcare Collaborative - I-SPY Trial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Quantum Leap Healthcare Collaborative (Quantum Leap), is sponsoring and managing an ongoing Phase 1 trial (I-SPY) to evaluate evorpacept in combination with fam-trastuzumab deruxtecan-nxki for the treatment of patients with unresectable or metastatic HER2-positive and HER2-low breast cancer. We announced the dosing of the first patient in March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2021, an IST of evorpacept was initiated in combination with rituximab and lenalidomide (R</w:t>
      </w:r>
      <w:r>
        <w:rPr>
          <w:rFonts w:ascii="Times New Roman" w:hAnsi="Times New Roman"/>
          <w:color w:val="000000"/>
          <w:sz w:val="13"/>
        </w:rPr>
        <w:t>2</w:t>
      </w:r>
      <w:r>
        <w:rPr>
          <w:rFonts w:ascii="Times New Roman" w:hAnsi="Times New Roman"/>
          <w:color w:val="000000"/>
          <w:sz w:val="20"/>
        </w:rPr>
        <w:t>) for the treatment of patients with indolent and aggressive NHL, sponsored by MD Anderson Cancer Center in Texas. We announced the dosing of the first patient in September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2024, MD Anderson Cancer Center reported clinical data from the ongoing Phase 1/2 IST of evorpacept in combination with R2 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R2 treatment. The regimen was well tolerated, and there were no dose-limiting toxicities. Patients with indolent R/R B-NHL (n=18) had a best ORR of 94% and a complete response rate of 83%. The median duration of response was not reached. The Phase 2 portion of the clinical trial is actively accruing treatment naïve patients in the 1L setting.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2023, we announced a collaboration with Sanofi who will sponsor and manage a Phase 1/2 trial of SARCLISA</w:t>
      </w:r>
      <w:r>
        <w:rPr>
          <w:rFonts w:ascii="Times New Roman" w:hAnsi="Times New Roman"/>
          <w:color w:val="000000"/>
          <w:sz w:val="13"/>
        </w:rPr>
        <w:t>®</w:t>
      </w:r>
      <w:r>
        <w:rPr>
          <w:color w:val="000000"/>
        </w:rPr>
        <w:t xml:space="preserve"> </w:t>
      </w:r>
      <w:r>
        <w:rPr>
          <w:rFonts w:ascii="Times New Roman" w:hAnsi="Times New Roman"/>
          <w:color w:val="000000"/>
          <w:sz w:val="20"/>
        </w:rPr>
        <w:t>(isatuximab), an anti-cancer antibody, and dexamethasone in combination with evorpacept for the treatment of patients with relapsed or refractory multiple myeloma. We announced the dosing of the first patients in September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Pittsburgh - Ovarian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California San Diego - Oropharyngeal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2024, a Phase 2 IST of evorpacept was initiated in combination with neoadjuvant radiation and pembrolizumab in patients with previously untreated and early-stage locally advanced, resectable, human papillomavirus-mediated oropharyngeal cancer, sponsored by the University of California San Diego.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Early Pipeline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Tallac Therapeutics - ALTA-002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second program, 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2024, we filed an investigative new drug (IND) application for ALTA-002 and in March 2024, the FDA cleared the IND to evaluate ALTA-002 in a Phase 1 clinical trial for patients with advanced solid tumors.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ADC Program - ALX2004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With our acquisition of ScalmiBio, Inc. (ScalmiBio) in October 2021, we developed ADC drug candidates based on our expertise in protein engineering and oncology.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2024, we declared a development candidate ALX2004 based on ScalmiBio acquired technology, triggering the first milestone payment to ScalmiBio stockholders.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intend to file an IND for our first ADC program, ALX2004, in the first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founding, we have devoted substantially all of our resources to developing evorpacept, identifying and advancing preclinical programs, scaling up manufacturing, conducting clinical trials and providing general and administrative support for these operations. We have no products approved for marketing and we have never received any revenue from drug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we filed a universal shelf registration statement (Shelf Registration Statement), which provides for aggregate offerings of up to $450.0 million of the Company’s securities. In May 2022, we filed an amendment to the Shelf Registration Statement, which was declared effective by the Securities and Exchange Commission (SEC) on May 31, 2022. We believe that our Shelf Registration Statement provides us with flexibility to raise additional capital to finance our operations as needed. In December 2021, we entered into a sales agreement (as amended, Sales Agreement) with Cantor Fitzgerald &amp; Co. and Credit Suisse Securities (USA) LLC (Credit Suisse), under which we may, subject to the effectiveness of the Shelf Registration Statement, offer and sell our common stock, having aggregate gross proceeds of up to $150.0 million, from time to time through them as our sales agents in an at-the-market (ATM) offering. In August 2023, we entered into an amendment to the Sales Agreement to include UBS Securities LLC as an additional sales agent and to remove Credit Suisse as a sales agent. As of December 31, 2024, we had issued approximately 2,199,542 shares of common stock pursuant to the Sales Agreement for net proceeds of $29.7 million. We may terminate this ATM program at any time, pursuant to its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we entered into a loan and security agreement (Loan Agreement) with Oxford Finance LLC, Oxford Finance Credit Fund II LP, and Silicon Valley Bank (SVB) (collectively, the Lenders).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The Company received net proceeds of $9.3 million from the issuance of the term loan, after deducting debt issuance costs of approximately $0.7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completed an underwritten follow-on public offering pursuant to the Shelf Registration Statement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As of December 31, 2024, no shares underlying the pre-funded warrants had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to us as of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inception through December 31, 2024, we have raised an aggregate of $643.2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in December 2020, $9.3 million were net proceeds from borrowings under the Loan Agreement, $58.9 million were net proceeds from our follow-on offering in October 2023, and $29.7 million were net proceeds from our ATM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in each year since inception. Our net losses were $134.9 million, $160.8 million and $123.5 million for the years ended December 31, 2024, 2023 and 2022, respectively. As of December 31, 2024, we had an accumulated deficit of $621.1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evorpacept through multiple clinical trials in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evorpacept in solid tumors and hematological malignancies;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discovery and preclinical and clinical development efforts, including our collaborations with Sanofi, Tallac, Jazz, and Quantum Leap and our acquisition of ScalmiBio;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supplies for our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add operational, financial and management information systems to support ongoing operations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the development of our lead product candidate, evorpacept,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related benefits, travel and stock-based compensation expenses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production of clinical materials, including fees paid to contract manufacturing organizations, or CMOs;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vendor expenses and third-party drugs related to the execution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expenses, which include expenses for rent and maintenance of facilities, depreciation and amortization expense and other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milestone payments related to our ScalmiBio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Almost all of our research and development expenses to date have been related to the clinical development of our lead product candidate, evorpacept. We expect to incur significant research and development expenses in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10 to our consolidated financial statements appearing elsewhere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current and future product candidates is highly uncertain. This is due to numerous risks and uncertainties,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regulators or institutional review boards authorizing us or our investigators to commence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agreements with clinical trial sites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third-party manufacturers for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enforcing our rights in our intellectual property portfolio, including, if necessary,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income consists primarily of interest income on cash, cash equivalents and short-term and long-term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expense consists primarily of interest expense on the term loan, amortization of deferred debt issuance costs, and interest related to finance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other income (expense), net consists primarily of realized foreign currency transaction gains and losses and other income from an immaterial service contract.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and Net Loss</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Years Ended December 31, 2024 and 2023</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years ended December 31, 2024 and 2023 (in thousands):</w:t>
      </w:r>
    </w:p>
    <w:tbl>
      <w:tblPr>
        <w:tblW w:w="8062" w:type="dxa"/>
        <w:jc w:val="left"/>
        <w:tblInd w:w="0" w:type="dxa"/>
        <w:tblLayout w:type="fixed"/>
        <w:tblCellMar>
          <w:top w:w="28" w:type="dxa"/>
          <w:left w:w="28" w:type="dxa"/>
          <w:bottom w:w="28" w:type="dxa"/>
          <w:right w:w="28" w:type="dxa"/>
        </w:tblCellMar>
      </w:tblPr>
      <w:tblGrid>
        <w:gridCol w:w="2586"/>
        <w:gridCol w:w="146"/>
        <w:gridCol w:w="211"/>
        <w:gridCol w:w="841"/>
        <w:gridCol w:w="166"/>
        <w:gridCol w:w="146"/>
        <w:gridCol w:w="211"/>
        <w:gridCol w:w="841"/>
        <w:gridCol w:w="166"/>
        <w:gridCol w:w="146"/>
        <w:gridCol w:w="211"/>
        <w:gridCol w:w="736"/>
        <w:gridCol w:w="166"/>
        <w:gridCol w:w="146"/>
        <w:gridCol w:w="146"/>
        <w:gridCol w:w="481"/>
        <w:gridCol w:w="716"/>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for the years ended December 31, 2024 and 2023 (in thousands):</w:t>
      </w:r>
    </w:p>
    <w:tbl>
      <w:tblPr>
        <w:tblW w:w="8707" w:type="dxa"/>
        <w:jc w:val="left"/>
        <w:tblInd w:w="0" w:type="dxa"/>
        <w:tblLayout w:type="fixed"/>
        <w:tblCellMar>
          <w:top w:w="28" w:type="dxa"/>
          <w:left w:w="28" w:type="dxa"/>
          <w:bottom w:w="28" w:type="dxa"/>
          <w:right w:w="28" w:type="dxa"/>
        </w:tblCellMar>
      </w:tblPr>
      <w:tblGrid>
        <w:gridCol w:w="3696"/>
        <w:gridCol w:w="146"/>
        <w:gridCol w:w="211"/>
        <w:gridCol w:w="781"/>
        <w:gridCol w:w="146"/>
        <w:gridCol w:w="146"/>
        <w:gridCol w:w="211"/>
        <w:gridCol w:w="781"/>
        <w:gridCol w:w="146"/>
        <w:gridCol w:w="146"/>
        <w:gridCol w:w="211"/>
        <w:gridCol w:w="736"/>
        <w:gridCol w:w="166"/>
        <w:gridCol w:w="146"/>
        <w:gridCol w:w="146"/>
        <w:gridCol w:w="376"/>
        <w:gridCol w:w="51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expenses decreased by $25.4 million for the year ended December 31, 2024 compared to the year ended December 31, 2023. The decrease was primarily attributable to a decrease of $37.5 million in clinical and development costs due to manufacturing of clinical trial materials, the majority of which was completed in early 2024, to support active clinical trials for our lead product candidate, evorpacept. This decrease was offset by (i) an increase of $3.8 million in stock-based compensation expense of which $2.6 million was due to a change in classification from the comparative periods of stock-based compensation from G&amp;A to R&amp;D as a result of the change in roles for our former Chief Executive Officer who transitioned to Chief Scientific Officer in September 2023 and the remaining amounts were due to a full year of expense for awards granted during the year ended December 31, 2023 as well as additional awards granted since December 31, 2023, (ii) an increase of $3.7 million in personnel and related costs primarily driven by headcount growth and severance costs, (iii) an increase of $3.0 million in preclinical costs for development of new targets, and (iv) an increase of $1.5 million in other research costs, of which $1.0 million was due to a development milestone payment to ScalmiBio stockholders and of which $0.5 million was due to increase in finance lease amortization costs due to modification.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trend of our R&amp;D expenses is dependent on our decision-making on which indications to pursue for future clinical development and the costs, timing, and outcomes of any future 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general and administrative expenses incurred for the years ended December 31, 2024 and 2023 (in thousands):</w:t>
      </w:r>
    </w:p>
    <w:tbl>
      <w:tblPr>
        <w:tblW w:w="8437" w:type="dxa"/>
        <w:jc w:val="left"/>
        <w:tblInd w:w="0" w:type="dxa"/>
        <w:tblLayout w:type="fixed"/>
        <w:tblCellMar>
          <w:top w:w="28" w:type="dxa"/>
          <w:left w:w="28" w:type="dxa"/>
          <w:bottom w:w="28" w:type="dxa"/>
          <w:right w:w="28" w:type="dxa"/>
        </w:tblCellMar>
      </w:tblPr>
      <w:tblGrid>
        <w:gridCol w:w="3741"/>
        <w:gridCol w:w="146"/>
        <w:gridCol w:w="211"/>
        <w:gridCol w:w="676"/>
        <w:gridCol w:w="146"/>
        <w:gridCol w:w="146"/>
        <w:gridCol w:w="211"/>
        <w:gridCol w:w="676"/>
        <w:gridCol w:w="146"/>
        <w:gridCol w:w="146"/>
        <w:gridCol w:w="211"/>
        <w:gridCol w:w="631"/>
        <w:gridCol w:w="166"/>
        <w:gridCol w:w="146"/>
        <w:gridCol w:w="146"/>
        <w:gridCol w:w="376"/>
        <w:gridCol w:w="516"/>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$2.4 million for the year ended December 31, 2024 compared to the year ended December 31, 2023. The decrease was primarily attributable to a decrease of $3.0 million in stock-based compensation expense primarily due to a change in classification from the comparative periods of stock-based compensation from G&amp;A to R&amp;D as described above under R&amp;D expenses, offset by an increase of $0.5 million in personnel and related costs driven by merit increases and severance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$1.3 million for the year ended December 31, 2024 compared to the year ended December 31, 2023. The decrease was primarily attributable to lower cash and investment balances during the current year as compared to prior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$0.2 million for the year ended December 31, 2024 compared to the year ended December 31, 2023. The increase was primarily attributable to higher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decreased by $0.4 million for the year ended December 31, 2024 compared to the year ended December 31, 2023. The decrease was primarily attributable to absence in the current year of other income from an immaterial service contract, under which the Company provided R&amp;D services for another company.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 Plan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December 31, 2024, we had cash, cash equivalents and short-term and long-term investments of $131.3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and negative cash flows from operations since inception and anticipate that we will continue to incur net losses for the foreseeable future. As of December 31, 2024, we had an accumulated deficit of $621.1 million. We expect to incur significant expenses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agreements with third-party manufacturers for clinical supply for our clinical trials and, if any of our product candidates are approved,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and retention of key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financial and information management systems, and hire additional personnel, including personnel to support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patent costs involved in prosecuting patent applications and enforcing patent claims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collaboration, license or other arrangement, including the terms and timing of any milestone and royalty payments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such as inflation, trade and other global disputes and interruptions, including related to tariffs and trade protection measures, economic downturns, disasters, and medical or public health crises;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outbreaks or public health crises, such as the COVID-19 pandemic, bank failures or instability in the financial services sector, or geopolitical risks, which may exacerbate the magnitude of the factors discussed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2021, we entered into the Sales Agreement with Cantor Fitzgerald &amp; Co. and Credit Suisse Securities (USA) LLC, under which we may offer and sell our common stock, having aggregate gross proceeds of up to $150.0 million, from time to time through them as our sales agents in our ATM offering program. In March 2022, we filed a Shelf Registration Statement with the SEC. In May 2022, we filed an amended Shelf Registration Statement, which was declared effective by the SEC on May 31, 2022. In August 2023, we entered into an amendment to the Sales Agreement to include UBS Securities LLC as an additional sales agent and to remove Credit Suisse as a sales agent. As of December 31, 2024, we sold an aggregate of 2,199,542 shares of common stock under our Sales Agreement for net proceeds of $29.7 million, after deducting commissions. We may terminate this ATM program at any time, pursuant to its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as described above.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For a description of the terms of the Loan Agreement, see “Note 6. Term Loan” to our consolidated financial statements included elsewhere in this Annual Report on Form 10-K.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FDIC to act as receiver. The FDIC created SVBB as successor to SVB. First Citizens Bank acquired SVBB from the FDIC and operates SVBB as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completed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As of December 31, 2024, no shares underlying the pre-funded warrants had been exercised.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to us as of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existing cash, cash equivalents and investments will enable us to fund our operating expenses and capital expenditure requirements into the fourth quarter of 2026. Additionally, the Company also has the ability to further utilize the ATM program. We have based these estimates on assumptions in which actuals may materially differ, and we could utilize our available capital resources sooner than we expect.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a summary of the net cash flow activity for the years ended December 31, 2024, 2023 and 2022 (in thousands):</w:t>
      </w:r>
    </w:p>
    <w:p>
      <w:pPr>
        <w:pStyle w:val="TextBody"/>
        <w:bidi w:val="0"/>
        <w:jc w:val="left"/>
        <w:rPr/>
      </w:pPr>
      <w:r>
        <w:rPr/>
        <w:t> </w:t>
      </w:r>
    </w:p>
    <w:tbl>
      <w:tblPr>
        <w:tblW w:w="9078" w:type="dxa"/>
        <w:jc w:val="left"/>
        <w:tblInd w:w="0" w:type="dxa"/>
        <w:tblLayout w:type="fixed"/>
        <w:tblCellMar>
          <w:top w:w="28" w:type="dxa"/>
          <w:left w:w="28" w:type="dxa"/>
          <w:bottom w:w="28" w:type="dxa"/>
          <w:right w:w="28" w:type="dxa"/>
        </w:tblCellMar>
      </w:tblPr>
      <w:tblGrid>
        <w:gridCol w:w="4741"/>
        <w:gridCol w:w="146"/>
        <w:gridCol w:w="211"/>
        <w:gridCol w:w="841"/>
        <w:gridCol w:w="166"/>
        <w:gridCol w:w="146"/>
        <w:gridCol w:w="211"/>
        <w:gridCol w:w="841"/>
        <w:gridCol w:w="166"/>
        <w:gridCol w:w="146"/>
        <w:gridCol w:w="211"/>
        <w:gridCol w:w="841"/>
        <w:gridCol w:w="4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year ended December 31, 2024, net cash used in operating activities of $121.9 million was attributable to a net loss of $134.9 million and a decrease in net operating assets and liabilities of $12.4 million offset by non-cash charges of $25.4 million. The change in operating assets and liabilities was primarily due to a decrease in accounts payable and accrued expenses and other current liabilities of $17.0 million primarily due to timing of invoices and payments and a decrease in other assets of $7.4 million offset by an increase in prepaid and other current assets of $0.7 million and a decrease in other non-current liabilities of $2.1 million. Non-cash charges consisted primarily of stock-based compensation expense of $27.1 million, non-cash lease costs of $1.8 million, and depreciation and amortization costs of $0.9 million offset by net amortization of premiums and accretion of discounts on investments of $4.7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ended December 31, 2023, net cash used in operating activities of $130.4 million was attributable to a net loss of $160.8 million, offset by non-cash charges of $22.1 million and an increase in net operating assets and liabilities of $8.3 million. Non-cash charges consisted primarily of stock-based compensation expense of $26.3 million, non-cash lease costs of $1.3 million, and depreciation and amortization costs of $0.8 million offset by net amortization of premiums and accretion of discounts on investments of $6.5 million. The change in operating assets and liabilities was primarily due to an increase in accounts payable and accrued expenses and other current liabilities of $10.6 million primarily due to timing of invoices and payments and a decrease in other assets of $1.4 million offset by an increase in prepaid and other current assets of $1.3 million and a decrease in other non-current liabilities of $2.4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ended December 31, 2024, net cash provided by investing activities of $86.3 million was attributable to cash received for maturities of investments of $194.1 million, offset by purchases of short-term and long-term investments of $107.4 million and purchases of property and equipment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ended December 31, 2023, net cash provided by investing activities of $44.7 million was attributable to cash received for maturities of investments of $292.6 million, offset by purchases of short-term and long-term investments of $246.6 million and purchases of property and equipment of $1.3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ended December 31, 2024, net cash provided by financing activities of $30.8 million was attributable to proceeds from our ATM offering, net of commissions, of $29.7 million, proceeds from the exercise of stock options under equity incentive plans of $1.6 million, and proceeds from issuance of common stock pursuant to employee stock purchase plan of $0.4 million, offset by principal payments on finance leases of $0.8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ended December 31, 2023, net cash provided by financing activities of $59.3 million was attributable to proceeds from equity offerings, net of underwriter discounts and issuance costs, of $58.9 million, proceeds from issuance of common stock pursuant to employee stock purchase plan of $0.5 million, and proceeds from the exercise of stock options under equity incentive plans of $0.3 million, offset by principal payments on finance leases of $0.4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presented, we did not have, nor do we currently have,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financial statements, which have been prepared in accordance with generally accepted accounting principles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are more fully described in the notes to our audited consolidated financial statements elsewhere in this Annual Report on Form 10-K. We believe that the following accounting policy reflects the most critical judgments and estimation uncertainty used in the preparation of our Consolidated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and Contract Manufacturing Accruals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accruals for estimated costs of research, preclinical studies and clinical trials, and manufacturing development, which are a significant component of research and development expenses. A substantial portion of our ongoing research and development activities are conducted by third-party service providers, including CROs and contract manufacturing organizations, or CMOs. Our contracts with CROs generally include pass-through fees such as regulatory expenses, investigator fees, travel costs and other miscellaneous costs, including shipping and printing fees. Similarly, our contracts with CMOs generally include pass-through fees such as raw materials and other miscellaneous costs, including shipping.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but not yet invoiced in accordance with the respective agreements. We determine the estimated costs through discussions with internal personnel and external service providers as to the progress or stage of completion of the services and the agreed-upon fees to be paid for such services. To assist in our estimates, we rely upon the receipt of timely and accurate reporting from our clinical and non-clinical studies and other third-party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judgments and estimates in determining the accrual balance related to our CMOs at the end of each reporting period based on discussion with internal personnel who work directly and meet regularly with the CMOs.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reporting amounts that are too high or too low in any particular period. Through December 31, 2024, there have been no material differences from our accrued estimated expenses to the actual clinical trial and manufacturing development expenses. However, variations in the assumptions used to estimate accruals, including, but not limited to, the number of patients enrolled, the rate of patient enrollment, the actual services performed, and related costs may vary from our estimates, resulting in adjustments to clinical trial expense and manufacturing costs in future periods. Changes in these estimates that result in material changes to our accruals could materially affect our financial position and results of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Significant Accounting Policies” of the Notes to Consolidated Financial Statements in “Item 8. Financial Statements and Supplementary Data” for a full description of recent accounting pronouncements, including the respective expected dates of adoption and estimated effects, if any, on our consolidated financial statements. </w:t>
      </w:r>
    </w:p>
    <w:p>
      <w:pPr>
        <w:pStyle w:val="TextBody"/>
        <w:bidi w:val="0"/>
        <w:spacing w:before="360" w:after="283"/>
        <w:jc w:val="left"/>
        <w:rPr>
          <w:rFonts w:ascii="Times New Roman" w:hAnsi="Times New Roman"/>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These risks primarily include interest rate sensitivities.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cash, cash equivalents and investments of $131.3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borrowings of $10.0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 (FDIC).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continuing to monitor any events involving limited liquidity, defaults, non-performance or other adverse developments that affect financial institutions or other companies in the financial services industry or the financial services industry generally, including Silicon Valley Bank (SVB). In March 2023, SVB, where the Company maintained operating accounts with a cash balance of less than 1% of the Company’s total cash, cash equivalents and investments, was closed by the California Department of Financial Protection and Innovation, which appointed the FDIC to act as receiver. The FDIC created Silicon Valley Bridge Bank, N.A. (SVBB) as successor to SVB. First Citizens BancShares, Inc. (First Citizens Bank) acquired SVBB from the FDIC and assumed all of SVB’s deposits and loans. In light of the foregoing, the Company does not believe that it had exposure to loss as a result of SVB’s receivership.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periods presented, the Company has not experienced any realized losses on its deposits of cash, cash equivalents or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impact on our financial results.</w:t>
      </w:r>
    </w:p>
    <w:p>
      <w:pPr>
        <w:pStyle w:val="TextBody"/>
        <w:bidi w:val="0"/>
        <w:spacing w:before="360" w:after="283"/>
        <w:jc w:val="left"/>
        <w:rPr>
          <w:rFonts w:ascii="Times New Roman" w:hAnsi="Times New Roman"/>
          <w:sz w:val="20"/>
        </w:rPr>
      </w:pPr>
      <w:bookmarkStart w:id="15" w:name="item_8_financial_statements_supplementar"/>
      <w:bookmarkEnd w:id="15"/>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6797" w:type="dxa"/>
        <w:jc w:val="left"/>
        <w:tblInd w:w="0" w:type="dxa"/>
        <w:tblLayout w:type="fixed"/>
        <w:tblCellMar>
          <w:top w:w="28" w:type="dxa"/>
          <w:left w:w="28" w:type="dxa"/>
          <w:bottom w:w="28" w:type="dxa"/>
          <w:right w:w="28" w:type="dxa"/>
        </w:tblCellMar>
      </w:tblPr>
      <w:tblGrid>
        <w:gridCol w:w="6331"/>
        <w:gridCol w:w="466"/>
      </w:tblGrid>
      <w:tr>
        <w:trPr/>
        <w:tc>
          <w:tcPr>
            <w:tcW w:w="63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185)</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r_loss">
              <w:r>
                <w:rPr>
                  <w:rStyle w:val="InternetLink"/>
                  <w:rFonts w:ascii="Times New Roman" w:hAnsi="Times New Roman"/>
                  <w:color w:val="0000FF"/>
                  <w:sz w:val="20"/>
                  <w:u w:val="single"/>
                </w:rPr>
                <w:t>Consolidated Statements of Comprehensive Loss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stockholders">
              <w:r>
                <w:rPr>
                  <w:rStyle w:val="InternetLink"/>
                  <w:rFonts w:ascii="Times New Roman" w:hAnsi="Times New Roman"/>
                  <w:color w:val="0000FF"/>
                  <w:sz w:val="20"/>
                  <w:u w:val="single"/>
                </w:rPr>
                <w:t>Consolidated Statements of Stockholders’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report_independent_registered_public_acc"/>
      <w:bookmarkEnd w:id="1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w:t>
      </w:r>
    </w:p>
    <w:p>
      <w:pPr>
        <w:pStyle w:val="TextBody"/>
        <w:bidi w:val="0"/>
        <w:jc w:val="left"/>
        <w:rPr>
          <w:rFonts w:ascii="Times New Roman" w:hAnsi="Times New Roman"/>
          <w:color w:val="000000"/>
          <w:sz w:val="20"/>
        </w:rPr>
      </w:pPr>
      <w:r>
        <w:rPr>
          <w:rFonts w:ascii="Times New Roman" w:hAnsi="Times New Roman"/>
          <w:color w:val="000000"/>
          <w:sz w:val="20"/>
        </w:rPr>
        <w:t>ALX Oncology Holdings Inc.:</w:t>
      </w:r>
    </w:p>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Opinion on the Consolidated Financial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ALX Oncology Holdings Inc. and subsidiaries (the Company) as of December 31, 2024 and December 31, 2023, the related consolidated statements of operations, comprehensive loss,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December 31, 2023, and the results of its operations and its cash flows for each of the years in the three-year period ended December 31, 2024, in conformity with U.S. generally accepted accounting principles.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Critical Audit Matters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San Francisco, California</w:t>
        <w:br/>
        <w:t>March 6,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r>
        <w:rPr/>
        <w:t> </w:t>
      </w:r>
    </w:p>
    <w:tbl>
      <w:tblPr>
        <w:tblW w:w="9565" w:type="dxa"/>
        <w:jc w:val="left"/>
        <w:tblInd w:w="0" w:type="dxa"/>
        <w:tblLayout w:type="fixed"/>
        <w:tblCellMar>
          <w:top w:w="28" w:type="dxa"/>
          <w:left w:w="28" w:type="dxa"/>
          <w:bottom w:w="28" w:type="dxa"/>
          <w:right w:w="28" w:type="dxa"/>
        </w:tblCellMar>
      </w:tblPr>
      <w:tblGrid>
        <w:gridCol w:w="5976"/>
        <w:gridCol w:w="146"/>
        <w:gridCol w:w="252"/>
        <w:gridCol w:w="1008"/>
        <w:gridCol w:w="166"/>
        <w:gridCol w:w="146"/>
        <w:gridCol w:w="252"/>
        <w:gridCol w:w="1008"/>
        <w:gridCol w:w="611"/>
      </w:tblGrid>
      <w:tr>
        <w:trPr/>
        <w:tc>
          <w:tcPr>
            <w:tcW w:w="5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and accrued liabilities 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$0.001 par value; 1,000,000,000 shares authorized </w:t>
              <w:br/>
              <w:t xml:space="preserve">     as of December 31, 2024 and December 31, 2023; 53,052,912 and </w:t>
              <w:br/>
              <w:t>     49,951,989 shares issued and outstanding as of December 31, 2024</w:t>
              <w:br/>
              <w:t>     and December 31,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consolidated_statements_of_operations"/>
      <w:bookmarkEnd w:id="18"/>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9363" w:type="dxa"/>
        <w:jc w:val="left"/>
        <w:tblInd w:w="0" w:type="dxa"/>
        <w:tblLayout w:type="fixed"/>
        <w:tblCellMar>
          <w:top w:w="28" w:type="dxa"/>
          <w:left w:w="28" w:type="dxa"/>
          <w:bottom w:w="28" w:type="dxa"/>
          <w:right w:w="28" w:type="dxa"/>
        </w:tblCellMar>
      </w:tblPr>
      <w:tblGrid>
        <w:gridCol w:w="4261"/>
        <w:gridCol w:w="146"/>
        <w:gridCol w:w="211"/>
        <w:gridCol w:w="1036"/>
        <w:gridCol w:w="166"/>
        <w:gridCol w:w="146"/>
        <w:gridCol w:w="211"/>
        <w:gridCol w:w="1036"/>
        <w:gridCol w:w="166"/>
        <w:gridCol w:w="146"/>
        <w:gridCol w:w="211"/>
        <w:gridCol w:w="1036"/>
        <w:gridCol w:w="5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used to </w:t>
              <w:br/>
              <w:t>    compute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52,174,904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42,987,767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40,699,612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consolidated_statements_of_compr_loss"/>
      <w:bookmarkEnd w:id="19"/>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9138" w:type="dxa"/>
        <w:jc w:val="left"/>
        <w:tblInd w:w="0" w:type="dxa"/>
        <w:tblLayout w:type="fixed"/>
        <w:tblCellMar>
          <w:top w:w="28" w:type="dxa"/>
          <w:left w:w="28" w:type="dxa"/>
          <w:bottom w:w="28" w:type="dxa"/>
          <w:right w:w="28" w:type="dxa"/>
        </w:tblCellMar>
      </w:tblPr>
      <w:tblGrid>
        <w:gridCol w:w="4821"/>
        <w:gridCol w:w="146"/>
        <w:gridCol w:w="211"/>
        <w:gridCol w:w="841"/>
        <w:gridCol w:w="166"/>
        <w:gridCol w:w="146"/>
        <w:gridCol w:w="211"/>
        <w:gridCol w:w="841"/>
        <w:gridCol w:w="166"/>
        <w:gridCol w:w="146"/>
        <w:gridCol w:w="211"/>
        <w:gridCol w:w="841"/>
        <w:gridCol w:w="39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consolidated_statements_of_stockholders"/>
      <w:bookmarkEnd w:id="20"/>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1"/>
        <w:gridCol w:w="146"/>
        <w:gridCol w:w="146"/>
        <w:gridCol w:w="916"/>
        <w:gridCol w:w="146"/>
        <w:gridCol w:w="146"/>
        <w:gridCol w:w="249"/>
        <w:gridCol w:w="442"/>
        <w:gridCol w:w="146"/>
        <w:gridCol w:w="146"/>
        <w:gridCol w:w="196"/>
        <w:gridCol w:w="691"/>
        <w:gridCol w:w="146"/>
        <w:gridCol w:w="146"/>
        <w:gridCol w:w="337"/>
        <w:gridCol w:w="879"/>
        <w:gridCol w:w="166"/>
        <w:gridCol w:w="146"/>
        <w:gridCol w:w="217"/>
        <w:gridCol w:w="834"/>
        <w:gridCol w:w="166"/>
        <w:gridCol w:w="146"/>
        <w:gridCol w:w="216"/>
        <w:gridCol w:w="832"/>
        <w:gridCol w:w="413"/>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40,587,067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363,049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employee stock</w:t>
              <w:br/>
              <w:t>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23,839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(123,482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40,861,386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263,464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Issuance of common stock and pre-funded warrants in</w:t>
              <w:br/>
              <w:t>   connection with equity offerings, net of underwriter</w:t>
              <w:br/>
              <w:t>   discounts ($3.8</w:t>
            </w:r>
            <w:r>
              <w:rPr>
                <w:rFonts w:ascii="Times New Roman" w:hAnsi="Times New Roman"/>
                <w:color w:val="000000"/>
                <w:sz w:val="20"/>
              </w:rPr>
              <w:t> </w:t>
            </w:r>
            <w:r>
              <w:rPr>
                <w:rFonts w:ascii="Times New Roman" w:hAnsi="Times New Roman"/>
                <w:color w:val="000000"/>
                <w:sz w:val="16"/>
              </w:rPr>
              <w:t>million) and issuance costs ($0.6</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8,663,793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58,887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189,712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Issuance of common stock through ATM offering,</w:t>
              <w:br/>
              <w:t>   net of commissions ($0.8</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29,661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(134,850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53,052,912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113,618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consolidated_statements_of_cash_flows"/>
      <w:bookmarkEnd w:id="21"/>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783"/>
        <w:gridCol w:w="146"/>
        <w:gridCol w:w="196"/>
        <w:gridCol w:w="751"/>
        <w:gridCol w:w="166"/>
        <w:gridCol w:w="146"/>
        <w:gridCol w:w="196"/>
        <w:gridCol w:w="751"/>
        <w:gridCol w:w="166"/>
        <w:gridCol w:w="146"/>
        <w:gridCol w:w="196"/>
        <w:gridCol w:w="751"/>
        <w:gridCol w:w="811"/>
      </w:tblGrid>
      <w:tr>
        <w:trPr/>
        <w:tc>
          <w:tcPr>
            <w:tcW w:w="5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(123,482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accretion of discounts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term loan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disposal of fixed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Payable and accrued liabilities due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(89,223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(376,789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(235,416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Proceeds from equity offerings, net of underwriter discounts ($3.8</w:t>
            </w:r>
            <w:r>
              <w:rPr>
                <w:rFonts w:ascii="Times New Roman" w:hAnsi="Times New Roman"/>
                <w:color w:val="000000"/>
                <w:sz w:val="20"/>
              </w:rPr>
              <w:t> </w:t>
            </w:r>
            <w:r>
              <w:rPr>
                <w:rFonts w:ascii="Times New Roman" w:hAnsi="Times New Roman"/>
                <w:color w:val="000000"/>
                <w:sz w:val="16"/>
              </w:rPr>
              <w:t>million) and issuance costs ($0.6</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Proceeds from ATM offering, net of commissions ($0.8</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stock options under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term loan,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(314,779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363,667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Right-of-use asset acquired under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Right-of-use asset acquired under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48,822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(included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notes_to_consolidated_financial_statemen"/>
      <w:bookmarkEnd w:id="22"/>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is incorporated in Delaware. ALX Oncology Limited, incorporated in Ireland, is a wholly-owned subsidiary of ALX Oncology Holdings Inc. ALX Oncology Inc., incorporated in Delaware, is a wholly-owned subsidiary of ALX Oncology Limited. All the companies, except for ALX Oncology Holdings Inc., are collectively known as the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expects to incur additional losses in the future to conduct product candidate research and development and to conduct pre-commercialization activities and recognizes that the Company will likely be required to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Preparation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consolidated financial statements have been prepared in accordance with accounting principles generally accepted in the United States of America, or U.S. GAAP, and the applicable rules and regulations of the U.S. Securities and Exchange Commission, or SEC.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intercompany balances and transactions have been eliminated in consolidation.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but not limited to, those related to the estimated useful lives of long-lived assets, clinical and contract manufacturing accruals, fair value of assets and liabilities, fair value of investments, and stock-based compensation. The Company evaluates its estimates and assumptions on an ongoing basis based on historical experience and on various other market-specific and relevant assumptions that management believes to be reasonable under the circumstances and adjusts those estimates and assumptions when facts and circumstances change.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funds and U.S. government agency securities that are stated at cost, which approximate fair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consist of money market funds, U.S. Treasury securities, U.S. government agency securities, corporate debt securities, commercial paper and asset-backed securities. The Company’s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 classifications at each balance sheet date. Investments with contractual maturities greater than 12 months are considered long-term investments. Management has elected to use transaction settlement date as the purchase date of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income (expense), net in the consolidated statements of operations, and an allowance for credit loss is recorded on the consolidated balance sheets. In circumstances when the decline in fair value is non-credit related, the difference is reported in accumulated other comprehensive loss, net of tax as a separate component of consolidated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 Credit Losses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a concentration of credit risk consist primarily of cash, cash equivalents, and investments. The primary objectives for the Company’s investment portfolio are the preservation of capital and the maintenance of liquidity. The Company maintains deposits in federally insured financial institutions in excess of federally insured limits. The Company is exposed to credit risk in the event of default by the financial institutions holding its cash, cash equivalents and investments and issuers of investments. The Company manages its credit risk by holding its cash, cash equivalents and investments in large financial institutions within the U.S. In addition, the Company’s investment policy limits investments to certain types of instruments such as money market funds, debt securities issued by the U.S. government and its agencies, corporate debt securities, commercial paper as well as asset-backed securities, and places restrictions on the credit ratings, maturities and concentration by type and issuer. The Company has not experienced any realized losses on its deposits of cash, cash equivalents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Depreciation of property and equipment is provided using the straight-line method over the estimated useful lives of the assets. Leasehold improvements are amortized on a straight-line basis over the shorter of the term of the lease, or the useful life of the assets. Upon sale or retirement of assets, the cost and related accumulated depreciation or amortization are removed from the consolidated balance sheets and the resulting gain or loss is reflected in the consolidated statements of operations. Maintenance and repairs are charged to the consolidated statements of operations as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contains a lease at inception. For arrangements where the Company is the lessee, leases are included in operating or finance lease right-of-use, or ROU, assets; current operating or finance lease liabilities; and non-current operating or finance lease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ROU assets and lease liabilities are recognized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Lease terms may include options to extend or terminate the lease when the Company is reasonably certain that the option will be exercised. Lease expense for operating leases is recognized on a straight-line basis over the lease term. For finance leases, ROU assets are amortized on a straight-line basis over the shorter of the expected useful life or the lease term, and the carrying amount of the lease liability is adjusted to reflect interest, which is recorded in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short-term lease is a lease that, at the commencement date, has a lease term of 12 months or less and does not include an option to purchase the underlying asset that the lessee is reasonably certain to exercise.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long-lived assets for impairment whenever events or changes in circumstances indicate that the carrying amount of an asset or asset group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 Company has not recorded impairment of any long-lived assets.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are determined in accordance with the fair value hierarchy established in ASC 820, Fair Value Measurements and Disclosures.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 such as quoted prices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in which there is little or no market data, which require the reporting entity to develop its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in their entirety based on the lowest level of input that is significant to the fair value measurement.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and 2023, the carrying amount of cash equivalents, prepaid expenses and other current assets, accounts payable and accrued liabilities approximated their estimated fair value due to their relatively short maturities. The carrying amount of our non-current debt approximates fair value based on Level 2 inputs since the debt carries a variable interest rate that is tied to the current SOFR rate plus a spread.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money market funds and U.S. treasury securities as Level 1 within the fair value hierarchy as the fair value is based on quoted prices. The Company classifies its investments in U.S. government agency securities, corporate debt securities, commercial paper, and asset-backed securities as Level 2 within the fair value hierarchy as the fair value is estimated by third-party pricing sources using quoted prices for identical or similar instruments in markets that are not active and industry-standard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issuance costs consist of certain legal, professional accounting and third-party fees directly associated with in-process equity financings. These amounts are capitalized as deferred offering costs until such financings are consummated. After consummation of the equity financing, these costs are recorded in stockholders’ equity as a reduction of additional paid-in capital generated as a result of the equity financing. In the event an anticipated offering is terminated or significantly delayed, deferred offering costs will be immediately expensed as part of general and administrative expenses. As of December 31, 2024 and 2023, no deferred offering costs were included as prepaid expenses and other current assets on the consolidated balance sheets, and all offering costs were offset against offering proceeds and reclassified to additional paid-in capital on the consolidated balance sheets.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are expensed as incurred and consist primarily of salaries and benefits, stock-based compensation expense, lab supplies and facility costs, as well as fees paid to nonemployees and external entities on behalf of the Company, such as consultants, central laboratories, contractors, collaborators, CMOs and CROs, in connection with our preclinical and clinical development activities and expenses incurred in connection with license agreements.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and Contract Manufacturing Accruals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 To assist in its estimates the Company relies upon the receipt of timely and accurate reporting from its clinical and non-clinical studies and other third-party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makes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Through December 31, 2024,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the actual services performed, and related costs may vary from the Company’s estimates, resulting in adjustments to clinical trial expense in future periods.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incurs stock-based compensation expense primarily from stock options, restricted stock units, and ESPP purchase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estimates the fair value of stock options granted to employees, directors and non-employees and ESPP purchase rights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The grant-date fair value of restricted stock units is the fair value of the underlying stock on the award’s grant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awards with only service-based vesting conditions, the Company uses the straight-line method to allocate compensation expense to reporting periods over the requisite service period, which is generally the vesting period. For awards that include performance-based vesting conditions, the Company uses the accelerated attribution method to allocate compensation expense on a tranche-by-tranche basis to reporting periods over the requisite service period if and when it becomes probable that the performance condition will be achieved. At each reporting period, the Company will assess the probability of the performance condition being met for each tranche and, as applicable, recognize the cumulative effect of the change in estimate in the period of the change. The Company accounts for the effect of forfeitures as they occur.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and in assessing performance. The Company’s CODM is its chief executive officer. The Company manages its operations as a single operating segment. All of the Company’s long-lived assets are located in the United States. Refer to “Note 13. Segment Reporting” for further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statements of operations and recorded in other income (expense), net, and were immaterial for the years December 31, 2024, 2023 and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income taxes comprise the impact of temporary differences between assets and liabilities recognized for financial reporting purposes and the amounts recognized for income tax reporting purposes, net operating loss carryforwards, and other tax credits measured by applying currently enacted tax laws. A valuation allowance is provided when necessary to reduce deferred tax assets to an amount that is more likely than not to be realized.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consists of net loss and changes in unrealized gains and losses on investments for all periods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and pre-funded warrants outstanding during the period, without consideration for common stock equivalents. Shares of common stock into which the pre-funded warrants may be exercised are considered outstanding for the purposes of computing net loss per share because the shares may be issued for little or no consideration, are fully vested, and are exercisable after the original issuance date. Diluted net loss per share is the same as basic net loss per share, since the effects of potentially dilutive securities are antidilutive given the net loss for each period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August 2020, the FASB issued ASU 2020-06, </w:t>
      </w:r>
      <w:r>
        <w:rPr>
          <w:rFonts w:ascii="Times New Roman" w:hAnsi="Times New Roman"/>
          <w:i/>
          <w:color w:val="000000"/>
          <w:sz w:val="20"/>
        </w:rPr>
        <w:t>Debt - Debt with Conversion and Other Options (Subtopic 470-20) and Derivatives and Hedging - Contracts in Entity’s Own Equity (Subtopic 815-40)</w:t>
      </w:r>
      <w:r>
        <w:rPr>
          <w:rFonts w:ascii="Times New Roman" w:hAnsi="Times New Roman"/>
          <w:color w:val="000000"/>
          <w:sz w:val="20"/>
        </w:rPr>
        <w:t xml:space="preserve"> (ASU 2020-06). ASU 2020-06 eliminates the beneficial conversion and cash conversion accounting models for convertible instruments. It also amends the accounting for certain contracts in an entity’s own equity that are currently accounted for as derivatives because of specific settlement provisions. The new guidance also modifies how particular convertible instruments and certain contracts that may be settled in cash or shares impact the diluted EPS computation. ASU 2020-06 is effective for annual periods beginning after December 15, 2023, including interim periods within those annual periods. Early adoption is permitted. ASU 2020-06 allows companies to adopt the guidance through either a modified retrospective method of transition or a fully retrospective method of transition. The Company’s adoption of ASU 2020-06 on January 1, 2024 did not have a material impact on its consolidated financial statements and related disclosures.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(ASU 2023-07). The amendments in ASU 2023-07 are intended to improve reportable segment disclosure, primarily through enhanced disclosures about significant segment expenses. ASU 2023-07 is effective for annual periods beginning after December 15, 2023, and interim periods beginning after December 15, 2024. The amendments in this ASU should be applied retrospectively to all prior periods presented in the financial statements. Early adoption is permitted. The Company’s adoption of ASU 2023-07 on January 1, 2024 expanded the level of disaggregation of operating expenses within the notes to financial statements. Refer to “Note 13. Segment Reporting” for disclosure related to the adoption of ASU 2023-07.</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Reporting - Comprehensive Income - Expense Disaggregation Disclosures (Subtopic 220-40): Disaggregation of Income Statement Expenses</w:t>
      </w:r>
      <w:r>
        <w:rPr>
          <w:rFonts w:ascii="Times New Roman" w:hAnsi="Times New Roman"/>
          <w:color w:val="000000"/>
          <w:sz w:val="20"/>
        </w:rPr>
        <w:t xml:space="preserve"> (ASU 2024-03). ASU 2024-03 requires disaggregated disclosure of certain costs and expenses, including purchases of inventory, employee compensation, depreciation and amortization, within relevant income statement captions. ASU 2024-03 is effective for annual periods beginning after December 15, 2026 and interim periods beginning after December 15, 2027. Early adoption is permitted. The guidance is applied on a prospective basis with the option for retrospective application. The Company is evaluating the impact of this guidance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FAIR VALUE OF FINANCIAL INSTRUMENTS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Company’s financial assets that are measured at fair value on a recurring basis by level within the fair value hierarchy as of December 31, 2024 and 2023 (in thousands):</w:t>
      </w:r>
    </w:p>
    <w:tbl>
      <w:tblPr>
        <w:tblW w:w="10205" w:type="dxa"/>
        <w:jc w:val="left"/>
        <w:tblInd w:w="0" w:type="dxa"/>
        <w:tblLayout w:type="fixed"/>
        <w:tblCellMar>
          <w:top w:w="28" w:type="dxa"/>
          <w:left w:w="28" w:type="dxa"/>
          <w:bottom w:w="28" w:type="dxa"/>
          <w:right w:w="28" w:type="dxa"/>
        </w:tblCellMar>
      </w:tblPr>
      <w:tblGrid>
        <w:gridCol w:w="2499"/>
        <w:gridCol w:w="146"/>
        <w:gridCol w:w="1010"/>
        <w:gridCol w:w="146"/>
        <w:gridCol w:w="271"/>
        <w:gridCol w:w="1011"/>
        <w:gridCol w:w="146"/>
        <w:gridCol w:w="146"/>
        <w:gridCol w:w="463"/>
        <w:gridCol w:w="928"/>
        <w:gridCol w:w="146"/>
        <w:gridCol w:w="146"/>
        <w:gridCol w:w="541"/>
        <w:gridCol w:w="889"/>
        <w:gridCol w:w="166"/>
        <w:gridCol w:w="146"/>
        <w:gridCol w:w="214"/>
        <w:gridCol w:w="795"/>
        <w:gridCol w:w="396"/>
      </w:tblGrid>
      <w:tr>
        <w:trPr/>
        <w:tc>
          <w:tcPr>
            <w:tcW w:w="2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3"/>
        <w:gridCol w:w="146"/>
        <w:gridCol w:w="1010"/>
        <w:gridCol w:w="146"/>
        <w:gridCol w:w="270"/>
        <w:gridCol w:w="1008"/>
        <w:gridCol w:w="146"/>
        <w:gridCol w:w="146"/>
        <w:gridCol w:w="461"/>
        <w:gridCol w:w="925"/>
        <w:gridCol w:w="146"/>
        <w:gridCol w:w="146"/>
        <w:gridCol w:w="511"/>
        <w:gridCol w:w="913"/>
        <w:gridCol w:w="166"/>
        <w:gridCol w:w="146"/>
        <w:gridCol w:w="214"/>
        <w:gridCol w:w="795"/>
        <w:gridCol w:w="397"/>
      </w:tblGrid>
      <w:tr>
        <w:trPr/>
        <w:tc>
          <w:tcPr>
            <w:tcW w:w="2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9"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1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15,591</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34,980</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did not have any outstanding financial liabilities to be re-measured on a recurring basis as of December 31, 2024 and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classification included in the consolidated balance sheets was as follows as of December 31, 2024 and 2023 (in thousands):</w:t>
      </w:r>
    </w:p>
    <w:tbl>
      <w:tblPr>
        <w:tblW w:w="5145" w:type="dxa"/>
        <w:jc w:val="left"/>
        <w:tblInd w:w="0" w:type="dxa"/>
        <w:tblLayout w:type="fixed"/>
        <w:tblCellMar>
          <w:top w:w="28" w:type="dxa"/>
          <w:left w:w="28" w:type="dxa"/>
          <w:bottom w:w="28" w:type="dxa"/>
          <w:right w:w="28" w:type="dxa"/>
        </w:tblCellMar>
      </w:tblPr>
      <w:tblGrid>
        <w:gridCol w:w="1996"/>
        <w:gridCol w:w="146"/>
        <w:gridCol w:w="268"/>
        <w:gridCol w:w="992"/>
        <w:gridCol w:w="146"/>
        <w:gridCol w:w="146"/>
        <w:gridCol w:w="268"/>
        <w:gridCol w:w="992"/>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and cash equivalents in the above table excludes bank account cash of $2.1 million and $2.3 million as of December 31, 2024 and 2023,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contractual maturity was as follows as of December 31, 2024 and 2023 (in thousands):</w:t>
      </w:r>
    </w:p>
    <w:tbl>
      <w:tblPr>
        <w:tblW w:w="6690" w:type="dxa"/>
        <w:jc w:val="left"/>
        <w:tblInd w:w="0" w:type="dxa"/>
        <w:tblLayout w:type="fixed"/>
        <w:tblCellMar>
          <w:top w:w="28" w:type="dxa"/>
          <w:left w:w="28" w:type="dxa"/>
          <w:bottom w:w="28" w:type="dxa"/>
          <w:right w:w="28" w:type="dxa"/>
        </w:tblCellMar>
      </w:tblPr>
      <w:tblGrid>
        <w:gridCol w:w="3541"/>
        <w:gridCol w:w="146"/>
        <w:gridCol w:w="268"/>
        <w:gridCol w:w="992"/>
        <w:gridCol w:w="146"/>
        <w:gridCol w:w="146"/>
        <w:gridCol w:w="268"/>
        <w:gridCol w:w="99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of assets or liabilities between the fair value measurement levels during the years ended December 31, 2024 and 2023 and there were no financial instruments classified as Level 3 as of December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and 2023, accrued interest receivable related to the Company’s investments of $0.9 million and $1.0 million, respectively, was included in prepaid expenses and other current assets on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unrealized losses for available-for-sale investments were non-credit related and the Company does not intend to sell the investments that were in an unrealized loss position, nor will it be required to sell those investments before recovery of their amortized costs basis, which may be maturity. As of December 31, 2024 and 2023, no allowance for credit losses for the Company’s investments was recorded. As of December 31, 2024 and 2023, securities with a fair value of zero and $5.9 million, respectively, were in a continuous net unrealized loss position for more than 12 months. As of December 31, 2024 and 2023, the Company has not recognized any impairment losses on available-for-sale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components of prepaid expenses and other current assets as of December 31, 2024 and 2023 (in thousands):</w:t>
      </w:r>
    </w:p>
    <w:p>
      <w:pPr>
        <w:pStyle w:val="TextBody"/>
        <w:bidi w:val="0"/>
        <w:jc w:val="left"/>
        <w:rPr/>
      </w:pPr>
      <w:r>
        <w:rPr/>
        <w:t> </w:t>
      </w:r>
    </w:p>
    <w:tbl>
      <w:tblPr>
        <w:tblW w:w="7480" w:type="dxa"/>
        <w:jc w:val="left"/>
        <w:tblInd w:w="0" w:type="dxa"/>
        <w:tblLayout w:type="fixed"/>
        <w:tblCellMar>
          <w:top w:w="28" w:type="dxa"/>
          <w:left w:w="28" w:type="dxa"/>
          <w:bottom w:w="28" w:type="dxa"/>
          <w:right w:w="28" w:type="dxa"/>
        </w:tblCellMar>
      </w:tblPr>
      <w:tblGrid>
        <w:gridCol w:w="4131"/>
        <w:gridCol w:w="146"/>
        <w:gridCol w:w="339"/>
        <w:gridCol w:w="921"/>
        <w:gridCol w:w="146"/>
        <w:gridCol w:w="146"/>
        <w:gridCol w:w="339"/>
        <w:gridCol w:w="92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components of property and equipment, net as of December 31, 2024 and 2023 (in thousands):</w:t>
      </w:r>
    </w:p>
    <w:p>
      <w:pPr>
        <w:pStyle w:val="TextBody"/>
        <w:bidi w:val="0"/>
        <w:jc w:val="left"/>
        <w:rPr/>
      </w:pPr>
      <w:r>
        <w:rPr/>
        <w:t> </w:t>
      </w:r>
    </w:p>
    <w:tbl>
      <w:tblPr>
        <w:tblW w:w="6170" w:type="dxa"/>
        <w:jc w:val="left"/>
        <w:tblInd w:w="0" w:type="dxa"/>
        <w:tblLayout w:type="fixed"/>
        <w:tblCellMar>
          <w:top w:w="28" w:type="dxa"/>
          <w:left w:w="28" w:type="dxa"/>
          <w:bottom w:w="28" w:type="dxa"/>
          <w:right w:w="28" w:type="dxa"/>
        </w:tblCellMar>
      </w:tblPr>
      <w:tblGrid>
        <w:gridCol w:w="2781"/>
        <w:gridCol w:w="146"/>
        <w:gridCol w:w="314"/>
        <w:gridCol w:w="946"/>
        <w:gridCol w:w="166"/>
        <w:gridCol w:w="146"/>
        <w:gridCol w:w="314"/>
        <w:gridCol w:w="946"/>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was $0.9 million, $0.8 million, and $0.3 million for years ended December 31, 2024, 2023 and 2022,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components of other assets, net as of December 31, 2024 and 2023 (in thousands): </w:t>
      </w:r>
    </w:p>
    <w:p>
      <w:pPr>
        <w:pStyle w:val="TextBody"/>
        <w:bidi w:val="0"/>
        <w:jc w:val="left"/>
        <w:rPr/>
      </w:pPr>
      <w:r>
        <w:rPr/>
        <w:t> </w:t>
      </w:r>
    </w:p>
    <w:tbl>
      <w:tblPr>
        <w:tblW w:w="7370" w:type="dxa"/>
        <w:jc w:val="left"/>
        <w:tblInd w:w="0" w:type="dxa"/>
        <w:tblLayout w:type="fixed"/>
        <w:tblCellMar>
          <w:top w:w="28" w:type="dxa"/>
          <w:left w:w="28" w:type="dxa"/>
          <w:bottom w:w="28" w:type="dxa"/>
          <w:right w:w="28" w:type="dxa"/>
        </w:tblCellMar>
      </w:tblPr>
      <w:tblGrid>
        <w:gridCol w:w="4021"/>
        <w:gridCol w:w="146"/>
        <w:gridCol w:w="339"/>
        <w:gridCol w:w="921"/>
        <w:gridCol w:w="146"/>
        <w:gridCol w:w="146"/>
        <w:gridCol w:w="299"/>
        <w:gridCol w:w="96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contract 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components of accrued expenses and other current liabilities as of December 31, 2024 and 2023 (in thousands):</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4461"/>
        <w:gridCol w:w="146"/>
        <w:gridCol w:w="299"/>
        <w:gridCol w:w="961"/>
        <w:gridCol w:w="146"/>
        <w:gridCol w:w="146"/>
        <w:gridCol w:w="299"/>
        <w:gridCol w:w="96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nonclinical study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2016, the Company entered into a pharmaceutical support services agreement, which included embedded leases that allowed the Company the right to direct the use of certain equipment. The embedded leases commenced in September 2020 and were set to expire in August 2023 with no stated option to extend the term. In May 2023, the Company entered into an addendum to extend the existing lease through May 2026 and lease additional number of certain equipment. In October 2023, the Company entered into an additional addendum to lease an additional number of certain equipment through May 2026. In June 2024, the Company entered into another addendum to extend the existing lease through July 2027 and lease additional number of certain equipment. The Company classified the leases as 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Company entered into a lease agreement for approximately 10,000 square feet of office space located in South San Francisco, California. The lease commenced on June 6, 2021 and expires on August 31, 2026. The lease does not provide an option to extend after it expires. The total lease payments for the life of the lease are approximately $2.0 million. The Company classified the lease as an operating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the Company entered into a lease agreement totaling approximately 11,074 square feet of office and laboratory space located in Palo Alto, California. The lease consists of two premises and expires in February 2030. The lease provides for an option to extend for two years after expiration. The lease for one of the premises commenced in February 2022 and the lease for the second premises commenced in April 2022. The lease provides for an annual base rent of approximately $0.8 million, which increases on an annual basis by 3%. The total lease payments for the life of the lease are approximately $6.9 million. The Company is also responsible for leasehold improvement costs related to the second premises, which totaled to $2.3 million, of which $1.5 million is to be paid with interest at a rate of 7% per annum as additional payments over the life of the lease. The Company classified the lease as an operating lease. Under the terms of the lease agreement, the Company issued a letter of credit to the landlord in the amount of $0.1 million, which is collateralized by a restricted cash deposit of $0.1 million. The restricted cash deposit was included in the other assets on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ROU assets recorded for operating leases and finance leases were $4.0 million and $2.7 million, respectively. As of December 31, 2023, the ROU assets recorded for operating leases and finance leases were $4.8 million and $2.4 million, respectively. The amounts were included in the other assets on the consolidated balance sheets (see “Note 4. Balance Sheet Components—Other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maturities and balance sheet information of the Company’s operating and finance lease liabilities as of December 31, 2024 (in thousands, except lease term and discount rate):</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4111"/>
        <w:gridCol w:w="146"/>
        <w:gridCol w:w="341"/>
        <w:gridCol w:w="1024"/>
        <w:gridCol w:w="271"/>
        <w:gridCol w:w="146"/>
        <w:gridCol w:w="320"/>
        <w:gridCol w:w="865"/>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current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non-current </w:t>
            </w:r>
            <w:r>
              <w:rPr>
                <w:rFonts w:ascii="Times New Roman" w:hAnsi="Times New Roman"/>
                <w:color w:val="000000"/>
                <w:sz w:val="13"/>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Current lease liabilities are presented within accrued expenses and other current liabilities on the consolidated balance sheets.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(ii)</w:t>
      </w:r>
    </w:p>
    <w:p>
      <w:pPr>
        <w:pStyle w:val="TextBody"/>
        <w:bidi w:val="0"/>
        <w:jc w:val="left"/>
        <w:rPr>
          <w:rFonts w:ascii="Times New Roman" w:hAnsi="Times New Roman"/>
          <w:color w:val="000000"/>
          <w:sz w:val="18"/>
        </w:rPr>
      </w:pPr>
      <w:r>
        <w:rPr>
          <w:rFonts w:ascii="Times New Roman" w:hAnsi="Times New Roman"/>
          <w:color w:val="000000"/>
          <w:sz w:val="18"/>
        </w:rPr>
        <w:t>Non-current lease liabilities are presented within other non-current liabilities on the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components of lease costs for the years ended December 31, 2024, 2023, and 2022 (in thousands):</w:t>
      </w:r>
    </w:p>
    <w:p>
      <w:pPr>
        <w:pStyle w:val="TextBody"/>
        <w:bidi w:val="0"/>
        <w:jc w:val="left"/>
        <w:rPr/>
      </w:pPr>
      <w:r>
        <w:rPr/>
        <w:t> </w:t>
      </w:r>
    </w:p>
    <w:tbl>
      <w:tblPr>
        <w:tblW w:w="6578" w:type="dxa"/>
        <w:jc w:val="left"/>
        <w:tblInd w:w="0" w:type="dxa"/>
        <w:tblLayout w:type="fixed"/>
        <w:tblCellMar>
          <w:top w:w="28" w:type="dxa"/>
          <w:left w:w="28" w:type="dxa"/>
          <w:bottom w:w="28" w:type="dxa"/>
          <w:right w:w="28" w:type="dxa"/>
        </w:tblCellMar>
      </w:tblPr>
      <w:tblGrid>
        <w:gridCol w:w="3111"/>
        <w:gridCol w:w="146"/>
        <w:gridCol w:w="211"/>
        <w:gridCol w:w="571"/>
        <w:gridCol w:w="146"/>
        <w:gridCol w:w="146"/>
        <w:gridCol w:w="211"/>
        <w:gridCol w:w="571"/>
        <w:gridCol w:w="146"/>
        <w:gridCol w:w="146"/>
        <w:gridCol w:w="211"/>
        <w:gridCol w:w="571"/>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cost and other, net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w:t>
      </w:r>
    </w:p>
    <w:p>
      <w:pPr>
        <w:pStyle w:val="TextBody"/>
        <w:bidi w:val="0"/>
        <w:jc w:val="left"/>
        <w:rPr>
          <w:rFonts w:ascii="Times New Roman" w:hAnsi="Times New Roman"/>
          <w:color w:val="000000"/>
          <w:sz w:val="18"/>
        </w:rPr>
      </w:pPr>
      <w:r>
        <w:rPr>
          <w:rFonts w:ascii="Times New Roman" w:hAnsi="Times New Roman"/>
          <w:color w:val="000000"/>
          <w:sz w:val="18"/>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supplemental cash flow disclosures for cash paid for the years ended December 31, 2024, 2023, and 2022 (in thousands):</w:t>
      </w:r>
    </w:p>
    <w:p>
      <w:pPr>
        <w:pStyle w:val="TextBody"/>
        <w:bidi w:val="0"/>
        <w:jc w:val="left"/>
        <w:rPr/>
      </w:pPr>
      <w:r>
        <w:rPr/>
        <w:t> </w:t>
      </w:r>
    </w:p>
    <w:tbl>
      <w:tblPr>
        <w:tblW w:w="9333" w:type="dxa"/>
        <w:jc w:val="left"/>
        <w:tblInd w:w="0" w:type="dxa"/>
        <w:tblLayout w:type="fixed"/>
        <w:tblCellMar>
          <w:top w:w="28" w:type="dxa"/>
          <w:left w:w="28" w:type="dxa"/>
          <w:bottom w:w="28" w:type="dxa"/>
          <w:right w:w="28" w:type="dxa"/>
        </w:tblCellMar>
      </w:tblPr>
      <w:tblGrid>
        <w:gridCol w:w="5866"/>
        <w:gridCol w:w="146"/>
        <w:gridCol w:w="211"/>
        <w:gridCol w:w="571"/>
        <w:gridCol w:w="146"/>
        <w:gridCol w:w="146"/>
        <w:gridCol w:w="211"/>
        <w:gridCol w:w="571"/>
        <w:gridCol w:w="146"/>
        <w:gridCol w:w="146"/>
        <w:gridCol w:w="211"/>
        <w:gridCol w:w="57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acquired under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TERM LOAN</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Oxford Finance and Silicon Valley Bank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the Company entered into a loan and security agreement, or the Loan Agreement, with Oxford Finance LLC, Oxford Finance Credit Fund II LP, and Silicon Valley Bank, or Lenders, for a secured term loan facility of up to $100.0 million. Pursuant to the Loan Agreement, the Company drew an initial loan of $10.0 million. Under the original terms of the Loan Agreement, the Company had the right to draw an additional $40.0 million through the end of December 2023. The Loan Agreement provides for an additional $50.0 million over three tranches, with $12.5 million available in each of two tranches based upon the achievement of milestones related to the development of evorpacept and one preclinical product candidate, and $25.0 million at the Lenders’ sole discretion. The proceeds of the loans may be used by the Company for working capital and to fund its general business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Borrowings under the Loan Agreement bear interest at a floating rate per annum equal to the greater of (i) 1-month term Secured Overnight Financing Rate, or SOFR, and (ii) 2.33%, plus 6.25%. The minimum per annum interest rate is 8.58%. Interest on the term loans is payable monthly in arrears. The Company will begin to make principal payments in equal monthly installments beginning on December 1, 2025. However, if either of the milestone related tranche term loans are funded, then the Company will begin to make principal payments in equal monthly installments beginning on December 1, 2026. The term loans mature on October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may be prepaid in full or in part, in increments of $10.0 million, with various prepayment premiums. Upon the earlier prepayment or maturity of any term loan, the Company is required to pay a final payment fee of 6.0% of the original principal amount of such funded term loan. The final payment will be accreted to the final payment amount as interest expense using the effective interest method over the term of the loan through maturity date. The term loans once repaid or prepaid may not be reborrowed. The Company is also obligated to pay other customary fees for a loan facility of this size and type.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are secured by substantially all of the Company’s assets, except the Company’s intellectual property, which is the subject of a negative pledge, and will be guaranteed by the Company’s future subsidiaries, subject to certain limitations. Upon the outstanding balance of the term loans reaching $75.0 million or greater, the Company’s intellectual property will become collateral. The Company and its subsidiary, ALX Oncology Limited, have guaranteed the obligations under the Loan Agreement. The Loan Agreement contains customary affirmative and negative covenants, including covenants limiting the ability of the Company to, among other things, dispose of assets, effect certain mergers, incur debt, grant liens, pay dividends and distributions on its capital stock, make investments and acquisitions, and enter into transactions with affiliates, in each case subject to customary exceptions for a loan facility of this size and type.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customary events of default, which include, but are not limited to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received net proceeds from issuance of the term loan of $9.3 million after deducting debt issuance costs of approximately $0.7 million. Debt issuance costs were recorded as debt discount on the term loan, offsetting term loan, non-current on the consolidated balance sheets. The debt discount will be amortized over the term of the loan as interest expense using the effective interest method. During the years ended December 31, 2024, 2023 and 2022, interest expense incurred in connection with the Loan Agreement was $1.2 million, $1.1 million, and $0.2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As of December 31, 2024, the value of the embedded derivative is not material, but could become material in future periods if an event of default became more probable than is currently estimated. As of December 31, 2024, we were in compliance with all financial reporting covenants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Silicon Valley Bank (SVB) was closed by the California Department of Financial Protection and Innovation, which appointed the Federal Deposit Insurance Corporation, or FDIC, to act as receiver. The FDIC created Silicon Valley Bridge Bank, N.A., or SVBB, as successor to SVB. First Citizens BancShares, Inc., or First Citizens Bank, acquired SVBB from the FDIC and operates SVBB as Silicon Valley Bank, a division of First Citizens Bank, or SVB-First Citizens.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decided not to draw down on any portion of the $40.0 million available under the Loan Agreement by the deadline of June 30, 2024 and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as of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future maturities under the Loan Agreement are as follows (in thousands):</w:t>
      </w:r>
    </w:p>
    <w:p>
      <w:pPr>
        <w:pStyle w:val="TextBody"/>
        <w:bidi w:val="0"/>
        <w:jc w:val="left"/>
        <w:rPr/>
      </w:pPr>
      <w:r>
        <w:rPr/>
        <w:t> </w:t>
      </w:r>
    </w:p>
    <w:tbl>
      <w:tblPr>
        <w:tblW w:w="5278" w:type="dxa"/>
        <w:jc w:val="left"/>
        <w:tblInd w:w="0" w:type="dxa"/>
        <w:tblLayout w:type="fixed"/>
        <w:tblCellMar>
          <w:top w:w="28" w:type="dxa"/>
          <w:left w:w="28" w:type="dxa"/>
          <w:bottom w:w="28" w:type="dxa"/>
          <w:right w:w="28" w:type="dxa"/>
        </w:tblCellMar>
      </w:tblPr>
      <w:tblGrid>
        <w:gridCol w:w="3196"/>
        <w:gridCol w:w="146"/>
        <w:gridCol w:w="409"/>
        <w:gridCol w:w="131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unaccreted final payment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2020, the Company’s amended and restated certificate of incorporation became effective, authorizing 1,000,000,000 shares of common stock, $0.001 par value per share, and 100,000,000 shares of undesignated preferred stock, $0.001 par value per share. As of December 31, 2024 and 2023, the Company had 53,052,912 and 49,951,989 shares of common stock outstanding,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the Company consummated its initial public offering and issued 9,775,000 shares of common stock for net proceeds of approximately $169.5 million, after deducting underwriting discounts and commissions of $13.0 million and offering-related expenses of $3.2 million. Upon the closing of the initial public offering, all shares of convertible preferred stock outstanding and accrued cumulative dividends were automatically converted into 23,934,533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2020, the Company consummated its follow-on public offering and issued 2,737,000 shares of common stock for net proceeds of approximately $194.9 million, after deducting underwriting discounts and commissions of $12.5 million and offering-related expenses of $0.7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completed an underwritten follow-on public offering and issued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reserved for future issuance as of December 31, 2024 consists of the following:</w:t>
      </w:r>
    </w:p>
    <w:p>
      <w:pPr>
        <w:pStyle w:val="TextBody"/>
        <w:bidi w:val="0"/>
        <w:jc w:val="left"/>
        <w:rPr/>
      </w:pPr>
      <w:r>
        <w:rPr/>
        <w:t> </w:t>
      </w:r>
    </w:p>
    <w:tbl>
      <w:tblPr>
        <w:tblW w:w="7727" w:type="dxa"/>
        <w:jc w:val="left"/>
        <w:tblInd w:w="0" w:type="dxa"/>
        <w:tblLayout w:type="fixed"/>
        <w:tblCellMar>
          <w:top w:w="28" w:type="dxa"/>
          <w:left w:w="28" w:type="dxa"/>
          <w:bottom w:w="28" w:type="dxa"/>
          <w:right w:w="28" w:type="dxa"/>
        </w:tblCellMar>
      </w:tblPr>
      <w:tblGrid>
        <w:gridCol w:w="5611"/>
        <w:gridCol w:w="213"/>
        <w:gridCol w:w="1512"/>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10,528,751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898,755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authorized for future issuance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shares authorized for future issuance</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13,401,814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Company entered into a sales agreement with Cantor Fitzgerald &amp; Co. and Credit Suisse Securities (USA) LLC (Sales Agreement), under which it may offer and sell shares of the Company’s common stock, having aggregate gross proceeds of up to $150.0 million, from time to time through them as the Company’s sales agents in its at-the-market equity offering program (ATM Offering). In August 2023, the Company entered into an amendment to the Sales Agreement to include UBS Securities LLC as an additional sales agent and to remove Credit Suisse as a sales agent. As of December 31, 2024, the Company had issued approximately 2,199,542 shares of common stock pursuant to the Sales Agreement for net proceeds of $29.7 million. The Company may terminate this ATM program at any time, pursuant to its terms.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October 2023 underwritten public offering, the Company issued pre-funded warrants to certain investors to purchase 1,250,000 shares of common stock in an underwritten public offering at a public offering price of $6.379 per pre-funded warrant. Each pre-funded warrant entitles the holder to purchase one share of common stock at an exercise price of $0.001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to purchase shares of common stock are exercisable at any time after their original issuance. However, the pre-funded warrants include a separate provision whereby the exercisability of the pre-funded warrants may be limited if, upon exercise, the warrant holder or any of its affiliates would beneficially own more than 9.99% of the Company’s common stock. This threshold is subject to the warrant holder’s rights under the pre-funded warrants to increase or decrease such percentage to any other percentage not in excess of 19.99% upon at least 61 days’ prior notice from the warrant holder to the Company. The pre-funded warrants will expire on the date the warrants are exercised in full.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were classified as equity and accounted for as a component of additional paid-in capital. The pre-funded warrants were classified as equity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Company valued the pre-funded warrants at issuance, concluding that their offering price approximated their fair value, and allocated the aggregate net proceeds from the offering proportionately to the common stock and pre-funded warrants, including approximately $7.4 million allocated to the pre-funded warrants and recorded as a component of additional paid-in capital on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no shares underlying the pre-funded warrants had been exercised. All of the outstanding pre-funded warrants are included in the weighted-average number of shares of common stock used to calculate basic net loss per share attributable to common stockholders (see “Note 11. Net Loss Per Share Attributable to Common Stockholders”).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 2020, the board of directors (the Board) approved a new equity incentive plan, or the 2020 Equity Incentive Plan, that replaced the Company’s existing equity compensation plan, 2015 Share Award Scheme. The 2020 Equity Incentive Plan permitted the issuance of up to 4,379,139 shares of the Company’s common stock pursuant to awards granted under it, and authorized the award of stock options, restricted stock awards, stock appreciation rights and restricted stock units to employees, directors, and consultants.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Amended and Restated 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the Company adopted the Amended and Restated 2020 Equity Incentive Plan, or the 2020 Plan. The 2020 Plan replaced the Company’s 2020 Equity Incentive Plan and a total of 7,874,862 shares were reserved under the 2020 Plan. Unless the Board provides otherwise, beginning on January 1, 2021, the maximum number of shares which shall be made available for issuance under the 2020 Plan will automatically increase on the first day in January of each calendar year (i.e., the first day of our fiscal year) by an amount equal to the least of: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4,000,000</w:t>
      </w:r>
      <w:r>
        <w:rPr>
          <w:color w:val="000000"/>
        </w:rPr>
        <w:t xml:space="preserve"> </w:t>
      </w:r>
      <w:r>
        <w:rPr>
          <w:rFonts w:ascii="Times New Roman" w:hAnsi="Times New Roman"/>
          <w:color w:val="000000"/>
          <w:sz w:val="20"/>
        </w:rPr>
        <w:t>shares;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four</w:t>
      </w:r>
      <w:r>
        <w:rPr>
          <w:color w:val="000000"/>
        </w:rPr>
        <w:t xml:space="preserve"> </w:t>
      </w:r>
      <w:r>
        <w:rPr>
          <w:rFonts w:ascii="Times New Roman" w:hAnsi="Times New Roman"/>
          <w:color w:val="000000"/>
          <w:sz w:val="20"/>
        </w:rPr>
        <w:t xml:space="preserve">percent of the outstanding shares of our common stock on the last day of our immediately preceding fiscal year;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number of shares as our board of directors may determine no later than the last day of our immediately preceding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stock option agreements, including vesting requirements, are determined by the Board, subject to the provisions of the 2020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per share exercise price of the incentive stock options must equal at least the fair market value of a share underlying such options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awards that are canceled, forfeited or expired are returned to the 2020 Plan and are available for grant in conjunction with the issuance of new awards. Stock options granted are exercisable over a maximum term of 10 years from the date of grant and generally vest over an agreed service period, usually four years. Certain stock options granted under the 2020 Plan provide option holders the right to elect to exercise unvested options in exchange for common stock. Such unvested common stock is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2024, there was no such unvested early exercised options and related liability.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Shares Available for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shares available for grant under the 2020 Plan:</w:t>
      </w:r>
    </w:p>
    <w:p>
      <w:pPr>
        <w:pStyle w:val="TextBody"/>
        <w:bidi w:val="0"/>
        <w:jc w:val="left"/>
        <w:rPr/>
      </w:pPr>
      <w:r>
        <w:rPr/>
        <w:t> </w:t>
      </w:r>
    </w:p>
    <w:tbl>
      <w:tblPr>
        <w:tblW w:w="8583" w:type="dxa"/>
        <w:jc w:val="left"/>
        <w:tblInd w:w="0" w:type="dxa"/>
        <w:tblLayout w:type="fixed"/>
        <w:tblCellMar>
          <w:top w:w="28" w:type="dxa"/>
          <w:left w:w="28" w:type="dxa"/>
          <w:bottom w:w="28" w:type="dxa"/>
          <w:right w:w="28" w:type="dxa"/>
        </w:tblCellMar>
      </w:tblPr>
      <w:tblGrid>
        <w:gridCol w:w="3991"/>
        <w:gridCol w:w="146"/>
        <w:gridCol w:w="518"/>
        <w:gridCol w:w="3517"/>
        <w:gridCol w:w="4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Amended and Restated 2020 Equity Incentive Plan</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(5,945,545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3,284,636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642,557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Exchange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 2024, the Company commenced an offer to exchange eligible options held by eligible employees of the Company for new options (the Exchange Offer). The Exchange Offer expired on December 30, 2024. Under the Exchange Offer, the Company accepted for exchange eligible options to purchase an aggregate of 2,693,873 shares of the Company’s common stock, representing 80.3% of the total shares of common stock underlying the eligible options. On December 30, 2024, immediately following the expiration of the Exchange Offer, the exchanged options were canceled and new options to purchase 2,155,095 shares of common stock were granted at an exercise price of $1.66 per share, which was the closing price of the common stock on the Nasdaq Global Select Market on the grant date of the new options. The number of options canceled and subsequently granted in the Exchange Offer was included in the shares available for grant summary table above under canceled/forfeited and granted respectively. The new options are subject to a new vesting schedule, vesting in equal monthly installments following the new option grant date for the longer of (a) 30 months or (b) the number of months remaining in the vesting schedule on the eligible option grant. Each new option has a maximum term of seven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exchange of stock options was treated as a modification for accounting purposes. The incremental expense of $0.6 million for the modified options was calculated using the Black-Scholes option pricing model. The incremental expense and the unamortized expense remaining on the exchanged options as of the modification date are being recognized over the new vesting service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the Board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an offering period, whichever is less. An offering period consists of a six-month purchase period, with a look back feature to our stock price at the commencement of the offering period. Eligible employees can purchase the Company’s common stock at the end of the offering period at 85% of the lower of the closing price of our common stock on The Nasdaq Global Select Market on the first and last day of the offering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initial number of shares of common stock available for issuance under the ESPP was 400,000. Unless the Board provides otherwise, beginning on January 1, 2021, the maximum number of shares which shall be made available for sale under the ESPP will automatically increase on the first day in January of each calendar year (i.e., the first day of our fiscal year) during the term of the ESPP by an amount equal to the least of: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800,000</w:t>
      </w:r>
      <w:r>
        <w:rPr>
          <w:color w:val="000000"/>
        </w:rPr>
        <w:t xml:space="preserve"> </w:t>
      </w:r>
      <w:r>
        <w:rPr>
          <w:rFonts w:ascii="Times New Roman" w:hAnsi="Times New Roman"/>
          <w:color w:val="000000"/>
          <w:sz w:val="20"/>
        </w:rPr>
        <w:t>shares;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one</w:t>
      </w:r>
      <w:r>
        <w:rPr>
          <w:color w:val="000000"/>
        </w:rPr>
        <w:t xml:space="preserve"> </w:t>
      </w:r>
      <w:r>
        <w:rPr>
          <w:rFonts w:ascii="Times New Roman" w:hAnsi="Times New Roman"/>
          <w:color w:val="000000"/>
          <w:sz w:val="20"/>
        </w:rPr>
        <w:t xml:space="preserve">percent of the outstanding shares of our common stock on the last day of our immediately preceding fiscal year;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number of shares as our board of directors may determine no later than the last day of our immediately preceding fiscal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2024 and 2023, the number of shares available under the ESPP was increased by zero. As of December 31, 2024, 230,065 shares of common stock have been purchased under the ESPP, and the number of shares of common stock available for issuance under the ESPP was 974,251.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stock option activity under the 2020 Plan and related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6"/>
        <w:gridCol w:w="146"/>
        <w:gridCol w:w="165"/>
        <w:gridCol w:w="1176"/>
        <w:gridCol w:w="166"/>
        <w:gridCol w:w="146"/>
        <w:gridCol w:w="406"/>
        <w:gridCol w:w="1105"/>
        <w:gridCol w:w="146"/>
        <w:gridCol w:w="146"/>
        <w:gridCol w:w="545"/>
        <w:gridCol w:w="1742"/>
        <w:gridCol w:w="146"/>
        <w:gridCol w:w="146"/>
        <w:gridCol w:w="427"/>
        <w:gridCol w:w="1376"/>
        <w:gridCol w:w="395"/>
      </w:tblGrid>
      <w:tr>
        <w:trPr/>
        <w:tc>
          <w:tcPr>
            <w:tcW w:w="1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 Options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Intrinsic Value (in thousands)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options canceled and subsequently granted in the Exchange Offer was included in the stock option activity table above under canceled/forfeited and granted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values represent the total pre-tax intrinsic value of options outstanding and exercisable calculated as the difference between the exercise price of the options and the fair value of the Company’s common stock as of December 31, 2024 and 2023. The total intrinsic value of options exercised during the years ended December 31, 2024, 2023 and 2022 were $2.6 million, $0.2 million and $1.7 million,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Valuation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Black-Scholes option pricing model to determine the estimated fair value of stock options at the date of the grant, and stock-based compensation is adjusted for actual forfeitures as they occur. The fair value of each option grant during the years ended December 31, 2024, 2023 and 2022 was estimated with the following assumptions:</w:t>
      </w:r>
    </w:p>
    <w:p>
      <w:pPr>
        <w:pStyle w:val="TextBody"/>
        <w:bidi w:val="0"/>
        <w:jc w:val="left"/>
        <w:rPr/>
      </w:pPr>
      <w:r>
        <w:rPr/>
        <w:t> </w:t>
      </w:r>
    </w:p>
    <w:tbl>
      <w:tblPr>
        <w:tblW w:w="7027" w:type="dxa"/>
        <w:jc w:val="left"/>
        <w:tblInd w:w="0" w:type="dxa"/>
        <w:tblLayout w:type="fixed"/>
        <w:tblCellMar>
          <w:top w:w="28" w:type="dxa"/>
          <w:left w:w="28" w:type="dxa"/>
          <w:bottom w:w="28" w:type="dxa"/>
          <w:right w:w="28" w:type="dxa"/>
        </w:tblCellMar>
      </w:tblPr>
      <w:tblGrid>
        <w:gridCol w:w="2626"/>
        <w:gridCol w:w="146"/>
        <w:gridCol w:w="1306"/>
        <w:gridCol w:w="146"/>
        <w:gridCol w:w="1306"/>
        <w:gridCol w:w="146"/>
        <w:gridCol w:w="135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 - 4.4%</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86.5% - 95.1%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83.6% - 88.6%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 - 84.7%</w:t>
            </w:r>
          </w:p>
        </w:tc>
      </w:tr>
    </w:tbl>
    <w:p>
      <w:pPr>
        <w:pStyle w:val="TextBody"/>
        <w:bidi w:val="0"/>
        <w:spacing w:before="200" w:after="283"/>
        <w:jc w:val="left"/>
        <w:rPr>
          <w:rFonts w:ascii="Times New Roman" w:hAnsi="Times New Roman"/>
          <w:sz w:val="20"/>
        </w:rPr>
      </w:pPr>
      <w:r>
        <w:rPr>
          <w:rFonts w:ascii="Times New Roman" w:hAnsi="Times New Roman"/>
          <w:i/>
          <w:color w:val="000000"/>
          <w:sz w:val="20"/>
        </w:rPr>
        <w:t xml:space="preserve">Expected Term. </w:t>
      </w:r>
      <w:r>
        <w:rPr>
          <w:rFonts w:ascii="Times New Roman" w:hAnsi="Times New Roman"/>
          <w:color w:val="000000"/>
          <w:sz w:val="20"/>
        </w:rPr>
        <w:t>The expected term of the options represents the average period the stock options are expected to remain outstanding. As 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 For options granted from the Exchange Offer, the Company used a Monte Carlo simulation to estimate the time it takes for options to return to the money and derived the expected term of options granted from the midpoint between (i) the later of the time it takes to return to the money or the remaining vest term, and (ii) the remaining contractual term.</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Risk-Free Interest Rate. </w:t>
      </w:r>
      <w:r>
        <w:rPr>
          <w:rFonts w:ascii="Times New Roman" w:hAnsi="Times New Roman"/>
          <w:color w:val="000000"/>
          <w:sz w:val="20"/>
        </w:rPr>
        <w:t>The risk-free interest rate is based on the yield of U.S. Treasury notes as of the grant date with terms commensurate with the expected term of the option.</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Dividend Yield. </w:t>
      </w:r>
      <w:r>
        <w:rPr>
          <w:rFonts w:ascii="Times New Roman" w:hAnsi="Times New Roman"/>
          <w:color w:val="000000"/>
          <w:sz w:val="20"/>
        </w:rPr>
        <w:t>The expected dividends assumption is based on the Company’s expectation of not paying dividends in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Volatility. </w:t>
      </w:r>
      <w:r>
        <w:rPr>
          <w:rFonts w:ascii="Times New Roman" w:hAnsi="Times New Roman"/>
          <w:color w:val="000000"/>
          <w:sz w:val="20"/>
        </w:rPr>
        <w:t>Since the Company does not have sufficient trading history for its common stock, the expected volatility is based on a combination of the historical volatilities of the common shares of comparable publicly traded companies as well as the historical volatilities of the Company’s common shares. The Company selected companies with comparable characteristics, including enterprise value, risk profiles, position within the industry, and with historical share price information sufficient to meet the expected life of the Company’s share-based awards. For options granted from the Exchange Offer, the Company used the historical volatilities of the Company’s common shares.</w:t>
      </w:r>
    </w:p>
    <w:p>
      <w:pPr>
        <w:pStyle w:val="TextBody"/>
        <w:bidi w:val="0"/>
        <w:spacing w:before="200" w:after="283"/>
        <w:jc w:val="left"/>
        <w:rPr>
          <w:rFonts w:ascii="Times New Roman" w:hAnsi="Times New Roman"/>
          <w:sz w:val="20"/>
        </w:rPr>
      </w:pPr>
      <w:r>
        <w:rPr>
          <w:rFonts w:ascii="Times New Roman" w:hAnsi="Times New Roman"/>
          <w:i/>
          <w:color w:val="000000"/>
          <w:sz w:val="20"/>
        </w:rPr>
        <w:t>Fair Value</w:t>
      </w:r>
      <w:r>
        <w:rPr>
          <w:rFonts w:ascii="Times New Roman" w:hAnsi="Times New Roman"/>
          <w:color w:val="000000"/>
          <w:sz w:val="20"/>
        </w:rPr>
        <w:t>. Historically, for all periods prior to our initial public offering, the fair value of the shares of common stock underlying our stock option was determined by the Company’s Board. Because there was no public market for the Company’s common stock, the Board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 the Board deemed relevant to such determination. Since the completion of our initial public offering, the fair value of each share of common stock underlying stock option grants is based on the closing price of our common stock on the Nasdaq Global Select Market as reported on the date of grant.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restricted stock unit activity under the 2020 Plan and related information:</w:t>
      </w:r>
    </w:p>
    <w:p>
      <w:pPr>
        <w:pStyle w:val="TextBody"/>
        <w:bidi w:val="0"/>
        <w:jc w:val="left"/>
        <w:rPr/>
      </w:pPr>
      <w:r>
        <w:rPr/>
        <w:t> </w:t>
      </w:r>
    </w:p>
    <w:tbl>
      <w:tblPr>
        <w:tblW w:w="6190" w:type="dxa"/>
        <w:jc w:val="left"/>
        <w:tblInd w:w="0" w:type="dxa"/>
        <w:tblLayout w:type="fixed"/>
        <w:tblCellMar>
          <w:top w:w="28" w:type="dxa"/>
          <w:left w:w="28" w:type="dxa"/>
          <w:bottom w:w="28" w:type="dxa"/>
          <w:right w:w="28" w:type="dxa"/>
        </w:tblCellMar>
      </w:tblPr>
      <w:tblGrid>
        <w:gridCol w:w="2926"/>
        <w:gridCol w:w="146"/>
        <w:gridCol w:w="195"/>
        <w:gridCol w:w="1245"/>
        <w:gridCol w:w="166"/>
        <w:gridCol w:w="146"/>
        <w:gridCol w:w="263"/>
        <w:gridCol w:w="712"/>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 RSUs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fair value of restricted stock units vested during the years ended December 31, 2024, 2023 and 2022 was $2.3 million, $2.8 million and $0.6 million, respectively.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Company determined that the achievement of the performance conditions for each tranche of PSUs was not probable. As a result, no compensation expense has been recognized for these awards as of and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there were 357,500 PSUs outstanding and unvested.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granted are measured based on the grant-date fair value estimated using the Black-Scholes option pricing model. The grant-date fair value of restricted stock units is the fair value of the underlying stock on the award’s grant date. Compensation expense is recognized over the vesting period of the applicable awards on a straight-line basis. The weighted-average grant date fair value per share for stock options granted during the years ended December 31, 2024, 2023 and 2022 was $4.10, $4.44 and $7.88, respectively. The weighted-average grant date fair value per share for restricted stock units granted during the years ended December 31, 2024, 2023 and 2022 was $15.59, $5.86 and $58.56,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includes stock options and restricted stock units and has been reported in the Company’s consolidated statements of operations as follows (in thousands):</w:t>
      </w:r>
    </w:p>
    <w:p>
      <w:pPr>
        <w:pStyle w:val="TextBody"/>
        <w:bidi w:val="0"/>
        <w:jc w:val="left"/>
        <w:rPr/>
      </w:pPr>
      <w:r>
        <w:rPr/>
        <w:t> </w:t>
      </w:r>
    </w:p>
    <w:tbl>
      <w:tblPr>
        <w:tblW w:w="6093"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there was unrecognized share-based compensation expense of $28.7 million, related to unvested stock options which the Company expects to recognize over a weighted-average period of 2.8 years. There was unrecognized share-based compensation expense of $12.4 million, related to unvested restricted stock units which the Company expects to recognize over a weighted-average period of 1.8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domestic and international components of pre-tax loss for the years ending December 31, 2024, 2023 and 2022 are as follows (in thousands):</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2161"/>
        <w:gridCol w:w="146"/>
        <w:gridCol w:w="211"/>
        <w:gridCol w:w="841"/>
        <w:gridCol w:w="166"/>
        <w:gridCol w:w="146"/>
        <w:gridCol w:w="211"/>
        <w:gridCol w:w="841"/>
        <w:gridCol w:w="166"/>
        <w:gridCol w:w="146"/>
        <w:gridCol w:w="211"/>
        <w:gridCol w:w="841"/>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and state provision (benefit) for income taxes consist of the following (in thousands):</w:t>
      </w:r>
    </w:p>
    <w:p>
      <w:pPr>
        <w:pStyle w:val="TextBody"/>
        <w:bidi w:val="0"/>
        <w:jc w:val="left"/>
        <w:rPr/>
      </w:pPr>
      <w:r>
        <w:rPr/>
        <w:t> </w:t>
      </w:r>
    </w:p>
    <w:tbl>
      <w:tblPr>
        <w:tblW w:w="5794" w:type="dxa"/>
        <w:jc w:val="left"/>
        <w:tblInd w:w="0" w:type="dxa"/>
        <w:tblLayout w:type="fixed"/>
        <w:tblCellMar>
          <w:top w:w="28" w:type="dxa"/>
          <w:left w:w="28" w:type="dxa"/>
          <w:bottom w:w="28" w:type="dxa"/>
          <w:right w:w="28" w:type="dxa"/>
        </w:tblCellMar>
      </w:tblPr>
      <w:tblGrid>
        <w:gridCol w:w="3151"/>
        <w:gridCol w:w="146"/>
        <w:gridCol w:w="216"/>
        <w:gridCol w:w="354"/>
        <w:gridCol w:w="149"/>
        <w:gridCol w:w="149"/>
        <w:gridCol w:w="216"/>
        <w:gridCol w:w="354"/>
        <w:gridCol w:w="149"/>
        <w:gridCol w:w="149"/>
        <w:gridCol w:w="216"/>
        <w:gridCol w:w="354"/>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U.S. federal statutory income tax rate to the effective tax for the years ended December 31, 2024, 2023 and 2022 are as follows (in thousands):</w:t>
      </w:r>
    </w:p>
    <w:p>
      <w:pPr>
        <w:pStyle w:val="TextBody"/>
        <w:bidi w:val="0"/>
        <w:jc w:val="left"/>
        <w:rPr/>
      </w:pPr>
      <w:r>
        <w:rPr/>
        <w:t> </w:t>
      </w:r>
    </w:p>
    <w:tbl>
      <w:tblPr>
        <w:tblW w:w="6838" w:type="dxa"/>
        <w:jc w:val="left"/>
        <w:tblInd w:w="0" w:type="dxa"/>
        <w:tblLayout w:type="fixed"/>
        <w:tblCellMar>
          <w:top w:w="28" w:type="dxa"/>
          <w:left w:w="28" w:type="dxa"/>
          <w:bottom w:w="28" w:type="dxa"/>
          <w:right w:w="28" w:type="dxa"/>
        </w:tblCellMar>
      </w:tblPr>
      <w:tblGrid>
        <w:gridCol w:w="3016"/>
        <w:gridCol w:w="146"/>
        <w:gridCol w:w="211"/>
        <w:gridCol w:w="736"/>
        <w:gridCol w:w="166"/>
        <w:gridCol w:w="146"/>
        <w:gridCol w:w="211"/>
        <w:gridCol w:w="736"/>
        <w:gridCol w:w="166"/>
        <w:gridCol w:w="146"/>
        <w:gridCol w:w="211"/>
        <w:gridCol w:w="736"/>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&amp;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benefit of reorganization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filed a change in tax status for ALX Oncology Limited in 2023. The reorganization resulted in an increase to capitalized R&amp;D and other deferred tax assets, as well as a corresponding increase in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components of the Company’s deferred tax assets as of December 31, 2024 and 2023 are as follows (in thousands):</w:t>
      </w:r>
    </w:p>
    <w:p>
      <w:pPr>
        <w:pStyle w:val="TextBody"/>
        <w:bidi w:val="0"/>
        <w:jc w:val="left"/>
        <w:rPr/>
      </w:pPr>
      <w:r>
        <w:rPr/>
        <w:t> </w:t>
      </w:r>
    </w:p>
    <w:tbl>
      <w:tblPr>
        <w:tblW w:w="5134" w:type="dxa"/>
        <w:jc w:val="left"/>
        <w:tblInd w:w="0" w:type="dxa"/>
        <w:tblLayout w:type="fixed"/>
        <w:tblCellMar>
          <w:top w:w="28" w:type="dxa"/>
          <w:left w:w="28" w:type="dxa"/>
          <w:bottom w:w="28" w:type="dxa"/>
          <w:right w:w="28" w:type="dxa"/>
        </w:tblCellMar>
      </w:tblPr>
      <w:tblGrid>
        <w:gridCol w:w="2386"/>
        <w:gridCol w:w="146"/>
        <w:gridCol w:w="211"/>
        <w:gridCol w:w="841"/>
        <w:gridCol w:w="166"/>
        <w:gridCol w:w="146"/>
        <w:gridCol w:w="211"/>
        <w:gridCol w:w="736"/>
        <w:gridCol w:w="2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&amp; other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Capitalized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 The valuation allowance increased by approximately $33.1 million and $64.5 million for the years ended December 31,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Cuts and Jobs Act eliminated the option to deduct research and development expenditures currently and requires taxpayers to capitalize and amortize them pursuant to Internal Revenue Code Section 174 beginning in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operating losses and tax credit carryforwards as of December 31, 2024 are as follows (in thousands):</w:t>
      </w:r>
    </w:p>
    <w:p>
      <w:pPr>
        <w:pStyle w:val="TextBody"/>
        <w:bidi w:val="0"/>
        <w:jc w:val="left"/>
        <w:rPr/>
      </w:pPr>
      <w:r>
        <w:rPr/>
        <w:t> </w:t>
      </w:r>
    </w:p>
    <w:tbl>
      <w:tblPr>
        <w:tblW w:w="7582" w:type="dxa"/>
        <w:jc w:val="left"/>
        <w:tblInd w:w="0" w:type="dxa"/>
        <w:tblLayout w:type="fixed"/>
        <w:tblCellMar>
          <w:top w:w="28" w:type="dxa"/>
          <w:left w:w="28" w:type="dxa"/>
          <w:bottom w:w="28" w:type="dxa"/>
          <w:right w:w="28" w:type="dxa"/>
        </w:tblCellMar>
      </w:tblPr>
      <w:tblGrid>
        <w:gridCol w:w="4531"/>
        <w:gridCol w:w="146"/>
        <w:gridCol w:w="211"/>
        <w:gridCol w:w="781"/>
        <w:gridCol w:w="146"/>
        <w:gridCol w:w="146"/>
        <w:gridCol w:w="162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Years</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(post December 31, 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 Not Expire</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2038-2040</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2039-2044</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Unrecognized Tax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The Company files income tax returns in the U.S. federal and California jurisdiction, which is not currently under exam, and all years since inception are opened to examination.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unrecognized tax benefits as of December 31, 2024, 2023 and 2022 were $4.1 million, $3.1 million and $1.7 million, respectively. Future changes in the unrecognized tax benefits will not impact the effective tax rate due to the Company’s full valuation allowance.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the following activity relating to unrecognized tax benefits (in thousands):</w:t>
      </w:r>
    </w:p>
    <w:p>
      <w:pPr>
        <w:pStyle w:val="TextBody"/>
        <w:bidi w:val="0"/>
        <w:jc w:val="left"/>
        <w:rPr/>
      </w:pPr>
      <w:r>
        <w:rPr/>
        <w:t> </w:t>
      </w:r>
    </w:p>
    <w:tbl>
      <w:tblPr>
        <w:tblW w:w="8233" w:type="dxa"/>
        <w:jc w:val="left"/>
        <w:tblInd w:w="0" w:type="dxa"/>
        <w:tblLayout w:type="fixed"/>
        <w:tblCellMar>
          <w:top w:w="28" w:type="dxa"/>
          <w:left w:w="28" w:type="dxa"/>
          <w:bottom w:w="28" w:type="dxa"/>
          <w:right w:w="28" w:type="dxa"/>
        </w:tblCellMar>
      </w:tblPr>
      <w:tblGrid>
        <w:gridCol w:w="4906"/>
        <w:gridCol w:w="146"/>
        <w:gridCol w:w="211"/>
        <w:gridCol w:w="571"/>
        <w:gridCol w:w="166"/>
        <w:gridCol w:w="146"/>
        <w:gridCol w:w="211"/>
        <w:gridCol w:w="571"/>
        <w:gridCol w:w="166"/>
        <w:gridCol w:w="146"/>
        <w:gridCol w:w="211"/>
        <w:gridCol w:w="571"/>
        <w:gridCol w:w="2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Additions/reversals based on tax positions of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Lapses in statutes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2024, 2023 and 2022, no significant interest or penalties were required to be recognized relating to unrecognized tax benefits.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RELATED-PARTY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Tallac Service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 research and development services agreement, or the Tallac Services Agreement, with Tallac Therapeutics, Inc., or Tallac, effective as of July 1, 2020. The Tallac Services Agreement provides that Tallac will provide certain preclinical research services to the Company for a service fee based on the costs incurred by Tallac plus a mark-up equal to 10.0% of such costs. The Tallac Services Agreement has an initial term of four years and is renewed automatically for additional one year terms thereafter. The Company records the payments for the research and development services as research and development, or R&amp;D, costs within the consolidated statements of operations. For the years ended December 31, 2024, 2023 and 2022, the Company recorded a nominal amount, $0.3 million and $0.6 million, respectively, as R&amp;D costs in relation to the Tallac Services Agreement. The Tallac Services Agreement was terminated on July 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Tallac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4, 2021, the Company entered into a Collaboration Agreement with Tallac, or the Tallac Collaboration Agreement, to jointly develop, manufacture, and commercialize a novel class of cancer immunotherapy.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R&amp;D costs in accordance with ASC 730, Research and Development,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years ended December 31, 2024, 2023 and 2022, the Company recorded $0.8 million, $1.7 million and $7.8 million, respectively, as R&amp;D costs in relation to the Tallac Collaboration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Tallac Collaboration Agreement includes the right to set off clause, as such, the Company records the amount due to or reimbursable from Tallac on a net basis. As of December 31, 2024 and 2023, the Company had accrued expenses of $0.1 million and $0.5 million, respectively, related to the Tallac Collaboration Agreement which was presented within the payable and accrued liabilities due to related party on the consolidated balance sheets.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ScalmiBio 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4, 2021, the Company entered into a stock purchase agreement with ScalmiBio, Inc. or ScalmiBio, with plans to develop new anti-cancer drug candidates based on ScalmiBio’s platform. Under the terms of the stock purchase agreement, 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2024, the Company made its first milestone payment of $1.0 million as a result of selecting a development candidate to the stockholders of ScalmiBio, including 31.7%, or $0.3 million, to the Company’s former Chief Executive Officer and current Chief Scientific Officer and President, and 63.5%, or $0.6 million, to another employee of the Company. This milestone payment was recorded as R&amp;D costs within the consolidated statements of operations (see “Note 12. Commitments and Contingencies—License Agreements”).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attributable to common stockholders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03"/>
        <w:gridCol w:w="146"/>
        <w:gridCol w:w="211"/>
        <w:gridCol w:w="1036"/>
        <w:gridCol w:w="166"/>
        <w:gridCol w:w="146"/>
        <w:gridCol w:w="211"/>
        <w:gridCol w:w="1036"/>
        <w:gridCol w:w="166"/>
        <w:gridCol w:w="146"/>
        <w:gridCol w:w="211"/>
        <w:gridCol w:w="1036"/>
        <w:gridCol w:w="391"/>
      </w:tblGrid>
      <w:tr>
        <w:trPr/>
        <w:tc>
          <w:tcPr>
            <w:tcW w:w="5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52,174,904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42,987,767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40,699,612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Since the Company was in a loss position for all periods presented, basic net loss per share is the same as diluted net loss per share for all periods presented as the inclusion of all potential common stock outstanding would have been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computation of diluted net loss per share for the years ended December 31, 2024, 2023 and 2022, because including them would have been anti-dilutive:</w:t>
      </w:r>
    </w:p>
    <w:p>
      <w:pPr>
        <w:pStyle w:val="TextBody"/>
        <w:bidi w:val="0"/>
        <w:jc w:val="left"/>
        <w:rPr/>
      </w:pPr>
      <w:r>
        <w:rPr/>
        <w:t> </w:t>
      </w:r>
    </w:p>
    <w:tbl>
      <w:tblPr>
        <w:tblW w:w="9153" w:type="dxa"/>
        <w:jc w:val="left"/>
        <w:tblInd w:w="0" w:type="dxa"/>
        <w:tblLayout w:type="fixed"/>
        <w:tblCellMar>
          <w:top w:w="28" w:type="dxa"/>
          <w:left w:w="28" w:type="dxa"/>
          <w:bottom w:w="28" w:type="dxa"/>
          <w:right w:w="28" w:type="dxa"/>
        </w:tblCellMar>
      </w:tblPr>
      <w:tblGrid>
        <w:gridCol w:w="4696"/>
        <w:gridCol w:w="146"/>
        <w:gridCol w:w="146"/>
        <w:gridCol w:w="1036"/>
        <w:gridCol w:w="146"/>
        <w:gridCol w:w="146"/>
        <w:gridCol w:w="146"/>
        <w:gridCol w:w="931"/>
        <w:gridCol w:w="146"/>
        <w:gridCol w:w="146"/>
        <w:gridCol w:w="146"/>
        <w:gridCol w:w="931"/>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6,196,848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estimated shares issuable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11,785,006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7,017,174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2024, 2023 and 2022, the Company had no pending or threatened litigation.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Company paid Stanford a nonrefundable license royalty and reimbursed Stanford for past patent expenses, together totaling less than $0.1 million, and granted Stanford a specified number of shares of common stock of the Company. The Company is required to make milestone payments up to an aggregate of $5.0 million in respect of a specified number of licensed products that successfully satisfy certain clinical and regulatory milestones. The Company recorded the first milestone payment of $0.2 million during the year ended December 31, 2021. There were no milestone payments recorded for the years ended December 31, 2024,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evorpacept, and to make, use and sell licensed product containing such compound in all fields of use.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recorded a milestone payment of $0.1 million during the year ended December 31, 2021. There were no milestone payments recorded for the years ended December 31, 2024,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2017, the Company entered into an agreement with Crystal Bioscience Inc. (now a subsidiary of Ligand Pharmaceuticals Incorporated),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 The Company agreed to pay Crystal milestone payments up to $11.1 million in respect of all licensed products developed under the assigned patents, that successfully satisfy certain clinical and regulatory milestones, each milestone being paid only once for all products. The Company recorded the first milestone payment of $0.3 million during the year ended December 31, 2022. There were no milestone payments recorded for the years ended December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Company entered into a stock purchase agreement with ScalmiBio, Inc. or ScalmiBio, with plans to develop new anti-cancer drug candidates based on ScalmiBio’s platform. Under the terms of the stock purchase agreement, 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 The Company recorded the first milestone payment of $1.0 million during the year ended December 31, 2024. For further details, refer to “Note 10. Related-Party Transactions—ScalmiBio Milestone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entered into a license agreement with WuXi Biologics Ireland, Ltd., or WuXi, under which the Company obtained a worldwide, non-exclusive, non-transferrable, sublicensable license under certain patents, know-how, and other intellectual property, to use WuXi developed cell lines to manufacture, develop, use and sell licensed product containing such compound in all fields of use. The Company agreed to pay WuXi milestone payments up to an aggregate of $3.2 million in respect of all licensed products developed and/or commercialized under the assigned patents that successfully satisfies certain milestone events. The Company recorded the first milestone payment of $0.2 million during the year ended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Contractual Obligations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other contractual obligations and other commitments from manufacturing and service contracts, which are presented as follows as of December 31, 2024 (in thousands):</w:t>
      </w:r>
    </w:p>
    <w:p>
      <w:pPr>
        <w:pStyle w:val="TextBody"/>
        <w:bidi w:val="0"/>
        <w:jc w:val="left"/>
        <w:rPr/>
      </w:pPr>
      <w:r>
        <w:rPr/>
        <w:t> </w:t>
      </w:r>
    </w:p>
    <w:tbl>
      <w:tblPr>
        <w:tblW w:w="9376" w:type="dxa"/>
        <w:jc w:val="left"/>
        <w:tblInd w:w="0" w:type="dxa"/>
        <w:tblLayout w:type="fixed"/>
        <w:tblCellMar>
          <w:top w:w="28" w:type="dxa"/>
          <w:left w:w="28" w:type="dxa"/>
          <w:bottom w:w="28" w:type="dxa"/>
          <w:right w:w="28" w:type="dxa"/>
        </w:tblCellMar>
      </w:tblPr>
      <w:tblGrid>
        <w:gridCol w:w="3076"/>
        <w:gridCol w:w="146"/>
        <w:gridCol w:w="211"/>
        <w:gridCol w:w="571"/>
        <w:gridCol w:w="146"/>
        <w:gridCol w:w="146"/>
        <w:gridCol w:w="211"/>
        <w:gridCol w:w="571"/>
        <w:gridCol w:w="146"/>
        <w:gridCol w:w="146"/>
        <w:gridCol w:w="335"/>
        <w:gridCol w:w="670"/>
        <w:gridCol w:w="146"/>
        <w:gridCol w:w="146"/>
        <w:gridCol w:w="379"/>
        <w:gridCol w:w="626"/>
        <w:gridCol w:w="146"/>
        <w:gridCol w:w="146"/>
        <w:gridCol w:w="386"/>
        <w:gridCol w:w="635"/>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2028-2029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Thereafter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service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$1.1 million. In addition, the Company has commitments with three other pharmaceutical contract manufacturers, including certain future purchase obligations of approximately $1.2 million. These amounts are based on non-cancellable commitments and forecasts that include estimates of future market demand, quantity discounts and manufacturing efficiencies that may impact timing of purchase.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manages its operations as a single operating segment. The Company’s CODM uses consolidated, single-segment financial information for the purposes of assessing performance, making operating decisions, allocating resources, and planning and forecasting for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the Company’s consolidated net loss, including key components of research and development costs and general and administrative costs. These measures are used to monitor budget versus actual results and to evaluate the performance of the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reviews cash, cash equivalents and investments as a measure of segment assets. As of December 31, 2024 and 2023, the Company’s cash, cash equivalents and investments were $131.3 million and $218.1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significant segment expenses for the years ended December 31, 2024, 2023 and 2022 (in thousands):</w:t>
      </w:r>
    </w:p>
    <w:p>
      <w:pPr>
        <w:pStyle w:val="TextBody"/>
        <w:bidi w:val="0"/>
        <w:jc w:val="left"/>
        <w:rPr/>
      </w:pPr>
      <w:r>
        <w:rPr/>
        <w:t> </w:t>
      </w:r>
    </w:p>
    <w:tbl>
      <w:tblPr>
        <w:tblW w:w="8458" w:type="dxa"/>
        <w:jc w:val="left"/>
        <w:tblInd w:w="0" w:type="dxa"/>
        <w:tblLayout w:type="fixed"/>
        <w:tblCellMar>
          <w:top w:w="28" w:type="dxa"/>
          <w:left w:w="28" w:type="dxa"/>
          <w:bottom w:w="28" w:type="dxa"/>
          <w:right w:w="28" w:type="dxa"/>
        </w:tblCellMar>
      </w:tblPr>
      <w:tblGrid>
        <w:gridCol w:w="3941"/>
        <w:gridCol w:w="146"/>
        <w:gridCol w:w="211"/>
        <w:gridCol w:w="841"/>
        <w:gridCol w:w="166"/>
        <w:gridCol w:w="146"/>
        <w:gridCol w:w="211"/>
        <w:gridCol w:w="841"/>
        <w:gridCol w:w="166"/>
        <w:gridCol w:w="146"/>
        <w:gridCol w:w="211"/>
        <w:gridCol w:w="841"/>
        <w:gridCol w:w="591"/>
      </w:tblGrid>
      <w:tr>
        <w:trPr/>
        <w:tc>
          <w:tcPr>
            <w:tcW w:w="3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Appointment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2025, the Board appointed Barbara Klencke, M.D. to serve as a Class II director of the Board for a term expiring at the 2025 annual meeting of stockholders, and Chris Takimoto, M.D., Ph.D., F.A.C.P., to serve as a Class III director of the Board, for a term expiring at the 2026 annual meeting of stockholders. The Board also appointed Dr. Klencke to serve as a member of the Audit Committee and newly constituted Research and Development Committee of the Board, and Dr. Takimoto to serve as a member of the Compensation Committee and Research and Development Committee. In connection with the changes to the Board, the Board increased its size to six directors.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Appointment of Chief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21, 2025, the Board appointed Harish Shantharam to the office of Chief Financial Officer to replace the Company’s Interim Chief Financial Officer. In the role of Chief Financial Officer, Mr. Shantharam will serve as the Company’s principal financial officer. The interim Chief Financial Officer resigned effective as of the same date and will remain the Company’s Senior Vice President, Finance and Chief Accounting Officer and the principal accounting officer.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28, 2025, the Company’s Board of Directors approved a reduction in the Company’s workforce by approximately 30% of the Company’s employees in connection with the Company pipeline prioritization, clinical development and cash preservation strategy. The reduction in workforce is expected to be substantially completed by the end of May 2025. The Company estimates that it will incur expenses of approximately $2.2 million for severance payments and employee benefits in connection with the reduction in force, primarily related to research and preclinical development, with the expenses expected to be recognized in the first quarter of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President and Chief Scientific Officer, or the CSO, position will be eliminated as a result of the reduction in workforce, effective in April 2025. The Company and CSO entered into a severance and change in control agreement dated July 9, 2020 which provides a payment equal to their annual salary and COBRA coverage under the Company’s group health, dental and vision care plans for up to 12 months following the separation date. The CSO also remains eligible to receive certain additional severance and change in control benefits in accordance with the terms of the agreement. To facilitate an orderly transition from his position, the CSO and the Company intend to enter into a consulting agreement in customary form that provides the CSO to perform transition related consulting services for the Company on an as needed, hourly basis for up to one year following their separation date, subject to certain limitations.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December 31, 2024.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and principal financial officers to provide reasonable assurance regarding the reliability of financial reporting and the preparation of our financial statements for external reporting purposes in accordance with U.S.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end of our 2024 fiscal year, management conducted an assessment of the effectiveness of our internal control over financial reporting based on the framework established in the original Internal Control – Integrated Framework issued by the Committee of Sponsoring Organizations of the Treadway Commission (2013 framework) (COSO). Based on this assessment, management has determined that our internal control over financial reporting as of December 31, 2024 was effective.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December 31, 2024 that materially affected, or are reasonably likely to materially affect, our internal control over financial reporting.</w:t>
      </w:r>
    </w:p>
    <w:p>
      <w:pPr>
        <w:pStyle w:val="TextBody"/>
        <w:bidi w:val="0"/>
        <w:spacing w:before="360" w:after="283"/>
        <w:jc w:val="left"/>
        <w:rPr>
          <w:rFonts w:ascii="Times New Roman" w:hAnsi="Times New Roman"/>
          <w:sz w:val="20"/>
        </w:rPr>
      </w:pPr>
      <w:bookmarkStart w:id="25" w:name="item_9b_or_information"/>
      <w:bookmarkEnd w:id="25"/>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our last fiscal quarter, the following director and officer, as defined in Rule 16a-1(f), adopted a “Rule 10b5-1 trading arrangement” as defined in Regulation S-K Item 408,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11, 2024, a Rule 10b5-1 trading arrangement intended to satisfy the affirmative defense of Rule 10b5-1(c), originally adopted on January 11, 2024 by Sophia Randolph, the Company’s former Chief Medical Officer, for the sale of up to 144,000 shares of the Company’s common stock until May 9, 2025, was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15, 2024, a Rule 10b5-1 trading arrangement intended to satisfy the affirmative defense of Rule 10b5-1(c), originally adopted on October 12, 2023 by Rekha Hemrajani, a member of the Company’s Board of Directors, for the sale of up to 50,000 shares of the Company’s common stock until February 11, 2025, was terminated.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other officers or directors, as defined in Rule 16a-1(f), adopted and/or terminated a “Rule 10b5-1 trading arrangement” or a “non-Rule 10b5-1 trading arrangement,” as defined in Regulation S-K Item 408, during the last fiscal quarter.</w:t>
      </w:r>
    </w:p>
    <w:p>
      <w:pPr>
        <w:pStyle w:val="TextBody"/>
        <w:bidi w:val="0"/>
        <w:spacing w:before="360" w:after="283"/>
        <w:jc w:val="left"/>
        <w:rPr>
          <w:rFonts w:ascii="Times New Roman" w:hAnsi="Times New Roman"/>
          <w:sz w:val="20"/>
        </w:rPr>
      </w:pPr>
      <w:bookmarkStart w:id="26" w:name="item_9c_disclosure_regarding_foreign_jur"/>
      <w:bookmarkEnd w:id="26"/>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part_iii"/>
      <w:bookmarkEnd w:id="27"/>
      <w:r>
        <w:rPr>
          <w:rFonts w:ascii="Times New Roman" w:hAnsi="Times New Roman"/>
          <w:b/>
          <w:color w:val="000000"/>
          <w:sz w:val="20"/>
        </w:rPr>
        <w:t>PART III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required by Part III is omitted from this Annual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2024.</w:t>
      </w:r>
    </w:p>
    <w:p>
      <w:pPr>
        <w:pStyle w:val="TextBody"/>
        <w:bidi w:val="0"/>
        <w:spacing w:before="360" w:after="283"/>
        <w:jc w:val="left"/>
        <w:rPr>
          <w:rFonts w:ascii="Times New Roman" w:hAnsi="Times New Roman"/>
          <w:b/>
          <w:color w:val="000000"/>
          <w:sz w:val="20"/>
        </w:rPr>
      </w:pPr>
      <w:bookmarkStart w:id="28" w:name="item_10_directors_executive_ficers_corpo"/>
      <w:bookmarkEnd w:id="28"/>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concerning our directors, executive officers, corporate governance, Section 16 reporting compliance and code of business conduct and ethics is incorporated by reference to the Proxy Statement. </w:t>
      </w:r>
    </w:p>
    <w:p>
      <w:pPr>
        <w:pStyle w:val="TextBody"/>
        <w:bidi w:val="0"/>
        <w:spacing w:before="360" w:after="283"/>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regarding executive compensation is incorporated by reference to the Proxy Statement.</w:t>
      </w:r>
    </w:p>
    <w:p>
      <w:pPr>
        <w:pStyle w:val="TextBody"/>
        <w:bidi w:val="0"/>
        <w:spacing w:before="360" w:after="283"/>
        <w:jc w:val="left"/>
        <w:rPr>
          <w:rFonts w:ascii="Times New Roman" w:hAnsi="Times New Roman"/>
          <w:b/>
          <w:color w:val="000000"/>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regarding security ownership of certain beneficial owners and management and related stockholder matters is incorporated by reference to the Proxy Statement.</w:t>
      </w:r>
    </w:p>
    <w:p>
      <w:pPr>
        <w:pStyle w:val="TextBody"/>
        <w:bidi w:val="0"/>
        <w:spacing w:before="360" w:after="283"/>
        <w:jc w:val="left"/>
        <w:rPr>
          <w:rFonts w:ascii="Times New Roman" w:hAnsi="Times New Roman"/>
          <w:b/>
          <w:color w:val="000000"/>
          <w:sz w:val="20"/>
        </w:rPr>
      </w:pPr>
      <w:bookmarkStart w:id="31" w:name="item_13_certain_relationships_related_tr"/>
      <w:bookmarkEnd w:id="31"/>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regarding certain relationships and related party transactions and director independence is incorporated by reference to the Proxy Statement.</w:t>
      </w:r>
    </w:p>
    <w:p>
      <w:pPr>
        <w:pStyle w:val="TextBody"/>
        <w:bidi w:val="0"/>
        <w:spacing w:before="360" w:after="283"/>
        <w:jc w:val="left"/>
        <w:rPr>
          <w:rFonts w:ascii="Times New Roman" w:hAnsi="Times New Roman"/>
          <w:b/>
          <w:color w:val="000000"/>
          <w:sz w:val="20"/>
        </w:rPr>
      </w:pPr>
      <w:bookmarkStart w:id="32" w:name="item_14_principal_accounting_fees_servic"/>
      <w:bookmarkEnd w:id="32"/>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is KPMG LLP, Auditor Firm ID: 185.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regarding principal accountant fees and services is incorporated by reference to the Proxy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b/>
          <w:color w:val="000000"/>
          <w:sz w:val="20"/>
        </w:rPr>
      </w:pPr>
      <w:bookmarkStart w:id="34" w:name="item_15_exhibits_financial_statement_sch"/>
      <w:bookmarkEnd w:id="34"/>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this Annual Report on Form 10-K: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filed as part of this Annual Report on Form 10-K are listed in the “Index to Financial Statements” under Part II, Item 8 of this Annual Report on Form 10-K.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 have been omitted as the information required is not applicable or the information is presented in the financial statements or related notes included in Part II, Item 8 of this Annual Report on Form 10-K.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below are filed as part of this Annual Report on Form 10-K, or are incorporated herein by reference, in each case as indicated below.</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4196"/>
        <w:gridCol w:w="146"/>
        <w:gridCol w:w="616"/>
        <w:gridCol w:w="146"/>
        <w:gridCol w:w="784"/>
        <w:gridCol w:w="146"/>
        <w:gridCol w:w="796"/>
        <w:gridCol w:w="146"/>
        <w:gridCol w:w="1014"/>
        <w:gridCol w:w="146"/>
        <w:gridCol w:w="1082"/>
      </w:tblGrid>
      <w:tr>
        <w:trPr/>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1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1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2" w:type="dxa"/>
            <w:tcBorders/>
            <w:shd w:fill="FFFFFF" w:val="clear"/>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4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EE"/>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21,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Bylaws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EE"/>
                  <w:sz w:val="20"/>
                  <w:u w:val="single"/>
                </w:rPr>
                <w:t>Amended and Restated Investors’ Rights Agreement among the Registrant and certain of its stockholders, dated April 1, 2020.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EE"/>
                  <w:sz w:val="20"/>
                  <w:u w:val="single"/>
                </w:rPr>
                <w:t>Specimen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Loan and Security Agreement, dated as of October 27, 2022, among Oxford Finance LLC, as collateral agent, the lenders from time to time party thereto, ALX Oncology Inc., Alexo Therapeutics International, and Sirpant Therapeutics, each as a borrower, and ALX Oncology Holdings Inc., as guarantor.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Consent and First Amendment to Loan and Security Agreement, dated as of December 22,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Second Amendment to Loan and Security Agreement, dated as of May 31,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10,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Third Amendment to Loan and Security Agreement, dated as of December 22, 2023, among Oxford Finance LLC, as collateral agent, the lenders party thereto, ALX Oncology Inc., as borrower, and ALX Oncology Holdings Inc., as guarantor.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26,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4098"/>
        <w:gridCol w:w="146"/>
        <w:gridCol w:w="616"/>
        <w:gridCol w:w="146"/>
        <w:gridCol w:w="802"/>
        <w:gridCol w:w="146"/>
        <w:gridCol w:w="796"/>
        <w:gridCol w:w="146"/>
        <w:gridCol w:w="1093"/>
        <w:gridCol w:w="146"/>
        <w:gridCol w:w="1083"/>
      </w:tblGrid>
      <w:tr>
        <w:trPr/>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3" w:type="dxa"/>
            <w:tcBorders/>
            <w:shd w:fill="FFFFFF" w:val="clear"/>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45"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9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0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Sales Agreement, dated December 17, 2021, by and among ALX Oncology Holdings Inc., Cantor Fitzgerald &amp; Co., and Credit Suisse Securities (USA)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17,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Amendment No. 1 to the Sales Agreement with Cantor and Credit Suisse, dated August 25,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13,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EE"/>
                  <w:sz w:val="20"/>
                  <w:u w:val="single"/>
                </w:rPr>
                <w:t>Form of Indemnification Agreement between the Registrant and each of its directors and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EE"/>
                  <w:sz w:val="20"/>
                  <w:u w:val="single"/>
                </w:rPr>
                <w:t>Amended and Restated 2020 Equity Incentive Plan and forms of agreements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EE"/>
                  <w:sz w:val="20"/>
                  <w:u w:val="single"/>
                </w:rPr>
                <w:t>2020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Confirmatory Employment Letter between the Registrant and Jason Lettmann.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6,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Confirmatory Employment Letter between the Registrant and Jaume Pons, Ph.D.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6,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w:anchor="alxo-ex10_8.htm">
              <w:r>
                <w:rPr>
                  <w:rStyle w:val="InternetLink"/>
                  <w:rFonts w:ascii="Times New Roman" w:hAnsi="Times New Roman"/>
                  <w:color w:val="0000FF"/>
                  <w:sz w:val="20"/>
                  <w:u w:val="single"/>
                </w:rPr>
                <w:t>Confirmatory Offer Letter between the Registrant and Harish Shantharam.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EE"/>
                  <w:sz w:val="20"/>
                  <w:u w:val="single"/>
                </w:rPr>
                <w:t>Confirmatory Offer Letter between the Registrant and Peter García.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Confirmatory Offer Letter between the Registrant and Shelly Pinto.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w:anchor="alxo-ex10_11.htm">
              <w:r>
                <w:rPr>
                  <w:rStyle w:val="InternetLink"/>
                  <w:rFonts w:ascii="Times New Roman" w:hAnsi="Times New Roman"/>
                  <w:color w:val="0000FF"/>
                  <w:sz w:val="20"/>
                  <w:u w:val="single"/>
                </w:rPr>
                <w:t>Confirmatory Offer Letter between the Registrant and Alan Sandler, M.D.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EE"/>
                  <w:sz w:val="20"/>
                  <w:u w:val="single"/>
                </w:rPr>
                <w:t>Confirmatory Offer Letter between the Registrant and Sophia Randolph, M.D., Ph.D.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Separation Agreement and Release between the Registrant and Sophia Randolph, M.D., Ph.D.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7,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w:anchor="alxo-ex10_14.htm">
              <w:r>
                <w:rPr>
                  <w:rStyle w:val="InternetLink"/>
                  <w:rFonts w:ascii="Times New Roman" w:hAnsi="Times New Roman"/>
                  <w:color w:val="0000FF"/>
                  <w:sz w:val="20"/>
                  <w:u w:val="single"/>
                </w:rPr>
                <w:t>Separation Agreement and Release between the Registrant and Peter García.</w:t>
              </w:r>
            </w:hyperlink>
            <w:hyperlink w:anchor="alxo-ex10_14.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EE"/>
                  <w:sz w:val="20"/>
                  <w:u w:val="single"/>
                </w:rPr>
                <w:t>Executive Incentive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EE"/>
                  <w:sz w:val="20"/>
                  <w:u w:val="single"/>
                </w:rPr>
                <w:t>Form of Change in Control and Severance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13,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EE"/>
                  <w:sz w:val="20"/>
                  <w:u w:val="single"/>
                </w:rPr>
                <w:t>Exclusive (Equity) Agreement between the Registrant and The Board of Trustees of the Leland Stanford Junior University, effective as of March 24, 2015, as amended on April 24, 2015 and May 15, 2015.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3"/>
        <w:gridCol w:w="146"/>
        <w:gridCol w:w="4299"/>
        <w:gridCol w:w="146"/>
        <w:gridCol w:w="616"/>
        <w:gridCol w:w="146"/>
        <w:gridCol w:w="808"/>
        <w:gridCol w:w="146"/>
        <w:gridCol w:w="796"/>
        <w:gridCol w:w="146"/>
        <w:gridCol w:w="884"/>
        <w:gridCol w:w="146"/>
        <w:gridCol w:w="1083"/>
      </w:tblGrid>
      <w:tr>
        <w:trPr/>
        <w:tc>
          <w:tcPr>
            <w:tcW w:w="8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9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3" w:type="dxa"/>
            <w:tcBorders/>
            <w:shd w:fill="FFFFFF" w:val="clear"/>
            <w:vAlign w:val="center"/>
          </w:tcPr>
          <w:p>
            <w:pPr>
              <w:pStyle w:val="TableContents"/>
              <w:bidi w:val="0"/>
              <w:spacing w:before="0" w:after="283"/>
              <w:jc w:val="left"/>
              <w:rPr>
                <w:sz w:val="4"/>
                <w:szCs w:val="4"/>
              </w:rPr>
            </w:pPr>
            <w:r>
              <w:rPr>
                <w:sz w:val="4"/>
                <w:szCs w:val="4"/>
              </w:rPr>
            </w:r>
          </w:p>
        </w:tc>
      </w:tr>
      <w:tr>
        <w:trPr/>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4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EE"/>
                  <w:sz w:val="20"/>
                  <w:u w:val="single"/>
                </w:rPr>
                <w:t>Research and Development Services Agreement, dated as of June 25, 2020, between the Registrant and Tallac Therapeutics, Inc. (formerly known as Tollnine,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26,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w:anchor="alxo-ex10_19.htm">
              <w:r>
                <w:rPr>
                  <w:rStyle w:val="InternetLink"/>
                  <w:rFonts w:ascii="Times New Roman" w:hAnsi="Times New Roman"/>
                  <w:color w:val="0000FF"/>
                  <w:sz w:val="20"/>
                  <w:u w:val="single"/>
                </w:rPr>
                <w:t>Outside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2025 Inducement Equity Incentive Plan and forms of agreement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17,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w:anchor="alxo-ex19_1.htm">
              <w:r>
                <w:rPr>
                  <w:rStyle w:val="InternetLink"/>
                  <w:rFonts w:ascii="Times New Roman" w:hAnsi="Times New Roman"/>
                  <w:color w:val="0000FF"/>
                  <w:sz w:val="20"/>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w:anchor="alxo-ex21_1.htm">
              <w:r>
                <w:rPr>
                  <w:rStyle w:val="InternetLink"/>
                  <w:rFonts w:ascii="Times New Roman" w:hAnsi="Times New Roman"/>
                  <w:color w:val="0000FF"/>
                  <w:sz w:val="20"/>
                  <w:u w:val="single"/>
                </w:rPr>
                <w:t>List of subsidiaries of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w:anchor="alxo-ex23_1.htm">
              <w:r>
                <w:rPr>
                  <w:rStyle w:val="InternetLink"/>
                  <w:rFonts w:ascii="Times New Roman" w:hAnsi="Times New Roman"/>
                  <w:color w:val="0000EE"/>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EE"/>
                  <w:sz w:val="20"/>
                  <w:u w:val="single"/>
                </w:rPr>
                <w:t>Power of Attorney.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w:anchor="alxo-ex31_1.htm">
              <w:r>
                <w:rPr>
                  <w:rStyle w:val="InternetLink"/>
                  <w:rFonts w:ascii="Times New Roman" w:hAnsi="Times New Roman"/>
                  <w:color w:val="0000E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w:anchor="alxo-ex31_2.htm">
              <w:r>
                <w:rPr>
                  <w:rStyle w:val="InternetLink"/>
                  <w:rFonts w:ascii="Times New Roman" w:hAnsi="Times New Roman"/>
                  <w:color w:val="0000E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w:anchor="alxo-ex32_1.htm">
              <w:r>
                <w:rPr>
                  <w:rStyle w:val="InternetLink"/>
                  <w:rFonts w:ascii="Times New Roman" w:hAnsi="Times New Roman"/>
                  <w:color w:val="0000EE"/>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w:anchor="alxo-ex32_2.htm">
              <w:r>
                <w:rPr>
                  <w:rStyle w:val="InternetLink"/>
                  <w:rFonts w:ascii="Times New Roman" w:hAnsi="Times New Roman"/>
                  <w:color w:val="0000EE"/>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Compensation Recovery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included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Certain confidential information contained in this document, marked by [***], has been omitted pursuant to Item 601(b)(10)(iv) of Regulation S-K because it is both (i) not material and (ii) the type of information that the registrant treats as private or confidential. </w:t>
      </w:r>
    </w:p>
    <w:p>
      <w:pPr>
        <w:pStyle w:val="TextBody"/>
        <w:bidi w:val="0"/>
        <w:jc w:val="left"/>
        <w:rPr>
          <w:rFonts w:ascii="Times New Roman" w:hAnsi="Times New Roman"/>
          <w:color w:val="000000"/>
          <w:sz w:val="20"/>
        </w:rPr>
      </w:pPr>
      <w:r>
        <w:rPr>
          <w:rFonts w:ascii="Times New Roman" w:hAnsi="Times New Roman"/>
          <w:color w:val="000000"/>
          <w:sz w:val="20"/>
        </w:rPr>
        <w:t>^ Certain exhibits and schedules have been omitted in accordance with Item 601(a)(5) of Regulation S-K. The registrant agrees to furnish supplementally a copy of any omitted exhibit or schedule to the SEC upon its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before="360" w:after="283"/>
        <w:jc w:val="left"/>
        <w:rPr>
          <w:rFonts w:ascii="Times New Roman" w:hAnsi="Times New Roman"/>
          <w:sz w:val="20"/>
        </w:rPr>
      </w:pPr>
      <w:bookmarkStart w:id="35" w:name="item_16_form_10k_summary"/>
      <w:bookmarkEnd w:id="35"/>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786"/>
        <w:gridCol w:w="109"/>
        <w:gridCol w:w="406"/>
        <w:gridCol w:w="307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HOLDINGS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bookmarkStart w:id="37" w:name="power_attorney"/>
      <w:bookmarkEnd w:id="37"/>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Jason Lettmann and Harish Shantharam,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in the capacities and on the dates indicated.</w:t>
      </w:r>
    </w:p>
    <w:p>
      <w:pPr>
        <w:pStyle w:val="TextBody"/>
        <w:bidi w:val="0"/>
        <w:jc w:val="left"/>
        <w:rPr/>
      </w:pPr>
      <w:r>
        <w:rPr/>
        <w:t> </w:t>
      </w:r>
    </w:p>
    <w:tbl>
      <w:tblPr>
        <w:tblW w:w="9760" w:type="dxa"/>
        <w:jc w:val="left"/>
        <w:tblInd w:w="0" w:type="dxa"/>
        <w:tblLayout w:type="fixed"/>
        <w:tblCellMar>
          <w:top w:w="28" w:type="dxa"/>
          <w:left w:w="28" w:type="dxa"/>
          <w:bottom w:w="28" w:type="dxa"/>
          <w:right w:w="28" w:type="dxa"/>
        </w:tblCellMar>
      </w:tblPr>
      <w:tblGrid>
        <w:gridCol w:w="3106"/>
        <w:gridCol w:w="146"/>
        <w:gridCol w:w="5026"/>
        <w:gridCol w:w="146"/>
        <w:gridCol w:w="133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Chief Executive Officer and Director</w:t>
              <w:br/>
              <w:t>(</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Chief Financial Officer</w:t>
              <w:br/>
              <w:t>(</w:t>
            </w:r>
            <w:r>
              <w:rPr>
                <w:rFonts w:ascii="Times New Roman" w:hAnsi="Times New Roman"/>
                <w:i/>
                <w:color w:val="000000"/>
                <w:sz w:val="20"/>
              </w:rPr>
              <w:t>Principal Financial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Shelly Pinto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Senior Vice President, Finance and Chief Accounting Officer</w:t>
              <w:br/>
            </w:r>
            <w:r>
              <w:rPr>
                <w:rFonts w:ascii="Times New Roman" w:hAnsi="Times New Roman"/>
                <w:i/>
                <w:color w:val="000000"/>
                <w:sz w:val="20"/>
              </w:rPr>
              <w:t>(Principal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Shelly Pinto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Corey Goodman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Corey Goodman,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Rekha Hemrajani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Rekha Hemrajani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Barbara Klencke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Barbara Klencke,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 Takimoto</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 Takimoto, M.D., Ph.D., FACP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spacing w:before="14" w:after="283"/>
        <w:jc w:val="right"/>
        <w:rPr/>
      </w:pPr>
      <w:bookmarkStart w:id="38" w:name="alxo-ex10_8.htm"/>
      <w:bookmarkStart w:id="39" w:name="ksalxoex10_8"/>
      <w:bookmarkEnd w:id="38"/>
      <w:bookmarkEnd w:id="39"/>
      <w:r>
        <w:rPr/>
        <w:t> </w:t>
      </w:r>
      <w:r>
        <w:br w:type="page"/>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rFonts w:ascii="Times New Roman" w:hAnsi="Times New Roman"/>
          <w:b/>
          <w:color w:val="000000"/>
          <w:sz w:val="20"/>
        </w:rPr>
      </w:pPr>
      <w:r>
        <w:rPr>
          <w:rFonts w:ascii="Times New Roman" w:hAnsi="Times New Roman"/>
          <w:b/>
          <w:color w:val="000000"/>
          <w:sz w:val="20"/>
        </w:rPr>
        <w:t>Exhibit 10.8</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January 17,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Harish Shantharam</w:t>
      </w:r>
      <w:r>
        <w:rPr>
          <w:rFonts w:ascii="Times New Roman" w:hAnsi="Times New Roman"/>
          <w:color w:val="000000"/>
          <w:sz w:val="20"/>
        </w:rPr>
        <w:t xml:space="preserve"> </w:t>
      </w:r>
    </w:p>
    <w:p>
      <w:pPr>
        <w:pStyle w:val="TextBody"/>
        <w:bidi w:val="0"/>
        <w:jc w:val="left"/>
        <w:rPr>
          <w:rFonts w:ascii="Times New Roman" w:hAnsi="Times New Roman"/>
          <w:i/>
          <w:color w:val="000000"/>
          <w:sz w:val="24"/>
        </w:rPr>
      </w:pPr>
      <w:r>
        <w:rPr>
          <w:rFonts w:ascii="Times New Roman" w:hAnsi="Times New Roman"/>
          <w:i/>
          <w:color w:val="000000"/>
          <w:sz w:val="24"/>
        </w:rPr>
        <w:t>Via Email</w:t>
      </w:r>
    </w:p>
    <w:p>
      <w:pPr>
        <w:pStyle w:val="TextBody"/>
        <w:bidi w:val="0"/>
        <w:spacing w:before="5" w:after="283"/>
        <w:jc w:val="left"/>
        <w:rPr/>
      </w:pPr>
      <w:r>
        <w:rPr/>
        <w:t> </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 Offer of Employment</w:t>
      </w:r>
    </w:p>
    <w:p>
      <w:pPr>
        <w:pStyle w:val="TextBody"/>
        <w:bidi w:val="0"/>
        <w:spacing w:before="236" w:after="283"/>
        <w:jc w:val="left"/>
        <w:rPr>
          <w:rFonts w:ascii="Times New Roman" w:hAnsi="Times New Roman"/>
          <w:color w:val="000000"/>
          <w:sz w:val="24"/>
        </w:rPr>
      </w:pPr>
      <w:r>
        <w:rPr>
          <w:rFonts w:ascii="Times New Roman" w:hAnsi="Times New Roman"/>
          <w:color w:val="000000"/>
          <w:sz w:val="24"/>
        </w:rPr>
        <w:t>Dear Harish:</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 am pleased to offer you a position with ALX Oncology Holdings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in accordance with the terms of this Offer of Employment letter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Title; Position; Location</w:t>
      </w:r>
      <w:r>
        <w:rPr>
          <w:rFonts w:ascii="Times New Roman" w:hAnsi="Times New Roman"/>
          <w:color w:val="000000"/>
          <w:sz w:val="24"/>
        </w:rPr>
        <w:t>. If you accept this offer of employment, you will serve as the Company’s Chief Financial Officer (“</w:t>
      </w:r>
      <w:r>
        <w:rPr>
          <w:rFonts w:ascii="Times New Roman" w:hAnsi="Times New Roman"/>
          <w:color w:val="000000"/>
          <w:sz w:val="24"/>
          <w:u w:val="single"/>
        </w:rPr>
        <w:t>CFO</w:t>
      </w:r>
      <w:r>
        <w:rPr>
          <w:color w:val="000000"/>
        </w:rPr>
        <w:t>”</w:t>
      </w:r>
      <w:r>
        <w:rPr>
          <w:rFonts w:ascii="Times New Roman" w:hAnsi="Times New Roman"/>
          <w:color w:val="000000"/>
          <w:sz w:val="24"/>
        </w:rPr>
        <w:t>). In your role as CFO, you will report to the Company’s Chief Executive Officer (“</w:t>
      </w:r>
      <w:r>
        <w:rPr>
          <w:rFonts w:ascii="Times New Roman" w:hAnsi="Times New Roman"/>
          <w:color w:val="000000"/>
          <w:sz w:val="24"/>
          <w:u w:val="single"/>
        </w:rPr>
        <w:t>CEO</w:t>
      </w:r>
      <w:r>
        <w:rPr>
          <w:color w:val="000000"/>
        </w:rPr>
        <w:t>”</w:t>
      </w:r>
      <w:r>
        <w:rPr>
          <w:rFonts w:ascii="Times New Roman" w:hAnsi="Times New Roman"/>
          <w:color w:val="000000"/>
          <w:sz w:val="24"/>
        </w:rPr>
        <w:t>), and will perform the duties and responsibilities customary for such position and such other related duties as are lawfully assigned by the CEO. You will perform your duties from the Company’s corporate offices located in South San Francisco, California, subject to customary travel as reasonably required by the Company and necessary to perform your job duties.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1" w:after="283"/>
        <w:jc w:val="both"/>
        <w:rPr/>
      </w:pPr>
      <w:r>
        <w:rPr>
          <w:rFonts w:ascii="Times New Roman" w:hAnsi="Times New Roman"/>
          <w:color w:val="000000"/>
          <w:sz w:val="24"/>
          <w:u w:val="single"/>
        </w:rPr>
        <w:t>Base Salary</w:t>
      </w:r>
      <w:r>
        <w:rPr>
          <w:rFonts w:ascii="Times New Roman" w:hAnsi="Times New Roman"/>
          <w:color w:val="000000"/>
          <w:sz w:val="24"/>
        </w:rPr>
        <w:t>. Your annual base salary will be $490,000 (“</w:t>
      </w:r>
      <w:r>
        <w:rPr>
          <w:rFonts w:ascii="Times New Roman" w:hAnsi="Times New Roman"/>
          <w:color w:val="000000"/>
          <w:sz w:val="24"/>
          <w:u w:val="single"/>
        </w:rPr>
        <w:t>Salary</w:t>
      </w:r>
      <w:r>
        <w:rPr>
          <w:color w:val="000000"/>
        </w:rPr>
        <w:t>”</w:t>
      </w:r>
      <w:r>
        <w:rPr>
          <w:rFonts w:ascii="Times New Roman" w:hAnsi="Times New Roman"/>
          <w:color w:val="000000"/>
          <w:sz w:val="24"/>
        </w:rPr>
        <w:t>), which will be payable, less any applicable withholdings, in accordance with the Company’s normal payroll practices. Your Salary will be subject to review and adjustment from time to time by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or its Compensation Committee (the “</w:t>
      </w:r>
      <w:r>
        <w:rPr>
          <w:rFonts w:ascii="Times New Roman" w:hAnsi="Times New Roman"/>
          <w:color w:val="000000"/>
          <w:sz w:val="24"/>
          <w:u w:val="single"/>
        </w:rPr>
        <w:t>Committee</w:t>
      </w:r>
      <w:r>
        <w:rPr>
          <w:color w:val="000000"/>
        </w:rPr>
        <w:t>”</w:t>
      </w:r>
      <w:r>
        <w:rPr>
          <w:rFonts w:ascii="Times New Roman" w:hAnsi="Times New Roman"/>
          <w:color w:val="000000"/>
          <w:sz w:val="24"/>
        </w:rPr>
        <w:t>), as applicable, in its sole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Annual Bonus</w:t>
      </w:r>
      <w:r>
        <w:rPr>
          <w:rFonts w:ascii="Times New Roman" w:hAnsi="Times New Roman"/>
          <w:color w:val="000000"/>
          <w:sz w:val="24"/>
        </w:rPr>
        <w:t>. For the Company’s 2025 fiscal year, you will have the opportunity to earn a target annual cash bonus equal to forty percent (40%)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 In addition, the Board or the Committee, as applicable and in its sole discretion, may approve that the Company grant additional discretionary bonus amounts to you.</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Equity Awards</w:t>
      </w:r>
      <w:r>
        <w:rPr>
          <w:rFonts w:ascii="Times New Roman" w:hAnsi="Times New Roman"/>
          <w:color w:val="000000"/>
          <w:sz w:val="24"/>
        </w:rPr>
        <w:t>. It will be recommended that, subject to the approval of the Board or the Committee, as applicable, in its sole discretion, the Company grant you an award of stock options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600,000 shares of the Company’s common stock (“</w:t>
      </w:r>
      <w:r>
        <w:rPr>
          <w:rFonts w:ascii="Times New Roman" w:hAnsi="Times New Roman"/>
          <w:color w:val="000000"/>
          <w:sz w:val="24"/>
          <w:u w:val="single"/>
        </w:rPr>
        <w:t>Shares</w:t>
      </w:r>
      <w:r>
        <w:rPr>
          <w:color w:val="000000"/>
        </w:rPr>
        <w:t>”</w:t>
      </w:r>
      <w:r>
        <w:rPr>
          <w:rFonts w:ascii="Times New Roman" w:hAnsi="Times New Roman"/>
          <w:color w:val="000000"/>
          <w:sz w:val="24"/>
        </w:rPr>
        <w:t xml:space="preserve">) under the Company’s 2025 Inducement Equity Incentive Plan (or other applicable Company equity plan) and applicable non-qualified stock option agreement thereunder, with an exercise price per Share equal to the fair market value per Share on the Option’s date of grant, which date will be the same as your Start Date. The Company will recommend that the Option be scheduled to vest and become exercisable as to one-fourth (1/4th) of the Shares subject to the Option on the one-year anniversary of the vesting commencement date (which shall be the same date as the date the Board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 Committee approves the grant), and as to one forty-eighth (1/48th) of the Shares subject to the Option on a monthly basis thereafter on the same day of the month as the vesting commencement date (or the last day of the month, if a particular month does not have a corresponding day), subject to your continued service with the Company or its subsidiaries through the applicable vesting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Employee Benefits</w:t>
      </w:r>
      <w:r>
        <w:rPr>
          <w:rFonts w:ascii="Times New Roman" w:hAnsi="Times New Roman"/>
          <w:color w:val="000000"/>
          <w:sz w:val="24"/>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Severance</w:t>
      </w:r>
      <w:r>
        <w:rPr>
          <w:rFonts w:ascii="Times New Roman" w:hAnsi="Times New Roman"/>
          <w:color w:val="000000"/>
          <w:sz w:val="24"/>
        </w:rPr>
        <w:t>. You will be eligible to enter into a Change in Control and Severance Agreement (the “</w:t>
      </w:r>
      <w:r>
        <w:rPr>
          <w:rFonts w:ascii="Times New Roman" w:hAnsi="Times New Roman"/>
          <w:color w:val="000000"/>
          <w:sz w:val="24"/>
          <w:u w:val="single"/>
        </w:rPr>
        <w:t>Severance Agreement</w:t>
      </w:r>
      <w:r>
        <w:rPr>
          <w:color w:val="000000"/>
        </w:rPr>
        <w:t>”</w:t>
      </w:r>
      <w:r>
        <w:rPr>
          <w:rFonts w:ascii="Times New Roman" w:hAnsi="Times New Roman"/>
          <w:color w:val="000000"/>
          <w:sz w:val="24"/>
        </w:rPr>
        <w:t xml:space="preserve">) applicable to you based on your position within the Company. The Severance Agreement will specify the severance payments and benefits you may become entitled to receive upon certain qualifying terminations of your employment with the Company including in connection with a change in control of the Company. </w:t>
      </w:r>
    </w:p>
    <w:p>
      <w:pPr>
        <w:pStyle w:val="TextBody"/>
        <w:bidi w:val="0"/>
        <w:jc w:val="both"/>
        <w:rPr/>
      </w:pPr>
      <w:r>
        <w:rPr/>
        <w:t> </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80" w:after="283"/>
        <w:jc w:val="both"/>
        <w:rPr/>
      </w:pPr>
      <w:r>
        <w:rPr>
          <w:rFonts w:ascii="Times New Roman" w:hAnsi="Times New Roman"/>
          <w:color w:val="000000"/>
          <w:sz w:val="24"/>
          <w:u w:val="single"/>
        </w:rPr>
        <w:t>Confidentiality Agreement</w:t>
      </w:r>
      <w:r>
        <w:rPr>
          <w:rFonts w:ascii="Times New Roman" w:hAnsi="Times New Roman"/>
          <w:color w:val="000000"/>
          <w:sz w:val="24"/>
        </w:rPr>
        <w:t>. As an employee of the Company, you will have access to certain confidential information of the Company and you may, during the course of your employment, develop certain information or inventions that will be the property of the Company. To protect the interests of the Company, you agree to sign and comply with the terms of the Company’s Employee Confidentiality, Inventions and Non-Interference Agreement (the “</w:t>
      </w:r>
      <w:r>
        <w:rPr>
          <w:rFonts w:ascii="Times New Roman" w:hAnsi="Times New Roman"/>
          <w:color w:val="000000"/>
          <w:sz w:val="24"/>
          <w:u w:val="single"/>
        </w:rPr>
        <w:t>Confidentiality Agreement</w:t>
      </w:r>
      <w:r>
        <w:rPr>
          <w:color w:val="000000"/>
        </w:rPr>
        <w:t>”</w:t>
      </w:r>
      <w:r>
        <w:rPr>
          <w:rFonts w:ascii="Times New Roman" w:hAnsi="Times New Roman"/>
          <w:color w:val="000000"/>
          <w:sz w:val="24"/>
        </w:rPr>
        <w:t>). Please note that we must receive your signed Confidentiality Agreement before your first day of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At-Will Employment</w:t>
      </w:r>
      <w:r>
        <w:rPr>
          <w:rFonts w:ascii="Times New Roman" w:hAnsi="Times New Roman"/>
          <w:color w:val="000000"/>
          <w:sz w:val="24"/>
        </w:rPr>
        <w:t>. This Agreement does not imply any right to your continued employment for any period with the Company or any parent, subsidiary, or affiliate of the Company. Your employment with the Company constitutes at-will employment,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Protected Activity Not Prohibited</w:t>
      </w:r>
      <w:r>
        <w:rPr>
          <w:rFonts w:ascii="Times New Roman" w:hAnsi="Times New Roman"/>
          <w:color w:val="000000"/>
          <w:sz w:val="24"/>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color w:val="000000"/>
          <w:sz w:val="24"/>
          <w:u w:val="single"/>
        </w:rPr>
        <w:t>Government Agencies</w:t>
      </w:r>
      <w:r>
        <w:rPr>
          <w:color w:val="000000"/>
        </w:rPr>
        <w:t>”</w:t>
      </w:r>
      <w:r>
        <w:rPr>
          <w:rFonts w:ascii="Times New Roman" w:hAnsi="Times New Roman"/>
          <w:color w:val="000000"/>
          <w:sz w:val="24"/>
        </w:rPr>
        <w:t xml:space="preserve">), including disclosing documents or other information as permitted by law, without giving notice to, or receiving authorization from, the Company. Nothing in this Agreement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In addition, nothing in this Agreement </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240" w:after="283"/>
        <w:jc w:val="both"/>
        <w:rPr/>
      </w:pPr>
      <w:r>
        <w:rPr>
          <w:rFonts w:ascii="Times New Roman" w:hAnsi="Times New Roman"/>
          <w:color w:val="000000"/>
          <w:sz w:val="24"/>
        </w:rPr>
        <w:t xml:space="preserve">prevents you from discussing or disclosing information about unlawful acts in the workplace, such as harassment or discrimination or any other conduct that you have reason to believe is unlawful.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hAnsi="Times New Roman"/>
          <w:b/>
          <w:color w:val="000000"/>
          <w:sz w:val="24"/>
          <w:u w:val="single"/>
        </w:rPr>
        <w:t>Appendix A</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1" w:after="283"/>
        <w:jc w:val="both"/>
        <w:rPr/>
      </w:pPr>
      <w:r>
        <w:rPr>
          <w:rFonts w:ascii="Times New Roman" w:hAnsi="Times New Roman"/>
          <w:color w:val="000000"/>
          <w:sz w:val="24"/>
          <w:u w:val="single"/>
        </w:rPr>
        <w:t>Additional Employment Provisions</w:t>
      </w:r>
      <w:r>
        <w:rPr>
          <w:rFonts w:ascii="Times New Roman" w:hAnsi="Times New Roman"/>
          <w:color w:val="000000"/>
          <w:sz w:val="24"/>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You will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Board or the Committee, as applicable.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You agree not to bring any third-party confidential information to the Company, including that of any of your former employers,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Company’s rules of conduct which are included in the Company Handbook.</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241" w:after="283"/>
        <w:jc w:val="both"/>
        <w:rPr>
          <w:rFonts w:ascii="Times New Roman" w:hAnsi="Times New Roman"/>
          <w:sz w:val="20"/>
        </w:rPr>
      </w:pPr>
      <w:r>
        <w:rPr>
          <w:rFonts w:ascii="Times New Roman" w:hAnsi="Times New Roman"/>
          <w:color w:val="000000"/>
          <w:sz w:val="24"/>
        </w:rPr>
        <w:t>This Agreement and its terms are intended to be exempt from, or otherwise comply with, the requirements of Section 409A of the Internal Revenue Code of 1986, as amended, and the Treasury Regulations and any formal guidance promulgated thereunder (“</w:t>
      </w:r>
      <w:r>
        <w:rPr>
          <w:rFonts w:ascii="Times New Roman" w:hAnsi="Times New Roman"/>
          <w:color w:val="000000"/>
          <w:sz w:val="24"/>
          <w:u w:val="single"/>
        </w:rPr>
        <w:t>Section 409A</w:t>
      </w:r>
      <w:r>
        <w:rPr>
          <w:rFonts w:ascii="Times New Roman" w:hAnsi="Times New Roman"/>
          <w:color w:val="000000"/>
          <w:sz w:val="20"/>
        </w:rPr>
        <w:t>”</w:t>
      </w:r>
      <w:r>
        <w:rPr>
          <w:rFonts w:ascii="Times New Roman" w:hAnsi="Times New Roman"/>
          <w:color w:val="000000"/>
          <w:sz w:val="24"/>
        </w:rPr>
        <w:t>), so that none of the payments and benefits to be provided hereunder will be subject to the additional tax imposed by Section 409A, and any ambiguities or ambiguous terms herein will be interpreted to so be exempt or comply.</w:t>
      </w:r>
    </w:p>
    <w:p>
      <w:pPr>
        <w:pStyle w:val="TextBody"/>
        <w:bidi w:val="0"/>
        <w:spacing w:before="241" w:after="283"/>
        <w:jc w:val="both"/>
        <w:rPr>
          <w:rFonts w:ascii="Times New Roman" w:hAnsi="Times New Roman"/>
          <w:sz w:val="20"/>
        </w:rPr>
      </w:pPr>
      <w:r>
        <w:rPr>
          <w:rFonts w:ascii="Times New Roman" w:hAnsi="Times New Roman"/>
          <w:color w:val="000000"/>
          <w:sz w:val="24"/>
        </w:rPr>
        <w:t>To accept the Company’s offer, please sign and date in the spaces indicated below and return this Agreement to me. A duplicate original is enclosed for your records. If you accept our offer, your first day of employment will be January 21, 2025, or such other date as you and the Company mutually agree in writing (the “</w:t>
      </w:r>
      <w:r>
        <w:rPr>
          <w:rFonts w:ascii="Times New Roman" w:hAnsi="Times New Roman"/>
          <w:color w:val="000000"/>
          <w:sz w:val="24"/>
          <w:u w:val="single"/>
        </w:rPr>
        <w:t>Start Date</w:t>
      </w:r>
      <w:r>
        <w:rPr>
          <w:rFonts w:ascii="Times New Roman" w:hAnsi="Times New Roman"/>
          <w:color w:val="000000"/>
          <w:sz w:val="20"/>
        </w:rPr>
        <w:t>”</w:t>
      </w:r>
      <w:r>
        <w:rPr>
          <w:rFonts w:ascii="Times New Roman" w:hAnsi="Times New Roman"/>
          <w:color w:val="000000"/>
          <w:sz w:val="24"/>
        </w:rPr>
        <w:t>). This Agreement, along with the Confidentiality Agreement and Severance Agreement, set forth the terms of your employment with the Company and supersede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a written agreement signed by a duly authorized officer of the Company (excluding yourself). This Agreement will be governed by the laws of the State of California but without regard to the conflict of law provision. This offer of employment will terminate if it is not accepted, signed and returned by January 17, 2025.</w:t>
      </w:r>
    </w:p>
    <w:p>
      <w:pPr>
        <w:pStyle w:val="TextBody"/>
        <w:bidi w:val="0"/>
        <w:spacing w:before="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look forward to your favorable reply and to working with you at ALX Oncology.</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rFonts w:ascii="Times New Roman" w:hAnsi="Times New Roman"/>
          <w:b/>
          <w:color w:val="000000"/>
          <w:sz w:val="20"/>
        </w:rPr>
      </w:pPr>
      <w:r>
        <w:rPr>
          <w:rFonts w:ascii="Times New Roman" w:hAnsi="Times New Roman"/>
          <w:b/>
          <w:color w:val="000000"/>
          <w:sz w:val="20"/>
        </w:rPr>
        <w:t>Exhibit 10.8</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Sincerely,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ALX Oncology Holdings Inc.</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Jason Lettmann </w:t>
      </w:r>
    </w:p>
    <w:p>
      <w:pPr>
        <w:pStyle w:val="TextBody"/>
        <w:bidi w:val="0"/>
        <w:jc w:val="left"/>
        <w:rPr>
          <w:rFonts w:ascii="Times New Roman" w:hAnsi="Times New Roman"/>
          <w:color w:val="000000"/>
          <w:sz w:val="24"/>
        </w:rPr>
      </w:pPr>
      <w:r>
        <w:rPr>
          <w:rFonts w:ascii="Times New Roman" w:hAnsi="Times New Roman"/>
          <w:color w:val="000000"/>
          <w:sz w:val="24"/>
        </w:rPr>
        <w:t>Jason Lettmann</w:t>
      </w:r>
    </w:p>
    <w:p>
      <w:pPr>
        <w:pStyle w:val="TextBody"/>
        <w:bidi w:val="0"/>
        <w:jc w:val="left"/>
        <w:rPr>
          <w:rFonts w:ascii="Times New Roman" w:hAnsi="Times New Roman"/>
          <w:color w:val="000000"/>
          <w:sz w:val="24"/>
        </w:rPr>
      </w:pPr>
      <w:r>
        <w:rPr>
          <w:rFonts w:ascii="Times New Roman" w:hAnsi="Times New Roman"/>
          <w:color w:val="000000"/>
          <w:sz w:val="24"/>
        </w:rPr>
        <w:t>Chief Executive Officer</w:t>
      </w:r>
    </w:p>
    <w:p>
      <w:pPr>
        <w:pStyle w:val="TextBody"/>
        <w:bidi w:val="0"/>
        <w:jc w:val="left"/>
        <w:rPr/>
      </w:pPr>
      <w:r>
        <w:rPr/>
        <w:t> </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Agreed to and accepted:</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Harish Shantharam </w:t>
      </w:r>
    </w:p>
    <w:p>
      <w:pPr>
        <w:pStyle w:val="TextBody"/>
        <w:bidi w:val="0"/>
        <w:jc w:val="left"/>
        <w:rPr>
          <w:rFonts w:ascii="Times New Roman" w:hAnsi="Times New Roman"/>
          <w:sz w:val="20"/>
        </w:rPr>
      </w:pPr>
      <w:r>
        <w:rPr>
          <w:rFonts w:ascii="Times New Roman" w:hAnsi="Times New Roman"/>
          <w:color w:val="000000"/>
          <w:sz w:val="24"/>
        </w:rPr>
        <w:t>Harish Shantharam</w:t>
      </w:r>
      <w:r>
        <w:rPr>
          <w:rFonts w:ascii="Times New Roman" w:hAnsi="Times New Roman"/>
          <w:color w:val="000000"/>
          <w:sz w:val="20"/>
        </w:rPr>
        <w:t xml:space="preserve"> </w:t>
      </w:r>
    </w:p>
    <w:p>
      <w:pPr>
        <w:pStyle w:val="TextBody"/>
        <w:bidi w:val="0"/>
        <w:spacing w:before="165" w:after="283"/>
        <w:jc w:val="left"/>
        <w:rPr>
          <w:rFonts w:ascii="Times New Roman" w:hAnsi="Times New Roman"/>
          <w:color w:val="000000"/>
          <w:sz w:val="24"/>
        </w:rPr>
      </w:pPr>
      <w:r>
        <w:rPr>
          <w:rFonts w:ascii="Times New Roman" w:hAnsi="Times New Roman"/>
          <w:color w:val="000000"/>
          <w:sz w:val="24"/>
        </w:rPr>
        <w:t>Dated: January 17,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Enclosures</w:t>
      </w:r>
    </w:p>
    <w:p>
      <w:pPr>
        <w:pStyle w:val="TextBody"/>
        <w:bidi w:val="0"/>
        <w:spacing w:before="4" w:after="283"/>
        <w:jc w:val="left"/>
        <w:rPr>
          <w:color w:val="000000"/>
        </w:rPr>
      </w:pPr>
      <w:r>
        <w:rPr>
          <w:color w:val="000000"/>
        </w:rPr>
        <w:t>•</w:t>
      </w:r>
    </w:p>
    <w:p>
      <w:pPr>
        <w:pStyle w:val="TextBody"/>
        <w:bidi w:val="0"/>
        <w:spacing w:before="4" w:after="283"/>
        <w:jc w:val="left"/>
        <w:rPr>
          <w:rFonts w:ascii="Times New Roman" w:hAnsi="Times New Roman"/>
          <w:color w:val="000000"/>
          <w:sz w:val="24"/>
        </w:rPr>
      </w:pPr>
      <w:r>
        <w:rPr>
          <w:rFonts w:ascii="Times New Roman" w:hAnsi="Times New Roman"/>
          <w:color w:val="000000"/>
          <w:sz w:val="24"/>
        </w:rPr>
        <w:t>Duplicate Original Letter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Employee Confidentiality, Inventions and Non-Interference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14" w:after="283"/>
        <w:jc w:val="right"/>
        <w:rPr/>
      </w:pPr>
      <w:r>
        <w:rPr/>
        <w:t> </w:t>
      </w:r>
    </w:p>
    <w:p>
      <w:pPr>
        <w:pStyle w:val="TextBody"/>
        <w:bidi w:val="0"/>
        <w:spacing w:before="84" w:after="283"/>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240"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Section 7 of the Defend Trade Secrets Act of 2016</w:t>
      </w:r>
    </w:p>
    <w:p>
      <w:pPr>
        <w:pStyle w:val="TextBody"/>
        <w:bidi w:val="0"/>
        <w:spacing w:before="235" w:after="283"/>
        <w:jc w:val="left"/>
        <w:rPr/>
      </w:pPr>
      <w:r>
        <w:rPr/>
        <w:t> </w:t>
      </w:r>
    </w:p>
    <w:p>
      <w:pPr>
        <w:pStyle w:val="TextBody"/>
        <w:bidi w:val="0"/>
        <w:spacing w:before="1" w:after="283"/>
        <w:jc w:val="both"/>
        <w:rPr>
          <w:color w:val="000000"/>
        </w:rPr>
      </w:pPr>
      <w:r>
        <w:rPr>
          <w:color w:val="000000"/>
        </w:rPr>
        <w:t xml:space="preserve">“ </w:t>
      </w:r>
      <w:r>
        <w:rPr>
          <w:rFonts w:ascii="Times New Roman" w:hAnsi="Times New Roman"/>
          <w:color w:val="000000"/>
          <w:sz w:val="24"/>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360" w:after="283"/>
        <w:jc w:val="right"/>
        <w:rPr>
          <w:rFonts w:ascii="Times New Roman" w:hAnsi="Times New Roman"/>
          <w:b/>
          <w:color w:val="000000"/>
          <w:sz w:val="20"/>
        </w:rPr>
      </w:pPr>
      <w:bookmarkStart w:id="40" w:name="alxo-ex10_11.htm"/>
      <w:bookmarkStart w:id="41" w:name="ksalxoex10_11"/>
      <w:bookmarkEnd w:id="40"/>
      <w:bookmarkEnd w:id="41"/>
      <w:r>
        <w:rPr>
          <w:rFonts w:ascii="Times New Roman" w:hAnsi="Times New Roman"/>
          <w:b/>
          <w:color w:val="000000"/>
          <w:sz w:val="20"/>
        </w:rPr>
        <w:t>Exhibit 10.11</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October 11, 2024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Alan Sandler, M.D.</w:t>
      </w:r>
    </w:p>
    <w:p>
      <w:pPr>
        <w:pStyle w:val="TextBody"/>
        <w:bidi w:val="0"/>
        <w:jc w:val="left"/>
        <w:rPr>
          <w:rFonts w:ascii="Times New Roman" w:hAnsi="Times New Roman"/>
          <w:i/>
          <w:color w:val="000000"/>
          <w:sz w:val="24"/>
        </w:rPr>
      </w:pPr>
      <w:r>
        <w:rPr>
          <w:rFonts w:ascii="Times New Roman" w:hAnsi="Times New Roman"/>
          <w:i/>
          <w:color w:val="000000"/>
          <w:sz w:val="24"/>
        </w:rPr>
        <w:t>Via Email</w:t>
      </w:r>
    </w:p>
    <w:p>
      <w:pPr>
        <w:pStyle w:val="TextBody"/>
        <w:bidi w:val="0"/>
        <w:jc w:val="left"/>
        <w:rPr/>
      </w:pPr>
      <w:r>
        <w:rPr/>
        <w:t> </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 Offer of Employment</w:t>
      </w:r>
    </w:p>
    <w:p>
      <w:pPr>
        <w:pStyle w:val="TextBody"/>
        <w:bidi w:val="0"/>
        <w:spacing w:before="236" w:after="283"/>
        <w:jc w:val="left"/>
        <w:rPr>
          <w:rFonts w:ascii="Times New Roman" w:hAnsi="Times New Roman"/>
          <w:color w:val="000000"/>
          <w:sz w:val="24"/>
        </w:rPr>
      </w:pPr>
      <w:r>
        <w:rPr>
          <w:rFonts w:ascii="Times New Roman" w:hAnsi="Times New Roman"/>
          <w:color w:val="000000"/>
          <w:sz w:val="24"/>
        </w:rPr>
        <w:t>Dear Alan: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 am pleased to offer you a position with ALX Oncology Holdings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in accordance with the terms of this Offer of Employment letter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Title; Position; Location</w:t>
      </w:r>
      <w:r>
        <w:rPr>
          <w:rFonts w:ascii="Times New Roman" w:hAnsi="Times New Roman"/>
          <w:color w:val="000000"/>
          <w:sz w:val="24"/>
        </w:rPr>
        <w:t>. If you accept this offer of employment, you will serve as the Company’s Chief Medical Officer (“</w:t>
      </w:r>
      <w:r>
        <w:rPr>
          <w:rFonts w:ascii="Times New Roman" w:hAnsi="Times New Roman"/>
          <w:color w:val="000000"/>
          <w:sz w:val="24"/>
          <w:u w:val="single"/>
        </w:rPr>
        <w:t>CMO</w:t>
      </w:r>
      <w:r>
        <w:rPr>
          <w:color w:val="000000"/>
        </w:rPr>
        <w:t>”</w:t>
      </w:r>
      <w:r>
        <w:rPr>
          <w:rFonts w:ascii="Times New Roman" w:hAnsi="Times New Roman"/>
          <w:color w:val="000000"/>
          <w:sz w:val="24"/>
        </w:rPr>
        <w:t>). In your role as CMO, you will report to the Company’s Chief Executive Officer (“</w:t>
      </w:r>
      <w:r>
        <w:rPr>
          <w:rFonts w:ascii="Times New Roman" w:hAnsi="Times New Roman"/>
          <w:color w:val="000000"/>
          <w:sz w:val="24"/>
          <w:u w:val="single"/>
        </w:rPr>
        <w:t>CEO</w:t>
      </w:r>
      <w:r>
        <w:rPr>
          <w:color w:val="000000"/>
        </w:rPr>
        <w:t>”</w:t>
      </w:r>
      <w:r>
        <w:rPr>
          <w:rFonts w:ascii="Times New Roman" w:hAnsi="Times New Roman"/>
          <w:color w:val="000000"/>
          <w:sz w:val="24"/>
        </w:rPr>
        <w:t>) and will perform the duties and responsibilities customary for such position and such other related duties as are lawfully assigned by the CEO. You will perform your duties from the Company’s corporate offices located in South San Francisco, California, subject to customary travel as reasonably required by the Company and necessary to perform your job duties.</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1" w:after="283"/>
        <w:jc w:val="left"/>
        <w:rPr/>
      </w:pPr>
      <w:r>
        <w:rPr>
          <w:rFonts w:ascii="Times New Roman" w:hAnsi="Times New Roman"/>
          <w:color w:val="000000"/>
          <w:sz w:val="24"/>
          <w:u w:val="single"/>
        </w:rPr>
        <w:t>Base Salary</w:t>
      </w:r>
      <w:r>
        <w:rPr>
          <w:rFonts w:ascii="Times New Roman" w:hAnsi="Times New Roman"/>
          <w:color w:val="000000"/>
          <w:sz w:val="24"/>
        </w:rPr>
        <w:t>. Your annual base salary will be $575,000 (“</w:t>
      </w:r>
      <w:r>
        <w:rPr>
          <w:rFonts w:ascii="Times New Roman" w:hAnsi="Times New Roman"/>
          <w:color w:val="000000"/>
          <w:sz w:val="24"/>
          <w:u w:val="single"/>
        </w:rPr>
        <w:t>Salary</w:t>
      </w:r>
      <w:r>
        <w:rPr>
          <w:color w:val="000000"/>
        </w:rPr>
        <w:t>”</w:t>
      </w:r>
      <w:r>
        <w:rPr>
          <w:rFonts w:ascii="Times New Roman" w:hAnsi="Times New Roman"/>
          <w:color w:val="000000"/>
          <w:sz w:val="24"/>
        </w:rPr>
        <w:t>), which will be payable, less any applicable withholdings, in accordance with the Company’s normal payroll practices. Your Salary will be subject to review and adjustment from time to time by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or its Compensation Committee (the “</w:t>
      </w:r>
      <w:r>
        <w:rPr>
          <w:rFonts w:ascii="Times New Roman" w:hAnsi="Times New Roman"/>
          <w:color w:val="000000"/>
          <w:sz w:val="24"/>
          <w:u w:val="single"/>
        </w:rPr>
        <w:t>Committee</w:t>
      </w:r>
      <w:r>
        <w:rPr>
          <w:color w:val="000000"/>
        </w:rPr>
        <w:t>”</w:t>
      </w:r>
      <w:r>
        <w:rPr>
          <w:rFonts w:ascii="Times New Roman" w:hAnsi="Times New Roman"/>
          <w:color w:val="000000"/>
          <w:sz w:val="24"/>
        </w:rPr>
        <w:t>), as applicable, in its sole discretion.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Annual Bonus</w:t>
      </w:r>
      <w:r>
        <w:rPr>
          <w:rFonts w:ascii="Times New Roman" w:hAnsi="Times New Roman"/>
          <w:color w:val="000000"/>
          <w:sz w:val="24"/>
        </w:rPr>
        <w:t>. For the portion of the Company’s 2024 fiscal year that you serve as CMO, you will not be eligible to participate in the Company’s Executive Incentive Compensation Plan. For the Company’s 2025 fiscal year, you will have the opportunity to earn a target annual cash bonus equal to forty-five percent (45%)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pPr>
      <w:r>
        <w:rPr>
          <w:rFonts w:ascii="Times New Roman" w:hAnsi="Times New Roman"/>
          <w:color w:val="000000"/>
          <w:sz w:val="24"/>
          <w:u w:val="single"/>
        </w:rPr>
        <w:t>Equity Awards</w:t>
      </w:r>
      <w:r>
        <w:rPr>
          <w:rFonts w:ascii="Times New Roman" w:hAnsi="Times New Roman"/>
          <w:color w:val="000000"/>
          <w:sz w:val="24"/>
        </w:rPr>
        <w:t>. It will be recommended that, subject to the approval of the Board or the Committee, as applicable, in its sole discretion, the Company grant you an award of stock options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600,000 shares of the Company’s common stock (“</w:t>
      </w:r>
      <w:r>
        <w:rPr>
          <w:rFonts w:ascii="Times New Roman" w:hAnsi="Times New Roman"/>
          <w:color w:val="000000"/>
          <w:sz w:val="24"/>
          <w:u w:val="single"/>
        </w:rPr>
        <w:t>Shares</w:t>
      </w:r>
      <w:r>
        <w:rPr>
          <w:color w:val="000000"/>
        </w:rPr>
        <w:t>”</w:t>
      </w:r>
      <w:r>
        <w:rPr>
          <w:rFonts w:ascii="Times New Roman" w:hAnsi="Times New Roman"/>
          <w:color w:val="000000"/>
          <w:sz w:val="24"/>
        </w:rPr>
        <w:t xml:space="preserve">) under the Company’s 2020 Equity Incentive Plan (or any successor plan, as applicable) and applicable option agreement thereunder, with an exercise price per Share equal to the fair market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value per Share on the Option’s date of grant, as determined by the Board or Committee (as applicable). The Company will recommend that the Option be scheduled to vest and become exercisable as to one-fourth (1/4th) of the Shares subject to the Option on the one-year anniversary of the vesting commencement date (which shall be the same date as the date the Board or Committee approves the grant), and as to one forty-eighth (1/48th) of the Shares subject to the Option on a monthly basis thereafter on the same day of the month as the vesting commencement date (or the last day of the month, if a particular month does not have a corresponding day), subject to your continued service with the Company or its subsidiaries through the applicable vesting date.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For purposes of clarity, outstanding Company equity awards previously granted to you as a Board member will continue to be subject to, and vest according to, the terms of the applicable Company equity plan under which such equity awards were granted and the applicable award agreements thereunder.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pPr>
      <w:r>
        <w:rPr>
          <w:rFonts w:ascii="Times New Roman" w:hAnsi="Times New Roman"/>
          <w:color w:val="000000"/>
          <w:sz w:val="24"/>
          <w:u w:val="single"/>
        </w:rPr>
        <w:t>Employee Benefits</w:t>
      </w:r>
      <w:r>
        <w:rPr>
          <w:rFonts w:ascii="Times New Roman" w:hAnsi="Times New Roman"/>
          <w:color w:val="000000"/>
          <w:sz w:val="24"/>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pPr>
      <w:r>
        <w:rPr>
          <w:rFonts w:ascii="Times New Roman" w:hAnsi="Times New Roman"/>
          <w:color w:val="000000"/>
          <w:sz w:val="24"/>
          <w:u w:val="single"/>
        </w:rPr>
        <w:t>Severance</w:t>
      </w:r>
      <w:r>
        <w:rPr>
          <w:rFonts w:ascii="Times New Roman" w:hAnsi="Times New Roman"/>
          <w:color w:val="000000"/>
          <w:sz w:val="24"/>
        </w:rPr>
        <w:t>. You will be eligible to enter into a Change in Control and Severance Agreement (the “</w:t>
      </w:r>
      <w:r>
        <w:rPr>
          <w:rFonts w:ascii="Times New Roman" w:hAnsi="Times New Roman"/>
          <w:color w:val="000000"/>
          <w:sz w:val="24"/>
          <w:u w:val="single"/>
        </w:rPr>
        <w:t>Severance Agreement</w:t>
      </w:r>
      <w:r>
        <w:rPr>
          <w:color w:val="000000"/>
        </w:rPr>
        <w:t>”</w:t>
      </w:r>
      <w:r>
        <w:rPr>
          <w:rFonts w:ascii="Times New Roman" w:hAnsi="Times New Roman"/>
          <w:color w:val="000000"/>
          <w:sz w:val="24"/>
        </w:rPr>
        <w:t>) applicable to you based on your position within the Company. The Severance Agreement will specify the severance payments and benefits you may become entitled to receive upon certain qualifying terminations of your employment with the Company including in connection with a change in control of the Company. For purposes of clarity, other than any vesting acceleration benefits set forth in the Company’s 2020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effectiveness of the Severance Agreement no longer will apply, and you will have no rights or entitlements under any such plans, programs, agreements or arrangements.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pPr>
      <w:r>
        <w:rPr>
          <w:rFonts w:ascii="Times New Roman" w:hAnsi="Times New Roman"/>
          <w:color w:val="000000"/>
          <w:sz w:val="24"/>
          <w:u w:val="single"/>
        </w:rPr>
        <w:t>Confidentiality Agreement</w:t>
      </w:r>
      <w:r>
        <w:rPr>
          <w:rFonts w:ascii="Times New Roman" w:hAnsi="Times New Roman"/>
          <w:color w:val="000000"/>
          <w:sz w:val="24"/>
        </w:rPr>
        <w:t>. As an employee of the Company, you will have access to certain confidential information of the Company and you may, during the course of your employment, develop certain information or inventions that will be the property of the Company. To protect the interests of the Company, you agree to sign and comply with the terms of the Company’s Employee Confidentiality, Inventions and Non-Interference Agreement (the “</w:t>
      </w:r>
      <w:r>
        <w:rPr>
          <w:rFonts w:ascii="Times New Roman" w:hAnsi="Times New Roman"/>
          <w:color w:val="000000"/>
          <w:sz w:val="24"/>
          <w:u w:val="single"/>
        </w:rPr>
        <w:t>Confidentiality Agreement</w:t>
      </w:r>
      <w:r>
        <w:rPr>
          <w:color w:val="000000"/>
        </w:rPr>
        <w:t>”</w:t>
      </w:r>
      <w:r>
        <w:rPr>
          <w:rFonts w:ascii="Times New Roman" w:hAnsi="Times New Roman"/>
          <w:color w:val="000000"/>
          <w:sz w:val="24"/>
        </w:rPr>
        <w:t>). Please note that we must receive your signed Confidentiality Agreement before your first day of employment.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left"/>
        <w:rPr/>
      </w:pPr>
      <w:r>
        <w:rPr>
          <w:rFonts w:ascii="Times New Roman" w:hAnsi="Times New Roman"/>
          <w:color w:val="000000"/>
          <w:sz w:val="24"/>
          <w:u w:val="single"/>
        </w:rPr>
        <w:t>At-Will Employment</w:t>
      </w:r>
      <w:r>
        <w:rPr>
          <w:rFonts w:ascii="Times New Roman" w:hAnsi="Times New Roman"/>
          <w:color w:val="000000"/>
          <w:sz w:val="24"/>
        </w:rPr>
        <w:t xml:space="preserve">. This Agreement does not imply any right to your continued employment for any period with the Company or any parent, subsidiary, or affiliate of the Company. Your employment with the Company is and will continue to be at will, as defined under applicable law. This Agreement and any provisions under it will not interfere with or limit in any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way your or the Company’s right to terminate your employment relationship with the Company at any time, with or without cause, to the extent permitted by applicable laws.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left"/>
        <w:rPr/>
      </w:pPr>
      <w:r>
        <w:rPr>
          <w:rFonts w:ascii="Times New Roman" w:hAnsi="Times New Roman"/>
          <w:color w:val="000000"/>
          <w:sz w:val="24"/>
          <w:u w:val="single"/>
        </w:rPr>
        <w:t>Protected Activity Not Prohibited</w:t>
      </w:r>
      <w:r>
        <w:rPr>
          <w:rFonts w:ascii="Times New Roman" w:hAnsi="Times New Roman"/>
          <w:color w:val="000000"/>
          <w:sz w:val="24"/>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color w:val="000000"/>
          <w:sz w:val="24"/>
          <w:u w:val="single"/>
        </w:rPr>
        <w:t>Government Agencies</w:t>
      </w:r>
      <w:r>
        <w:rPr>
          <w:color w:val="000000"/>
        </w:rPr>
        <w:t>”</w:t>
      </w:r>
      <w:r>
        <w:rPr>
          <w:rFonts w:ascii="Times New Roman" w:hAnsi="Times New Roman"/>
          <w:color w:val="000000"/>
          <w:sz w:val="24"/>
        </w:rPr>
        <w:t xml:space="preserve">), including disclosing documents or other information as permitted by law, without giving notice to, or receiving authorization from, the Company. Nothing in this Agreement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In addition, nothing in this Agreement prevents you from discussing or disclosing information about unlawful acts in the workplace, such as harassment or discrimination or any other conduct that you have reason to believe is unlawful.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hAnsi="Times New Roman"/>
          <w:b/>
          <w:color w:val="000000"/>
          <w:sz w:val="24"/>
          <w:u w:val="single"/>
        </w:rPr>
        <w:t>Appendix A</w:t>
      </w:r>
      <w:r>
        <w:rPr>
          <w:rFonts w:ascii="Times New Roman" w:hAnsi="Times New Roman"/>
          <w:color w:val="000000"/>
          <w:sz w:val="24"/>
        </w:rPr>
        <w: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1" w:after="283"/>
        <w:jc w:val="left"/>
        <w:rPr/>
      </w:pPr>
      <w:r>
        <w:rPr>
          <w:rFonts w:ascii="Times New Roman" w:hAnsi="Times New Roman"/>
          <w:color w:val="000000"/>
          <w:sz w:val="24"/>
          <w:u w:val="single"/>
        </w:rPr>
        <w:t>Additional Employment Provisions</w:t>
      </w:r>
      <w:r>
        <w:rPr>
          <w:rFonts w:ascii="Times New Roman" w:hAnsi="Times New Roman"/>
          <w:color w:val="000000"/>
          <w:sz w:val="24"/>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w:t>
      </w:r>
    </w:p>
    <w:p>
      <w:pPr>
        <w:pStyle w:val="TextBody"/>
        <w:bidi w:val="0"/>
        <w:jc w:val="both"/>
        <w:rPr/>
      </w:pPr>
      <w:r>
        <w:rPr/>
        <w:t> </w:t>
      </w:r>
    </w:p>
    <w:p>
      <w:pPr>
        <w:pStyle w:val="TextBody"/>
        <w:bidi w:val="0"/>
        <w:spacing w:before="80" w:after="283"/>
        <w:jc w:val="both"/>
        <w:rPr>
          <w:rFonts w:ascii="Times New Roman" w:hAnsi="Times New Roman"/>
          <w:sz w:val="20"/>
        </w:rPr>
      </w:pPr>
      <w:r>
        <w:rPr>
          <w:rFonts w:ascii="Times New Roman" w:hAnsi="Times New Roman"/>
          <w:color w:val="000000"/>
          <w:sz w:val="24"/>
        </w:rPr>
        <w:t xml:space="preserve">You will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Board or the Committee, as applicable. Subject to Board approval, you will be permitted to engage in the outside activities set forth in </w:t>
      </w:r>
      <w:r>
        <w:rPr>
          <w:rFonts w:ascii="Times New Roman" w:hAnsi="Times New Roman"/>
          <w:b/>
          <w:color w:val="000000"/>
          <w:sz w:val="24"/>
          <w:u w:val="single"/>
        </w:rPr>
        <w:t>Appendix B</w:t>
      </w:r>
      <w:r>
        <w:rPr>
          <w:rFonts w:ascii="Times New Roman" w:hAnsi="Times New Roman"/>
          <w:color w:val="000000"/>
          <w:sz w:val="24"/>
        </w:rPr>
        <w:t>, as long as such activities do not interfere with the performance of your duties under this Agreement, 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You agree not to bring any third-party confidential information to the Company, including that of any of your former employers,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Company’s rules of conduct which are included in the Company Handbook.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To accept the Company’s offer, please sign and date in the spaces indicated below and return this Agreement to me. A duplicate original is enclosed for your records. If you accept our offer, your first day of employment will be October 28, 2024, or such other date as you and the Company mutually agree in writing (the “</w:t>
      </w:r>
      <w:r>
        <w:rPr>
          <w:rFonts w:ascii="Times New Roman" w:hAnsi="Times New Roman"/>
          <w:color w:val="000000"/>
          <w:sz w:val="24"/>
          <w:u w:val="single"/>
        </w:rPr>
        <w:t>Start Date</w:t>
      </w:r>
      <w:r>
        <w:rPr>
          <w:rFonts w:ascii="Times New Roman" w:hAnsi="Times New Roman"/>
          <w:color w:val="000000"/>
          <w:sz w:val="20"/>
        </w:rPr>
        <w:t>”</w:t>
      </w:r>
      <w:r>
        <w:rPr>
          <w:rFonts w:ascii="Times New Roman" w:hAnsi="Times New Roman"/>
          <w:color w:val="000000"/>
          <w:sz w:val="24"/>
        </w:rPr>
        <w:t>). This Agreement, along with the Confidentiality Agreement and Severance Agreement, set forth the terms of your employment with the Company and supersede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a written agreement signed by a duly authorized officer of the Company (excluding yourself). This Agreement will be governed by the laws of the State of California but without regard to the conflict of law provision. This offer of employment will terminate if it is not accepted, signed and returned by October 15, 2024.</w:t>
      </w:r>
    </w:p>
    <w:p>
      <w:pPr>
        <w:pStyle w:val="TextBody"/>
        <w:bidi w:val="0"/>
        <w:spacing w:before="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look forward to your favorable reply and to working with you at ALX Oncology.</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spacing w:before="8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spacing w:before="8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ALX Oncology Holdings Inc.</w:t>
      </w:r>
    </w:p>
    <w:p>
      <w:pPr>
        <w:pStyle w:val="TextBody"/>
        <w:bidi w:val="0"/>
        <w:jc w:val="left"/>
        <w:rPr/>
      </w:pPr>
      <w:r>
        <w:rPr/>
        <w:t> </w:t>
      </w:r>
    </w:p>
    <w:p>
      <w:pPr>
        <w:pStyle w:val="TextBody"/>
        <w:bidi w:val="0"/>
        <w:jc w:val="left"/>
        <w:rPr/>
      </w:pPr>
      <w:r>
        <w:rPr/>
        <w:t> </w:t>
      </w:r>
    </w:p>
    <w:p>
      <w:pPr>
        <w:pStyle w:val="TextBody"/>
        <w:bidi w:val="0"/>
        <w:spacing w:before="0" w:after="6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Jason Lettmann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Jason Lettmann</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 xml:space="preserve">Chief Executive Officer </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Agreed to and accepted by:</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u w:val="single"/>
        </w:rPr>
      </w:pPr>
      <w:r>
        <w:rPr>
          <w:rFonts w:ascii="Times New Roman" w:hAnsi="Times New Roman"/>
          <w:color w:val="000000"/>
          <w:sz w:val="24"/>
          <w:u w:val="single"/>
        </w:rPr>
        <w:t xml:space="preserve">/s/ Alan Sandler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Alan Sandler, M.D.</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 xml:space="preserve">Dated: November 11, 2024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Enclosures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Duplicate Original Letter</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Employee Confidentiality, Inventions and Non-Interference Agreement</w:t>
      </w:r>
    </w:p>
    <w:p>
      <w:pPr>
        <w:pStyle w:val="TextBody"/>
        <w:bidi w:val="0"/>
        <w:spacing w:before="0" w:after="6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jc w:val="left"/>
        <w:rPr/>
      </w:pPr>
      <w:r>
        <w:rPr/>
        <w:t> </w:t>
      </w:r>
    </w:p>
    <w:p>
      <w:pPr>
        <w:pStyle w:val="TextBody"/>
        <w:bidi w:val="0"/>
        <w:spacing w:before="84" w:after="283"/>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240"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Section 7 of the Defend Trade Secrets Act of 2016</w:t>
      </w:r>
    </w:p>
    <w:p>
      <w:pPr>
        <w:pStyle w:val="TextBody"/>
        <w:bidi w:val="0"/>
        <w:spacing w:before="235" w:after="283"/>
        <w:jc w:val="left"/>
        <w:rPr/>
      </w:pPr>
      <w:r>
        <w:rPr/>
        <w:t> </w:t>
      </w:r>
    </w:p>
    <w:p>
      <w:pPr>
        <w:pStyle w:val="TextBody"/>
        <w:bidi w:val="0"/>
        <w:spacing w:before="1" w:after="283"/>
        <w:jc w:val="both"/>
        <w:rPr>
          <w:color w:val="000000"/>
        </w:rPr>
      </w:pPr>
      <w:r>
        <w:rPr>
          <w:color w:val="000000"/>
        </w:rPr>
        <w:t xml:space="preserve">“ </w:t>
      </w:r>
      <w:r>
        <w:rPr>
          <w:rFonts w:ascii="Times New Roman" w:hAnsi="Times New Roman"/>
          <w:color w:val="000000"/>
          <w:sz w:val="24"/>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spacing w:before="0" w:after="6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spacing w:before="84" w:after="283"/>
        <w:jc w:val="center"/>
        <w:rPr>
          <w:rFonts w:ascii="Times New Roman" w:hAnsi="Times New Roman"/>
          <w:b/>
          <w:color w:val="000000"/>
          <w:sz w:val="24"/>
          <w:u w:val="single"/>
        </w:rPr>
      </w:pPr>
      <w:r>
        <w:rPr>
          <w:rFonts w:ascii="Times New Roman" w:hAnsi="Times New Roman"/>
          <w:b/>
          <w:color w:val="000000"/>
          <w:sz w:val="24"/>
          <w:u w:val="single"/>
        </w:rPr>
        <w:t>Appendix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Activities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[Appendix B has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2" w:name="alxo-ex10_14.htm"/>
      <w:bookmarkStart w:id="43" w:name="ksalxoex10_14"/>
      <w:bookmarkEnd w:id="42"/>
      <w:bookmarkEnd w:id="43"/>
      <w:r>
        <w:rPr/>
        <w:t> </w:t>
      </w:r>
      <w:r>
        <w:br w:type="page"/>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spacing w:before="109" w:after="283"/>
        <w:jc w:val="left"/>
        <w:rPr>
          <w:rFonts w:ascii="Times New Roman" w:hAnsi="Times New Roman"/>
          <w:b/>
          <w:color w:val="000000"/>
          <w:sz w:val="20"/>
        </w:rPr>
      </w:pPr>
      <w:r>
        <w:rPr>
          <w:rFonts w:ascii="Times New Roman" w:hAnsi="Times New Roman"/>
          <w:b/>
          <w:color w:val="000000"/>
          <w:sz w:val="20"/>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spacing w:before="109" w:after="283"/>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ALX ONCOLOGY HOLDINGS INC. SEPARATION AGREEMENT AND MUTUAL RELEASE</w:t>
      </w:r>
    </w:p>
    <w:p>
      <w:pPr>
        <w:pStyle w:val="TextBody"/>
        <w:bidi w:val="0"/>
        <w:jc w:val="both"/>
        <w:rPr>
          <w:rFonts w:ascii="Times New Roman" w:hAnsi="Times New Roman"/>
          <w:color w:val="000000"/>
          <w:sz w:val="22"/>
        </w:rPr>
      </w:pPr>
      <w:r>
        <w:rPr>
          <w:rFonts w:ascii="Times New Roman" w:hAnsi="Times New Roman"/>
          <w:color w:val="000000"/>
          <w:sz w:val="22"/>
        </w:rPr>
        <w:t>This Separation Agreement and Mutual Release (“Agreement”) is made by and between Peter Garcia (“Executive”) and ALX Oncology Holdings Inc. (the “Company”) (collectively referred to as the “Parties” or individually referred to as a “Party”).</w:t>
      </w:r>
    </w:p>
    <w:p>
      <w:pPr>
        <w:pStyle w:val="TextBody"/>
        <w:bidi w:val="0"/>
        <w:spacing w:before="253" w:after="283"/>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248" w:after="283"/>
        <w:jc w:val="left"/>
        <w:rPr>
          <w:rFonts w:ascii="Times New Roman" w:hAnsi="Times New Roman"/>
          <w:color w:val="000000"/>
          <w:sz w:val="22"/>
        </w:rPr>
      </w:pPr>
      <w:bookmarkStart w:id="44" w:name="whereas__executive_was_employed_by_the_c"/>
      <w:bookmarkEnd w:id="44"/>
      <w:r>
        <w:rPr>
          <w:rFonts w:ascii="Times New Roman" w:hAnsi="Times New Roman"/>
          <w:color w:val="000000"/>
          <w:sz w:val="22"/>
        </w:rPr>
        <w:t>WHEREAS, Executive was employed by the Company;</w:t>
      </w:r>
    </w:p>
    <w:p>
      <w:pPr>
        <w:pStyle w:val="TextBody"/>
        <w:bidi w:val="0"/>
        <w:spacing w:before="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Executive entered into a confirmatory offer letter with the Company dated July 9, 2020 (the “Offer Letter”);</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Executive signed an Employee Confidentiality, Inventions and Non-Interference Agreement with ALX Oncology Inc., dated January 2, 2020 (the “Confidentiality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WHEREAS, the Company granted Executive certain awards of stock options (“Options”) to purchase shares of the Company’s common stock (“Shares”) and restricted stock units (“RSUs”) covering Shares (each, an “Award,” and collectively, the “Awards”), under the Company’s Amended and Restated 2020 Equity Incentive Plan, as amended from time to time (the “Plan”), and applicable award agreements thereunder including any amendments thereto, as set forth in </w:t>
      </w:r>
      <w:r>
        <w:rPr>
          <w:rFonts w:ascii="Times New Roman" w:hAnsi="Times New Roman"/>
          <w:color w:val="000000"/>
          <w:sz w:val="22"/>
          <w:u w:val="single"/>
        </w:rPr>
        <w:t>Schedule I</w:t>
      </w:r>
      <w:r>
        <w:rPr>
          <w:rFonts w:ascii="Times New Roman" w:hAnsi="Times New Roman"/>
          <w:color w:val="000000"/>
          <w:sz w:val="20"/>
        </w:rPr>
        <w:t xml:space="preserve"> </w:t>
      </w:r>
      <w:r>
        <w:rPr>
          <w:rFonts w:ascii="Times New Roman" w:hAnsi="Times New Roman"/>
          <w:color w:val="000000"/>
          <w:sz w:val="22"/>
        </w:rPr>
        <w:t>attached hereto (such award agreements and any amendments thereto, together with the Plan, the “Award Documents”);</w:t>
      </w:r>
    </w:p>
    <w:p>
      <w:pPr>
        <w:pStyle w:val="TextBody"/>
        <w:bidi w:val="0"/>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WHEREAS, Executive separated from employment with the Company effective November 8, 2024 (the “Separation Date”); and</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WHEREAS, the Parties wish to resolve any and all disputes, claims, complaints, grievances, charges, actions, petitions, and demands that the Executive may have against the Company and any of the Releasees as defined below, including, but not limited to, any and all claims arising out of or in any way related to Executive’s employment with or separation from the Company.</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NOW, THEREFORE, in consideration of the mutual promises made herein, the Company and Executive hereby agree as follows:</w:t>
      </w:r>
    </w:p>
    <w:p>
      <w:pPr>
        <w:pStyle w:val="TextBody"/>
        <w:bidi w:val="0"/>
        <w:spacing w:before="4" w:after="283"/>
        <w:jc w:val="left"/>
        <w:rPr/>
      </w:pPr>
      <w:r>
        <w:rPr/>
        <w:t> </w:t>
      </w:r>
    </w:p>
    <w:p>
      <w:pPr>
        <w:pStyle w:val="TextBody"/>
        <w:bidi w:val="0"/>
        <w:spacing w:before="1" w:after="283"/>
        <w:jc w:val="center"/>
        <w:rPr>
          <w:rFonts w:ascii="Times New Roman" w:hAnsi="Times New Roman"/>
          <w:b/>
          <w:color w:val="000000"/>
          <w:sz w:val="22"/>
        </w:rPr>
      </w:pPr>
      <w:r>
        <w:rPr>
          <w:rFonts w:ascii="Times New Roman" w:hAnsi="Times New Roman"/>
          <w:b/>
          <w:color w:val="000000"/>
          <w:sz w:val="22"/>
        </w:rPr>
        <w:t>COVENANTS</w:t>
      </w:r>
    </w:p>
    <w:p>
      <w:pPr>
        <w:pStyle w:val="TextBody"/>
        <w:bidi w:val="0"/>
        <w:spacing w:before="248" w:after="283"/>
        <w:jc w:val="left"/>
        <w:rPr>
          <w:rFonts w:ascii="Times New Roman" w:hAnsi="Times New Roman"/>
          <w:color w:val="000000"/>
          <w:sz w:val="22"/>
        </w:rPr>
      </w:pPr>
      <w:r>
        <w:rPr>
          <w:rFonts w:ascii="Times New Roman" w:hAnsi="Times New Roman"/>
          <w:color w:val="000000"/>
          <w:sz w:val="22"/>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8" w:after="283"/>
        <w:jc w:val="left"/>
        <w:rPr/>
      </w:pPr>
      <w:r>
        <w:rPr>
          <w:rFonts w:ascii="Times New Roman" w:hAnsi="Times New Roman"/>
          <w:color w:val="000000"/>
          <w:sz w:val="22"/>
          <w:u w:val="single"/>
        </w:rPr>
        <w:t>Consideration</w:t>
      </w:r>
      <w:r>
        <w:rPr>
          <w:rFonts w:ascii="Times New Roman" w:hAnsi="Times New Roman"/>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52" w:after="283"/>
        <w:jc w:val="both"/>
        <w:rPr/>
      </w:pPr>
      <w:r>
        <w:rPr>
          <w:rFonts w:ascii="Times New Roman" w:hAnsi="Times New Roman"/>
          <w:i/>
          <w:color w:val="000000"/>
          <w:sz w:val="22"/>
        </w:rPr>
        <w:t xml:space="preserve">Separation Payment. </w:t>
      </w:r>
      <w:r>
        <w:rPr>
          <w:rFonts w:ascii="Times New Roman" w:hAnsi="Times New Roman"/>
          <w:color w:val="000000"/>
          <w:sz w:val="22"/>
        </w:rPr>
        <w:t>The Company agrees to pay Executive a single, lump sum, cash payment equal to $479,646.45, less any applicable withholdings.</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52" w:after="283"/>
        <w:jc w:val="both"/>
        <w:rPr/>
      </w:pPr>
      <w:r>
        <w:rPr>
          <w:rFonts w:ascii="Times New Roman" w:hAnsi="Times New Roman"/>
          <w:i/>
          <w:color w:val="000000"/>
          <w:sz w:val="22"/>
        </w:rPr>
        <w:t xml:space="preserve">COBRA. </w:t>
      </w:r>
      <w:r>
        <w:rPr>
          <w:rFonts w:ascii="Times New Roman" w:hAnsi="Times New Roman"/>
          <w:color w:val="000000"/>
          <w:sz w:val="22"/>
        </w:rPr>
        <w:t xml:space="preserve">Subject to Executive timely electing continuation coverage under the Consolidated Omnibus Budget Reconciliation Act of 1985, as amended (“COBRA”), the Company will pay the COBRA premiums for continued coverage under the Company’s group health, dental and vision coverage for Executive and any of Executive’s eligible dependents, as applicable, following the Separation Date until the earliest of: (i) twelve (12) months following the Separation Date, (ii) the date on which Executive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Executive’s eligible dependents (as applicable) become covered under similar plans, or (iii) the expiration of Executive’s (and any of Executive’s eligible dependents’, as applicable) eligibility for continuation coverage under COBRA. Notwithstanding the preceding, if the Company determines in its sole discretion that it cannot provide such Company-paid COBRA benefits without potentially violating, or being subject to an excise tax under, applicable law (including, without limitation, Section 2716 of the Public Health Service Act), then in lieu of such benefits, the Company will provide the Executive a taxable monthly payment payable on the last day of a given month (except as provided by the immediately following sentence) in an amount equal to the monthly COBRA premium that the Executive would be required to pay to continue the Executive’s group health coverage in effect on the Separation Date (which amount will be based on the premium rates applicable for the first month of COBRA coverage for Executive and Executive’s eligible dependents, if any), which payments will be made regardless of whether the Executive elects COBRA continuation coverage, will commence in the month following the month of the Separation Date and continue until the month that is twelve (12) months following the month of the Separation Date, and will be subject to any applicable withholdings. Notwithstanding anything to the contrary under this Agreement, if the Company determines in its sole discretion at any time that it cannot provide such COBRA benefits described in this subsection b. without violating applicable law or being subject to an excise tax under applicable law (including without limitation Section 2716 of the Public Health Service Act), Executive will not receive any such benefits under this subsection b.</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52" w:after="283"/>
        <w:jc w:val="both"/>
        <w:rPr/>
      </w:pPr>
      <w:r>
        <w:rPr>
          <w:rFonts w:ascii="Times New Roman" w:hAnsi="Times New Roman"/>
          <w:i/>
          <w:color w:val="000000"/>
          <w:sz w:val="22"/>
        </w:rPr>
        <w:t>Vesting Acceleration</w:t>
      </w:r>
      <w:r>
        <w:rPr>
          <w:rFonts w:ascii="Times New Roman" w:hAnsi="Times New Roman"/>
          <w:color w:val="000000"/>
          <w:sz w:val="22"/>
        </w:rPr>
        <w:t>. Executive and the Company acknowledge and agree that as of the Separation Date, Executive will have vested as to only that portion of the Awards as set forth in Schedule I attached hereto under the column titled “Number of Shares subject to Award vested through Separation Date.” As of the Effective Date of this Agreement defined in Section 25, a portion of the Awards shall become immediately vested as to such number of Shares as set forth in Schedule I attached hereto under the column titled “Number of Shares subject to Award that accelerate vesting pursuant to Section 1.c. of Agreement” (which is intended to reflect the number of Shares that would have vested under the applicable Awards had Executive remained an employee of the Company until November 8, 2025). Any RSUs that accelerate vesting in accordance with this subsection c. will be settled by the Company no later than the sixtieth (60</w:t>
      </w:r>
      <w:r>
        <w:rPr>
          <w:rFonts w:ascii="Times New Roman" w:hAnsi="Times New Roman"/>
          <w:color w:val="000000"/>
          <w:sz w:val="15"/>
        </w:rPr>
        <w:t>th</w:t>
      </w:r>
      <w:r>
        <w:rPr>
          <w:rFonts w:ascii="Times New Roman" w:hAnsi="Times New Roman"/>
          <w:color w:val="000000"/>
          <w:sz w:val="22"/>
        </w:rPr>
        <w:t>) day following the Separation Date. For purposes of clarity, such RSUs will be subject to any applicable tax withholdings and, unless determined otherwise by the administrator of the Plan in accordance with the applicable Award Documents, any applicable tax withholdings will be satisfied by having the Company withhold otherwise deliverable Shares under such RSUs having a fair market value equal to the amount necessary to meet such withholding obligations with respect to the RSUs. The exercise of Employee’s vested Options shall continue to be governed by the terms and conditions of the applicable Award Documents except as otherwise expressly set forth in this Agreement.</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52" w:after="283"/>
        <w:jc w:val="both"/>
        <w:rPr/>
      </w:pPr>
      <w:r>
        <w:rPr>
          <w:rFonts w:ascii="Times New Roman" w:hAnsi="Times New Roman"/>
          <w:i/>
          <w:color w:val="000000"/>
          <w:sz w:val="22"/>
        </w:rPr>
        <w:t>Option Post-Termination Exercise Period Extension</w:t>
      </w:r>
      <w:r>
        <w:rPr>
          <w:rFonts w:ascii="Times New Roman" w:hAnsi="Times New Roman"/>
          <w:color w:val="000000"/>
          <w:sz w:val="22"/>
        </w:rPr>
        <w:t xml:space="preserve">. As of the Effective Date of this Agreement, each Option, to the extent vested as of the Separation Date or subject to or eligible for vesting acceleration in accordance with subsection c. above or subsection e. below, shall be amended to provide that such Option shall be exercisable, to the extent such Option is or becomes vested, until February 8, 2026, subject to earlier termination in accordance with the Award Documents and provided that in no event may any Option be exercised beyond the maximum term applicable to such Option. Executive acknowledges and agrees that the foregoing is an amendment of the Options that constitutes a “modification” of the Options, resulting in the deemed re-grant of the Options for purposes of the rules governing incentive stock options (“ISOs”) under Section 422 of the Internal Revenue Code (the “Code”). Executive further acknowledges and agrees that amending any Options that are intended to qualify as ISOs pursuant to this amendment will result in such Options being converted into non-statutory stock options for tax purposes as of the Effective Date (“NSOs”) to the extent the Options do not satisfy all of the qualification requirements for ISO status as of such amendment date. Upon the exercise of any NSOs, Executive will be treated as having received compensation income from the Company (taxable at ordinary income tax rates) equal to the excess, if any, of the aggregate fair market value of the exercised Shares on the date of exercise over their aggregate exercise price. In that case, in addition to the payment of the aggregate exercise price, Executive’s exercise of the NSOs is conditioned on payment to the Company of any applicable federal, state, and/or local withholding obligations arising in connection with </w:t>
      </w: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such exercise. Executive acknowledges and agrees that Executive remains solely responsible for all employee- related withholdings associated with the exercise of any Options. Executive further acknowledges that the Company has advised Executive to consult with Executive’s own tax adviser regarding the tax status of the Options and the tax consequences to Executive of Executive’s exercise of the Options and disposition of any Shares acquired upon such exercise.</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52" w:after="283"/>
        <w:jc w:val="both"/>
        <w:rPr/>
      </w:pPr>
      <w:r>
        <w:rPr>
          <w:rFonts w:ascii="Times New Roman" w:hAnsi="Times New Roman"/>
          <w:i/>
          <w:color w:val="000000"/>
          <w:sz w:val="22"/>
        </w:rPr>
        <w:t xml:space="preserve">Change in Control. </w:t>
      </w:r>
      <w:r>
        <w:rPr>
          <w:rFonts w:ascii="Times New Roman" w:hAnsi="Times New Roman"/>
          <w:color w:val="000000"/>
          <w:sz w:val="22"/>
        </w:rPr>
        <w:t>If a Change in Control occurs within three (3) months following the Separation Date, then the Company will provide Executive an additional lump sum cash payment in an amount equal to $227,200.95, less any applicable withholdings, which will be paid on or within thirty (30) days following the date of the Change in Control. Further, any Awards that are outstanding and unvested as of the Separation Date and that do not vest pursuant to subsection c. above (the “Unvested Awards”) will remain outstanding and unvested until the earlier of (x) a Change in Control or (y) the CIC Deadline Date; provided that in no event will any Unvested Awards that are options (“Unvested Options”) remain outstanding beyond its maximum term to expiration. If a Change in Control occurs by the CIC Deadline Date, then as of immediately prior to such Change in Control, any then outstanding Unvested Awards that constitute Time Awards will accelerate vesting in full, and the post-termination exercise period provided under subsection d. above will apply to any such Unvested Options that vest. For purposes of this subsection e., “Time Award” means any Unvested Award (or portion thereof) that as of immediately prior to the Change in Control, is not subject to the achievement of any performance-based or other similar vesting criteria (including, for clarity, any performance-based RSUs or portion thereof that has become eligible to vest upon a certification thereunder of performance in connection with the Change in Control but excluding any performance-based RSUs or portion thereof for which performance has been deemed not met pursuant to such certification, which instead will be forfeited without having vested). For purposes of this subsection e., “Change in Control” will have the meaning ascribed to such term in that certain Change in Control and Severance Agreement entered into between the Company and Executive dated July 9, 2020 (the “CIC Agreement”). Except as provided in this subsection e., no additional vesting of the Unvested Awards will occur following the Separation Date. If no Change in Control occurs by the CIC Deadline Date, the Unvested Awards automatically and permanently will be forfeited as of the end of the CIC Deadline Date without having vested. Any RSUs that accelerate vesting in accordance with this subsection e. will be settled by the Company no later than the sixtieth (60</w:t>
      </w:r>
      <w:r>
        <w:rPr>
          <w:rFonts w:ascii="Times New Roman" w:hAnsi="Times New Roman"/>
          <w:color w:val="000000"/>
          <w:sz w:val="15"/>
        </w:rPr>
        <w:t>th</w:t>
      </w:r>
      <w:r>
        <w:rPr>
          <w:rFonts w:ascii="Times New Roman" w:hAnsi="Times New Roman"/>
          <w:color w:val="000000"/>
          <w:sz w:val="22"/>
        </w:rPr>
        <w:t>) day following the Separation Date, or if later, on a date on or before the completion of a Change in Control. For purposes of clarity, such RSUs will be subject to any applicable tax withholdings and, unless determined otherwise by the administrator of the Plan in accordance with the applicable Award Documents, any applicable tax withholdings will be satisfied by having the Company withhold otherwise deliverable Shares under such RSUs having a fair market value equal to the amount necessary to meet such withholding obligations with respect to the RSUs.</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52" w:after="283"/>
        <w:jc w:val="both"/>
        <w:rPr/>
      </w:pPr>
      <w:r>
        <w:rPr>
          <w:rFonts w:ascii="Times New Roman" w:hAnsi="Times New Roman"/>
          <w:i/>
          <w:color w:val="000000"/>
          <w:sz w:val="22"/>
        </w:rPr>
        <w:t>Acknowledgement</w:t>
      </w:r>
      <w:r>
        <w:rPr>
          <w:rFonts w:ascii="Times New Roman" w:hAnsi="Times New Roman"/>
          <w:color w:val="000000"/>
          <w:sz w:val="22"/>
        </w:rPr>
        <w:t>. Executive acknowledges that without this Agreement, Executive is otherwise not entitled to the consideration listed in this Section 1. Executive further acknowledges and agrees that consideration for this Agreement does not constitute, in whole or in part, any bonus, raise, employment, or continued employment.</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Benefits</w:t>
      </w:r>
      <w:r>
        <w:rPr>
          <w:rFonts w:ascii="Times New Roman" w:hAnsi="Times New Roman"/>
          <w:color w:val="000000"/>
          <w:sz w:val="22"/>
        </w:rPr>
        <w:t>. Executive’s health insurance benefits shall cease on the last day of the month in which the Separation Date occurs, subject to Executive’s right to continue Executive’s health insurance under COBRA. Executive’s participation in all benefits and incidents of employment, including, but not limited to, the accrual of bonuses, vacation, and paid time off, ceased as of the Separation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Payment of Salary and Receipt of All Benefits</w:t>
      </w:r>
      <w:r>
        <w:rPr>
          <w:rFonts w:ascii="Times New Roman" w:hAnsi="Times New Roman"/>
          <w:color w:val="000000"/>
          <w:sz w:val="22"/>
        </w:rPr>
        <w:t>. Executive acknowledges and represents that, other than the consideration set forth in this Agreement, the Company has paid or provided all salary, wages, bonuses, accrued vacation/paid time off, premiums, leaves, housing allowances, relocation costs, interest, severance, outplacement costs, fees, reimbursable expenses, commissions, stock, stock options and other equity awards, vesting, and any and all other benefits and compensation due to Executive.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Executive’s Release of Claims Against the Company</w:t>
      </w:r>
      <w:r>
        <w:rPr>
          <w:rFonts w:ascii="Times New Roman" w:hAnsi="Times New Roman"/>
          <w:color w:val="000000"/>
          <w:sz w:val="22"/>
        </w:rPr>
        <w:t xml:space="preserve">. Executive agrees that the foregoing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consideration represents settlement in full of all outstanding obligations owed to Executive by the Company, its parents, subsidiaries, and affiliates, and each of their respective current and former officers, directors, employees, agents, investors, attorneys, shareholders, administrators, affiliates, benefit plans, plan administrators, professional employer organization or co-employer, insurers, trustees, divisions, subsidiaries, predecessor and successor corporations, and assigns (collectively, the “Releasees”).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any and all claims relating to or arising from Executive’s employment relationship with the Company and the termination of that relationship;</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National Labor Relations Act, the California Family Rights Act, the California Labor Code, the California Workers’ Compensation Act, and the California Fair Employment and Housing Act;</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any and all claims for violation of the federal or any state constitution;</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any and all claims arising out of any other laws and regulations relating to employment or employment discrimination;</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any claim for any loss, cost, damage, or expense arising out of any dispute over the nonwithholding or other tax treatment of any of the proceeds received by Executive as a result of this Agreement; and</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any and all claims for attorneys’ fees and costs.</w:t>
      </w:r>
    </w:p>
    <w:p>
      <w:pPr>
        <w:pStyle w:val="TextBody"/>
        <w:bidi w:val="0"/>
        <w:spacing w:before="252" w:after="283"/>
        <w:jc w:val="both"/>
        <w:rPr>
          <w:rFonts w:ascii="Times New Roman" w:hAnsi="Times New Roman"/>
          <w:sz w:val="20"/>
        </w:rPr>
      </w:pPr>
      <w:r>
        <w:rPr>
          <w:rFonts w:ascii="Times New Roman" w:hAnsi="Times New Roman"/>
          <w:color w:val="000000"/>
          <w:sz w:val="22"/>
        </w:rPr>
        <w:t>Executive agrees that the release set forth in this section shall be and remain in effect in all respects as a complete general release as to the matters released. This release does not extend to any obligations incurred under this Agreement and does not extend to any vested benefits, equity or ownership interests, including without limitation, vested options and RSU. This release does not release claims that cannot be released as a matter of law, including without limitation Executive’s right to indemnification under California Labor Code</w:t>
      </w:r>
      <w:r>
        <w:rPr>
          <w:rFonts w:ascii="Times New Roman" w:hAnsi="Times New Roman"/>
          <w:color w:val="000000"/>
          <w:sz w:val="20"/>
        </w:rPr>
        <w:t xml:space="preserve"> </w:t>
      </w: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Section 2802, and any other applicable state and federal law, and/or the by-laws, governing and operating documents and insurance policies of the Company or any successor or assign. Any and all disputed wage claims that are released herein shall be subject to binding arbitration in accordance with this Agreement, except as required by applicable law. This release does not extend to any right Executive may have to state unemployment compensation or disability benefits.</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52" w:after="283"/>
        <w:jc w:val="both"/>
        <w:rPr/>
      </w:pPr>
      <w:r>
        <w:rPr>
          <w:rFonts w:ascii="Times New Roman" w:hAnsi="Times New Roman"/>
          <w:color w:val="000000"/>
          <w:sz w:val="22"/>
          <w:u w:val="single"/>
        </w:rPr>
        <w:t>Company Release of Claims Against Executive</w:t>
      </w:r>
      <w:r>
        <w:rPr>
          <w:rFonts w:ascii="Times New Roman" w:hAnsi="Times New Roman"/>
          <w:color w:val="000000"/>
          <w:sz w:val="22"/>
        </w:rPr>
        <w:t>. The Company agrees to hereby and forever release Executive from, and agree not to sue concerning, or in any manner to institute, prosecute, or pursue, any claim, complaint, charge, duty, obligations, demand, or cause of action relating to any matters of any kind, whether presently known or unknown, suspected or unsuspected, that the Company may possess against Executive arising from any omissions, act, facts, or damages that have occurred up until and including the date the Company signs this Agreement, including, without limitation, any and all claims, relating to or arising from Executive’s employment relationship with the company and the termination of that relationship and any other conduct, acts or omissions occurring through the date that the Company signs this Agreement. Notwithstanding anything to the contrary in this Section 5, this Agreement does not release any claims by the Company against Executive relating to fraud, embezzlement, misappropriation of the Company’s trade secrets, any conduct that is in violation of criminal law, any violation of the Confidentiality Agreement, and/or any obligations incurred under this Agreement.</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Acknowledgment of Waiver of Claims under ADEA</w:t>
      </w:r>
      <w:r>
        <w:rPr>
          <w:rFonts w:ascii="Times New Roman" w:hAnsi="Times New Roman"/>
          <w:color w:val="000000"/>
          <w:sz w:val="22"/>
        </w:rPr>
        <w:t xml:space="preserve">. Executive acknowledges that Executive is waiving and releasing any rights Executive may have under the Age Discrimination in Employment Act of 1967 (“ADEA”), and that this waiver and release is knowing and voluntary. Executive agrees that this waiver and release does not apply to any rights or claims that may arise under the ADEA after the date Executive signs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 w:hAnsi="Times New Roman"/>
          <w:color w:val="000000"/>
          <w:sz w:val="22"/>
          <w:u w:val="single"/>
        </w:rPr>
        <w:t>prior</w:t>
      </w:r>
      <w:r>
        <w:rPr>
          <w:color w:val="000000"/>
        </w:rPr>
        <w:t xml:space="preserve"> </w:t>
      </w:r>
      <w:r>
        <w:rPr>
          <w:rFonts w:ascii="Times New Roman" w:hAnsi="Times New Roman"/>
          <w:color w:val="000000"/>
          <w:sz w:val="22"/>
        </w:rPr>
        <w:t>to executing this Agreement; (b) Executive has twenty-one (21) days within which to consider this Agreement; (c) Executive has seven (7) days following Executive’s execution of this Agreement to revoke this Agreement;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California Civil Code Section 1542</w:t>
      </w:r>
      <w:r>
        <w:rPr>
          <w:rFonts w:ascii="Times New Roman" w:hAnsi="Times New Roman"/>
          <w:color w:val="000000"/>
          <w:sz w:val="22"/>
        </w:rPr>
        <w:t>. The Company and Executive acknowledge that they have been advised to consult with legal counsel and are familiar with the provisions of California Civil Code Section 1542, a statute that otherwise prohibits the release of unknown claims, which provides as follows: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The Company and Executive, being aware of said code section, agree to expressly waive any rights they may have thereunder, as well as under any other statute or common law principles of similar effect.</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No Pending or Future Lawsuits</w:t>
      </w:r>
      <w:r>
        <w:rPr>
          <w:rFonts w:ascii="Times New Roman" w:hAnsi="Times New Roman"/>
          <w:color w:val="000000"/>
          <w:sz w:val="22"/>
        </w:rPr>
        <w:t xml:space="preserve">. Executive represents that Executive has no lawsuits, claims, or actions pending in Executive’s name, or on behalf of any other person or entity, against the Company or 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of the other Releasees. Executive also represents that Executive does not intend to bring any claims on Executive’s own behalf or on behalf of any other person or entity against the Company or any of the other Releasees.</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Trade Secrets and Confidential Information/Company Property</w:t>
      </w:r>
      <w:r>
        <w:rPr>
          <w:rFonts w:ascii="Times New Roman" w:hAnsi="Times New Roman"/>
          <w:color w:val="000000"/>
          <w:sz w:val="22"/>
        </w:rPr>
        <w:t>. Executive acknowledges that, separate from this Agreement, Executive remains under continuing obligations to the Company under the Confidentiality Agreement, including the provisions therein regarding nondisclosure of the Company’s trade secrets and confidential and proprietary information. Executive acknowledges that the Company will not enforce the post-employment restrictions in Section 3(b) of the Confidentiality Agreement; provided, however, that Executive remains bound by all other continuing obligations under the Confidentiality Agreement, including Executive’s confidentiality obligations thereof. Executive agrees at all times hereafter to hold in the strictest confidence, and not to use or disclose to any person or entity, any Confidential Information of the Company, subject to the “Protected Activity Not Prohibited” Section below. Executive understands that “Confidential Information” means any Company or associated third party proprietary information, technical data, trade secrets or know-how, including, but not limited to, research, product plans, products, services, customer lists and customers (including, but not limited to, customers of the Company on whom Executive has called or with whom Executive became acquainted during the term of Executive’s employment), markets, software, developments, inventions, processes, formulas, technology, designs, drawings, engineering, hardware configuration information, marketing, finances, or other business information disclosed to Executive by the Company either directly or indirectly, in writing, orally, or by drawings or observation of parts or equipment. Executive further understands that Confidential Information does not include any of the foregoing items that have become publicly known and made generally available through no wrongful act of Executive’s or of others who were under confidentiality obligations as to the item or items involved or improvements or new versions thereof. Further, Confidential Information does not include general knowledge, skill, and experience Executive has acquired during the course of or in connection with Executive’s employment with the Company or a former employer. Executive hereby grants consent to notification by the Company to any new employer about Executive’s obligations under this Section. Executive represents that Executive has not to date misused or disclosed Confidential Information to any unauthorized party. Executive’s signature below constitutes Executive’s certification under penalty of perjury that Executive has returned all documents and other items provided to Executive by the Company (with the exception of a copy of the Executive Handbook and personnel documents specifically relating to Executive), developed or obtained by Executive in connection with Executive’s employment with the Company, or otherwise belonging to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No Cooperation</w:t>
      </w:r>
      <w:r>
        <w:rPr>
          <w:rFonts w:ascii="Times New Roman" w:hAnsi="Times New Roman"/>
          <w:color w:val="000000"/>
          <w:sz w:val="22"/>
        </w:rPr>
        <w:t xml:space="preserve">. Subject to the Protected Activity provision,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t>
      </w:r>
      <w:r>
        <w:rPr>
          <w:rFonts w:ascii="Times New Roman" w:hAnsi="Times New Roman"/>
          <w:color w:val="333333"/>
          <w:sz w:val="22"/>
        </w:rPr>
        <w:t xml:space="preserve">written request from an administrative agency or the legislature </w:t>
      </w:r>
      <w:r>
        <w:rPr>
          <w:rFonts w:ascii="Times New Roman" w:hAnsi="Times New Roman"/>
          <w:color w:val="000000"/>
          <w:sz w:val="22"/>
        </w:rPr>
        <w:t xml:space="preserve">or as related directly to the ADEA waiver in this Agreement. Executive agrees both to immediately notify the Company upon receipt of any such subpoena or court order or </w:t>
      </w:r>
      <w:r>
        <w:rPr>
          <w:rFonts w:ascii="Times New Roman" w:hAnsi="Times New Roman"/>
          <w:color w:val="333333"/>
          <w:sz w:val="22"/>
        </w:rPr>
        <w:t>written request from an administrative agency or the legislature</w:t>
      </w:r>
      <w:r>
        <w:rPr>
          <w:rFonts w:ascii="Times New Roman" w:hAnsi="Times New Roman"/>
          <w:color w:val="000000"/>
          <w:sz w:val="22"/>
        </w:rPr>
        <w:t xml:space="preserve">, and to furnish, within three (3) business days of its receipt, a copy of such subpoena or other court order or </w:t>
      </w:r>
      <w:r>
        <w:rPr>
          <w:rFonts w:ascii="Times New Roman" w:hAnsi="Times New Roman"/>
          <w:color w:val="333333"/>
          <w:sz w:val="22"/>
        </w:rPr>
        <w:t>written request from an administrative agency or the legislature</w:t>
      </w:r>
      <w:r>
        <w:rPr>
          <w:rFonts w:ascii="Times New Roman" w:hAnsi="Times New Roman"/>
          <w:color w:val="000000"/>
          <w:sz w:val="22"/>
        </w:rPr>
        <w:t>.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Protected Activity Not Prohibited</w:t>
      </w:r>
      <w:r>
        <w:rPr>
          <w:rFonts w:ascii="Times New Roman" w:hAnsi="Times New Roman"/>
          <w:color w:val="000000"/>
          <w:sz w:val="22"/>
        </w:rPr>
        <w:t xml:space="preserve">. Executive understands that nothing in this Agreement shall in any way limit or prohibit Executive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and/or (ii) discussing or disclosing information about unlawful acts in the workplace, such as harassment or discrimination or any other conduct that Executive has reason to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52" w:after="283"/>
        <w:jc w:val="both"/>
        <w:rPr/>
      </w:pPr>
      <w:r>
        <w:rPr>
          <w:rFonts w:ascii="Times New Roman" w:hAnsi="Times New Roman"/>
          <w:color w:val="000000"/>
          <w:sz w:val="22"/>
        </w:rPr>
        <w:t xml:space="preserve">believe is unlawful. Notwithstanding the foregoing,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Protected Activity does not include the disclosure of any Company attorney-client privileged communications or attorney work product. Any language in the Confidentiality Agreement regarding Executive’s right to engage in protected conduct that conflicts with, or is contrary to, this Section is superseded by this Agreement.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hAnsi="Times New Roman"/>
          <w:i/>
          <w:color w:val="000000"/>
          <w:sz w:val="22"/>
        </w:rPr>
        <w:t xml:space="preserve">solely </w:t>
      </w:r>
      <w:r>
        <w:rPr>
          <w:rFonts w:ascii="Times New Roman" w:hAnsi="Times New Roman"/>
          <w:color w:val="000000"/>
          <w:sz w:val="22"/>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Nondisparagement</w:t>
      </w:r>
      <w:r>
        <w:rPr>
          <w:rFonts w:ascii="Times New Roman" w:hAnsi="Times New Roman"/>
          <w:color w:val="000000"/>
          <w:sz w:val="22"/>
        </w:rPr>
        <w:t>. Subject to the “Protected Activity Not Prohibited” Section below, Executive agrees to refrain from any disparaging statements about the Company or any of the other Releasees including, without limitation, the business, products, intellectual property, financial standing, future, or employment/compensation/benefit practices of the Company. The Company agrees to instruct its corporate officers and directors to refrain from making any disparaging statements about Executive. Executive shall direct any inquiries by potential future employers to the Company’s human resources department, which shall use its best efforts to provide only the Executive’s last position and dates of employment and shall state that it is Company policy to provide only that information. Nothing in this Agreement prevents Executive from discussing or disclosing information about unlawful acts in the workplace, such as harassment or discrimination or any other conduct that Executive has reason to believe is unlawful.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Breach</w:t>
      </w:r>
      <w:r>
        <w:rPr>
          <w:rFonts w:ascii="Times New Roman" w:hAnsi="Times New Roman"/>
          <w:color w:val="000000"/>
          <w:sz w:val="22"/>
        </w:rPr>
        <w:t>. In addition to the rights provided in the “Attorneys’ Fees” section below, the Parties acknowledge and agree that any proven material breach of this Agreement by either Party, unless such breach constitutes a legal action by Executive challenging or seeking a determination in good faith of the validity of the waiver herein under the ADEA, or of any provision of the Confidentiality Agreement shall entitle the prevailing Party in an arbitration to recover damages, except as otherwise provided by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No Admission of Liability</w:t>
      </w:r>
      <w:r>
        <w:rPr>
          <w:rFonts w:ascii="Times New Roman" w:hAnsi="Times New Roman"/>
          <w:color w:val="000000"/>
          <w:sz w:val="22"/>
        </w:rPr>
        <w:t>. Executive understands and acknowledges that with respect to all claims released herein, this Agreement constitutes a compromise and settlement of any and all actual or potential disputed claims by Executive unless such claims were explicitly not released by the release in this Agreement.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Executive or to any third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Costs</w:t>
      </w:r>
      <w:r>
        <w:rPr>
          <w:rFonts w:ascii="Times New Roman" w:hAnsi="Times New Roman"/>
          <w:color w:val="000000"/>
          <w:sz w:val="22"/>
        </w:rPr>
        <w:t>. The Parties shall each bear their own costs, attorneys’ fees, and other fees incurred in connection with the preparation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ARBITRATION</w:t>
      </w:r>
      <w:r>
        <w:rPr>
          <w:rFonts w:ascii="Times New Roman" w:hAnsi="Times New Roman"/>
          <w:color w:val="000000"/>
          <w:sz w:val="22"/>
        </w:rPr>
        <w:t xml:space="preserve">. EXCEPT AS PROHIBITED BY LAW, THE PARTIES AGREE THAT ANY AND ALL DISPUTES ARISING OUT OF THE TERMS OF THIS AGREEMENT, THEIR INTERPRETATION, EXECUTIVE’S EMPLOYMENT WITH THE COMPANY OR THE TERMS THEREOF, OR ANY OF THE MATTERS HEREIN RELEASED, SHALL BE SUBJECT TO ARBITRATION PURSUANT TO THE FEDERAL ARBITRATION ACT (THE “FAA”) AND THAT THE FAA SHALL GOVERN AND APPLY TO THIS ARBITRATION AGREEMENT WITH FULL FORCE AND EFFECT; HOWEVER, WITHOUT LIMITING ANY PROVISIONS OF THE FAA, A MOTION OR PETITION OR ACTION TO COMPEL ARBITRATION MAY ALSO BE BROUGHT IN STATE COURT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UNDER THE PROCEDURAL PROVISIONS OF SUCH STATE’S LAWS RELATING TO MOTIONS OR PETITIONS OR ACTIONS TO COMPEL ARBITRATION. EXECUTIVE AGREES THAT, TO THE FULLEST EXTENT PERMITTED BY LAW, EXECUTIVE MAY BRING ANY SUCH ARBITRATION PROCEEDING ONLY IN EXECUTIVE’S INDIVIDUAL CAPACITY. ANY ARBITRATION WILL OCCUR IN SAN MATEO COUNTY,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THE PARTIES AGREE THAT THIS ARBITRATION AGREEMENT IN THIS SECTION SHALL GOVERN.</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Tax Consequences</w:t>
      </w:r>
      <w:r>
        <w:rPr>
          <w:rFonts w:ascii="Times New Roman" w:hAnsi="Times New Roman"/>
          <w:color w:val="000000"/>
          <w:sz w:val="22"/>
        </w:rPr>
        <w:t>.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Releasees harmless from any claims, demands, deficiencies, penalties, interest, assessments, executions, judgments, or recoveries by any government agency against the Company for any amounts claimed due on account of Executive’s failure to pay or delayed payment of federal or state taxes, including attorneys’ fees and costs. The Parties agree and acknowledge that the payments made pursuant to Section 1 of this Agreement are not related to sexual harassment or sexual abuse and not intended to fall within the scope of 26 U.S.C. Section 162(q). Section 6 of the CIC Agreement is incorporated herein by reference and made a part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Section 409A.</w:t>
      </w:r>
      <w:r>
        <w:rPr>
          <w:color w:val="000000"/>
        </w:rPr>
        <w:t xml:space="preserve"> </w:t>
      </w:r>
      <w:r>
        <w:rPr>
          <w:rFonts w:ascii="Times New Roman" w:hAnsi="Times New Roman"/>
          <w:color w:val="000000"/>
          <w:sz w:val="22"/>
        </w:rPr>
        <w:t xml:space="preserve">It is intended that this Agreement comply with, or be exempt from, Internal Revenue Code Section 409A and the Treasury Regulations and guidance thereunder, and any applicable state law equivalent, as each may be promulgated, amended or modified from time to time (“Section 409A”), and any ambiguities or ambiguous terms herein will be interpreted to so comply and/or be exempt from Section 409A. Each payment and benefit to be paid or provided under this Agreement is intended to constitute a series of separate payments for purposes of Section 1.409A-2(b)(2) of the Treasury Regulations. Section 5(d) of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CIC Agreement is incorporated herein by reference and made a part of this Agreement. Payments under Section 1.a. of this Agreement will be made no later than March 15, 2025. The Company and Executive will work together in good faith to consider either (i) amendments to this Agreement; or (ii) revisions to this Agreement with respect to the payment or benefits, which are necessary or appropriate to avoid imposition of any additional tax or income recognition prior to the actual payment to Executive under Section 409A. In no event will Executive have any discretion to choose Executive’s taxable year in which any payments or benefits are provide this Agreement. In no event will the Releasees have any responsibility, liability or obligation to reimburse, indemnify or hold harmless Executive for any taxes imposed, or other costs incurred, as a result of Section 409A.</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Authority</w:t>
      </w:r>
      <w:r>
        <w:rPr>
          <w:rFonts w:ascii="Times New Roman" w:hAnsi="Times New Roman"/>
          <w:color w:val="000000"/>
          <w:sz w:val="22"/>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Severability</w:t>
      </w:r>
      <w:r>
        <w:rPr>
          <w:rFonts w:ascii="Times New Roman" w:hAnsi="Times New Roman"/>
          <w:color w:val="000000"/>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Attorneys’ Fees</w:t>
      </w:r>
      <w:r>
        <w:rPr>
          <w:rFonts w:ascii="Times New Roman" w:hAnsi="Times New Roman"/>
          <w:color w:val="000000"/>
          <w:sz w:val="22"/>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Entire Agreement</w:t>
      </w:r>
      <w:r>
        <w:rPr>
          <w:rFonts w:ascii="Times New Roman" w:hAnsi="Times New Roman"/>
          <w:color w:val="000000"/>
          <w:sz w:val="22"/>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without limitation the Offer Letter and the CIC Agreement (except as expressly provided otherwise herein), but excluding the Confidentiality Agreement and the Award Documents except as otherwise modified or superseded 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No Oral Modification</w:t>
      </w:r>
      <w:r>
        <w:rPr>
          <w:rFonts w:ascii="Times New Roman" w:hAnsi="Times New Roman"/>
          <w:color w:val="000000"/>
          <w:sz w:val="22"/>
        </w:rPr>
        <w:t>. This Agreement may only be amended in a writing signed by Executive and the Company’s Chief Executive Officer.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Governing Law</w:t>
      </w:r>
      <w:r>
        <w:rPr>
          <w:rFonts w:ascii="Times New Roman" w:hAnsi="Times New Roman"/>
          <w:color w:val="000000"/>
          <w:sz w:val="22"/>
        </w:rPr>
        <w:t>. This Agreement shall be governed by the laws of the State of California, without regard for choice-of-law provisions, except that any dispute regarding the enforceability of the arbitration section of this Agreement shall be governed by the FAA. Executive consents to personal and exclusive jurisdiction and venue in the State of California.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Effective Date</w:t>
      </w:r>
      <w:r>
        <w:rPr>
          <w:rFonts w:ascii="Times New Roman" w:hAnsi="Times New Roman"/>
          <w:color w:val="000000"/>
          <w:sz w:val="22"/>
        </w:rPr>
        <w:t>. Executive understands that this Agreement shall be null and void if not executed by Executive within twenty-one (21) days. Executive has seven (7) days after he signs this Agreement to revoke it. This Agreement will become effective on the eighth (8th) day after Executive signed this Agreement, so long as it has been signed by the Parties and has not been revoked by Executive before that date (the “Effective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Successors and Assigns</w:t>
      </w:r>
      <w:r>
        <w:rPr>
          <w:rFonts w:ascii="Times New Roman" w:hAnsi="Times New Roman"/>
          <w:color w:val="000000"/>
          <w:sz w:val="22"/>
        </w:rPr>
        <w:t xml:space="preserve">. This Agreement is binding upon, enforceable by, and shall inure to the benefit of the Parties and their respective heirs, executors, administrators, legal representatives, officers, directors, partners, members, owners, parents, subsidiaries, affiliates, related companies, successors and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assigns.</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color w:val="000000"/>
          <w:sz w:val="22"/>
          <w:u w:val="single"/>
        </w:rPr>
        <w:t>Voluntary Execution of Agreement</w:t>
      </w:r>
      <w:r>
        <w:rPr>
          <w:rFonts w:ascii="Times New Roman" w:hAnsi="Times New Roman"/>
          <w:color w:val="000000"/>
          <w:sz w:val="22"/>
        </w:rPr>
        <w:t>. The Parties understand and agree that they have executed this Agreement voluntarily and without any duress or undue influence on the part or behalf of the other Party or any third party, with the full intent of releasing claims as set forth in this Agreement. The Parties acknowledge that: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They have read this Agreement;</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They have been represented in the preparation, negotiation, and execution of this Agreement by legal counsel of their own choice or have elected not to retain legal counsel;</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They understand the terms and consequences of this Agreement and of the releases it contains;</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They are fully aware of the legal and binding effect of this Agreement; and</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They have not relied upon any representations or statements made by the other Party that are not specifically set forth in this Agreement.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REMAINDER OF THIS PAGE IS INTENTIONALLY LEFT BLANK; SIGNATURE PAGE FOLLOWS</w:t>
      </w:r>
    </w:p>
    <w:p>
      <w:pPr>
        <w:pStyle w:val="TextBody"/>
        <w:bidi w:val="0"/>
        <w:jc w:val="left"/>
        <w:rPr/>
      </w:pPr>
      <w:r>
        <w:rPr/>
        <w:t> </w:t>
      </w:r>
    </w:p>
    <w:p>
      <w:pPr>
        <w:pStyle w:val="TextBody"/>
        <w:bidi w:val="0"/>
        <w:spacing w:before="82" w:after="283"/>
        <w:jc w:val="left"/>
        <w:rPr/>
      </w:pPr>
      <w:r>
        <w:rPr/>
        <w:t> </w:t>
      </w: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WITNESS WHEREOF, the Parties have executed this Agreement on the respective dates set forth below.</w:t>
      </w:r>
    </w:p>
    <w:p>
      <w:pPr>
        <w:pStyle w:val="TextBody"/>
        <w:bidi w:val="0"/>
        <w:spacing w:before="240"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PETER GARCIA, an individual</w:t>
      </w:r>
    </w:p>
    <w:p>
      <w:pPr>
        <w:pStyle w:val="TextBody"/>
        <w:bidi w:val="0"/>
        <w:spacing w:before="63" w:after="283"/>
        <w:jc w:val="left"/>
        <w:rPr/>
      </w:pPr>
      <w:r>
        <w:rPr/>
        <w:t> </w:t>
      </w:r>
    </w:p>
    <w:p>
      <w:pPr>
        <w:pStyle w:val="TextBody"/>
        <w:bidi w:val="0"/>
        <w:jc w:val="left"/>
        <w:rPr/>
      </w:pPr>
      <w:r>
        <w:rPr/>
        <w:t> </w:t>
      </w:r>
    </w:p>
    <w:p>
      <w:pPr>
        <w:pStyle w:val="TextBody"/>
        <w:bidi w:val="0"/>
        <w:spacing w:before="198" w:after="283"/>
        <w:jc w:val="left"/>
        <w:rPr>
          <w:rFonts w:ascii="Times New Roman" w:hAnsi="Times New Roman"/>
          <w:sz w:val="20"/>
        </w:rPr>
      </w:pPr>
      <w:bookmarkStart w:id="45" w:name="dated_____________________2024"/>
      <w:bookmarkEnd w:id="45"/>
      <w:r>
        <w:rPr>
          <w:rFonts w:ascii="Times New Roman" w:hAnsi="Times New Roman"/>
          <w:color w:val="000000"/>
          <w:sz w:val="22"/>
        </w:rPr>
        <w:t xml:space="preserve">Dated: November 8, 2024 </w:t>
      </w:r>
      <w:r>
        <w:rPr>
          <w:rFonts w:ascii="Times New Roman" w:hAnsi="Times New Roman"/>
          <w:color w:val="000000"/>
          <w:sz w:val="22"/>
          <w:u w:val="single"/>
        </w:rPr>
        <w:t xml:space="preserve">/s/ Peter Garcia </w:t>
      </w:r>
    </w:p>
    <w:p>
      <w:pPr>
        <w:pStyle w:val="TextBody"/>
        <w:bidi w:val="0"/>
        <w:jc w:val="left"/>
        <w:rPr>
          <w:rFonts w:ascii="Times New Roman" w:hAnsi="Times New Roman"/>
          <w:color w:val="000000"/>
          <w:sz w:val="22"/>
        </w:rPr>
      </w:pPr>
      <w:r>
        <w:rPr>
          <w:rFonts w:ascii="Times New Roman" w:hAnsi="Times New Roman"/>
          <w:color w:val="000000"/>
          <w:sz w:val="22"/>
        </w:rPr>
        <w:t>Peter Garcia</w:t>
      </w:r>
    </w:p>
    <w:p>
      <w:pPr>
        <w:pStyle w:val="TextBody"/>
        <w:bidi w:val="0"/>
        <w:jc w:val="left"/>
        <w:rPr/>
      </w:pPr>
      <w:r>
        <w:rPr/>
        <w:t> </w:t>
      </w:r>
    </w:p>
    <w:p>
      <w:pPr>
        <w:pStyle w:val="TextBody"/>
        <w:bidi w:val="0"/>
        <w:jc w:val="left"/>
        <w:rPr/>
      </w:pPr>
      <w:r>
        <w:rPr/>
        <w:t> </w:t>
      </w:r>
    </w:p>
    <w:p>
      <w:pPr>
        <w:pStyle w:val="TextBody"/>
        <w:bidi w:val="0"/>
        <w:spacing w:before="239"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ALX ONCOLOGY HOLDINGS INC.</w:t>
      </w:r>
    </w:p>
    <w:p>
      <w:pPr>
        <w:pStyle w:val="TextBody"/>
        <w:bidi w:val="0"/>
        <w:jc w:val="left"/>
        <w:rPr/>
      </w:pPr>
      <w:r>
        <w:rPr/>
        <w:t> </w:t>
      </w:r>
    </w:p>
    <w:p>
      <w:pPr>
        <w:pStyle w:val="TextBody"/>
        <w:bidi w:val="0"/>
        <w:spacing w:before="59" w:after="283"/>
        <w:jc w:val="left"/>
        <w:rPr/>
      </w:pPr>
      <w:r>
        <w:rPr/>
        <w:t> </w:t>
      </w:r>
    </w:p>
    <w:p>
      <w:pPr>
        <w:pStyle w:val="TextBody"/>
        <w:bidi w:val="0"/>
        <w:spacing w:before="46" w:after="283"/>
        <w:jc w:val="left"/>
        <w:rPr>
          <w:rFonts w:ascii="Times New Roman" w:hAnsi="Times New Roman"/>
          <w:sz w:val="20"/>
        </w:rPr>
      </w:pPr>
      <w:r>
        <w:rPr>
          <w:rFonts w:ascii="Times New Roman" w:hAnsi="Times New Roman"/>
          <w:color w:val="000000"/>
          <w:sz w:val="22"/>
        </w:rPr>
        <w:t xml:space="preserve">Dated: November 8, 2024 By </w:t>
      </w:r>
      <w:r>
        <w:rPr>
          <w:rFonts w:ascii="Times New Roman" w:hAnsi="Times New Roman"/>
          <w:color w:val="000000"/>
          <w:sz w:val="22"/>
          <w:u w:val="single"/>
        </w:rPr>
        <w:t xml:space="preserve">/s/ Jason Lettmann </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Jason Lettmann</w:t>
      </w:r>
    </w:p>
    <w:p>
      <w:pPr>
        <w:pStyle w:val="TextBody"/>
        <w:bidi w:val="0"/>
        <w:jc w:val="left"/>
        <w:rPr>
          <w:rFonts w:ascii="Times New Roman" w:hAnsi="Times New Roman"/>
          <w:color w:val="000000"/>
          <w:sz w:val="22"/>
        </w:rPr>
      </w:pPr>
      <w:r>
        <w:rPr>
          <w:rFonts w:ascii="Times New Roman" w:hAnsi="Times New Roman"/>
          <w:color w:val="000000"/>
          <w:sz w:val="22"/>
        </w:rPr>
        <w:t>Chief Executive Officer</w:t>
      </w: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86" w:after="283"/>
        <w:jc w:val="center"/>
        <w:rPr>
          <w:rFonts w:ascii="Times New Roman" w:hAnsi="Times New Roman"/>
          <w:b/>
          <w:color w:val="000000"/>
          <w:sz w:val="22"/>
          <w:u w:val="single"/>
        </w:rPr>
      </w:pPr>
      <w:r>
        <w:rPr>
          <w:rFonts w:ascii="Times New Roman" w:hAnsi="Times New Roman"/>
          <w:b/>
          <w:color w:val="000000"/>
          <w:sz w:val="22"/>
          <w:u w:val="single"/>
        </w:rPr>
        <w:t>SCHEDULE I</w:t>
      </w:r>
    </w:p>
    <w:p>
      <w:pPr>
        <w:pStyle w:val="TextBody"/>
        <w:bidi w:val="0"/>
        <w:spacing w:before="1"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[Schedule I has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left"/>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right"/>
        <w:rPr/>
      </w:pPr>
      <w:bookmarkStart w:id="46" w:name="alxo-ex10_19.htm"/>
      <w:bookmarkStart w:id="47" w:name="ksalxoex10_19"/>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10.19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ALX ONCOLOGY HOLDINGS INC.</w:t>
        <w:br/>
        <w:br/>
        <w:t>OUTSIDE DIRECTOR COMPENSATION POLICY</w:t>
        <w:br/>
        <w:br/>
        <w:t>(as most recently amended and restated effective as of January 16, 2025 (the “Restatement Date”))</w:t>
      </w:r>
    </w:p>
    <w:p>
      <w:pPr>
        <w:pStyle w:val="TextBody"/>
        <w:bidi w:val="0"/>
        <w:spacing w:before="0" w:after="240"/>
        <w:jc w:val="both"/>
        <w:rPr>
          <w:rFonts w:ascii="Times New Roman" w:hAnsi="Times New Roman"/>
          <w:sz w:val="20"/>
        </w:rPr>
      </w:pPr>
      <w:r>
        <w:rPr>
          <w:rFonts w:ascii="Times New Roman" w:hAnsi="Times New Roman"/>
          <w:color w:val="000000"/>
          <w:sz w:val="24"/>
        </w:rPr>
        <w:t>ALX Oncology Holdings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believes that the granting of equity and cash compensation to members of the Company’s Board of Directors (the “</w:t>
      </w:r>
      <w:r>
        <w:rPr>
          <w:rFonts w:ascii="Times New Roman" w:hAnsi="Times New Roman"/>
          <w:color w:val="000000"/>
          <w:sz w:val="24"/>
          <w:u w:val="single"/>
        </w:rPr>
        <w:t>Board</w:t>
      </w:r>
      <w:r>
        <w:rPr>
          <w:rFonts w:ascii="Times New Roman" w:hAnsi="Times New Roman"/>
          <w:color w:val="000000"/>
          <w:sz w:val="24"/>
        </w:rPr>
        <w:t>,” and members of the Board, “</w:t>
      </w:r>
      <w:r>
        <w:rPr>
          <w:rFonts w:ascii="Times New Roman" w:hAnsi="Times New Roman"/>
          <w:color w:val="000000"/>
          <w:sz w:val="24"/>
          <w:u w:val="single"/>
        </w:rPr>
        <w:t>Directors</w:t>
      </w:r>
      <w:r>
        <w:rPr>
          <w:rFonts w:ascii="Times New Roman" w:hAnsi="Times New Roman"/>
          <w:color w:val="000000"/>
          <w:sz w:val="20"/>
        </w:rPr>
        <w:t>”</w:t>
      </w:r>
      <w:r>
        <w:rPr>
          <w:rFonts w:ascii="Times New Roman" w:hAnsi="Times New Roman"/>
          <w:color w:val="000000"/>
          <w:sz w:val="24"/>
        </w:rPr>
        <w:t>) represents a powerful tool to attract, retain and reward Directors who are not employees of the Company (“</w:t>
      </w:r>
      <w:r>
        <w:rPr>
          <w:rFonts w:ascii="Times New Roman" w:hAnsi="Times New Roman"/>
          <w:color w:val="000000"/>
          <w:sz w:val="24"/>
          <w:u w:val="single"/>
        </w:rPr>
        <w:t>Outside Directors</w:t>
      </w:r>
      <w:r>
        <w:rPr>
          <w:rFonts w:ascii="Times New Roman" w:hAnsi="Times New Roman"/>
          <w:color w:val="000000"/>
          <w:sz w:val="20"/>
        </w:rPr>
        <w:t>”</w:t>
      </w:r>
      <w:r>
        <w:rPr>
          <w:rFonts w:ascii="Times New Roman" w:hAnsi="Times New Roman"/>
          <w:color w:val="000000"/>
          <w:sz w:val="24"/>
        </w:rPr>
        <w:t>). This Outside Director Compensation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Amended and Restated 2020 Equity Incentive Plan, as amended from time to time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or if the Plan no longer is in use at the time of the grant of an equity award, the meaning given such term or similar term in the equity plan then in place under which the equity award is granted. Outside Directors will be solely responsible for any tax obligations they incur as a result of the cash and equity compensation received under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Effective Date</w:t>
      </w:r>
      <w:r>
        <w:rPr>
          <w:rFonts w:ascii="Times New Roman" w:hAnsi="Times New Roman"/>
          <w:color w:val="000000"/>
          <w:sz w:val="24"/>
        </w:rPr>
        <w:t>. This Policy, as initially adopted and prior to any subsequent amendments and restatements, became effective as of the effective date of the first registration statement that was filed by the Company and declared effective pursuant to Section 12(b) of the U.S. Securities Exchange Act of 1934, as amended, with respect to any class of the Company’s securities (the effective date of such registration statement, the “</w:t>
      </w:r>
      <w:r>
        <w:rPr>
          <w:rFonts w:ascii="Times New Roman" w:hAnsi="Times New Roman"/>
          <w:color w:val="000000"/>
          <w:sz w:val="24"/>
          <w:u w:val="single"/>
        </w:rPr>
        <w:t>Registration Date</w:t>
      </w:r>
      <w:r>
        <w:rPr>
          <w:color w:val="000000"/>
        </w:rPr>
        <w:t>”</w:t>
      </w:r>
      <w:r>
        <w:rPr>
          <w:rFonts w:ascii="Times New Roman" w:hAnsi="Times New Roman"/>
          <w:color w:val="000000"/>
          <w:sz w:val="24"/>
        </w:rPr>
        <w:t>). This Policy, as most recently amended and restated, is effective as of the Restatement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Cash 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Board Member Annual Cash Retainer</w:t>
      </w:r>
      <w:r>
        <w:rPr>
          <w:rFonts w:ascii="Times New Roman" w:hAnsi="Times New Roman"/>
          <w:color w:val="000000"/>
          <w:sz w:val="24"/>
        </w:rPr>
        <w:t>. Each Outside Director will be paid an annual cash retainer of $40,000. There are no per</w:t>
        <w:noBreakHyphen/>
        <w:t>meeting attendance fees for attending Board meetings or meetings of any committee of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Board Committee Annual Cash Retainer</w:t>
      </w:r>
      <w:r>
        <w:rPr>
          <w:rFonts w:ascii="Times New Roman" w:hAnsi="Times New Roman"/>
          <w:color w:val="000000"/>
          <w:sz w:val="24"/>
        </w:rPr>
        <w:t>. As of the Restatement Date, each Outside Director who serves as the non</w:t>
        <w:noBreakHyphen/>
        <w:t>employee chair of the Board, or the chair or a member of a committee of the Board will be eligible to earn additional annual fees as follows:</w:t>
      </w:r>
    </w:p>
    <w:tbl>
      <w:tblPr>
        <w:tblW w:w="6812" w:type="dxa"/>
        <w:jc w:val="left"/>
        <w:tblInd w:w="0" w:type="dxa"/>
        <w:tblLayout w:type="fixed"/>
        <w:tblCellMar>
          <w:top w:w="28" w:type="dxa"/>
          <w:left w:w="28" w:type="dxa"/>
          <w:bottom w:w="28" w:type="dxa"/>
          <w:right w:w="28" w:type="dxa"/>
        </w:tblCellMar>
      </w:tblPr>
      <w:tblGrid>
        <w:gridCol w:w="5881"/>
        <w:gridCol w:w="931"/>
      </w:tblGrid>
      <w:tr>
        <w:trPr/>
        <w:tc>
          <w:tcPr>
            <w:tcW w:w="58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Non-employee Chair of the Board:</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$35,000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Audit Committee Chair: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$20,000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Audit Committee Member: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$7,500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Compensation Committee Chair: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$12,000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Compensation Committee Member: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$6,000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Corporate Governance and Nominating Committee Chair: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$10,000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Corporate Governance and Nominating Committee Member: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$5,000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Research and Development Committee Chair: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$10,000</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52" w:type="dxa"/>
        <w:jc w:val="left"/>
        <w:tblInd w:w="0" w:type="dxa"/>
        <w:tblLayout w:type="fixed"/>
        <w:tblCellMar>
          <w:top w:w="28" w:type="dxa"/>
          <w:left w:w="28" w:type="dxa"/>
          <w:bottom w:w="28" w:type="dxa"/>
          <w:right w:w="28" w:type="dxa"/>
        </w:tblCellMar>
      </w:tblPr>
      <w:tblGrid>
        <w:gridCol w:w="4741"/>
        <w:gridCol w:w="811"/>
      </w:tblGrid>
      <w:tr>
        <w:trPr/>
        <w:tc>
          <w:tcPr>
            <w:tcW w:w="47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74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Research and Development Committee Member:</w:t>
            </w:r>
          </w:p>
        </w:tc>
        <w:tc>
          <w:tcPr>
            <w:tcW w:w="81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$5,000</w:t>
            </w:r>
          </w:p>
        </w:tc>
      </w:tr>
    </w:tbl>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clarity, each Outside Director who serves as the chair of a committee will not receive both the additional annual fee as the chair of the committee and the additional annual fee as a member of the committee, provided, for clarity, that the Outside Director who serves as the non</w:t>
        <w:noBreakHyphen/>
        <w:t>employee chair of the Board will receive the annual fee for services provided in such role as well as the annual fee as an Outside Director.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Payment Timing and Proration</w:t>
      </w:r>
      <w:r>
        <w:rPr>
          <w:rFonts w:ascii="Times New Roman" w:hAnsi="Times New Roman"/>
          <w:color w:val="000000"/>
          <w:sz w:val="24"/>
        </w:rPr>
        <w:t>. Each annual cash retainer under this Policy will be paid quarterly in arrears on a prorated basis to each Outside Director who has served in the relevant capacity during the applicable fiscal quarter of the Company (“</w:t>
      </w:r>
      <w:r>
        <w:rPr>
          <w:rFonts w:ascii="Times New Roman" w:hAnsi="Times New Roman"/>
          <w:color w:val="000000"/>
          <w:sz w:val="24"/>
          <w:u w:val="single"/>
        </w:rPr>
        <w:t>Fiscal Quarter</w:t>
      </w:r>
      <w:r>
        <w:rPr>
          <w:color w:val="000000"/>
        </w:rPr>
        <w:t>”</w:t>
      </w:r>
      <w:r>
        <w:rPr>
          <w:rFonts w:ascii="Times New Roman" w:hAnsi="Times New Roman"/>
          <w:color w:val="000000"/>
          <w:sz w:val="24"/>
        </w:rPr>
        <w:t>), and such payment will be made no later than thirty (30) days following the end of such Fiscal Quarter. For clarity, an Outside Director who has served as an Outside Director, as a member of an applicable committee (or chair thereof), or as the non-employee chair of the Board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Equity Compensation</w:t>
      </w:r>
      <w:r>
        <w:rPr>
          <w:rFonts w:ascii="Times New Roman" w:hAnsi="Times New Roman"/>
          <w:color w:val="000000"/>
          <w:sz w:val="24"/>
        </w:rPr>
        <w:t>. Outside Directors will be entitled to receive all types of Awards (except Incentive Stock Options) under the Plan, including discretionary Awards not covered under this Policy. All grants of Awards to Outside Directors pursuant to Sections 3(b) and 3(c) of this Policy will be automatic and nondiscretionary, except as otherwise provided herein, and will be made in accordance with the following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 Discretion</w:t>
      </w:r>
      <w:r>
        <w:rPr>
          <w:rFonts w:ascii="Times New Roman" w:hAnsi="Times New Roman"/>
          <w:color w:val="000000"/>
          <w:sz w:val="24"/>
        </w:rPr>
        <w:t>. No person will have any discretion to select which Outside Directors will be granted an Initial Award or Annual Awards (as defined below) under this Policy or to determine the number of Shares to be covered by such Awards (except as provided in Section 11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Initial Awards</w:t>
      </w:r>
      <w:r>
        <w:rPr>
          <w:rFonts w:ascii="Times New Roman" w:hAnsi="Times New Roman"/>
          <w:color w:val="000000"/>
          <w:sz w:val="24"/>
        </w:rPr>
        <w:t>. Each individual who first becomes an Outside Director following the Restatement Date automatically will be granted an Option (an “</w:t>
      </w:r>
      <w:r>
        <w:rPr>
          <w:rFonts w:ascii="Times New Roman" w:hAnsi="Times New Roman"/>
          <w:color w:val="000000"/>
          <w:sz w:val="24"/>
          <w:u w:val="single"/>
        </w:rPr>
        <w:t>Initial Award</w:t>
      </w:r>
      <w:r>
        <w:rPr>
          <w:color w:val="000000"/>
        </w:rPr>
        <w:t>”</w:t>
      </w:r>
      <w:r>
        <w:rPr>
          <w:rFonts w:ascii="Times New Roman" w:hAnsi="Times New Roman"/>
          <w:color w:val="000000"/>
          <w:sz w:val="24"/>
        </w:rPr>
        <w:t>) to purchase 40,400 Shares. The grant date of the Initial Award will be the first Trading Day on or after the date on which such individual first becomes an Outside Director (such first date as an Outside Director, the “</w:t>
      </w:r>
      <w:r>
        <w:rPr>
          <w:rFonts w:ascii="Times New Roman" w:hAnsi="Times New Roman"/>
          <w:color w:val="000000"/>
          <w:sz w:val="24"/>
          <w:u w:val="single"/>
        </w:rPr>
        <w:t>Initial Start Date</w:t>
      </w:r>
      <w:r>
        <w:rPr>
          <w:color w:val="000000"/>
        </w:rPr>
        <w:t>”</w:t>
      </w:r>
      <w:r>
        <w:rPr>
          <w:rFonts w:ascii="Times New Roman" w:hAnsi="Times New Roman"/>
          <w:color w:val="000000"/>
          <w:sz w:val="24"/>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1/36</w:t>
      </w:r>
      <w:r>
        <w:rPr>
          <w:rFonts w:ascii="Times New Roman" w:hAnsi="Times New Roman"/>
          <w:color w:val="000000"/>
          <w:sz w:val="16"/>
        </w:rPr>
        <w:t>th</w:t>
      </w:r>
      <w:r>
        <w:rPr>
          <w:color w:val="000000"/>
        </w:rPr>
        <w:t xml:space="preserve"> </w:t>
      </w:r>
      <w:r>
        <w:rPr>
          <w:rFonts w:ascii="Times New Roman" w:hAnsi="Times New Roman"/>
          <w:color w:val="000000"/>
          <w:sz w:val="24"/>
        </w:rPr>
        <w:t>of the Shares subject at grant to the Initial Award on a monthly basis following the Initial Award’s grant date on the same day of the month as such grant date (or the last day of the month, if there is no corresponding day in such month), subject to the Outside Director remaining a Service Provider through the applicable vesting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Annual Award</w:t>
      </w:r>
      <w:r>
        <w:rPr>
          <w:rFonts w:ascii="Times New Roman" w:hAnsi="Times New Roman"/>
          <w:color w:val="000000"/>
          <w:sz w:val="24"/>
        </w:rPr>
        <w:t>. On the first Trading Day immediately following each Annual Meeting of the Company’s stockholders (an “</w:t>
      </w:r>
      <w:r>
        <w:rPr>
          <w:rFonts w:ascii="Times New Roman" w:hAnsi="Times New Roman"/>
          <w:color w:val="000000"/>
          <w:sz w:val="24"/>
          <w:u w:val="single"/>
        </w:rPr>
        <w:t>Annual Meeting</w:t>
      </w:r>
      <w:r>
        <w:rPr>
          <w:color w:val="000000"/>
        </w:rPr>
        <w:t>”</w:t>
      </w:r>
      <w:r>
        <w:rPr>
          <w:rFonts w:ascii="Times New Roman" w:hAnsi="Times New Roman"/>
          <w:color w:val="000000"/>
          <w:sz w:val="24"/>
        </w:rPr>
        <w:t>) that occurs after the Restatement Date, each Outside Director automatically will be granted an Option (the “</w:t>
      </w:r>
      <w:r>
        <w:rPr>
          <w:rFonts w:ascii="Times New Roman" w:hAnsi="Times New Roman"/>
          <w:color w:val="000000"/>
          <w:sz w:val="24"/>
          <w:u w:val="single"/>
        </w:rPr>
        <w:t>Annual Award</w:t>
      </w:r>
      <w:r>
        <w:rPr>
          <w:color w:val="000000"/>
        </w:rPr>
        <w:t>”</w:t>
      </w:r>
      <w:r>
        <w:rPr>
          <w:rFonts w:ascii="Times New Roman" w:hAnsi="Times New Roman"/>
          <w:color w:val="000000"/>
          <w:sz w:val="24"/>
        </w:rPr>
        <w:t xml:space="preserve">) to purchase 40,400 Shares, provided, however, that if an individual commenced service as an Outside Director after the date of the Annual Meeting that occurred immediately before such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Annual Meeting, then the Annual Award granted to such Outside Director will be prorated based on the number of whole months that the individual served as an Outside Director prior to the Annual Award’s grant date during the 12 month period immediately preceding such Annual Meeting (with any resulting fractional Share rounded down to the nearest whole Share). The Annual Award will be scheduled to vest as to 1/12</w:t>
      </w:r>
      <w:r>
        <w:rPr>
          <w:rFonts w:ascii="Times New Roman" w:hAnsi="Times New Roman"/>
          <w:color w:val="000000"/>
          <w:sz w:val="16"/>
        </w:rPr>
        <w:t>th</w:t>
      </w:r>
      <w:r>
        <w:rPr>
          <w:color w:val="000000"/>
        </w:rPr>
        <w:t xml:space="preserve"> </w:t>
      </w:r>
      <w:r>
        <w:rPr>
          <w:rFonts w:ascii="Times New Roman" w:hAnsi="Times New Roman"/>
          <w:color w:val="000000"/>
          <w:sz w:val="24"/>
        </w:rPr>
        <w:t>of the Shares subject at grant to the Annual Award on a monthly basis following the Annual Award’s grant date on the same day of the month as such grant date (or the last day of the month, if there is no corresponding day in such month), or if earlier, the day before the date of the next Annual Meeting that occurs after the grant date of the Annual Award, subject to the Outside Director remaining a Service Provider through the applicable vesting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Additional Terms of Initial Awards and Annual Awards</w:t>
      </w:r>
      <w:r>
        <w:rPr>
          <w:rFonts w:ascii="Times New Roman" w:hAnsi="Times New Roman"/>
          <w:color w:val="000000"/>
          <w:sz w:val="24"/>
        </w:rPr>
        <w:t>. The terms and conditions of each Initial Award and Annual Award will be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 of each Initial Award and Annual Award will be 10 years, subject to earlier termination as provided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Initial Award and Annual Award will have a per Share exercise price equal to 100% of the Fair Market Value per Share on the grant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Change in Control</w:t>
      </w:r>
      <w:r>
        <w:rPr>
          <w:rFonts w:ascii="Times New Roman" w:hAnsi="Times New Roman"/>
          <w:color w:val="000000"/>
          <w:sz w:val="24"/>
        </w:rPr>
        <w:t>. In the event of a Change in Control, each Outside Director will fully vest in their outstanding Company equity awards, including any Initial Award and Annual Award, provided that the Outside Director continues to be an Outside Director through the date of such 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Annual Compensation Limit</w:t>
      </w:r>
      <w:r>
        <w:rPr>
          <w:rFonts w:ascii="Times New Roman" w:hAnsi="Times New Roman"/>
          <w:color w:val="000000"/>
          <w:sz w:val="24"/>
        </w:rPr>
        <w:t>. No Outside Director may be granted Awards with Values, and be provided any other compensation (including without limitation any cash retainers or fees) with amounts that, in any Fiscal Year, in the aggregate, exceed $1,000,000. Any Awards or other compensation provided to an individual (a) for their services as an Employee, or for their services as a Consultant other than as an Outside Director, or (b) before the Registration Date, will be excluded for purposes of this Section 5. For purposes of this Policy, “</w:t>
      </w:r>
      <w:r>
        <w:rPr>
          <w:rFonts w:ascii="Times New Roman" w:hAnsi="Times New Roman"/>
          <w:color w:val="000000"/>
          <w:sz w:val="24"/>
          <w:u w:val="single"/>
        </w:rPr>
        <w:t>Value</w:t>
      </w:r>
      <w:r>
        <w:rPr>
          <w:color w:val="000000"/>
        </w:rPr>
        <w:t xml:space="preserve">” </w:t>
      </w:r>
      <w:r>
        <w:rPr>
          <w:rFonts w:ascii="Times New Roman" w:hAnsi="Times New Roman"/>
          <w:color w:val="000000"/>
          <w:sz w:val="24"/>
        </w:rPr>
        <w:t>means grant date fair value determined in accordance with U.S. generally accepted accounting principles.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Travel Expenses</w:t>
      </w:r>
      <w:r>
        <w:rPr>
          <w:rFonts w:ascii="Times New Roman" w:hAnsi="Times New Roman"/>
          <w:color w:val="000000"/>
          <w:sz w:val="24"/>
        </w:rPr>
        <w:t>. Each Outside Director’s reasonable, customary and documented travel expenses to meetings of the Board and its committees, as applicable, will be reimbursed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Additional Provisions</w:t>
      </w:r>
      <w:r>
        <w:rPr>
          <w:rFonts w:ascii="Times New Roman" w:hAnsi="Times New Roman"/>
          <w:color w:val="000000"/>
          <w:sz w:val="24"/>
        </w:rPr>
        <w:t>. All provisions of the Plan not inconsistent with this Policy will apply to Awards granted to Outside Directors. Each Award granted under this Policy will be granted under the Plan and will be subject to the applicable Award Agreement adopted by the Board or its Compensation Committee for use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Adjustments</w:t>
      </w:r>
      <w:r>
        <w:rPr>
          <w:rFonts w:ascii="Times New Roman" w:hAnsi="Times New Roman"/>
          <w:color w:val="000000"/>
          <w:sz w:val="24"/>
        </w:rPr>
        <w:t xml:space="preserve">.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ordinary dividends or other ordinary distributions), the Administrator, in order to prevent diminution or enlargement of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benefits or potential benefits intended to be made available under this Policy, will adjust the number, class, and price of shares of stock issuable pursuant to Awards granted under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Section 409A</w:t>
      </w:r>
      <w:r>
        <w:rPr>
          <w:rFonts w:ascii="Times New Roman" w:hAnsi="Times New Roman"/>
          <w:color w:val="000000"/>
          <w:sz w:val="24"/>
        </w:rPr>
        <w:t>. In no event will cash compensation or expense reimbursement payments under this Policy be paid after the later of (i) the fifteenth (15</w:t>
      </w:r>
      <w:r>
        <w:rPr>
          <w:rFonts w:ascii="Times New Roman" w:hAnsi="Times New Roman"/>
          <w:color w:val="000000"/>
          <w:sz w:val="16"/>
        </w:rPr>
        <w:t>th</w:t>
      </w:r>
      <w:r>
        <w:rPr>
          <w:rFonts w:ascii="Times New Roman" w:hAnsi="Times New Roman"/>
          <w:color w:val="000000"/>
          <w:sz w:val="24"/>
        </w:rPr>
        <w:t>) day of the third (3</w:t>
      </w:r>
      <w:r>
        <w:rPr>
          <w:rFonts w:ascii="Times New Roman" w:hAnsi="Times New Roman"/>
          <w:color w:val="000000"/>
          <w:sz w:val="16"/>
        </w:rPr>
        <w:t>rd</w:t>
      </w:r>
      <w:r>
        <w:rPr>
          <w:rFonts w:ascii="Times New Roman" w:hAnsi="Times New Roman"/>
          <w:color w:val="000000"/>
          <w:sz w:val="24"/>
        </w:rPr>
        <w:t>) month following the end of the Company’s taxable year in which the compensation is earned or expenses are incurred, as applicable, or (ii) the fifteenth (15</w:t>
      </w:r>
      <w:r>
        <w:rPr>
          <w:rFonts w:ascii="Times New Roman" w:hAnsi="Times New Roman"/>
          <w:color w:val="000000"/>
          <w:sz w:val="16"/>
        </w:rPr>
        <w:t>th</w:t>
      </w:r>
      <w:r>
        <w:rPr>
          <w:rFonts w:ascii="Times New Roman" w:hAnsi="Times New Roman"/>
          <w:color w:val="000000"/>
          <w:sz w:val="24"/>
        </w:rPr>
        <w:t>) day of the third (3</w:t>
      </w:r>
      <w:r>
        <w:rPr>
          <w:rFonts w:ascii="Times New Roman" w:hAnsi="Times New Roman"/>
          <w:color w:val="000000"/>
          <w:sz w:val="16"/>
        </w:rPr>
        <w:t>rd</w:t>
      </w:r>
      <w:r>
        <w:rPr>
          <w:rFonts w:ascii="Times New Roman" w:hAnsi="Times New Roman"/>
          <w:color w:val="000000"/>
          <w:sz w:val="24"/>
        </w:rPr>
        <w:t>)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provided hereunder will be subject to the additional tax imposed under Section 409A, and any ambiguities or ambiguous terms herein will be interpreted to be so exempt or comply. In no event will the Company or any of its Parent or Subsidiaries have any responsibility, liability, or obligation to reimburse, indemnify, or hold harmless an Outside Director (or any other person) for any taxes imposed or other costs incurred as a result of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Stockholder Approval</w:t>
      </w:r>
      <w:r>
        <w:rPr>
          <w:rFonts w:ascii="Times New Roman" w:hAnsi="Times New Roman"/>
          <w:color w:val="000000"/>
          <w:sz w:val="24"/>
        </w:rPr>
        <w:t>. This Policy was previously approved by the Company’s stockholders.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Revisions</w:t>
      </w:r>
      <w:r>
        <w:rPr>
          <w:rFonts w:ascii="Times New Roman" w:hAnsi="Times New Roman"/>
          <w:color w:val="000000"/>
          <w:sz w:val="24"/>
        </w:rPr>
        <w:t>. The Board may amend, alter, suspend or terminate this Policy at any time and for any reason, including without limitation changing the terms of Initial Awards and Annual Awards.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before the date of such termination.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alxo-ex19_1.htm"/>
      <w:bookmarkStart w:id="49" w:name="ksalxoex19_1"/>
      <w:bookmarkEnd w:id="48"/>
      <w:bookmarkEnd w:id="49"/>
      <w:r>
        <w:rPr>
          <w:rFonts w:ascii="Times New Roman" w:hAnsi="Times New Roman"/>
          <w:b/>
          <w:color w:val="000000"/>
          <w:sz w:val="20"/>
        </w:rPr>
        <w:t>Exhibit 19.1</w:t>
      </w:r>
      <w:r>
        <w:br w:type="page"/>
      </w:r>
    </w:p>
    <w:p>
      <w:pPr>
        <w:pStyle w:val="TextBody"/>
        <w:bidi w:val="0"/>
        <w:spacing w:before="240" w:after="283"/>
        <w:jc w:val="left"/>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ALX ONCOLOGY HOLDINGS INC.</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___________________</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INSIDER TRADING POLICY</w:t>
      </w:r>
    </w:p>
    <w:p>
      <w:pPr>
        <w:pStyle w:val="TextBody"/>
        <w:bidi w:val="0"/>
        <w:spacing w:before="120" w:after="283"/>
        <w:jc w:val="center"/>
        <w:rPr>
          <w:rFonts w:ascii="Times New Roman" w:hAnsi="Times New Roman"/>
          <w:b/>
          <w:caps/>
          <w:color w:val="000000"/>
          <w:sz w:val="24"/>
        </w:rPr>
      </w:pPr>
      <w:r>
        <w:rPr>
          <w:rFonts w:ascii="Times New Roman" w:hAnsi="Times New Roman"/>
          <w:b/>
          <w:caps/>
          <w:color w:val="000000"/>
          <w:sz w:val="24"/>
        </w:rPr>
        <w:t>and</w:t>
      </w:r>
    </w:p>
    <w:p>
      <w:pPr>
        <w:pStyle w:val="TextBody"/>
        <w:bidi w:val="0"/>
        <w:spacing w:before="120" w:after="283"/>
        <w:jc w:val="center"/>
        <w:rPr>
          <w:rFonts w:ascii="Times New Roman" w:hAnsi="Times New Roman"/>
          <w:b/>
          <w:caps/>
          <w:color w:val="000000"/>
          <w:sz w:val="24"/>
        </w:rPr>
      </w:pPr>
      <w:r>
        <w:rPr>
          <w:rFonts w:ascii="Times New Roman" w:hAnsi="Times New Roman"/>
          <w:b/>
          <w:caps/>
          <w:color w:val="000000"/>
          <w:sz w:val="24"/>
        </w:rPr>
        <w:t>Guidelines with Respect to</w:t>
      </w:r>
    </w:p>
    <w:p>
      <w:pPr>
        <w:pStyle w:val="TextBody"/>
        <w:bidi w:val="0"/>
        <w:jc w:val="center"/>
        <w:rPr>
          <w:rFonts w:ascii="Times New Roman" w:hAnsi="Times New Roman"/>
          <w:b/>
          <w:caps/>
          <w:color w:val="000000"/>
          <w:sz w:val="24"/>
        </w:rPr>
      </w:pPr>
      <w:r>
        <w:rPr>
          <w:rFonts w:ascii="Times New Roman" w:hAnsi="Times New Roman"/>
          <w:b/>
          <w:caps/>
          <w:color w:val="000000"/>
          <w:sz w:val="24"/>
        </w:rPr>
        <w:t>Certain Transactions in Securities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___________________</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(Adopted and approved June 25, 2020 and</w:t>
      </w:r>
    </w:p>
    <w:p>
      <w:pPr>
        <w:pStyle w:val="TextBody"/>
        <w:bidi w:val="0"/>
        <w:jc w:val="center"/>
        <w:rPr>
          <w:rFonts w:ascii="Times New Roman" w:hAnsi="Times New Roman"/>
          <w:color w:val="000000"/>
          <w:sz w:val="24"/>
        </w:rPr>
      </w:pPr>
      <w:r>
        <w:rPr>
          <w:rFonts w:ascii="Times New Roman" w:hAnsi="Times New Roman"/>
          <w:color w:val="000000"/>
          <w:sz w:val="24"/>
        </w:rPr>
        <w:t>effective as of the Company’s initial public offering, as amended on March 14, 2023)</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TABLE OF CONTENTS</w:t>
      </w:r>
    </w:p>
    <w:p>
      <w:pPr>
        <w:pStyle w:val="TextBody"/>
        <w:bidi w:val="0"/>
        <w:jc w:val="right"/>
        <w:rPr>
          <w:rFonts w:ascii="Times New Roman" w:hAnsi="Times New Roman"/>
          <w:b/>
          <w:color w:val="000000"/>
          <w:sz w:val="22"/>
          <w:u w:val="single"/>
        </w:rPr>
      </w:pPr>
      <w:r>
        <w:rPr>
          <w:rFonts w:ascii="Times New Roman" w:hAnsi="Times New Roman"/>
          <w:b/>
          <w:color w:val="000000"/>
          <w:sz w:val="22"/>
          <w:u w:val="single"/>
        </w:rPr>
        <w:t>Page</w:t>
      </w:r>
    </w:p>
    <w:tbl>
      <w:tblPr>
        <w:tblW w:w="9332" w:type="dxa"/>
        <w:jc w:val="left"/>
        <w:tblInd w:w="0" w:type="dxa"/>
        <w:tblLayout w:type="fixed"/>
        <w:tblCellMar>
          <w:top w:w="28" w:type="dxa"/>
          <w:left w:w="28" w:type="dxa"/>
          <w:bottom w:w="28" w:type="dxa"/>
          <w:right w:w="28" w:type="dxa"/>
        </w:tblCellMar>
      </w:tblPr>
      <w:tblGrid>
        <w:gridCol w:w="8221"/>
        <w:gridCol w:w="1111"/>
      </w:tblGrid>
      <w:tr>
        <w:trPr/>
        <w:tc>
          <w:tcPr>
            <w:tcW w:w="822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822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INTRODUCTION</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Legal prohibitions on insider trading</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Detection and prosecution of insider trading</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Penalties for violation of insider trading laws and this Policy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Compliance Officers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Reporting violations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Personal responsibility</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r>
      <w:tr>
        <w:trPr/>
        <w:tc>
          <w:tcPr>
            <w:tcW w:w="822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PERSONS AND TRANSACTIONS COVERED BY THIS POLICY</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Persons covered by this Policy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Types of transactions covered by this Policy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Responsibilities regarding the nonpublic information of other companies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Applicability of this Policy after your departure</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r>
      <w:tr>
        <w:trPr/>
        <w:tc>
          <w:tcPr>
            <w:tcW w:w="822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MATERIAL NONPUBLIC INFORMATION</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6</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r>
              <w:rPr>
                <w:rFonts w:ascii="Times New Roman" w:hAnsi="Times New Roman"/>
                <w:color w:val="000000"/>
                <w:sz w:val="22"/>
              </w:rPr>
              <w:t>Material” information</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r>
              <w:rPr>
                <w:rFonts w:ascii="Times New Roman" w:hAnsi="Times New Roman"/>
                <w:color w:val="000000"/>
                <w:sz w:val="22"/>
              </w:rPr>
              <w:t>Nonpublic” information</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r>
      <w:tr>
        <w:trPr/>
        <w:tc>
          <w:tcPr>
            <w:tcW w:w="822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POLICIES REGARDING MATERIAL NONPUBLIC INFORMATION</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Confidentiality of nonpublic information</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No trading on material nonpublic information</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No disclosing material nonpublic information for the benefit of others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Obligation to disclose material nonpublic information to the Company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Responding to outside inquiries for information</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r>
      <w:tr>
        <w:trPr/>
        <w:tc>
          <w:tcPr>
            <w:tcW w:w="822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TRADING BLACKOUT PERIODS</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Quarterly blackout periods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Special blackout periods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Regulation BTR blackouts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No “safe harbors”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r>
      <w:tr>
        <w:trPr/>
        <w:tc>
          <w:tcPr>
            <w:tcW w:w="822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PRE-CLEARANCE OF TRADES</w:t>
            </w:r>
          </w:p>
        </w:tc>
        <w:tc>
          <w:tcPr>
            <w:tcW w:w="1111" w:type="dxa"/>
            <w:tcBorders/>
            <w:shd w:fill="FFFFFF" w:val="clear"/>
            <w:tcMar>
              <w:top w:w="0" w:type="dxa"/>
              <w:left w:w="0" w:type="dxa"/>
              <w:bottom w:w="0" w:type="dxa"/>
              <w:right w:w="0" w:type="dxa"/>
            </w:tcMar>
            <w:vAlign w:val="center"/>
          </w:tcPr>
          <w:p>
            <w:pPr>
              <w:pStyle w:val="TableContents"/>
              <w:bidi w:val="0"/>
              <w:spacing w:before="240" w:after="283"/>
              <w:jc w:val="right"/>
              <w:rPr>
                <w:rFonts w:ascii="Times New Roman" w:hAnsi="Times New Roman"/>
                <w:color w:val="000000"/>
                <w:sz w:val="22"/>
              </w:rPr>
            </w:pPr>
            <w:r>
              <w:rPr>
                <w:rFonts w:ascii="Times New Roman" w:hAnsi="Times New Roman"/>
                <w:color w:val="000000"/>
                <w:sz w:val="22"/>
              </w:rPr>
              <w:t>12</w:t>
            </w:r>
          </w:p>
        </w:tc>
      </w:tr>
      <w:tr>
        <w:trPr/>
        <w:tc>
          <w:tcPr>
            <w:tcW w:w="822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ADDITIONAL RESTRICTIONS AND GUIDANCE</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Short sales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Derivative securities and hedging transactions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Using Company securities as collateral for loans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Holding Company securities in margin accounts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Placing open orders with brokers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r>
        <w:trPr/>
        <w:tc>
          <w:tcPr>
            <w:tcW w:w="822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LIMITED EXCEPTIONS</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15</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Transactions pursuant to a trading plan that complies with SEC rules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15</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Receipt and vesting of stock options, restricted stock units, and restricted stock</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15</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Exercise of stock options for cash and tax withholding requirements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16</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Purchases from the employee stock purchase plan</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16</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Certain 401(k) plan transactions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16</w:t>
            </w:r>
          </w:p>
        </w:tc>
      </w:tr>
      <w:tr>
        <w:trPr/>
        <w:tc>
          <w:tcPr>
            <w:tcW w:w="822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Stock splits, stock dividends and similar transactions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r>
    </w:tbl>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TABLE OF CONTENTS</w:t>
      </w:r>
    </w:p>
    <w:p>
      <w:pPr>
        <w:pStyle w:val="TextBody"/>
        <w:bidi w:val="0"/>
        <w:jc w:val="center"/>
        <w:rPr>
          <w:rFonts w:ascii="Times New Roman" w:hAnsi="Times New Roman"/>
          <w:color w:val="000000"/>
          <w:sz w:val="22"/>
        </w:rPr>
      </w:pPr>
      <w:r>
        <w:rPr>
          <w:rFonts w:ascii="Times New Roman" w:hAnsi="Times New Roman"/>
          <w:color w:val="000000"/>
          <w:sz w:val="22"/>
        </w:rPr>
        <w:t>(Continued)</w:t>
      </w:r>
    </w:p>
    <w:p>
      <w:pPr>
        <w:pStyle w:val="TextBody"/>
        <w:bidi w:val="0"/>
        <w:jc w:val="right"/>
        <w:rPr>
          <w:rFonts w:ascii="Times New Roman" w:hAnsi="Times New Roman"/>
          <w:b/>
          <w:color w:val="000000"/>
          <w:sz w:val="22"/>
          <w:u w:val="single"/>
        </w:rPr>
      </w:pPr>
      <w:r>
        <w:rPr>
          <w:rFonts w:ascii="Times New Roman" w:hAnsi="Times New Roman"/>
          <w:b/>
          <w:color w:val="000000"/>
          <w:sz w:val="22"/>
          <w:u w:val="single"/>
        </w:rPr>
        <w:t>Page</w:t>
      </w:r>
    </w:p>
    <w:tbl>
      <w:tblPr>
        <w:tblW w:w="8612" w:type="dxa"/>
        <w:jc w:val="left"/>
        <w:tblInd w:w="0" w:type="dxa"/>
        <w:tblLayout w:type="fixed"/>
        <w:tblCellMar>
          <w:top w:w="28" w:type="dxa"/>
          <w:left w:w="28" w:type="dxa"/>
          <w:bottom w:w="28" w:type="dxa"/>
          <w:right w:w="28" w:type="dxa"/>
        </w:tblCellMar>
      </w:tblPr>
      <w:tblGrid>
        <w:gridCol w:w="7501"/>
        <w:gridCol w:w="1111"/>
      </w:tblGrid>
      <w:tr>
        <w:trPr/>
        <w:tc>
          <w:tcPr>
            <w:tcW w:w="75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Estate planning</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17</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Other exceptions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r>
      <w:tr>
        <w:trPr/>
        <w:tc>
          <w:tcPr>
            <w:tcW w:w="750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COMPLIANCE WITH SECTION 16 OF THE SECURITIES EXCHANGE ACT</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18</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Obligations under Section 16</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18</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Notification requirements to facilitate Section 16 reporting</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18</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Personal responsibility</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r>
      <w:tr>
        <w:trPr/>
        <w:tc>
          <w:tcPr>
            <w:tcW w:w="750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ADDITIONAL INFORMATION</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19</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Delivery of Policy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19</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Amendments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19</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2"/>
              </w:rPr>
            </w:pPr>
            <w:r>
              <w:rPr>
                <w:rFonts w:ascii="Times New Roman" w:hAnsi="Times New Roman"/>
                <w:color w:val="000000"/>
                <w:sz w:val="22"/>
              </w:rPr>
              <w:t>Current Version of Policy</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SCHEDULE I (Pre-Clearance Checklist)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SCHEDULE II (Requirements for Trading Plans)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SCHEDULE III (Guidelines for Preparing Trading Plans)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4"/>
        </w:rPr>
      </w:pPr>
      <w:r>
        <w:rPr>
          <w:rFonts w:ascii="Times New Roman" w:hAnsi="Times New Roman"/>
          <w:b/>
          <w:caps/>
          <w:color w:val="000000"/>
          <w:sz w:val="24"/>
        </w:rPr>
        <w:t>INTRODUCTION</w:t>
      </w:r>
    </w:p>
    <w:p>
      <w:pPr>
        <w:pStyle w:val="TextBody"/>
        <w:bidi w:val="0"/>
        <w:spacing w:before="240" w:after="283"/>
        <w:jc w:val="both"/>
        <w:rPr>
          <w:rFonts w:ascii="Times New Roman" w:hAnsi="Times New Roman"/>
          <w:sz w:val="20"/>
        </w:rPr>
      </w:pPr>
      <w:r>
        <w:rPr>
          <w:rFonts w:ascii="Times New Roman" w:hAnsi="Times New Roman"/>
          <w:color w:val="000000"/>
          <w:sz w:val="24"/>
        </w:rPr>
        <w:t>ALX Oncology Holdings Inc. (together with its subsidiaries,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opposes the unauthorized disclosure of any nonpublic information acquired in the course of your service with the Company and the misuse of material nonpublic information in securities trading. Any such actions will be deemed violations of this Insider Trading Policy (this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Legal prohibitions on insider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pStyle w:val="TextBody"/>
        <w:bidi w:val="0"/>
        <w:spacing w:before="240" w:after="283"/>
        <w:jc w:val="both"/>
        <w:rPr>
          <w:rFonts w:ascii="Times New Roman" w:hAnsi="Times New Roman"/>
          <w:sz w:val="20"/>
        </w:rPr>
      </w:pPr>
      <w:r>
        <w:rPr>
          <w:rFonts w:ascii="Times New Roman" w:hAnsi="Times New Roman"/>
          <w:color w:val="000000"/>
          <w:sz w:val="24"/>
        </w:rPr>
        <w:t>Disclosing material nonpublic information directly or indirectly to others who then trade based on that information or making recommendations or expressing opinions as to transactions in securities while aware of material nonpublic information (which is sometime referred to as “</w:t>
      </w:r>
      <w:r>
        <w:rPr>
          <w:rFonts w:ascii="Times New Roman" w:hAnsi="Times New Roman"/>
          <w:b/>
          <w:i/>
          <w:color w:val="000000"/>
          <w:sz w:val="24"/>
        </w:rPr>
        <w:t>tipping</w:t>
      </w:r>
      <w:r>
        <w:rPr>
          <w:rFonts w:ascii="Times New Roman" w:hAnsi="Times New Roman"/>
          <w:color w:val="000000"/>
          <w:sz w:val="20"/>
        </w:rPr>
        <w:t>”</w:t>
      </w:r>
      <w:r>
        <w:rPr>
          <w:rFonts w:ascii="Times New Roman" w:hAnsi="Times New Roman"/>
          <w:color w:val="000000"/>
          <w:sz w:val="24"/>
        </w:rPr>
        <w:t>) is also illegal. Both the person who provides the information, recommendation or opinion and the person who trades based on it may be liable.</w:t>
      </w:r>
    </w:p>
    <w:p>
      <w:pPr>
        <w:pStyle w:val="TextBody"/>
        <w:bidi w:val="0"/>
        <w:spacing w:before="240" w:after="283"/>
        <w:jc w:val="both"/>
        <w:rPr>
          <w:rFonts w:ascii="Times New Roman" w:hAnsi="Times New Roman"/>
          <w:sz w:val="20"/>
        </w:rPr>
      </w:pPr>
      <w:r>
        <w:rPr>
          <w:rFonts w:ascii="Times New Roman" w:hAnsi="Times New Roman"/>
          <w:color w:val="000000"/>
          <w:sz w:val="24"/>
        </w:rPr>
        <w:t>These illegal activities are commonly referred to as “</w:t>
      </w:r>
      <w:r>
        <w:rPr>
          <w:rFonts w:ascii="Times New Roman" w:hAnsi="Times New Roman"/>
          <w:b/>
          <w:i/>
          <w:color w:val="000000"/>
          <w:sz w:val="24"/>
        </w:rPr>
        <w:t>insider trading</w:t>
      </w:r>
      <w:r>
        <w:rPr>
          <w:rFonts w:ascii="Times New Roman" w:hAnsi="Times New Roman"/>
          <w:color w:val="000000"/>
          <w:sz w:val="20"/>
        </w:rPr>
        <w:t>”</w:t>
      </w:r>
      <w:r>
        <w:rPr>
          <w:rFonts w:ascii="Times New Roman" w:hAnsi="Times New Roman"/>
          <w:color w:val="000000"/>
          <w:sz w:val="24"/>
        </w:rPr>
        <w:t>. State securities laws and securities laws of other jurisdictions also impose restrictions on insider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a company, as well as individual directors, officers and other supervisory personnel, may be subject to liability as “controlling persons” for failure to take appropriate steps to prevent insider trading by those under their supervision, influence or control.</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Detection and prosecution of insider trading</w:t>
      </w:r>
    </w:p>
    <w:p>
      <w:pPr>
        <w:pStyle w:val="TextBody"/>
        <w:bidi w:val="0"/>
        <w:spacing w:before="240" w:after="283"/>
        <w:jc w:val="both"/>
        <w:rPr>
          <w:rFonts w:ascii="Times New Roman" w:hAnsi="Times New Roman"/>
          <w:sz w:val="20"/>
        </w:rPr>
      </w:pPr>
      <w:r>
        <w:rPr>
          <w:rFonts w:ascii="Times New Roman" w:hAnsi="Times New Roman"/>
          <w:color w:val="000000"/>
          <w:sz w:val="24"/>
        </w:rPr>
        <w:t>The U.S. Securities and Exchange Commission (the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The Financial Industry Regulatory Authority (“</w:t>
      </w:r>
      <w:r>
        <w:rPr>
          <w:rFonts w:ascii="Times New Roman" w:hAnsi="Times New Roman"/>
          <w:b/>
          <w:i/>
          <w:color w:val="000000"/>
          <w:sz w:val="24"/>
        </w:rPr>
        <w:t>FINRA</w:t>
      </w:r>
      <w:r>
        <w:rPr>
          <w:rFonts w:ascii="Times New Roman" w:hAnsi="Times New Roman"/>
          <w:color w:val="000000"/>
          <w:sz w:val="20"/>
        </w:rPr>
        <w:t>”</w:t>
      </w:r>
      <w:r>
        <w:rPr>
          <w:rFonts w:ascii="Times New Roman" w:hAnsi="Times New Roman"/>
          <w:color w:val="000000"/>
          <w:sz w:val="24"/>
        </w:rPr>
        <w:t>) and the stock exchanges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Penalties for violation of insider trading laws and this Policy</w:t>
      </w:r>
    </w:p>
    <w:p>
      <w:pPr>
        <w:pStyle w:val="TextBody"/>
        <w:bidi w:val="0"/>
        <w:spacing w:before="240" w:after="283"/>
        <w:jc w:val="both"/>
        <w:rPr>
          <w:rFonts w:ascii="Times New Roman" w:hAnsi="Times New Roman"/>
          <w:sz w:val="20"/>
        </w:rPr>
      </w:pPr>
      <w:r>
        <w:rPr>
          <w:rFonts w:ascii="Times New Roman" w:hAnsi="Times New Roman"/>
          <w:i/>
          <w:color w:val="000000"/>
          <w:sz w:val="24"/>
        </w:rPr>
        <w:t>Civil and criminal penalties.</w:t>
      </w:r>
      <w:r>
        <w:rPr>
          <w:rFonts w:ascii="Times New Roman" w:hAnsi="Times New Roman"/>
          <w:color w:val="000000"/>
          <w:sz w:val="20"/>
        </w:rPr>
        <w:t xml:space="preserve"> </w:t>
      </w:r>
      <w:r>
        <w:rPr>
          <w:rFonts w:ascii="Times New Roman" w:hAnsi="Times New Roman"/>
          <w:color w:val="000000"/>
          <w:sz w:val="24"/>
        </w:rPr>
        <w:t>As of the effective date of this Policy, potential penalties for insider trading violations under U.S. federal securities laws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damages in a private lawsuit;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disgorging any profits made or losses avoided;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imprisonment for up to 20 years;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criminal fines of up to $5 million for individuals and $25 million for entities;</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civil fines of up to three times the profit gained or loss avoided;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 bar against serving as an officer or director of a public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an injunction against future violations.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Civil and criminal penalties also apply to tipping. The SEC has imposed large penalties in tipping cases even when the disclosing person did not trade or gain any benefit from another person’s trading.</w:t>
      </w:r>
    </w:p>
    <w:p>
      <w:pPr>
        <w:pStyle w:val="TextBody"/>
        <w:bidi w:val="0"/>
        <w:spacing w:before="240" w:after="283"/>
        <w:jc w:val="both"/>
        <w:rPr>
          <w:rFonts w:ascii="Times New Roman" w:hAnsi="Times New Roman"/>
          <w:sz w:val="20"/>
        </w:rPr>
      </w:pPr>
      <w:r>
        <w:rPr>
          <w:rFonts w:ascii="Times New Roman" w:hAnsi="Times New Roman"/>
          <w:i/>
          <w:color w:val="000000"/>
          <w:sz w:val="24"/>
        </w:rPr>
        <w:t>Controlling person liability.</w:t>
      </w:r>
      <w:r>
        <w:rPr>
          <w:rFonts w:ascii="Times New Roman" w:hAnsi="Times New Roman"/>
          <w:color w:val="000000"/>
          <w:sz w:val="20"/>
        </w:rPr>
        <w:t xml:space="preserve"> </w:t>
      </w:r>
      <w:r>
        <w:rPr>
          <w:rFonts w:ascii="Times New Roman" w:hAnsi="Times New Roman"/>
          <w:color w:val="000000"/>
          <w:sz w:val="24"/>
        </w:rPr>
        <w:t>As of the effective date of this Policy, the penalty for “controlling person” liability is a civil fine of up to the greater of $1.425 million or three times the profit gained or loss avoided as a result of the insider trading violations, as well as potential criminal fines and imprisonment.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4"/>
        </w:rPr>
        <w:t>Company disciplinary actions.</w:t>
      </w:r>
      <w:r>
        <w:rPr>
          <w:rFonts w:ascii="Times New Roman" w:hAnsi="Times New Roman"/>
          <w:color w:val="000000"/>
          <w:sz w:val="20"/>
        </w:rPr>
        <w:t xml:space="preserve"> </w:t>
      </w:r>
      <w:r>
        <w:rPr>
          <w:rFonts w:ascii="Times New Roman" w:hAnsi="Times New Roman"/>
          <w:color w:val="000000"/>
          <w:sz w:val="24"/>
        </w:rPr>
        <w:t>If the Company has a reasonable basis to conclude that you have failed to comply with this Policy, you may be subject to disciplinary action by the Company, up to and including dismissal for cause, regardless of whether or not your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Compliance Officers</w:t>
      </w:r>
    </w:p>
    <w:p>
      <w:pPr>
        <w:pStyle w:val="TextBody"/>
        <w:bidi w:val="0"/>
        <w:spacing w:before="240" w:after="283"/>
        <w:jc w:val="both"/>
        <w:rPr>
          <w:rFonts w:ascii="Times New Roman" w:hAnsi="Times New Roman"/>
          <w:sz w:val="20"/>
        </w:rPr>
      </w:pPr>
      <w:r>
        <w:rPr>
          <w:rFonts w:ascii="Times New Roman" w:hAnsi="Times New Roman"/>
          <w:color w:val="000000"/>
          <w:sz w:val="24"/>
        </w:rPr>
        <w:t>Please direct any questions, requests or reports as to any of the matters discussed in this Policy to the Chief Executive Officer or Chief Financial Officer of the Company (each, a “</w:t>
      </w:r>
      <w:r>
        <w:rPr>
          <w:rFonts w:ascii="Times New Roman" w:hAnsi="Times New Roman"/>
          <w:b/>
          <w:i/>
          <w:color w:val="000000"/>
          <w:sz w:val="24"/>
        </w:rPr>
        <w:t>Compliance Officer</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b/>
          <w:i/>
          <w:color w:val="000000"/>
          <w:sz w:val="24"/>
        </w:rPr>
        <w:t>Compliance</w:t>
      </w:r>
      <w:r>
        <w:rPr>
          <w:rFonts w:ascii="Times New Roman" w:hAnsi="Times New Roman"/>
          <w:color w:val="000000"/>
          <w:sz w:val="20"/>
        </w:rPr>
        <w:t xml:space="preserve"> </w:t>
      </w:r>
      <w:r>
        <w:rPr>
          <w:rFonts w:ascii="Times New Roman" w:hAnsi="Times New Roman"/>
          <w:b/>
          <w:i/>
          <w:color w:val="000000"/>
          <w:sz w:val="24"/>
        </w:rPr>
        <w:t>Officers</w:t>
      </w:r>
      <w:r>
        <w:rPr>
          <w:rFonts w:ascii="Times New Roman" w:hAnsi="Times New Roman"/>
          <w:color w:val="000000"/>
          <w:sz w:val="20"/>
        </w:rPr>
        <w:t>”</w:t>
      </w:r>
      <w:r>
        <w:rPr>
          <w:rFonts w:ascii="Times New Roman" w:hAnsi="Times New Roman"/>
          <w:color w:val="000000"/>
          <w:sz w:val="24"/>
        </w:rPr>
        <w:t>). The Compliance Officers are generally responsible for the administration of this Policy. The Compliance Officers may select others to assist with the execution of his or her duties.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Reporting violations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It is your responsibility to help enforce this Policy. You should be alert to possible violations and promptly report violations or suspected violations of this Policy to a Compliance Officer. If your situation requires that your identity be kept secret, your anonymity will be preserved to the greatest extent reasonably possible, or otherwise permitted by law. If you wish to remain anonymous, send a letter addressed to a Compliance Officer at ALX Oncology Holdings Inc., 323 Allerton Avenue, South San Francisco, California, 94080, or contact the whistleblower hotline, by online web portal at </w:t>
      </w:r>
      <w:r>
        <w:rPr>
          <w:rFonts w:ascii="Times New Roman" w:hAnsi="Times New Roman"/>
          <w:sz w:val="24"/>
        </w:rPr>
        <w:t>https://www.whistleblowerservices.com/ALXO</w:t>
      </w:r>
      <w:r>
        <w:rPr>
          <w:rFonts w:ascii="Times New Roman" w:hAnsi="Times New Roman"/>
          <w:color w:val="000000"/>
          <w:sz w:val="20"/>
        </w:rPr>
        <w:t xml:space="preserve"> </w:t>
      </w:r>
      <w:r>
        <w:rPr>
          <w:rFonts w:ascii="Times New Roman" w:hAnsi="Times New Roman"/>
          <w:color w:val="000000"/>
          <w:sz w:val="24"/>
        </w:rPr>
        <w:t>or by phone at 833-976-2062. If a Compliance Officer is implicated in your report, then you should report it through the whistleblower hotline. If you make an anonymous report, please provide as much detail as possible, including any evidence that you believe may be relevant to the issue.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Personal responsibility</w:t>
      </w:r>
    </w:p>
    <w:p>
      <w:pPr>
        <w:pStyle w:val="TextBody"/>
        <w:bidi w:val="0"/>
        <w:spacing w:before="240" w:after="283"/>
        <w:jc w:val="both"/>
        <w:rPr>
          <w:rFonts w:ascii="Times New Roman" w:hAnsi="Times New Roman"/>
          <w:sz w:val="20"/>
        </w:rPr>
      </w:pPr>
      <w:r>
        <w:rPr>
          <w:rFonts w:ascii="Times New Roman" w:hAnsi="Times New Roman"/>
          <w:color w:val="000000"/>
          <w:sz w:val="24"/>
        </w:rPr>
        <w:t>The ultimate responsibility for complying with this Policy and applicable laws and regulations rests with you. You should use your best judgment at all times and consult with your legal and financial advisors, as needed. We advise you to seek assistance if you have any questions at all.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rules relating to insider trading can be complex, and a violation of insider trading laws can carry severe consequences.</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PERSONS AND TRANSACTIONS COVERED BY THIS POLICY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Persons covered by this Policy</w:t>
      </w:r>
    </w:p>
    <w:p>
      <w:pPr>
        <w:pStyle w:val="TextBody"/>
        <w:bidi w:val="0"/>
        <w:spacing w:before="220" w:after="283"/>
        <w:jc w:val="both"/>
        <w:rPr>
          <w:rFonts w:ascii="Times New Roman" w:hAnsi="Times New Roman"/>
          <w:sz w:val="20"/>
        </w:rPr>
      </w:pPr>
      <w:r>
        <w:rPr>
          <w:rFonts w:ascii="Times New Roman" w:hAnsi="Times New Roman"/>
          <w:color w:val="000000"/>
          <w:sz w:val="24"/>
        </w:rPr>
        <w:t>This Policy applies to all directors, officers, employees, consultants, contractors and advisors of the Company. References in this Policy to “you” (as well as general references to directors, officers, employees, consultants, contractors and advisors of the Company) should also be understood to include members of your immediate family, persons with whom you share a household, persons who are your economic dependents and any other individuals or entities whose transactions in securities you influence, direct or control (including, for example, a venture or other investment fund, if you influence, direct or control transactions by the fund). You are responsible for making sure that these other individuals and entities comply with this Policy.</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Types of transactions covered by this Policy</w:t>
      </w:r>
    </w:p>
    <w:p>
      <w:pPr>
        <w:pStyle w:val="TextBody"/>
        <w:bidi w:val="0"/>
        <w:spacing w:before="220" w:after="283"/>
        <w:jc w:val="both"/>
        <w:rPr>
          <w:rFonts w:ascii="Times New Roman" w:hAnsi="Times New Roman"/>
          <w:sz w:val="20"/>
        </w:rPr>
      </w:pPr>
      <w:r>
        <w:rPr>
          <w:rFonts w:ascii="Times New Roman" w:hAnsi="Times New Roman"/>
          <w:color w:val="000000"/>
          <w:sz w:val="24"/>
        </w:rPr>
        <w:t>Except as discussed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xml:space="preserve">, this Policy applies to </w:t>
      </w:r>
      <w:r>
        <w:rPr>
          <w:rFonts w:ascii="Times New Roman" w:hAnsi="Times New Roman"/>
          <w:i/>
          <w:color w:val="000000"/>
          <w:sz w:val="24"/>
        </w:rPr>
        <w:t>all</w:t>
      </w:r>
      <w:r>
        <w:rPr>
          <w:rFonts w:ascii="Times New Roman" w:hAnsi="Times New Roman"/>
          <w:color w:val="000000"/>
          <w:sz w:val="20"/>
        </w:rPr>
        <w:t xml:space="preserve"> </w:t>
      </w:r>
      <w:r>
        <w:rPr>
          <w:rFonts w:ascii="Times New Roman" w:hAnsi="Times New Roman"/>
          <w:color w:val="000000"/>
          <w:sz w:val="24"/>
        </w:rPr>
        <w:t xml:space="preserve">transactions </w:t>
      </w:r>
      <w:r>
        <w:rPr>
          <w:rFonts w:ascii="Times New Roman" w:hAnsi="Times New Roman"/>
          <w:i/>
          <w:color w:val="000000"/>
          <w:sz w:val="24"/>
        </w:rPr>
        <w:t>involving</w:t>
      </w:r>
      <w:r>
        <w:rPr>
          <w:rFonts w:ascii="Times New Roman" w:hAnsi="Times New Roman"/>
          <w:color w:val="000000"/>
          <w:sz w:val="20"/>
        </w:rPr>
        <w:t xml:space="preserve"> </w:t>
      </w:r>
      <w:r>
        <w:rPr>
          <w:rFonts w:ascii="Times New Roman" w:hAnsi="Times New Roman"/>
          <w:color w:val="000000"/>
          <w:sz w:val="24"/>
        </w:rPr>
        <w:t>the securities of the Company or the securities of other companies as to which you possess material nonpublic information obtained in the course of your service with the Company. This Policy therefore applies to purchases, sales and other transfers of common stock, options, restricted stock units, warrants, preferred stock, debt securities (such as debentures, bonds and notes) and other securities of the Company and such other companies, whether direct or indirect (including transactions made on your behalf by money managers), and any offer to engage in the foregoing transactions. This Policy also applies to any disposition in the form of a gift of any securities of the Company and any distribution to holders of interests in an entity if the entity is subject to this Policy. This Policy also applies to any arrangements that affect economic exposure to changes in the prices of these securities. These arrangements may include, among other things, transactions in derivative securities (such as exchange</w:t>
        <w:noBreakHyphen/>
        <w:t>traded put or call options, swaps, caps and collars), hedging and pledging transactions, short sales and certain decisions with respect to participation in benefit plans, and any offer to engage in the foregoing transactions. You should note that there are no exceptions from insider trading laws or this Policy based on the size of the transaction or the type of consideration received.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Responsibilities regarding the nonpublic information of other companies</w:t>
      </w:r>
    </w:p>
    <w:p>
      <w:pPr>
        <w:pStyle w:val="TextBody"/>
        <w:bidi w:val="0"/>
        <w:spacing w:before="220" w:after="283"/>
        <w:jc w:val="both"/>
        <w:rPr>
          <w:rFonts w:ascii="Times New Roman" w:hAnsi="Times New Roman"/>
          <w:sz w:val="20"/>
        </w:rPr>
      </w:pPr>
      <w:r>
        <w:rPr>
          <w:rFonts w:ascii="Times New Roman" w:hAnsi="Times New Roman"/>
          <w:color w:val="000000"/>
          <w:sz w:val="24"/>
        </w:rPr>
        <w:t>This Policy prohibits the unauthorized disclosure or other misuse of any nonpublic information of other companies, such as the Company’s distributors, vendors, customers, collaborators, suppliers and competitors. This Policy also prohibits insider trading and tipping based on the material nonpublic information of other companies.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Applicability of this Policy after your departure</w:t>
      </w:r>
    </w:p>
    <w:p>
      <w:pPr>
        <w:pStyle w:val="TextBody"/>
        <w:bidi w:val="0"/>
        <w:spacing w:before="240" w:after="283"/>
        <w:jc w:val="both"/>
        <w:rPr>
          <w:rFonts w:ascii="Times New Roman" w:hAnsi="Times New Roman"/>
          <w:sz w:val="20"/>
        </w:rPr>
      </w:pPr>
      <w:r>
        <w:rPr>
          <w:rFonts w:ascii="Times New Roman" w:hAnsi="Times New Roman"/>
          <w:b/>
          <w:color w:val="000000"/>
          <w:sz w:val="24"/>
        </w:rPr>
        <w:t>You are expected to comply with this Policy until such time as you are no longer affiliated with the Company. Regardless of whether you are employed or affiliated with the Company, if you are aware of material nonpublic information, you will be subject to the insider trading laws and you may not trade in ALX Oncology Holdings’ securities or in the securities from which you have obtained material nonpublic information in the course of performing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4"/>
        </w:rPr>
        <w:t>services for ALX Oncology Holdings until after that information has become public or is no longer material. There are no exceptions based on personal circumstances.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MATERIAL NONPUBLIC INFORMATION</w:t>
      </w:r>
    </w:p>
    <w:p>
      <w:pPr>
        <w:pStyle w:val="TextBody"/>
        <w:bidi w:val="0"/>
        <w:spacing w:before="240" w:after="283"/>
        <w:jc w:val="both"/>
        <w:rPr>
          <w:color w:val="000000"/>
        </w:rPr>
      </w:pPr>
      <w:r>
        <w:rPr>
          <w:color w:val="000000"/>
        </w:rPr>
        <w:t>“</w:t>
      </w:r>
      <w:r>
        <w:rPr>
          <w:rFonts w:ascii="Times New Roman" w:hAnsi="Times New Roman"/>
          <w:b/>
          <w:color w:val="000000"/>
          <w:sz w:val="24"/>
        </w:rPr>
        <w:t>Material” information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is not possible to define all categories of “material” information. However, some examples of information that would often be regarded as material include information with respect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Clinical trial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Significant developments in research and development or relating to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Financial results, financial condition, earnings pre-announcements, guidance, projections or forecasts, particularly if inconsistent with the expectations of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Restatements of financial results, or material impairments, write-offs or restructurings;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Changes in independent auditors, or notification that the Company may no longer rely on an audit report;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Significant changes in business plans or budgets;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Creation of significant financial obligations, or any significant default under or acceleration of any financial obligation;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Impending bankruptcy or financial liquidity problems;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Product introductions, modifications, defects or recalls or significant pricing changes or other product announcements of a significant nature;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Significant legal or regulatory developments, whether actual or threatened;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Significant corporate events, such as a pending or proposed merger, joint venture or tender offer, a significant investment, the acquisition or disposition of a significant business or asset or a change in control of the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Major personnel changes, such as changes in senior management or layoffs;</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Data breaches or other cybersecurity events;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Updates regarding any prior material disclosure that has materially changed;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existence of a special blackout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you have any questions as to whether information should be considered “material”, you should consult with a Compliance Officer. In general, it is advisable to resolve any close questions as to the materiality of any information by assuming that the information is material.</w:t>
      </w:r>
    </w:p>
    <w:p>
      <w:pPr>
        <w:pStyle w:val="TextBody"/>
        <w:bidi w:val="0"/>
        <w:spacing w:before="240" w:after="283"/>
        <w:jc w:val="both"/>
        <w:rPr>
          <w:color w:val="000000"/>
        </w:rPr>
      </w:pPr>
      <w:r>
        <w:rPr>
          <w:color w:val="000000"/>
        </w:rPr>
        <w:t>“</w:t>
      </w:r>
      <w:r>
        <w:rPr>
          <w:rFonts w:ascii="Times New Roman" w:hAnsi="Times New Roman"/>
          <w:b/>
          <w:color w:val="000000"/>
          <w:sz w:val="24"/>
        </w:rPr>
        <w:t>Nonpublic” information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Information is considered nonpublic if the information has not been broadly disseminated to the public for a sufficient period to be reflected in the price of the security. As a general rule, information should be considered nonpublic until the start of the second </w:t>
      </w:r>
      <w:r>
        <w:rPr>
          <w:rFonts w:ascii="Times New Roman" w:hAnsi="Times New Roman"/>
          <w:b/>
          <w:i/>
          <w:color w:val="000000"/>
          <w:sz w:val="24"/>
        </w:rPr>
        <w:t>full trading day</w:t>
      </w:r>
      <w:r>
        <w:rPr>
          <w:rFonts w:ascii="Times New Roman" w:hAnsi="Times New Roman"/>
          <w:color w:val="000000"/>
          <w:sz w:val="20"/>
        </w:rPr>
        <w:t xml:space="preserve"> </w:t>
      </w:r>
      <w:r>
        <w:rPr>
          <w:rFonts w:ascii="Times New Roman" w:hAnsi="Times New Roman"/>
          <w:color w:val="000000"/>
          <w:sz w:val="24"/>
        </w:rPr>
        <w:t>after the information is broadly distributed to the public in a press release, a public filing with the 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a Compliance Officer.</w:t>
      </w:r>
    </w:p>
    <w:p>
      <w:pPr>
        <w:pStyle w:val="TextBody"/>
        <w:bidi w:val="0"/>
        <w:spacing w:before="240" w:after="283"/>
        <w:jc w:val="both"/>
        <w:rPr>
          <w:rFonts w:ascii="Times New Roman" w:hAnsi="Times New Roman"/>
          <w:sz w:val="20"/>
        </w:rPr>
      </w:pPr>
      <w:r>
        <w:rPr>
          <w:rFonts w:ascii="Times New Roman" w:hAnsi="Times New Roman"/>
          <w:color w:val="000000"/>
          <w:sz w:val="24"/>
        </w:rPr>
        <w:t>The term “</w:t>
      </w:r>
      <w:r>
        <w:rPr>
          <w:rFonts w:ascii="Times New Roman" w:hAnsi="Times New Roman"/>
          <w:b/>
          <w:i/>
          <w:color w:val="000000"/>
          <w:sz w:val="24"/>
        </w:rPr>
        <w:t>trading day</w:t>
      </w:r>
      <w:r>
        <w:rPr>
          <w:rFonts w:ascii="Times New Roman" w:hAnsi="Times New Roman"/>
          <w:color w:val="000000"/>
          <w:sz w:val="20"/>
        </w:rPr>
        <w:t xml:space="preserve">” </w:t>
      </w:r>
      <w:r>
        <w:rPr>
          <w:rFonts w:ascii="Times New Roman" w:hAnsi="Times New Roman"/>
          <w:color w:val="000000"/>
          <w:sz w:val="24"/>
        </w:rPr>
        <w:t>means a day on which national stock exchanges and the National Association of Securities Dealers, Inc. Automated Quotation System are open for trading. A “</w:t>
      </w:r>
      <w:r>
        <w:rPr>
          <w:rFonts w:ascii="Times New Roman" w:hAnsi="Times New Roman"/>
          <w:b/>
          <w:i/>
          <w:color w:val="000000"/>
          <w:sz w:val="24"/>
        </w:rPr>
        <w:t>full</w:t>
      </w:r>
      <w:r>
        <w:rPr>
          <w:rFonts w:ascii="Times New Roman" w:hAnsi="Times New Roman"/>
          <w:color w:val="000000"/>
          <w:sz w:val="20"/>
        </w:rPr>
        <w:t xml:space="preserve">” </w:t>
      </w:r>
      <w:r>
        <w:rPr>
          <w:rFonts w:ascii="Times New Roman" w:hAnsi="Times New Roman"/>
          <w:color w:val="000000"/>
          <w:sz w:val="24"/>
        </w:rPr>
        <w:t>trading day has elapsed when, after the public disclosure, trading in the relevant security has opened and then closed.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POLICIES REGARDING MATERIAL NONPUBLIC INFORMATION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Confidentiality of nonpublic information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pStyle w:val="TextBody"/>
        <w:bidi w:val="0"/>
        <w:spacing w:before="240" w:after="283"/>
        <w:jc w:val="both"/>
        <w:rPr>
          <w:rFonts w:ascii="Times New Roman" w:hAnsi="Times New Roman"/>
          <w:sz w:val="20"/>
        </w:rPr>
      </w:pPr>
      <w:r>
        <w:rPr>
          <w:rFonts w:ascii="Times New Roman" w:hAnsi="Times New Roman"/>
          <w:color w:val="000000"/>
          <w:sz w:val="24"/>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into an appropriate nondisclosure agreement that restricts the disclosure and use of the information, if applicable). This restriction also applies to internal communications within the Company and to communications with consultants, contractors and advisors of the Company. In cases where disclosing nonpublic information to third parties is required, you should coordinate with a Compliance Officer.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directors, officers, employees, consultants, contractors and advisors of the Company are required to sign and comply with an At Will Employment, Confidential Information, Invention Assignment, and Arbitration Agreement, or in the case of consultants, contractors and advisors, an agreement that has substantially similar terms.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 trading on material nonpublic information</w:t>
      </w:r>
    </w:p>
    <w:p>
      <w:pPr>
        <w:pStyle w:val="TextBody"/>
        <w:bidi w:val="0"/>
        <w:spacing w:before="240" w:after="283"/>
        <w:jc w:val="both"/>
        <w:rPr>
          <w:rFonts w:ascii="Times New Roman" w:hAnsi="Times New Roman"/>
          <w:sz w:val="20"/>
        </w:rPr>
      </w:pPr>
      <w:r>
        <w:rPr>
          <w:rFonts w:ascii="Times New Roman" w:hAnsi="Times New Roman"/>
          <w:color w:val="000000"/>
          <w:sz w:val="24"/>
        </w:rPr>
        <w:t>Except as discussed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xml:space="preserve">, you may not, directly or indirectly through others, engage in any transaction involving the Company’s securities </w:t>
      </w:r>
      <w:r>
        <w:rPr>
          <w:rFonts w:ascii="Times New Roman" w:hAnsi="Times New Roman"/>
          <w:i/>
          <w:color w:val="000000"/>
          <w:sz w:val="24"/>
        </w:rPr>
        <w:t>while aware of</w:t>
      </w:r>
      <w:r>
        <w:rPr>
          <w:rFonts w:ascii="Times New Roman" w:hAnsi="Times New Roman"/>
          <w:color w:val="000000"/>
          <w:sz w:val="20"/>
        </w:rPr>
        <w:t xml:space="preserve"> </w:t>
      </w:r>
      <w:r>
        <w:rPr>
          <w:rFonts w:ascii="Times New Roman" w:hAnsi="Times New Roman"/>
          <w:color w:val="000000"/>
          <w:sz w:val="24"/>
        </w:rPr>
        <w:t>material nonpublic information relating to the Company. It is not an excuse that you did not “use” the information in your transaction.</w:t>
      </w:r>
    </w:p>
    <w:p>
      <w:pPr>
        <w:pStyle w:val="TextBody"/>
        <w:bidi w:val="0"/>
        <w:spacing w:before="240" w:after="283"/>
        <w:jc w:val="both"/>
        <w:rPr>
          <w:rFonts w:ascii="Times New Roman" w:hAnsi="Times New Roman"/>
          <w:sz w:val="20"/>
        </w:rPr>
      </w:pPr>
      <w:r>
        <w:rPr>
          <w:rFonts w:ascii="Times New Roman" w:hAnsi="Times New Roman"/>
          <w:color w:val="000000"/>
          <w:sz w:val="24"/>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 disclosing material nonpublic information for the benefit of others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may not disclose material nonpublic information concerning the Company or any other company to friends, family members or any other person or entity not authorized to receive such information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Obligation to disclose material nonpublic information to the Company</w:t>
      </w:r>
    </w:p>
    <w:p>
      <w:pPr>
        <w:pStyle w:val="TextBody"/>
        <w:bidi w:val="0"/>
        <w:spacing w:before="240" w:after="283"/>
        <w:jc w:val="both"/>
        <w:rPr>
          <w:rFonts w:ascii="Times New Roman" w:hAnsi="Times New Roman"/>
          <w:sz w:val="20"/>
        </w:rPr>
      </w:pPr>
      <w:r>
        <w:rPr>
          <w:rFonts w:ascii="Times New Roman" w:hAnsi="Times New Roman"/>
          <w:color w:val="000000"/>
          <w:sz w:val="24"/>
        </w:rPr>
        <w:t>You may not enter into any transaction, including those discussed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unless you have disclosed any material nonpublic information that you become aware of in the course of your service with the Company, and that senior management is not aware of, to a Compliance Officer. If you are a member of senior management, the information must be disclosed to the Chief Executive Officer, and if you are the Chief Executive Officer or a director, you must disclose the information to the Board of Directors, before any transaction is permissible.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Responding to outside inquiries for information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you receive an inquiry from someone outside of the Company, such as a stock analyst, for information, you should refer the inquiry to the Chief Financial Officer or the Company’s Head of Investor Relations, if any.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External Communications Policy for more details.</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TRADING BLACKOUT PERIODS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limit the likelihood of trading at times when there is a significant risk of insider trading exposure, the Company has instituted quarterly trading blackout periods and may institute special trading blackout periods from time to time. In addition, to comply with applicable legal requirements, the Company may also institute blackout periods that prevent directors and officers from trading in Company securities at a time when employees are prevented from trading Company securities in the Company’s 401(k)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is important to note that whether or not you are subject to blackout periods, you remain subject to the prohibitions on trading on the basis of material nonpublic information and any other applicable restrictions in this Policy.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Quarterly blackout periods</w:t>
      </w:r>
    </w:p>
    <w:p>
      <w:pPr>
        <w:pStyle w:val="TextBody"/>
        <w:bidi w:val="0"/>
        <w:spacing w:before="240" w:after="283"/>
        <w:jc w:val="both"/>
        <w:rPr>
          <w:rFonts w:ascii="Times New Roman" w:hAnsi="Times New Roman"/>
          <w:sz w:val="20"/>
        </w:rPr>
      </w:pPr>
      <w:r>
        <w:rPr>
          <w:rFonts w:ascii="Times New Roman" w:hAnsi="Times New Roman"/>
          <w:color w:val="000000"/>
          <w:sz w:val="24"/>
        </w:rPr>
        <w:t>Except as discussed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directors, executive officers and those employees, consultants, contractors and advisors identified by the Company, must refrain from conducting transactions involving the Company’s securities during quarterly blackout periods. Even if you are not specifically identified as being subject to quarterly blackout periods, you should exercise caution when engaging in transactions during quarterly blackout periods because of the heightened risk of insider trading exposure.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Quarterly blackout periods begin at the end of the trading day on the tenth trading day of each fiscal quarter and end at the start of the second full trading day following the date of public disclosure of the financial results for the previous fiscal quarter. This period is a particularly sensitive time for transactions involving the Company’s securities from the perspective of compliance with applicable securities laws due to the fact that, during this period, individuals may often possess or have access to material nonpublic information relevant to the expected financial results for the quarter.</w:t>
      </w:r>
    </w:p>
    <w:p>
      <w:pPr>
        <w:pStyle w:val="TextBody"/>
        <w:bidi w:val="0"/>
        <w:spacing w:before="240" w:after="283"/>
        <w:jc w:val="both"/>
        <w:rPr>
          <w:rFonts w:ascii="Times New Roman" w:hAnsi="Times New Roman"/>
          <w:sz w:val="20"/>
        </w:rPr>
      </w:pPr>
      <w:r>
        <w:rPr>
          <w:rFonts w:ascii="Times New Roman" w:hAnsi="Times New Roman"/>
          <w:color w:val="000000"/>
          <w:sz w:val="24"/>
        </w:rPr>
        <w:t>Individuals subject to quarterly blackout periods will be informed by a Compliance Officer that they are listed on the covered persons list maintained by the Compliance Officers (the “</w:t>
      </w:r>
      <w:r>
        <w:rPr>
          <w:rFonts w:ascii="Times New Roman" w:hAnsi="Times New Roman"/>
          <w:b/>
          <w:i/>
          <w:color w:val="000000"/>
          <w:sz w:val="24"/>
        </w:rPr>
        <w:t>Covered Persons List</w:t>
      </w:r>
      <w:r>
        <w:rPr>
          <w:rFonts w:ascii="Times New Roman" w:hAnsi="Times New Roman"/>
          <w:color w:val="000000"/>
          <w:sz w:val="20"/>
        </w:rPr>
        <w:t>”</w:t>
      </w:r>
      <w:r>
        <w:rPr>
          <w:rFonts w:ascii="Times New Roman" w:hAnsi="Times New Roman"/>
          <w:color w:val="000000"/>
          <w:sz w:val="24"/>
        </w:rPr>
        <w:t>). From time to time, the Company may revise the Covered Persons List.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Special blackout periods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From time to time, the Company may also prohibit directors, officers, employees, consultants, contractors and advisors from engaging in transactions involving the Company’s securities when, in the judgment of a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material clinical data results or a significant transaction or business development. However, special blackout periods may be declared for any reason.</w:t>
      </w:r>
    </w:p>
    <w:p>
      <w:pPr>
        <w:pStyle w:val="TextBody"/>
        <w:bidi w:val="0"/>
        <w:spacing w:before="240" w:after="283"/>
        <w:jc w:val="both"/>
        <w:rPr>
          <w:rFonts w:ascii="Times New Roman" w:hAnsi="Times New Roman"/>
          <w:sz w:val="20"/>
        </w:rPr>
      </w:pPr>
      <w:r>
        <w:rPr>
          <w:rFonts w:ascii="Times New Roman" w:hAnsi="Times New Roman"/>
          <w:color w:val="000000"/>
          <w:sz w:val="24"/>
        </w:rPr>
        <w:t>The Company will notify those persons subject to a special blackout period. Each person who has been so identified and notified by the Company may not engage in any transaction involving the Company’s securities until instructed otherwise by a Compliance Officer, and should not disclose to others the fact of such suspension of trading.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Regulation BTR blackouts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Directors and executive officers may also be subject to trading blackouts pursuant to Regulation Blackout Trading Restriction, or Regulation BTR,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has provided, or will provide, separate memoranda and other appropriate materials to its directors and executive officers regarding compliance with Regulation BTR.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will notify directors and officers if they are subject to a blackout trading restriction under Regulation BTR. Failure to comply with an applicable trading blackout in accordance with Regulation BTR is a violation of law and this Policy.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 “safe harbors”</w:t>
      </w:r>
    </w:p>
    <w:p>
      <w:pPr>
        <w:pStyle w:val="TextBody"/>
        <w:bidi w:val="0"/>
        <w:spacing w:before="240" w:after="283"/>
        <w:jc w:val="both"/>
        <w:rPr>
          <w:rFonts w:ascii="Times New Roman" w:hAnsi="Times New Roman"/>
          <w:sz w:val="20"/>
        </w:rPr>
      </w:pPr>
      <w:r>
        <w:rPr>
          <w:rFonts w:ascii="Times New Roman" w:hAnsi="Times New Roman"/>
          <w:color w:val="000000"/>
          <w:sz w:val="24"/>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PRE-CLEARANCE OF TRADES</w:t>
      </w:r>
    </w:p>
    <w:p>
      <w:pPr>
        <w:pStyle w:val="TextBody"/>
        <w:bidi w:val="0"/>
        <w:spacing w:before="240" w:after="283"/>
        <w:jc w:val="both"/>
        <w:rPr>
          <w:rFonts w:ascii="Times New Roman" w:hAnsi="Times New Roman"/>
          <w:sz w:val="20"/>
        </w:rPr>
      </w:pPr>
      <w:r>
        <w:rPr>
          <w:rFonts w:ascii="Times New Roman" w:hAnsi="Times New Roman"/>
          <w:color w:val="000000"/>
          <w:sz w:val="24"/>
        </w:rPr>
        <w:t>Except as discussed in the section entitled “</w:t>
      </w:r>
      <w:r>
        <w:rPr>
          <w:rFonts w:ascii="Times New Roman" w:hAnsi="Times New Roman"/>
          <w:b/>
          <w:color w:val="000000"/>
          <w:sz w:val="24"/>
        </w:rPr>
        <w:t>Limited Exceptions</w:t>
      </w:r>
      <w:r>
        <w:rPr>
          <w:rFonts w:ascii="Times New Roman" w:hAnsi="Times New Roman"/>
          <w:color w:val="000000"/>
          <w:sz w:val="20"/>
        </w:rPr>
        <w:t>”</w:t>
      </w:r>
      <w:r>
        <w:rPr>
          <w:rFonts w:ascii="Times New Roman" w:hAnsi="Times New Roman"/>
          <w:color w:val="000000"/>
          <w:sz w:val="24"/>
        </w:rPr>
        <w:t xml:space="preserve">, directors, executive officers and any other persons identified on the Covered Persons List of this Policy as being subject to pre-clearance requirements must obtain pre-clearance prior to engaging in any transaction involving the Company’s securities. This is done by submitting a pre-clearance request on the form provided by a Compliance Officer to a Compliance Officer and obtaining the required signature from a Compliance Officer prior to the desired transaction date. The Compliance Officer should use the Pre-Clearance Checklist (see </w:t>
      </w:r>
      <w:r>
        <w:rPr>
          <w:rFonts w:ascii="Times New Roman" w:hAnsi="Times New Roman"/>
          <w:b/>
          <w:color w:val="000000"/>
          <w:sz w:val="24"/>
        </w:rPr>
        <w:t>Schedule I</w:t>
      </w:r>
      <w:r>
        <w:rPr>
          <w:rFonts w:ascii="Times New Roman" w:hAnsi="Times New Roman"/>
          <w:color w:val="000000"/>
          <w:sz w:val="24"/>
        </w:rPr>
        <w:t>) before signing a pre-clearance request. A Compliance Officer may not engage in a transaction involving the Company’s securities unless the Chief Executive Officer has pre</w:t>
        <w:noBreakHyphen/>
        <w:t>cleared the transaction or, in the case the Compliance Officer engaging in the transaction is the Chief Executive Officer, another Compliance Officer has pre-cleared the transaction. All trades must be executed within one week of any pre-clearance.</w:t>
      </w:r>
    </w:p>
    <w:p>
      <w:pPr>
        <w:pStyle w:val="TextBody"/>
        <w:bidi w:val="0"/>
        <w:spacing w:before="240" w:after="283"/>
        <w:jc w:val="both"/>
        <w:rPr>
          <w:rFonts w:ascii="Times New Roman" w:hAnsi="Times New Roman"/>
          <w:sz w:val="20"/>
        </w:rPr>
      </w:pPr>
      <w:r>
        <w:rPr>
          <w:rFonts w:ascii="Times New Roman" w:hAnsi="Times New Roman"/>
          <w:color w:val="000000"/>
          <w:sz w:val="24"/>
        </w:rPr>
        <w:t>These pre-clearance procedures are intended to decrease insider trading risks associated with transactions by individuals with regular or special access to material nonpublic information. In addition, requiring pre</w:t>
      </w:r>
      <w:r>
        <w:rPr>
          <w:rFonts w:ascii="Times New Roman" w:hAnsi="Times New Roman"/>
          <w:color w:val="000000"/>
          <w:sz w:val="20"/>
        </w:rPr>
        <w:noBreakHyphen/>
      </w:r>
      <w:r>
        <w:rPr>
          <w:rFonts w:ascii="Times New Roman" w:hAnsi="Times New Roman"/>
          <w:color w:val="000000"/>
          <w:sz w:val="24"/>
        </w:rPr>
        <w:t>clearance of transactions by directors and officers facilitates compliance with Rule 144 resale restrictions under the Securities Act of 1933, as amended, the liability and reporting provisions of Section 16 under the Securities Exchange Act of 1934, as amended (the “</w:t>
      </w:r>
      <w:r>
        <w:rPr>
          <w:rFonts w:ascii="Times New Roman" w:hAnsi="Times New Roman"/>
          <w:b/>
          <w:color w:val="000000"/>
          <w:sz w:val="24"/>
        </w:rPr>
        <w:t>Exchange Act</w:t>
      </w:r>
      <w:r>
        <w:rPr>
          <w:rFonts w:ascii="Times New Roman" w:hAnsi="Times New Roman"/>
          <w:color w:val="000000"/>
          <w:sz w:val="20"/>
        </w:rPr>
        <w:t>”</w:t>
      </w:r>
      <w:r>
        <w:rPr>
          <w:rFonts w:ascii="Times New Roman" w:hAnsi="Times New Roman"/>
          <w:color w:val="000000"/>
          <w:sz w:val="24"/>
        </w:rPr>
        <w:t>) and Regulation BTR. Pre-clearance of a trade, however, is not a defense to a claim of insider trading and does not excuse you from otherwise complying with insider trading laws or this Policy.</w:t>
      </w:r>
    </w:p>
    <w:p>
      <w:pPr>
        <w:pStyle w:val="TextBody"/>
        <w:bidi w:val="0"/>
        <w:spacing w:before="240" w:after="283"/>
        <w:jc w:val="both"/>
        <w:rPr>
          <w:rFonts w:ascii="Times New Roman" w:hAnsi="Times New Roman"/>
          <w:sz w:val="20"/>
        </w:rPr>
      </w:pPr>
      <w:r>
        <w:rPr>
          <w:rFonts w:ascii="Times New Roman" w:hAnsi="Times New Roman"/>
          <w:color w:val="000000"/>
          <w:sz w:val="24"/>
        </w:rPr>
        <w:t>A Compliance Officer is under no obligation to approve a transaction submitted for pre</w:t>
        <w:noBreakHyphen/>
        <w:t>clearance, and may determine not to permit the transaction.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From time to time, the Company may identify other persons who should be subject to the pre-clearance requirements set forth above, and a Compliance Officer may update and revise the Covered Persons List as appropriate.</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ADDITIONAL RESTRICTIONS AND GUIDANCE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Short sales</w:t>
      </w:r>
    </w:p>
    <w:p>
      <w:pPr>
        <w:pStyle w:val="TextBody"/>
        <w:bidi w:val="0"/>
        <w:spacing w:before="240" w:after="283"/>
        <w:jc w:val="both"/>
        <w:rPr>
          <w:rFonts w:ascii="Times New Roman" w:hAnsi="Times New Roman"/>
          <w:sz w:val="20"/>
        </w:rPr>
      </w:pPr>
      <w:r>
        <w:rPr>
          <w:rFonts w:ascii="Times New Roman" w:hAnsi="Times New Roman"/>
          <w:color w:val="000000"/>
          <w:sz w:val="24"/>
        </w:rPr>
        <w:t>Short sales (</w:t>
      </w:r>
      <w:r>
        <w:rPr>
          <w:rFonts w:ascii="Times New Roman" w:hAnsi="Times New Roman"/>
          <w:i/>
          <w:color w:val="000000"/>
          <w:sz w:val="24"/>
        </w:rPr>
        <w:t>i.e.,</w:t>
      </w:r>
      <w:r>
        <w:rPr>
          <w:rFonts w:ascii="Times New Roman" w:hAnsi="Times New Roman"/>
          <w:color w:val="000000"/>
          <w:sz w:val="20"/>
        </w:rPr>
        <w:t xml:space="preserve"> </w:t>
      </w:r>
      <w:r>
        <w:rPr>
          <w:rFonts w:ascii="Times New Roman" w:hAnsi="Times New Roman"/>
          <w:color w:val="000000"/>
          <w:sz w:val="24"/>
        </w:rPr>
        <w:t>the sale of a security that must be borrowed to make delivery) and “selling short against the box” (</w:t>
      </w:r>
      <w:r>
        <w:rPr>
          <w:rFonts w:ascii="Times New Roman" w:hAnsi="Times New Roman"/>
          <w:i/>
          <w:color w:val="000000"/>
          <w:sz w:val="24"/>
        </w:rPr>
        <w:t>i.e.,</w:t>
      </w:r>
      <w:r>
        <w:rPr>
          <w:rFonts w:ascii="Times New Roman" w:hAnsi="Times New Roman"/>
          <w:color w:val="000000"/>
          <w:sz w:val="20"/>
        </w:rPr>
        <w:t xml:space="preserve"> </w:t>
      </w:r>
      <w:r>
        <w:rPr>
          <w:rFonts w:ascii="Times New Roman" w:hAnsi="Times New Roman"/>
          <w:color w:val="000000"/>
          <w:sz w:val="24"/>
        </w:rPr>
        <w:t>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Derivative securities and hedging transactions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You are prohibited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also subject to this prohibition;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as described in the “</w:t>
      </w:r>
      <w:r>
        <w:rPr>
          <w:rFonts w:ascii="Times New Roman" w:hAnsi="Times New Roman"/>
          <w:b/>
          <w:color w:val="000000"/>
          <w:sz w:val="24"/>
        </w:rPr>
        <w:t>Limited Exceptions</w:t>
      </w:r>
      <w:r>
        <w:rPr>
          <w:rFonts w:ascii="Times New Roman" w:hAnsi="Times New Roman"/>
          <w:color w:val="000000"/>
          <w:sz w:val="20"/>
        </w:rPr>
        <w:t xml:space="preserve">” </w:t>
      </w:r>
      <w:r>
        <w:rPr>
          <w:rFonts w:ascii="Times New Roman" w:hAnsi="Times New Roman"/>
          <w:color w:val="000000"/>
          <w:sz w:val="24"/>
        </w:rPr>
        <w:t>section of this Policy, you are not prohibited from exercising any stock options issued under any of the Company’s benefit plans or other compensatory arrangements in accordance with the terms of such plans or arrangements.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Transactions in derivative securities may reflect a short</w:t>
      </w:r>
      <w:r>
        <w:rPr>
          <w:rFonts w:ascii="Times New Roman" w:hAnsi="Times New Roman"/>
          <w:color w:val="000000"/>
          <w:sz w:val="20"/>
        </w:rPr>
        <w:noBreakHyphen/>
      </w:r>
      <w:r>
        <w:rPr>
          <w:rFonts w:ascii="Times New Roman" w:hAnsi="Times New Roman"/>
          <w:color w:val="000000"/>
          <w:sz w:val="24"/>
        </w:rPr>
        <w:t>term and speculative interest in the Company’s securities and may create the appearance of impropriety, even where a transaction does not involve trading on inside information. Trading in derivatives may also focus attention on short</w:t>
        <w:noBreakHyphen/>
        <w:t>term performance at the expense of the Company’s long</w:t>
        <w:noBreakHyphen/>
        <w:t>term objectives. In addition, the application of securities laws to derivatives transactions can be complex, and persons engaging in derivatives transactions may subject themselves to an increased risk of violating securities laws. “</w:t>
      </w:r>
      <w:r>
        <w:rPr>
          <w:rFonts w:ascii="Times New Roman" w:hAnsi="Times New Roman"/>
          <w:b/>
          <w:color w:val="000000"/>
          <w:sz w:val="24"/>
        </w:rPr>
        <w:t>Guidelines for Preparing Trading Plans</w:t>
      </w:r>
      <w:r>
        <w:rPr>
          <w:rFonts w:ascii="Times New Roman" w:hAnsi="Times New Roman"/>
          <w:color w:val="000000"/>
          <w:sz w:val="20"/>
        </w:rPr>
        <w:t xml:space="preserve">” </w:t>
      </w:r>
      <w:r>
        <w:rPr>
          <w:rFonts w:ascii="Times New Roman" w:hAnsi="Times New Roman"/>
          <w:color w:val="000000"/>
          <w:sz w:val="24"/>
        </w:rPr>
        <w:t xml:space="preserve">are set forth in </w:t>
      </w:r>
      <w:r>
        <w:rPr>
          <w:rFonts w:ascii="Times New Roman" w:hAnsi="Times New Roman"/>
          <w:b/>
          <w:color w:val="000000"/>
          <w:sz w:val="24"/>
        </w:rPr>
        <w:t>Schedule III</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Using Company securities as collateral for loans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may not pledge Company securities as collateral for loans.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Section 16 and Regulation BTR violations (for officers and directors), violations of this Policy and unfavorable publicity for you and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Holding Company securities in margin accounts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may not hold Company securities in margin accounts.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Section 16 and Regulation BTR violations (for officers and directors), violations of this Policy and unfavorable publicity for you and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Placing open orders with brokers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in accordance with an approved trading plan (as discussed below), you should exercise caution when placing open orders, such as limit orders or stop orders, with brokers, particularly where the order is likely to remain outstanding for an extended period of time. If you are subject to the blackout window, open orders should be canceled prior to entering a blackout window, as this may result in the execution of a trade at a time when you are aware of material nonpublic information or otherwise are not permitted to trade in Company securities, which may result in inadvertent insider trading violations, Section 16 and Regulation BTR violations (for officers and directors), violations of this Policy and unfavorable publicity for you and the Company. If you are subject to blackout periods or pre-clearance requirements, you should so inform any broker with whom you place any open order at the time it is placed.</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LIMITED EXCEPTIONS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Transactions pursuant to a trading plan that complies with SEC rules</w:t>
      </w:r>
    </w:p>
    <w:p>
      <w:pPr>
        <w:pStyle w:val="TextBody"/>
        <w:bidi w:val="0"/>
        <w:spacing w:before="240" w:after="283"/>
        <w:jc w:val="both"/>
        <w:rPr>
          <w:rFonts w:ascii="Times New Roman" w:hAnsi="Times New Roman"/>
          <w:sz w:val="20"/>
        </w:rPr>
      </w:pPr>
      <w:r>
        <w:rPr>
          <w:rFonts w:ascii="Times New Roman" w:hAnsi="Times New Roman"/>
          <w:color w:val="000000"/>
          <w:sz w:val="24"/>
        </w:rPr>
        <w:t>The SEC has enacted rules that provide an affirmative defense against alleged violations of U.S. federal insider trading laws for transactions pursuant to trading plans that meet certain requirements. In general, these rules, as set forth in Rule 10b5</w:t>
        <w:noBreakHyphen/>
        <w:t>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Transactions made pursuant to a written trading plan that (i) complies with the affirmative defense set forth in Rule 10b5</w:t>
        <w:noBreakHyphen/>
        <w:t>1, (ii) complies with the “</w:t>
      </w:r>
      <w:r>
        <w:rPr>
          <w:rFonts w:ascii="Times New Roman" w:hAnsi="Times New Roman"/>
          <w:b/>
          <w:color w:val="000000"/>
          <w:sz w:val="24"/>
        </w:rPr>
        <w:t>Requirements for Trading Plans</w:t>
      </w:r>
      <w:r>
        <w:rPr>
          <w:rFonts w:ascii="Times New Roman" w:hAnsi="Times New Roman"/>
          <w:color w:val="000000"/>
          <w:sz w:val="20"/>
        </w:rPr>
        <w:t xml:space="preserve">” </w:t>
      </w:r>
      <w:r>
        <w:rPr>
          <w:rFonts w:ascii="Times New Roman" w:hAnsi="Times New Roman"/>
          <w:color w:val="000000"/>
          <w:sz w:val="24"/>
        </w:rPr>
        <w:t xml:space="preserve">set forth in </w:t>
      </w:r>
      <w:r>
        <w:rPr>
          <w:rFonts w:ascii="Times New Roman" w:hAnsi="Times New Roman"/>
          <w:b/>
          <w:color w:val="000000"/>
          <w:sz w:val="24"/>
        </w:rPr>
        <w:t xml:space="preserve">Schedule II </w:t>
      </w:r>
      <w:r>
        <w:rPr>
          <w:rFonts w:ascii="Times New Roman" w:hAnsi="Times New Roman"/>
          <w:color w:val="000000"/>
          <w:sz w:val="24"/>
        </w:rPr>
        <w:t>and (iii) is approved by a Compliance Officer, are not subject to the restrictions in this Policy against trades made while aware of material nonpublic information or to the pre</w:t>
        <w:noBreakHyphen/>
        <w:t>clearance procedures or blackout periods established under this Policy. If the Compliance Officer is the requester, then the Company’s Chief Executive Officer, Chief Financial Officer, or their delegate, must approve the written 10b5-1 trading plan. In approving a trading plan, a Compliance Officer may, in furtherance of the objectives expressed in this Policy, impose criteria in addition to those set forth in Rule 10b5</w:t>
        <w:noBreakHyphen/>
        <w:t>1. You should therefore confer with a Compliance Officer prior to entering into any trading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w:t>
        <w:noBreakHyphen/>
        <w:t>1 and ensuring that the trading plan complies with this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Trading plans must be filed with a Compliance Officer and must be accompanied with an executed certificate stating that the trading plan complies with Rule 10b5</w:t>
        <w:noBreakHyphen/>
        <w:t>1 and any other criteria established by the Company. The Company may publicly disclose information regarding trading plans that you may enter.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Receipt and vesting of stock options, restricted stock units, and restricted stock</w:t>
      </w:r>
    </w:p>
    <w:p>
      <w:pPr>
        <w:pStyle w:val="TextBody"/>
        <w:bidi w:val="0"/>
        <w:spacing w:before="240" w:after="283"/>
        <w:jc w:val="both"/>
        <w:rPr>
          <w:rFonts w:ascii="Times New Roman" w:hAnsi="Times New Roman"/>
          <w:sz w:val="20"/>
        </w:rPr>
      </w:pPr>
      <w:r>
        <w:rPr>
          <w:rFonts w:ascii="Times New Roman" w:hAnsi="Times New Roman"/>
          <w:color w:val="000000"/>
          <w:sz w:val="24"/>
        </w:rPr>
        <w:t>The trading restrictions under this Policy do not apply to the acceptance or purchase of stock options, restricted stock units, restricted stock or other equity compensation awards issued or offered by the Company. The trading restrictions under this Policy also do not apply to the vesting,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cancellation or forfeiture of stock options, restricted stock units, restricted stock or other equity compensation awards from the Company in accordance with applicable plans and agreements; however, this exception does not apply to any market activity associated with such securities.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Exercise of stock options for cash and tax withholding requirements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trading restrictions under this Policy do not apply to the exercise of stock options for cash under the Company’s stock option plans. However, the trading restrictions under this Policy do apply to market activity associated with the exercise of stock options under the Company’s stock option plans, such as (i) the sale of any securities issued upon the exercise of a stock option, (ii) a cashless exercise of a stock option through a broker, since this involves selling a portion of the underlying shares to cover the costs of exercise, and (iii) any other market sale for the purpose of generating the cash needed to pay the exercise price of an option.</w:t>
      </w:r>
    </w:p>
    <w:p>
      <w:pPr>
        <w:pStyle w:val="TextBody"/>
        <w:bidi w:val="0"/>
        <w:spacing w:before="240" w:after="283"/>
        <w:jc w:val="both"/>
        <w:rPr>
          <w:rFonts w:ascii="Times New Roman" w:hAnsi="Times New Roman"/>
          <w:sz w:val="20"/>
        </w:rPr>
      </w:pPr>
      <w:r>
        <w:rPr>
          <w:rFonts w:ascii="Times New Roman" w:hAnsi="Times New Roman"/>
          <w:color w:val="000000"/>
          <w:sz w:val="24"/>
        </w:rPr>
        <w:t>The trading restrictions under this Policy do not apply to 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the individual elects, if permitted by the Company, so long as that election is irrevocable and made in writing at a time when a trading blackout is not in place and the individual is not in possession of material nonpublic information. Likewise, the trading restrictions under this Policy do not apply to sell to cover transactions where shares are sold on an individual’s behalf upon vesting of equity awards sold in order to satisfy tax withholding requirements, (x) as required by either the Company’s Board of Directors (or a committee thereof) or the award agreement governing such equity award or (y) as the individual elects, if permitted by the Company, so long as the election is irrevocable and made in writing at a time when a trading blackout is not in place and the individual is not in possession of material nonpublic information; however, this exception does not apply to any other sale of such securities.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Purchases from the employee stock purchase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trading restrictions in this Policy do not apply to elections with respect to participation in the Company’s employee stock purchase plan or to purchases of securities under the plan. However, the trading restrictions do apply to any subsequent sales of any such securities.</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Certain 401(k) plan transactions</w:t>
      </w:r>
    </w:p>
    <w:p>
      <w:pPr>
        <w:pStyle w:val="TextBody"/>
        <w:bidi w:val="0"/>
        <w:spacing w:before="240" w:after="283"/>
        <w:jc w:val="both"/>
        <w:rPr>
          <w:rFonts w:ascii="Times New Roman" w:hAnsi="Times New Roman"/>
          <w:sz w:val="20"/>
        </w:rPr>
      </w:pPr>
      <w:r>
        <w:rPr>
          <w:rFonts w:ascii="Times New Roman" w:hAnsi="Times New Roman"/>
          <w:color w:val="000000"/>
          <w:sz w:val="24"/>
        </w:rPr>
        <w:t>The trading restrictions in this Policy do not apply to purchases of Company stock in the 401(k) plan resulting from periodic contributions to the plan based on your payroll contribution election. The trading restrictions do apply, however, to elections you make under the 401(k) plan to (i) increase or decrease the amount of your contributions under the 401(k) plan if such increase or decrease will increase or decrease the amount of your contributions that will be allocated to a Company stock fund, (ii) increase or decrease the percentage of your contributions that will be allocated to a Company stock fund, (iii) move balances into or out of a Company stock fund, (iv) borrow money against your 401(k) plan account if the loan will result in liquidation of some or all of your Company stock fund balance, and (v) pre</w:t>
        <w:noBreakHyphen/>
        <w:t>pay a plan loan if the pre</w:t>
        <w:noBreakHyphen/>
        <w:t>payment will result in the allocation of loan proceeds to a Company stock fund.</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Stock splits, stock dividends and similar transactions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trading restrictions under this Policy do not apply to a change in the number of securities held as a result of a stock split or stock dividend applying equally to all securities of a class, or similar transactions.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Estate planning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trading restrictions under this Policy do not apply to transfers by will or the laws of descent or distribution and, provided that prior written notice is provided to a Compliance Officer, distributions or transfers (such as certain tax planning or estate planning transfers) that effect only a change in the form of beneficial interest without changing your pecuniary interest in the Company’s securities.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Other exceptions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other exception from this Policy must be approved by a Compliance Officer, in consultation with the Board of Directors or an independent committee of the Board of Directors.</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4"/>
        </w:rPr>
      </w:pPr>
      <w:r>
        <w:rPr>
          <w:rFonts w:ascii="Times New Roman" w:hAnsi="Times New Roman"/>
          <w:b/>
          <w:caps/>
          <w:color w:val="000000"/>
          <w:sz w:val="24"/>
        </w:rPr>
        <w:t>COMPLIANCE WITH SECTION 16 OF THE SECURITIES EXCHANGE ACT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Obligations under Section 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of the Company’s officers and directors and certain other individuals are required to comply with Section 16 of the Securities Exchange Act of 1934, and related rules and regulations, which set forth (i) reporting obligations, (ii) limitations on “short</w:t>
        <w:noBreakHyphen/>
        <w:t>swing” transactions, which are certain matching purchases and sales of the Company’s securities within a six-month period, and (iii) limitations on short sales. The Company has provided, or will provide, memoranda and other materials addressing these matters.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Notification requirements to facilitate Section 16 reporting</w:t>
      </w:r>
    </w:p>
    <w:p>
      <w:pPr>
        <w:pStyle w:val="TextBody"/>
        <w:bidi w:val="0"/>
        <w:spacing w:before="240" w:after="283"/>
        <w:jc w:val="both"/>
        <w:rPr>
          <w:rFonts w:ascii="Times New Roman" w:hAnsi="Times New Roman"/>
          <w:sz w:val="20"/>
        </w:rPr>
      </w:pPr>
      <w:r>
        <w:rPr>
          <w:rFonts w:ascii="Times New Roman" w:hAnsi="Times New Roman"/>
          <w:color w:val="000000"/>
          <w:sz w:val="24"/>
        </w:rPr>
        <w:t>To facilitate timely reporting of transactions pursuant to Section 16 requirements, each person subject to Section 16 reporting requirements must provide, or must ensure that his or her broker provides, the Company with detailed information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 xml:space="preserve">trade date, number of shares, exact price, </w:t>
      </w:r>
      <w:r>
        <w:rPr>
          <w:rFonts w:ascii="Times New Roman" w:hAnsi="Times New Roman"/>
          <w:i/>
          <w:color w:val="000000"/>
          <w:sz w:val="24"/>
        </w:rPr>
        <w:t>etc.</w:t>
      </w:r>
      <w:r>
        <w:rPr>
          <w:rFonts w:ascii="Times New Roman" w:hAnsi="Times New Roman"/>
          <w:color w:val="000000"/>
          <w:sz w:val="24"/>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Personal responsibility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obligation to file Section 16 reports, and to otherwise comply with Section 16, is personal. The Company is not responsible for the failure to comply with Section 16 requirements.</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4"/>
        </w:rPr>
        <w:t>ADDITIONAL</w:t>
      </w:r>
      <w:r>
        <w:rPr>
          <w:rFonts w:ascii="Times New Roman" w:hAnsi="Times New Roman"/>
          <w:caps/>
          <w:color w:val="000000"/>
          <w:sz w:val="20"/>
        </w:rPr>
        <w:t xml:space="preserve"> </w:t>
      </w:r>
      <w:r>
        <w:rPr>
          <w:rFonts w:ascii="Times New Roman" w:hAnsi="Times New Roman"/>
          <w:b/>
          <w:caps/>
          <w:color w:val="000000"/>
          <w:sz w:val="24"/>
        </w:rPr>
        <w:t>INFORMATION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Delivery of Policy</w:t>
      </w:r>
    </w:p>
    <w:p>
      <w:pPr>
        <w:pStyle w:val="TextBody"/>
        <w:bidi w:val="0"/>
        <w:spacing w:before="240" w:after="283"/>
        <w:jc w:val="both"/>
        <w:rPr>
          <w:rFonts w:ascii="Times New Roman" w:hAnsi="Times New Roman"/>
          <w:sz w:val="20"/>
        </w:rPr>
      </w:pPr>
      <w:r>
        <w:rPr>
          <w:rFonts w:ascii="Times New Roman" w:hAnsi="Times New Roman"/>
          <w:color w:val="000000"/>
          <w:sz w:val="24"/>
        </w:rPr>
        <w:t>This Policy will be delivered to all directors, officers, employees, consultants, contractors and advisors of the Company when they commence service with the Company. In addition, this Policy (or a summary of this Policy) will be circulated periodically. Each director, officer, employee, consultant, contractor and advisor of the Company is required to acknowledge that he or she understands, and agrees to comply with, this Policy.</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Amendments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are committed to continuously reviewing and updating our policies and procedures. The Company therefore reserves the right to amend, alter or terminate this Policy at any time and for any reason, subject to applicable law. Unless otherwise permitted by this Policy, any amendments must be approved by the Board of Directors of the Company.</w:t>
      </w:r>
    </w:p>
    <w:p>
      <w:pPr>
        <w:pStyle w:val="TextBody"/>
        <w:bidi w:val="0"/>
        <w:spacing w:before="240" w:after="60"/>
        <w:jc w:val="both"/>
        <w:rPr>
          <w:rFonts w:ascii="Times New Roman" w:hAnsi="Times New Roman"/>
          <w:b/>
          <w:color w:val="000000"/>
          <w:sz w:val="24"/>
        </w:rPr>
      </w:pPr>
      <w:r>
        <w:rPr>
          <w:rFonts w:ascii="Times New Roman" w:hAnsi="Times New Roman"/>
          <w:b/>
          <w:color w:val="000000"/>
          <w:sz w:val="24"/>
        </w:rPr>
        <w:t>Current Version of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copy of the Company’s current policies regarding insider trading may be obtained by contacting a Compliance Officer.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Nothing in this Insider Trading Policy creates or implies an employment contract or term of employment. Employment at the Company is employment at-will. Employment at-will may be terminated with or without cause and with or without notice at any time by the employee or the Company. Nothing in this Insider Trading Policy shall limit the right to terminate employment at-will. No employee of the Company has any authority to enter into any agreement for employment for a specified period of time or to make any agreement or representation contrary to the Company’s policy of employment at-will. Only the Chief Executive Officer of the Company has the authority to make any such agreement, which must be in writing.</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The policies in this Insider Trading Policy do not constitute a complete list of Company policies or a complete list of the types of conduct that can result in discipline, up to and including discharge.</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w:t>
      </w:r>
    </w:p>
    <w:p>
      <w:pPr>
        <w:pStyle w:val="TextBody"/>
        <w:bidi w:val="0"/>
        <w:jc w:val="center"/>
        <w:rPr/>
      </w:pPr>
      <w:r>
        <w:rPr/>
        <w:t> </w:t>
      </w:r>
    </w:p>
    <w:p>
      <w:pPr>
        <w:pStyle w:val="TextBody"/>
        <w:bidi w:val="0"/>
        <w:jc w:val="center"/>
        <w:rPr>
          <w:rFonts w:ascii="Times New Roman" w:hAnsi="Times New Roman"/>
          <w:b/>
          <w:caps/>
          <w:color w:val="000000"/>
          <w:sz w:val="24"/>
          <w:u w:val="single"/>
        </w:rPr>
      </w:pPr>
      <w:r>
        <w:rPr>
          <w:rFonts w:ascii="Times New Roman" w:hAnsi="Times New Roman"/>
          <w:b/>
          <w:caps/>
          <w:color w:val="000000"/>
          <w:sz w:val="24"/>
          <w:u w:val="single"/>
        </w:rPr>
        <w:t>ALX Oncology Holdings INC.</w:t>
      </w:r>
    </w:p>
    <w:p>
      <w:pPr>
        <w:pStyle w:val="TextBody"/>
        <w:bidi w:val="0"/>
        <w:spacing w:before="240" w:after="240"/>
        <w:jc w:val="center"/>
        <w:rPr>
          <w:rFonts w:ascii="Times New Roman" w:hAnsi="Times New Roman"/>
          <w:b/>
          <w:color w:val="000000"/>
          <w:sz w:val="24"/>
          <w:u w:val="single"/>
        </w:rPr>
      </w:pPr>
      <w:r>
        <w:rPr>
          <w:rFonts w:ascii="Times New Roman" w:hAnsi="Times New Roman"/>
          <w:b/>
          <w:color w:val="000000"/>
          <w:sz w:val="24"/>
          <w:u w:val="single"/>
        </w:rPr>
        <w:t>INSIDER TRADING POLICY — PRE</w:t>
        <w:noBreakHyphen/>
        <w:t>CLEARANCE CHECKLIST</w:t>
      </w:r>
    </w:p>
    <w:tbl>
      <w:tblPr>
        <w:tblW w:w="10205" w:type="dxa"/>
        <w:jc w:val="left"/>
        <w:tblInd w:w="0" w:type="dxa"/>
        <w:tblLayout w:type="fixed"/>
        <w:tblCellMar>
          <w:top w:w="28" w:type="dxa"/>
          <w:left w:w="28" w:type="dxa"/>
          <w:bottom w:w="28" w:type="dxa"/>
          <w:right w:w="28" w:type="dxa"/>
        </w:tblCellMar>
      </w:tblPr>
      <w:tblGrid>
        <w:gridCol w:w="331"/>
        <w:gridCol w:w="373"/>
        <w:gridCol w:w="9501"/>
      </w:tblGrid>
      <w:tr>
        <w:trPr/>
        <w:tc>
          <w:tcPr>
            <w:tcW w:w="33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5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4"/>
              </w:rPr>
            </w:pPr>
            <w:r>
              <w:rPr>
                <w:rFonts w:ascii="Times New Roman" w:hAnsi="Times New Roman"/>
                <w:b/>
                <w:color w:val="000000"/>
                <w:sz w:val="24"/>
              </w:rPr>
              <w:t>No blackout period.</w:t>
            </w:r>
            <w:r>
              <w:rPr>
                <w:rFonts w:ascii="Times New Roman" w:hAnsi="Times New Roman"/>
                <w:color w:val="000000"/>
                <w:sz w:val="24"/>
              </w:rPr>
              <w:t> The proposed trade will not be made during a quarterly or special blackout period.</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4"/>
              </w:rPr>
            </w:pPr>
            <w:r>
              <w:rPr>
                <w:rFonts w:ascii="Times New Roman" w:hAnsi="Times New Roman"/>
                <w:b/>
                <w:color w:val="000000"/>
                <w:sz w:val="24"/>
              </w:rPr>
              <w:t>No pension fund blackout under Regulation BTR.*</w:t>
            </w:r>
            <w:r>
              <w:rPr>
                <w:rFonts w:ascii="Times New Roman" w:hAnsi="Times New Roman"/>
                <w:color w:val="000000"/>
                <w:sz w:val="24"/>
              </w:rPr>
              <w:t> There is no pension fund blackout period in effect.</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4"/>
              </w:rPr>
            </w:pPr>
            <w:r>
              <w:rPr>
                <w:rFonts w:ascii="Times New Roman" w:hAnsi="Times New Roman"/>
                <w:b/>
                <w:color w:val="000000"/>
                <w:sz w:val="24"/>
              </w:rPr>
              <w:t>No prohibition under Insider Trading Policy.</w:t>
            </w:r>
            <w:r>
              <w:rPr>
                <w:rFonts w:ascii="Times New Roman" w:hAnsi="Times New Roman"/>
                <w:color w:val="000000"/>
                <w:sz w:val="24"/>
              </w:rPr>
              <w:t> The person confirmed that the proposed transaction is not prohibited under the Insider Trading Policy.</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4"/>
              </w:rPr>
            </w:pPr>
            <w:r>
              <w:rPr>
                <w:rFonts w:ascii="Times New Roman" w:hAnsi="Times New Roman"/>
                <w:b/>
                <w:color w:val="000000"/>
                <w:sz w:val="24"/>
              </w:rPr>
              <w:t>Section 16 compliance.*</w:t>
            </w:r>
            <w:r>
              <w:rPr>
                <w:rFonts w:ascii="Times New Roman" w:hAnsi="Times New Roman"/>
                <w:color w:val="000000"/>
                <w:sz w:val="24"/>
              </w:rPr>
              <w:t xml:space="preserve"> The person confirmed that the proposed trade will not give rise to any potential liability under Section 16 as a result of matched past (or intended future) transactions. </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4"/>
              </w:rPr>
            </w:pPr>
            <w:r>
              <w:rPr>
                <w:rFonts w:ascii="Times New Roman" w:hAnsi="Times New Roman"/>
                <w:b/>
                <w:color w:val="000000"/>
                <w:sz w:val="24"/>
              </w:rPr>
              <w:t>Form 4 filing.*</w:t>
            </w:r>
            <w:r>
              <w:rPr>
                <w:rFonts w:ascii="Times New Roman" w:hAnsi="Times New Roman"/>
                <w:color w:val="000000"/>
                <w:sz w:val="24"/>
              </w:rPr>
              <w:t> A Form 4 has been or will be completed and will be timely filed with the SEC, if applicable.</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Rule 144 compliance.</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pPr>
            <w:r>
              <w:rPr/>
              <w:t> </w:t>
            </w:r>
          </w:p>
        </w:tc>
        <w:tc>
          <w:tcPr>
            <w:tcW w:w="373"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50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4"/>
              </w:rPr>
            </w:pPr>
            <w:r>
              <w:rPr>
                <w:rFonts w:ascii="Times New Roman" w:hAnsi="Times New Roman"/>
                <w:color w:val="000000"/>
                <w:sz w:val="24"/>
              </w:rPr>
              <w:t>The “current public information” requirement has been met (</w:t>
            </w:r>
            <w:r>
              <w:rPr>
                <w:rFonts w:ascii="Times New Roman" w:hAnsi="Times New Roman"/>
                <w:i/>
                <w:color w:val="000000"/>
                <w:sz w:val="24"/>
              </w:rPr>
              <w:t>i.e.</w:t>
            </w:r>
            <w:r>
              <w:rPr>
                <w:rFonts w:ascii="Times New Roman" w:hAnsi="Times New Roman"/>
                <w:color w:val="000000"/>
                <w:sz w:val="24"/>
              </w:rPr>
              <w:t>, all 10</w:t>
              <w:noBreakHyphen/>
              <w:t>Ks, 10</w:t>
              <w:noBreakHyphen/>
              <w:t>Qs and other relevant reports during the last 12 months have been filed);</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pPr>
            <w:r>
              <w:rPr/>
              <w:t> </w:t>
            </w:r>
          </w:p>
        </w:tc>
        <w:tc>
          <w:tcPr>
            <w:tcW w:w="373"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50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The shares that the person proposes to trade are not restricted or, if restricted, the applicable holding period has been met;</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pPr>
            <w:r>
              <w:rPr/>
              <w:t> </w:t>
            </w:r>
          </w:p>
        </w:tc>
        <w:tc>
          <w:tcPr>
            <w:tcW w:w="373"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50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Volume limitations (greater of 1% of outstanding securities of the same class or the average weekly trading volume during the last four weeks) are not exceeded, and the person is not part of an aggregated group;</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pPr>
            <w:r>
              <w:rPr/>
              <w:t> </w:t>
            </w:r>
          </w:p>
        </w:tc>
        <w:tc>
          <w:tcPr>
            <w:tcW w:w="373"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50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The manner of sale requirements will be met (a “broker’s transaction” or directly with a market maker or a “riskless principal transaction”); and</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pPr>
            <w:r>
              <w:rPr/>
              <w:t> </w:t>
            </w:r>
          </w:p>
        </w:tc>
        <w:tc>
          <w:tcPr>
            <w:tcW w:w="373"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50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A Form 144 has been completed and will be timely filed with the SEC.</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4"/>
              </w:rPr>
            </w:pPr>
            <w:r>
              <w:rPr>
                <w:rFonts w:ascii="Times New Roman" w:hAnsi="Times New Roman"/>
                <w:b/>
                <w:color w:val="000000"/>
                <w:sz w:val="24"/>
              </w:rPr>
              <w:t>Rule 10b</w:t>
              <w:noBreakHyphen/>
              <w:t>5 concerns.</w:t>
            </w:r>
            <w:r>
              <w:rPr>
                <w:rFonts w:ascii="Times New Roman" w:hAnsi="Times New Roman"/>
                <w:color w:val="000000"/>
                <w:sz w:val="24"/>
              </w:rPr>
              <w:t> The person has been reminded that trading is prohibited when in possession of any material nonpublic information regarding the Company that has not been adequately disclosed to the public. The individual has discussed with a Compliance Officer any information known to the individual or a Compliance Officer that the individual believes may be material.</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i/>
          <w:color w:val="000000"/>
          <w:sz w:val="24"/>
        </w:rPr>
        <w:t>*</w:t>
      </w:r>
      <w:r>
        <w:rPr>
          <w:rFonts w:ascii="Times New Roman" w:hAnsi="Times New Roman"/>
          <w:color w:val="000000"/>
          <w:sz w:val="20"/>
        </w:rPr>
        <w:t xml:space="preserve"> </w:t>
      </w:r>
      <w:r>
        <w:rPr>
          <w:rFonts w:ascii="Times New Roman" w:hAnsi="Times New Roman"/>
          <w:i/>
          <w:color w:val="000000"/>
          <w:sz w:val="24"/>
        </w:rPr>
        <w:t>Applies if the individual is a director or an officer subject to Section 16 of the Securities Exchange Act of 1934.</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II</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ALX ONCOLOGY HOLDINGS INC.</w:t>
      </w:r>
    </w:p>
    <w:p>
      <w:pPr>
        <w:pStyle w:val="TextBody"/>
        <w:bidi w:val="0"/>
        <w:jc w:val="center"/>
        <w:rPr>
          <w:rFonts w:ascii="Times New Roman" w:hAnsi="Times New Roman"/>
          <w:b/>
          <w:color w:val="000000"/>
          <w:sz w:val="24"/>
        </w:rPr>
      </w:pPr>
      <w:r>
        <w:rPr>
          <w:rFonts w:ascii="Times New Roman" w:hAnsi="Times New Roman"/>
          <w:b/>
          <w:color w:val="000000"/>
          <w:sz w:val="24"/>
        </w:rPr>
        <w:t>REQUIREMENTS FOR TRADING PLANS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transactions under a trading plan to be exempt from (i) the prohibitions in the Company’s Policy with respect to transactions made while aware of material nonpublic information and (ii) the pre-clearance procedures and blackout periods established under the Policy, the trading plan must comply with the affirmative defense set forth in Exchange Act Rule 10b5</w:t>
        <w:noBreakHyphen/>
        <w:t>1 and must meet the following requirements: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trading plan must be in writing and signed by the person adopting the trading plan. The person adopting the trading plan may not have an outstanding (and may not subsequently enter into any additional) trading plan except as permitted by Rule 10b5-1.</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trading plan must be adopted at a time when: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person adopting the trading plan is not aware of any material nonpublic information;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there is no quarterly, special or other trading blackout in effect with respect to the person adopting the plan.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trading plan must be entered in good faith and not as part of a plan or scheme to evade the prohibitions of Rule 10b5</w:t>
        <w:noBreakHyphen/>
        <w:t>1, and the person adopting the trading plan must act in good faith with respect to the trading plan.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trading plan must include representations that, on the date of adoption of the trading plan, the person adopting the trading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is not aware of material nonpublic information about the securities or the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is adopting the trading plan in good faith and not as part of a plan or scheme to evade the prohibitions of Rule 10b5-1.</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120" w:after="283"/>
        <w:jc w:val="both"/>
        <w:rPr/>
      </w:pPr>
      <w:r>
        <w:rPr>
          <w:rFonts w:ascii="Times New Roman" w:hAnsi="Times New Roman"/>
          <w:color w:val="000000"/>
          <w:sz w:val="24"/>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r>
        <w:rPr>
          <w:color w:val="000000"/>
        </w:rPr>
        <w:t xml:space="preserve"> </w:t>
      </w:r>
      <w:r>
        <w:rPr>
          <w:rFonts w:ascii="Times New Roman" w:hAnsi="Times New Roman"/>
          <w:color w:val="000000"/>
          <w:sz w:val="24"/>
        </w:rPr>
        <w:t>Subject to Section 8, an individual may conduct transactions with respect to securities not subject to a trading plan.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The first trade under the trading plan for directors and officers (as defined in Rule 16a-1(f) of the Exchange Act) may not occur until after the expiration of a cooling-off period consisting of the later of (i) 90 calendar days after the adoption of the trading plan and (ii) two business days after the filing by the Company of its financial results in a Form 10-Q or Form 10-K for the completed fiscal quarter in which the trading plan was adopted (but, in any event, this required cooling-off period is subject to a maximum of 120 days after the adoption of the trading plan). The first trade under the trading plan for all other persons (other than the Company)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may not occur until the expiration of a cooling-off period that is 30 calendar days after adoption of the trading plan.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trading plan must have a minimum term of six months (starting from date of adoption of the trading plan).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120" w:after="283"/>
        <w:jc w:val="both"/>
        <w:rPr/>
      </w:pPr>
      <w:r>
        <w:rPr>
          <w:rFonts w:ascii="Times New Roman" w:hAnsi="Times New Roman"/>
          <w:color w:val="000000"/>
          <w:sz w:val="24"/>
        </w:rPr>
        <w:t>All transactions during the term of the trading plan (except for the other “</w:t>
      </w:r>
      <w:r>
        <w:rPr>
          <w:rFonts w:ascii="Times New Roman" w:hAnsi="Times New Roman"/>
          <w:b/>
          <w:color w:val="000000"/>
          <w:sz w:val="24"/>
        </w:rPr>
        <w:t>Limited Exceptions</w:t>
      </w:r>
      <w:r>
        <w:rPr>
          <w:color w:val="000000"/>
        </w:rPr>
        <w:t xml:space="preserve">” </w:t>
      </w:r>
      <w:r>
        <w:rPr>
          <w:rFonts w:ascii="Times New Roman" w:hAnsi="Times New Roman"/>
          <w:color w:val="000000"/>
          <w:sz w:val="24"/>
        </w:rPr>
        <w:t xml:space="preserve">identified in the Company’s Policy and </w:t>
      </w:r>
      <w:r>
        <w:rPr>
          <w:rFonts w:ascii="Times New Roman" w:hAnsi="Times New Roman"/>
          <w:i/>
          <w:color w:val="000000"/>
          <w:sz w:val="24"/>
        </w:rPr>
        <w:t xml:space="preserve">bona fide </w:t>
      </w:r>
      <w:r>
        <w:rPr>
          <w:rFonts w:ascii="Times New Roman" w:hAnsi="Times New Roman"/>
          <w:color w:val="000000"/>
          <w:sz w:val="24"/>
        </w:rPr>
        <w:t>gifts) must be conducted through the trading plan.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120" w:after="283"/>
        <w:jc w:val="both"/>
        <w:rPr/>
      </w:pPr>
      <w:r>
        <w:rPr>
          <w:rFonts w:ascii="Times New Roman" w:hAnsi="Times New Roman"/>
          <w:color w:val="000000"/>
          <w:sz w:val="24"/>
        </w:rPr>
        <w:t>Any modification or change to the amount, price or timing of transactions under the trading plan is deemed the termination of the trading plan, and the adoption of a new trading plan (“</w:t>
      </w:r>
      <w:r>
        <w:rPr>
          <w:rFonts w:ascii="Times New Roman" w:hAnsi="Times New Roman"/>
          <w:b/>
          <w:i/>
          <w:color w:val="000000"/>
          <w:sz w:val="24"/>
        </w:rPr>
        <w:t>Modification</w:t>
      </w:r>
      <w:r>
        <w:rPr>
          <w:color w:val="000000"/>
        </w:rPr>
        <w:t>”</w:t>
      </w:r>
      <w:r>
        <w:rPr>
          <w:rFonts w:ascii="Times New Roman" w:hAnsi="Times New Roman"/>
          <w:color w:val="000000"/>
          <w:sz w:val="24"/>
        </w:rPr>
        <w:t>). Therefore, a Modification is subject to the same conditions as a new trading plan as set forth in Sections 1 through 8 herein.</w:t>
      </w:r>
      <w:r>
        <w:rPr>
          <w:color w:val="000000"/>
        </w:rPr>
        <w:t xml:space="preserve">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Within six months preceding the adoption or a Modification of a trading plan, a person may not have otherwise adopted or done a Modification to a plan more than once.</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 person may adopt a trading plan designed to cover a single trade only once in any consecutive 12-month period except as permitted by Rule 10b5-1.</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If the person that adopted the trading plan terminates the plan prior to its stated duration, he or she may not trade in the Company’s securities until after the expiration of 30 calendar days following termination, and then only in accordance with the Policy.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must be promptly notified of any Modification or termination of the trading plan and any suspension of trading under the trading plan.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must have authority to require the suspension or cancellation of the trading plan at any time.</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If the trading plan grants discretion to a stockbroker or other person with respect to the execution of trades under the trading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trades made under the trading plan must be executed by someone other than the stockbroker or other person that executes trades in other securities for the person adopting the trading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person adopting the trading plan may not confer with the person administering the trading plan regarding the Company or its securities;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person administering the trading plan must provide prompt notice to the Company of the execution of a transaction pursuant to the plan.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All transactions under the trading plan must be in accordance with applicable law.</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trading plan (including any Modification) must meet such other requirements as the Compliance Officer may determine.</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120" w:after="283"/>
        <w:jc w:val="both"/>
        <w:rPr/>
      </w:pPr>
      <w:r>
        <w:rPr>
          <w:rFonts w:ascii="Times New Roman" w:hAnsi="Times New Roman"/>
          <w:color w:val="000000"/>
          <w:sz w:val="24"/>
        </w:rPr>
        <w:t>Any trading plans adopted or modified prior to February 27, 2023 (the “</w:t>
      </w:r>
      <w:r>
        <w:rPr>
          <w:rFonts w:ascii="Times New Roman" w:hAnsi="Times New Roman"/>
          <w:b/>
          <w:i/>
          <w:color w:val="000000"/>
          <w:sz w:val="24"/>
        </w:rPr>
        <w:t>Effective Date</w:t>
      </w:r>
      <w:r>
        <w:rPr>
          <w:color w:val="000000"/>
        </w:rPr>
        <w:t>”</w:t>
      </w:r>
      <w:r>
        <w:rPr>
          <w:rFonts w:ascii="Times New Roman" w:hAnsi="Times New Roman"/>
          <w:color w:val="000000"/>
          <w:sz w:val="24"/>
        </w:rPr>
        <w:t>) are permitted to continue in place until all trades are executed thereunder or they expire by their terms (“</w:t>
      </w:r>
      <w:r>
        <w:rPr>
          <w:rFonts w:ascii="Times New Roman" w:hAnsi="Times New Roman"/>
          <w:b/>
          <w:i/>
          <w:color w:val="000000"/>
          <w:sz w:val="24"/>
        </w:rPr>
        <w:t>Pre-effective Plans</w:t>
      </w:r>
      <w:r>
        <w:rPr>
          <w:color w:val="000000"/>
        </w:rPr>
        <w:t>”</w:t>
      </w:r>
      <w:r>
        <w:rPr>
          <w:rFonts w:ascii="Times New Roman" w:hAnsi="Times New Roman"/>
          <w:color w:val="000000"/>
          <w:sz w:val="24"/>
        </w:rPr>
        <w:t>). If the person undertakes a Modification of a Pre-effective Plan on or after the Effective Date, then the Modification must meet all of the requirements set forth herein.</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III</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ALX ONCOLOGY HOLDINGS INC.</w:t>
      </w:r>
    </w:p>
    <w:p>
      <w:pPr>
        <w:pStyle w:val="TextBody"/>
        <w:bidi w:val="0"/>
        <w:jc w:val="center"/>
        <w:rPr>
          <w:rFonts w:ascii="Times New Roman" w:hAnsi="Times New Roman"/>
          <w:b/>
          <w:color w:val="000000"/>
          <w:sz w:val="24"/>
        </w:rPr>
      </w:pPr>
      <w:r>
        <w:rPr>
          <w:rFonts w:ascii="Times New Roman" w:hAnsi="Times New Roman"/>
          <w:b/>
          <w:color w:val="000000"/>
          <w:sz w:val="24"/>
        </w:rPr>
        <w:t>GUIDELINES FOR PREPARING TRADING PLANS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Please consider the following important guidelines in connection with preparing a trading plan. These guidelines should not serve as a substitute for obtaining professional advice and assistance in connection with preparing a plan.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Learn the rules applicable to trading plans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SEC has enacted rules that provide an affirmative defense against alleged violations of U.S. federal insider trading laws for transactions pursuant to trading plans that meet certain requirements. In general, these rules, as set forth in Rule 10b5</w:t>
        <w:noBreakHyphen/>
        <w:t>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transaction(s), (ii) specify an objective method for determining the amount, price and date of the transaction(s) and/or (iii) place any subsequent discretion for determining the amount, price and date of the transaction(s) in another person who is not, at the time of any transaction, aware of material nonpublic information.</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The discussion above provides only a summary of the relevant rules. You are responsible for understanding the rules applicable to trading plans and ensuring that your trading plan complies with the requirements of Rule 10b5</w:t>
        <w:noBreakHyphen/>
        <w:t>1.</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Hire legal and other advisors to assist in preparing the plan</w:t>
      </w:r>
    </w:p>
    <w:p>
      <w:pPr>
        <w:pStyle w:val="TextBody"/>
        <w:bidi w:val="0"/>
        <w:spacing w:before="240" w:after="283"/>
        <w:jc w:val="both"/>
        <w:rPr>
          <w:rFonts w:ascii="Times New Roman" w:hAnsi="Times New Roman"/>
          <w:sz w:val="20"/>
        </w:rPr>
      </w:pPr>
      <w:r>
        <w:rPr>
          <w:rFonts w:ascii="Times New Roman" w:hAnsi="Times New Roman"/>
          <w:color w:val="000000"/>
          <w:sz w:val="24"/>
        </w:rPr>
        <w:t>You should hire your own advisors, including your own legal counsel, in connection with adopting a trading plan. Neither the company nor its legal counsel assumes responsibility for determining whether your trading plan complies with Rule 10b5</w:t>
        <w:noBreakHyphen/>
        <w:t>1.</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Assess whether a trading plan is suitable for you</w:t>
      </w:r>
    </w:p>
    <w:p>
      <w:pPr>
        <w:pStyle w:val="TextBody"/>
        <w:bidi w:val="0"/>
        <w:spacing w:before="240" w:after="283"/>
        <w:jc w:val="both"/>
        <w:rPr>
          <w:rFonts w:ascii="Times New Roman" w:hAnsi="Times New Roman"/>
          <w:sz w:val="20"/>
        </w:rPr>
      </w:pPr>
      <w:r>
        <w:rPr>
          <w:rFonts w:ascii="Times New Roman" w:hAnsi="Times New Roman"/>
          <w:color w:val="000000"/>
          <w:sz w:val="24"/>
        </w:rPr>
        <w:t>Trading plans may not be appropriate for many people. You should therefore carefully consider whether it is advisable for you to adopt a trading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are several potential benefits to adopting a trading plan: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4"/>
        </w:rPr>
        <w:t xml:space="preserve">Affirmative defense to insider trading actions by the SEC. </w:t>
      </w:r>
      <w:r>
        <w:rPr>
          <w:rFonts w:ascii="Times New Roman" w:hAnsi="Times New Roman"/>
          <w:color w:val="000000"/>
          <w:sz w:val="24"/>
        </w:rPr>
        <w:t>Trading plans enable insiders to obtain liquidity and portfolio diversification while limiting exposure to insider trading liability. Trades pursuant to a compliant trading plan are subject to an affirmative defense in actions by the SEC. Trading pursuant to trading plans may also help to limit the company’s exposure to liability under securities laws.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4"/>
        </w:rPr>
        <w:t xml:space="preserve">More trading opportunities. </w:t>
      </w:r>
      <w:r>
        <w:rPr>
          <w:rFonts w:ascii="Times New Roman" w:hAnsi="Times New Roman"/>
          <w:color w:val="000000"/>
          <w:sz w:val="24"/>
        </w:rPr>
        <w:t>Trades under a company-approved Rule 10b5</w:t>
        <w:noBreakHyphen/>
        <w:t>1 trading plan are not subject to the blackout restrictions and pre-clearance requirements in the company’s insider trading policy.</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4"/>
        </w:rPr>
        <w:t xml:space="preserve">Reduced adverse perceptions. </w:t>
      </w:r>
      <w:r>
        <w:rPr>
          <w:rFonts w:ascii="Times New Roman" w:hAnsi="Times New Roman"/>
          <w:color w:val="000000"/>
          <w:sz w:val="24"/>
        </w:rPr>
        <w:t>Sales pursuant to a trading plan may be better received by investors and the media. Open market sales by corporate insiders may attract unwanted attention due to the perception of many investors that such sales may reflect a lack of confidence in the company. These trades may come under even more scrutiny if they are concentrated during the relatively brief trading windows mandated by the company’s insider trading policy. With appropriate disclosure, trading pursuant to a plan may help to limit the perception that the trades were based on undisclosed information. Moreover, since trades under company-approved trading plans are not subject to the company’s trading blackout periods, trading plans may enable insiders to make smaller, periodic trades, which may attract less public attention.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4"/>
        </w:rPr>
        <w:t xml:space="preserve">Administrative benefits. </w:t>
      </w:r>
      <w:r>
        <w:rPr>
          <w:rFonts w:ascii="Times New Roman" w:hAnsi="Times New Roman"/>
          <w:color w:val="000000"/>
          <w:sz w:val="24"/>
        </w:rPr>
        <w:t xml:space="preserve">Use of a plan may enable you to reduce the time spent on executing trades (including obtaining any required pre-clearance of trades) and managing your portfolio of company stock.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Before adopting a trading plan, however, you should assess the risks and limitations of trading plans,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4"/>
        </w:rPr>
        <w:t xml:space="preserve">Reduced flexibility. </w:t>
      </w:r>
      <w:r>
        <w:rPr>
          <w:rFonts w:ascii="Times New Roman" w:hAnsi="Times New Roman"/>
          <w:color w:val="000000"/>
          <w:sz w:val="24"/>
        </w:rPr>
        <w:t xml:space="preserve">Use of a trading plan requires you to plan your trades and finances in advance. The company requires that, during the duration of a plan, all trades be conducted through the plan. Sales outside of a plan are not subject to the affirmative defense, and may create a presumption that other sales under the plan were not made pursuant to a </w:t>
      </w:r>
      <w:r>
        <w:rPr>
          <w:rFonts w:ascii="Times New Roman" w:hAnsi="Times New Roman"/>
          <w:i/>
          <w:color w:val="000000"/>
          <w:sz w:val="24"/>
        </w:rPr>
        <w:t>bona fide</w:t>
      </w:r>
      <w:r>
        <w:rPr>
          <w:color w:val="000000"/>
        </w:rPr>
        <w:t xml:space="preserve"> </w:t>
      </w:r>
      <w:r>
        <w:rPr>
          <w:rFonts w:ascii="Times New Roman" w:hAnsi="Times New Roman"/>
          <w:color w:val="000000"/>
          <w:sz w:val="24"/>
        </w:rPr>
        <w:t>plan. Careful advanced planning is also critical because deviation from or cancellation of an established trading plan (</w:t>
      </w:r>
      <w:r>
        <w:rPr>
          <w:rFonts w:ascii="Times New Roman" w:hAnsi="Times New Roman"/>
          <w:i/>
          <w:color w:val="000000"/>
          <w:sz w:val="24"/>
        </w:rPr>
        <w:t>e.g.,</w:t>
      </w:r>
      <w:r>
        <w:rPr>
          <w:color w:val="000000"/>
        </w:rPr>
        <w:t xml:space="preserve"> </w:t>
      </w:r>
      <w:r>
        <w:rPr>
          <w:rFonts w:ascii="Times New Roman" w:hAnsi="Times New Roman"/>
          <w:color w:val="000000"/>
          <w:sz w:val="24"/>
        </w:rPr>
        <w:t>to account for changes in market condition or personal finances) may jeopardize the availability of the affirmative defense. Plans are therefore advisable for only those individuals who are able to bear significant risk on their stock.</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4"/>
        </w:rPr>
        <w:t xml:space="preserve">Exposure to private claims. </w:t>
      </w:r>
      <w:r>
        <w:rPr>
          <w:rFonts w:ascii="Times New Roman" w:hAnsi="Times New Roman"/>
          <w:color w:val="000000"/>
          <w:sz w:val="24"/>
        </w:rPr>
        <w:t>Rule 10b5</w:t>
        <w:noBreakHyphen/>
        <w:t>1 provides an affirmative defense to federal insider trading liability, but does not apply to private securities class action lawsuits.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4"/>
        </w:rPr>
        <w:t>Affirmative defense must be proved.</w:t>
      </w:r>
      <w:r>
        <w:rPr>
          <w:color w:val="000000"/>
        </w:rPr>
        <w:t xml:space="preserve"> </w:t>
      </w:r>
      <w:r>
        <w:rPr>
          <w:rFonts w:ascii="Times New Roman" w:hAnsi="Times New Roman"/>
          <w:color w:val="000000"/>
          <w:sz w:val="24"/>
        </w:rPr>
        <w:t>An insider that trades based on a trading plan will have the burden of proving that the trading plan satisfies the requirements set forth in Rule 10b5</w:t>
        <w:noBreakHyphen/>
        <w:t>1. Moreover, a trading plan will not necessarily prevent someone from bringing a lawsuit and will not necessarily avoid adverse media coverage.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4"/>
        </w:rPr>
        <w:t xml:space="preserve">Time required to prepare a plan. </w:t>
      </w:r>
      <w:r>
        <w:rPr>
          <w:rFonts w:ascii="Times New Roman" w:hAnsi="Times New Roman"/>
          <w:color w:val="000000"/>
          <w:sz w:val="24"/>
        </w:rPr>
        <w:t>The preparation of a trading plan requires careful attention to ensure compliance with Rule 10b5</w:t>
        <w:noBreakHyphen/>
        <w:t>1 and any company-imposed requirements.</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4"/>
        </w:rPr>
        <w:t xml:space="preserve">SEC concerns over potential abuse of trading plans. </w:t>
      </w:r>
      <w:r>
        <w:rPr>
          <w:rFonts w:ascii="Times New Roman" w:hAnsi="Times New Roman"/>
          <w:color w:val="000000"/>
          <w:sz w:val="24"/>
        </w:rPr>
        <w:t>The SEC may give trading plans a skeptical reading given concerns over the potential abuse of trading plans by insiders.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Allocate sufficient time to prepare a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process of preparing a plan and the related documentation may take some time, and you should plan accordingly.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Ensure that the trading plan complies with all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preparing a plan, your primary objective should be to ensure that all elements of the Rule 10b5</w:t>
        <w:noBreakHyphen/>
        <w:t>1 trading plan defense are adequately addressed.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should also be sure that the trading plan complies with other applicable law.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You should consider any Rule 144 volume limitations when devising trading instructions or formulas.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You should consider any burdens created by Rule 144 and Section 16 filing requirements when devising trading instructions or formulas.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In developing trading instructions or formulas, you should account for potential “short-swing” trading liability under Section 16(b).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Ensure that the trading plan complies with company-imposed requirements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should ensure that the trading plan complies with any company-imposed requirements, which may be in addition to the requirements under Rule 10b5</w:t>
        <w:noBreakHyphen/>
        <w:t>1. Please contact a Compliance Officer under the insider trading policy for further information.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Develop trading instructions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Rule 10b5</w:t>
        <w:noBreakHyphen/>
        <w:t>1 allows significant flexibility in designing trading instructions or formulas. For example, you can: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construct a matrix with different sale amounts at different price targets;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base trading decisions on the performance of the company’s stock against various market or industry indices, price gaps or personal financial milestones;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tie transactions to independent events, such as the timing of tuition or mortgage payments or other financial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prioritize the sale (or exercise and sale) of particular securities based on factors such as tax treatment, tax basis, expiration dates and exercise prices;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establish a trading plan for a single transaction. </w:t>
      </w:r>
    </w:p>
    <w:p>
      <w:pPr>
        <w:pStyle w:val="TextBody"/>
        <w:bidi w:val="0"/>
        <w:spacing w:before="240" w:after="283"/>
        <w:jc w:val="both"/>
        <w:rPr>
          <w:rFonts w:ascii="Times New Roman" w:hAnsi="Times New Roman"/>
          <w:sz w:val="20"/>
        </w:rPr>
      </w:pPr>
      <w:r>
        <w:rPr>
          <w:rFonts w:ascii="Times New Roman" w:hAnsi="Times New Roman"/>
          <w:color w:val="000000"/>
          <w:sz w:val="24"/>
        </w:rPr>
        <w:t>Various types of transactions may be structured to fit the affirmative defense under Rule 10b5</w:t>
        <w:noBreakHyphen/>
        <w:t>1. For example, a trading plan can cover pre-scheduled stock option exercises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and sales. This may be helpful in avoiding a situation where a blackout period may effectively block exercise of an in-the-money option that is about to expire because a same-day sale is necessary to fund payment of the exercise price and/or taxes. If properly structured, employee stock purchase plan transactions and 401(k) plan transactions can also qualify for the affirmative defense.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may find it helpful to discuss trading strategies with a broker or another market professional prior to adopting a trading plan, particularly if the trading plan covers large amounts of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should also carefully consider the guidance below when designing trading instructions or formulas.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Avoid unnecessarily complicated instructions</w:t>
      </w:r>
    </w:p>
    <w:p>
      <w:pPr>
        <w:pStyle w:val="TextBody"/>
        <w:bidi w:val="0"/>
        <w:spacing w:before="240" w:after="283"/>
        <w:jc w:val="both"/>
        <w:rPr>
          <w:rFonts w:ascii="Times New Roman" w:hAnsi="Times New Roman"/>
          <w:sz w:val="20"/>
        </w:rPr>
      </w:pPr>
      <w:r>
        <w:rPr>
          <w:rFonts w:ascii="Times New Roman" w:hAnsi="Times New Roman"/>
          <w:color w:val="000000"/>
          <w:sz w:val="24"/>
        </w:rPr>
        <w:t>You should be careful to avoid unnecessarily complicated instructions or formulas. Complicated instructions or formulas may result in mistakes in execution by the person administering the plan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due to a misunderstanding or misapplication of an instruction or formula or the failure to complete a calculation in time to exploit a market opportunity). In addition, while an elaborate trading plan may reduce the inference of insider trading in some instances, elaborate trading plans may look suspicious in other instances.</w:t>
      </w:r>
    </w:p>
    <w:p>
      <w:pPr>
        <w:pStyle w:val="TextBody"/>
        <w:bidi w:val="0"/>
        <w:spacing w:before="240" w:after="283"/>
        <w:jc w:val="both"/>
        <w:rPr>
          <w:rFonts w:ascii="Times New Roman" w:hAnsi="Times New Roman"/>
          <w:sz w:val="20"/>
        </w:rPr>
      </w:pPr>
      <w:r>
        <w:rPr>
          <w:rFonts w:ascii="Times New Roman" w:hAnsi="Times New Roman"/>
          <w:color w:val="000000"/>
          <w:sz w:val="24"/>
        </w:rPr>
        <w:t>In general, instructions and formulas should be carefully and explicitly drafted to avoid potential misunderstandings. You should try to provide as much detail as possible to facilitate the proper execution of the trading plan. For example, if you have shares in more than one brokerage account, the plan should specify which shares are subject to the plan. Likewise, if you possess several series of options, the plan should specify which options to exercise. It may also be helpful to include examples of different scenarios in the instructions, and/or to review the trading instructions in advance with the person administering the plan, to help ensure that you are in agreement as to how the instructions or formulas are to operate. If you plan to adopt particularly complicated instructions, you may want to consider hiring a money manager to assist in implementing your plan.</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Exercise caution when adopting plans based on specific prices, floors or ceilings</w:t>
      </w:r>
    </w:p>
    <w:p>
      <w:pPr>
        <w:pStyle w:val="TextBody"/>
        <w:bidi w:val="0"/>
        <w:spacing w:before="240" w:after="283"/>
        <w:jc w:val="both"/>
        <w:rPr>
          <w:rFonts w:ascii="Times New Roman" w:hAnsi="Times New Roman"/>
          <w:sz w:val="20"/>
        </w:rPr>
      </w:pPr>
      <w:r>
        <w:rPr>
          <w:rFonts w:ascii="Times New Roman" w:hAnsi="Times New Roman"/>
          <w:color w:val="000000"/>
          <w:sz w:val="24"/>
        </w:rPr>
        <w:t>Although Rule 10b5</w:t>
        <w:noBreakHyphen/>
        <w:t>1(c) permits plans based on “the market price on a particular date or a limit price, or a particular dollar price”, you should be careful when adopting plans that contain instructions that set specific prices, floors or ceilings (</w:t>
      </w:r>
      <w:r>
        <w:rPr>
          <w:rFonts w:ascii="Times New Roman" w:hAnsi="Times New Roman"/>
          <w:i/>
          <w:color w:val="000000"/>
          <w:sz w:val="24"/>
        </w:rPr>
        <w:t>e.g.</w:t>
      </w:r>
      <w:r>
        <w:rPr>
          <w:rFonts w:ascii="Times New Roman" w:hAnsi="Times New Roman"/>
          <w:color w:val="000000"/>
          <w:sz w:val="24"/>
        </w:rPr>
        <w:t>, limit orders or stop orders). These types of plans are riskier than plans that set specific numbers of shares to be sold, since it may be inferred from price-based instructions that, for example, you had a motive to inflate stock prices or had knowledge of events that would change prices. In addition, these types of plans may produce an irregular pattern of trades instead of a more regular trading pattern (which is more defensible). You may want to give some consideration, however, to including floors to avoid sales at prices that are unacceptably low (or to avoid a subsequent modification or termination of the trading plan to avoid such sales).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If you intend to adopt a plan with specific prices, floors or ceilings, you should consider carefully the prices at which trades are to be executed. A plan with specific prices, floors or ceilings may result in periods of no stock sales, which may run counter to the reasons for adopting a plan (</w:t>
      </w:r>
      <w:r>
        <w:rPr>
          <w:rFonts w:ascii="Times New Roman" w:hAnsi="Times New Roman"/>
          <w:i/>
          <w:color w:val="000000"/>
          <w:sz w:val="24"/>
        </w:rPr>
        <w:t xml:space="preserve">i.e., </w:t>
      </w:r>
      <w:r>
        <w:rPr>
          <w:rFonts w:ascii="Times New Roman" w:hAnsi="Times New Roman"/>
          <w:color w:val="000000"/>
          <w:sz w:val="24"/>
        </w:rPr>
        <w:t>cash flow and portfolio diversification). If your price targets are high relative to then existing prices, you may want to wait on establishing a trading plan until the targets are more likely reachable. By delaying the adoption of a plan in that instance, you may be able to avoid risks associated with any subsequent modification or termination of an ineffective plan.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Consider the expected magnitude and timing of trades under the trading plan relative to the adoption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When preparing a trading plan, you should give some consideration as to the expected timing and magnitude of trades relative to the adoption of the trading plan. Significant trading activity that occurs shortly after adoption of the plan may raise suspicion as to whether the trades were based on material nonpublic information.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Consider whether expected trades under the trading plan will coincide with significant future announcements or developments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When preparing a trading plan, you should give some consideration as to whether trades are expected to occur during quarterly trading blackout periods established under the company’s insider trading policy (or around the time other significant announcements or developments involving the company are expected). Even though transactions executed in accordance with a properly designed trading plan are subject to an affirmative defense against insider trading claims (and are exempt from trading blackout periods under the company’s insider trading policy), the investing public and media may not understand the nuances of trading pursuant to a trading plan. Trades that occur at times shortly before a company announces material news may therefore result in negative publicity for you and the company. In addition, trades that occur in the same general time frame as a significant announcement may raise questions as to whether the timing of the announcement was manipulated to your benefit. If you are generally indifferent as to the specific timing of a trade, you should try to avoid having trades occur, for example, before quarterly earnings announcements. An even more conservative approach would involve avoiding trades during the month of the company’s earnings release.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Consider the expected magnitude and frequency of trades under the plan generally</w:t>
      </w:r>
    </w:p>
    <w:p>
      <w:pPr>
        <w:pStyle w:val="TextBody"/>
        <w:bidi w:val="0"/>
        <w:spacing w:before="240" w:after="283"/>
        <w:jc w:val="both"/>
        <w:rPr>
          <w:rFonts w:ascii="Times New Roman" w:hAnsi="Times New Roman"/>
          <w:sz w:val="20"/>
        </w:rPr>
      </w:pPr>
      <w:r>
        <w:rPr>
          <w:rFonts w:ascii="Times New Roman" w:hAnsi="Times New Roman"/>
          <w:color w:val="000000"/>
          <w:sz w:val="24"/>
        </w:rPr>
        <w:t>When preparing a trading plan, you should give some consideration generally to the expected magnitude and frequency of trades under the plan. Spreading out trades may decrease exposure to insider trading claims. A regular pattern of small sales helps to limit any inference that you sought to exploit material nonpublic information in developing your trading plan. A regular pattern of small sales may also help to negate any argument that the plan was not entered in good faith or that the plan was part of a scheme to evade the prohibitions of Rule 10b5</w:t>
        <w:noBreakHyphen/>
        <w:t>1. In contrast, occasional high-volume sales may send a negative signal to the investment community and, if any of those sales turn out to precede bad news, may attract attention from the SEC and private securities class action plaintiffs. Plans that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involve a regular pattern of small sales may also be easier to administer. You should note, however, that frequent trades may give rise to significant Section 16 reporting obligations, to the extent applicable.</w:t>
      </w:r>
    </w:p>
    <w:p>
      <w:pPr>
        <w:pStyle w:val="TextBody"/>
        <w:bidi w:val="0"/>
        <w:spacing w:before="240" w:after="283"/>
        <w:jc w:val="both"/>
        <w:rPr>
          <w:rFonts w:ascii="Times New Roman" w:hAnsi="Times New Roman"/>
          <w:sz w:val="20"/>
        </w:rPr>
      </w:pPr>
      <w:r>
        <w:rPr>
          <w:rFonts w:ascii="Times New Roman" w:hAnsi="Times New Roman"/>
          <w:color w:val="000000"/>
          <w:sz w:val="24"/>
        </w:rPr>
        <w:t>You may want to limit the portion of your holdings that are subject to the trading plan to limit your overall exposure to situations where your trading instructions or formulas may not account for unexpected market changes. You may also want to cap or otherwise limit the amount of potential sales for a particular period (</w:t>
      </w:r>
      <w:r>
        <w:rPr>
          <w:rFonts w:ascii="Times New Roman" w:hAnsi="Times New Roman"/>
          <w:i/>
          <w:color w:val="000000"/>
          <w:sz w:val="24"/>
        </w:rPr>
        <w:t xml:space="preserve">e.g., </w:t>
      </w:r>
      <w:r>
        <w:rPr>
          <w:rFonts w:ascii="Times New Roman" w:hAnsi="Times New Roman"/>
          <w:color w:val="000000"/>
          <w:sz w:val="24"/>
        </w:rPr>
        <w:t>week,</w:t>
      </w:r>
      <w:r>
        <w:rPr>
          <w:rFonts w:ascii="Times New Roman" w:hAnsi="Times New Roman"/>
          <w:color w:val="000000"/>
          <w:sz w:val="20"/>
        </w:rPr>
        <w:t xml:space="preserve"> </w:t>
      </w:r>
      <w:r>
        <w:rPr>
          <w:rFonts w:ascii="Times New Roman" w:hAnsi="Times New Roman"/>
          <w:color w:val="000000"/>
          <w:sz w:val="24"/>
        </w:rPr>
        <w:t>month, quarter) to decrease the risk of unintended large sales (particularly if the trading plan provides for cumulative sales in the event of shortfalls).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Determine an appropriate duration for the trading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Although Rule 10b5</w:t>
        <w:noBreakHyphen/>
        <w:t>1 does not prescribe any limits on the duration of trading plans, it is advisable to have trading plans terminate after a certain period. Requiring that trading plans have a set term will force you to re-evaluate your trading instructions periodically, and allows you to change your trading instructions (in conjunction with adopting a new plan upon the scheduled expiration of the existing plan) without raising any suspicions about the timing of those changes. It also allows you an opportunity to revert from a trading plan to normal, discretionary trading without raising questions about the timing of that switch.</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While it is important that you comply with company-imposed requirements as to the minimum duration for trading plans, you should also generally try to avoid adopting a plan that has an unnecessarily long duration. The longer the duration, the greater the risk that circumstances may change such that you will have an incentive to modify or terminate the plan. The modification or early termination of a plan may create an implication that prior transactions under the plan were not in fact pursuant to a </w:t>
      </w:r>
      <w:r>
        <w:rPr>
          <w:rFonts w:ascii="Times New Roman" w:hAnsi="Times New Roman"/>
          <w:i/>
          <w:color w:val="000000"/>
          <w:sz w:val="24"/>
        </w:rPr>
        <w:t xml:space="preserve">bona fide </w:t>
      </w:r>
      <w:r>
        <w:rPr>
          <w:rFonts w:ascii="Times New Roman" w:hAnsi="Times New Roman"/>
          <w:color w:val="000000"/>
          <w:sz w:val="24"/>
        </w:rPr>
        <w:t>plan. In addition, subsequent trading will not be considered as pursuant to the trading plan.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Accommodate for unexpected events that may warrant temporary suspension of trading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In preparing a plan, you should make allowances for unforeseen events that may warrant automatic suspension of transactions under the plan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 xml:space="preserve">a proxy contest, tender offer, merger, </w:t>
      </w:r>
      <w:r>
        <w:rPr>
          <w:rFonts w:ascii="Times New Roman" w:hAnsi="Times New Roman"/>
          <w:i/>
          <w:color w:val="000000"/>
          <w:sz w:val="24"/>
        </w:rPr>
        <w:t>etc.</w:t>
      </w:r>
      <w:r>
        <w:rPr>
          <w:rFonts w:ascii="Times New Roman" w:hAnsi="Times New Roman"/>
          <w:color w:val="000000"/>
          <w:sz w:val="24"/>
        </w:rPr>
        <w:t>). In particular, you should note that in the context of tender offers, you may be subject to liability under Exchange Act Rule 14e</w:t>
        <w:noBreakHyphen/>
        <w:t>3 for transactions under a plan.</w:t>
      </w:r>
    </w:p>
    <w:p>
      <w:pPr>
        <w:pStyle w:val="TextBody"/>
        <w:bidi w:val="0"/>
        <w:spacing w:before="240" w:after="283"/>
        <w:jc w:val="both"/>
        <w:rPr>
          <w:rFonts w:ascii="Times New Roman" w:hAnsi="Times New Roman"/>
          <w:sz w:val="20"/>
        </w:rPr>
      </w:pPr>
      <w:r>
        <w:rPr>
          <w:rFonts w:ascii="Times New Roman" w:hAnsi="Times New Roman"/>
          <w:color w:val="000000"/>
          <w:sz w:val="24"/>
        </w:rPr>
        <w:t>If the plan provides for purchases of securities, you should also consider whether it is appropriate to suspend trades in connection with securities offerings by the company to avoid potential liability under Regulation M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Account for the potential need to modify or terminate the plan</w:t>
      </w:r>
    </w:p>
    <w:p>
      <w:pPr>
        <w:pStyle w:val="TextBody"/>
        <w:bidi w:val="0"/>
        <w:spacing w:before="240" w:after="283"/>
        <w:jc w:val="both"/>
        <w:rPr>
          <w:rFonts w:ascii="Times New Roman" w:hAnsi="Times New Roman"/>
          <w:sz w:val="20"/>
        </w:rPr>
      </w:pPr>
      <w:r>
        <w:rPr>
          <w:rFonts w:ascii="Times New Roman" w:hAnsi="Times New Roman"/>
          <w:color w:val="000000"/>
          <w:sz w:val="24"/>
        </w:rPr>
        <w:t>While modifications are discouraged, there may be situations in which market volatility fundamentally alters the conditions under which you adopted the trading plan. To anticipate this possibility, it is advisable that a trading plan include formal provisions for its modification, subject to any company-imposed requirements with respect to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modification of plans. Modifications can then be made in a planned and limited manner, which may be helpful in defending against claims that modification of the trading plan undermines the good faith nature of the existing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Similarly, it may be helpful to include a provision in the plan that permits you to terminate the plan. Although such a provision may not shield you from questions of bad faith in connection with terminating a plan, you would at least avoid having to defend why you acted in a manner that was inconsistent with the express terms of the plan. You may also want your trading plan to provide for automatic termination upon certain changes in personal circumstances such as death, bankruptcy or insolvency or divorce.</w:t>
      </w:r>
    </w:p>
    <w:p>
      <w:pPr>
        <w:pStyle w:val="TextBody"/>
        <w:bidi w:val="0"/>
        <w:spacing w:before="240" w:after="283"/>
        <w:jc w:val="both"/>
        <w:rPr>
          <w:rFonts w:ascii="Times New Roman" w:hAnsi="Times New Roman"/>
          <w:sz w:val="20"/>
        </w:rPr>
      </w:pPr>
      <w:r>
        <w:rPr>
          <w:rFonts w:ascii="Times New Roman" w:hAnsi="Times New Roman"/>
          <w:color w:val="000000"/>
          <w:sz w:val="24"/>
        </w:rPr>
        <w:t>You should be careful to restrict those circumstances in which the trading plan may be terminated without your consent. You may be subject to some hardship, for example, if the person administering the plan terminated your trading plan at a time when you possessed material nonpublic information. In that case, you would be prohibited from trading until you no longer possessed material nonpublic information (and possibly longer if, for example, the plan was terminated during a trading blackout period).</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Avoid modifying the trading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should try to avoid modifying the trading plan. Rule 10b5</w:t>
        <w:noBreakHyphen/>
        <w:t>1 requires that, to be covered by the affirmative defense, a transaction must occur pursuant to a trading plan. This requirement will not be satisfied if you alter or deviate from the trading plan (whether by changing the amount, price or timing of a purchase or sale) or if you enter into or alter a corresponding or hedging transaction or position with respect to transactions under the plan. In addition, modification of a trading plan brings into question whether the trading plan was entered in good faith and whether any prior transactions under the trading plan were in fact made pursuant to a plan for purposes of the requirements of Rule 10b5</w:t>
        <w:noBreakHyphen/>
        <w:t>1. Deviation from the trading plan also suggests that you may be modifying trading behavior to take advantage of material nonpublic information.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Although deviations will not be considered part of the existing trading plan for purposes of the affirmative defense, it is possible for a person acting in good faith to modify a trading plan at a time when the person is not aware of material nonpublic information. In such a situation, a purchase or sale that complies with the modified trading plan will be deemed to have been made pursuant to a new trading plan. You should note, however, that you will need to comply with company-imposed restrictions with respect to any modification of trading plans.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Consider having an independent party administer the trading plan</w:t>
      </w:r>
    </w:p>
    <w:p>
      <w:pPr>
        <w:pStyle w:val="TextBody"/>
        <w:bidi w:val="0"/>
        <w:spacing w:before="240" w:after="283"/>
        <w:jc w:val="both"/>
        <w:rPr>
          <w:rFonts w:ascii="Times New Roman" w:hAnsi="Times New Roman"/>
          <w:sz w:val="20"/>
        </w:rPr>
      </w:pPr>
      <w:r>
        <w:rPr>
          <w:rFonts w:ascii="Times New Roman" w:hAnsi="Times New Roman"/>
          <w:color w:val="000000"/>
          <w:sz w:val="24"/>
        </w:rPr>
        <w:t>Having an independent party administer the trading plan may help to limit your exposure to potential liability for trades under the plan. Even if your trading plan is based on specific instructions or a specific formula, there is often some discretion in effecting trades under a plan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in deciding the specific time during a given trading day when orders will be entered) for which it may be appropriate to involve an independent decision maker.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general, when selecting someone to administer your trading plan, you should consider whether that person has a relationship with you or the company that could undermine the affirmative defense in the event of litigation. Consequently, it may be helpful to select a person with whom only a professional, arm’s-length relationship exists. You should, however, try to avoid using the person that regularly executes trades in your securities. Because you may be in frequent contact with that person, there is an increased likelihood that he or she may be in possession of material nonpublic information concerning the company when exercising discretionary authority under the plan (which is prohibited by Rule 10b5</w:t>
        <w:noBreakHyphen/>
        <w:t>1). You should also exercise caution if you are considering using a broker that is directly or indirectly affiliated with the company. If a broker works for a firm that is also the company’s investment banker, for example, there is a significant risk that the firm may have inside information concerning the company that may be imputed to the broker.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One possible approach is to have a separate department within a brokerage firm administer the plan. Many brokerage firms have a special trading desk dedicated to administering trading plans and have implemented related ethical wall procedures. A dedicated department in a brokerage firm may have more experience following complex instructions, will be more knowledgeable about the parameters of Rule 10b5</w:t>
        <w:noBreakHyphen/>
        <w:t>1 and will be less likely to be subject to influence by you.</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If you rely on someone to administer the trading plan, implement procedures to ensure their independence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help ensure that the person administering your plan is independent, your trading plan could specify that (i) you and the person administering the plan will only communicate in writing (thereby documenting all communications in case of future SEC inquiry), (ii) you will not communicate any information concerning the company or its securities to the person administering the plan and (iii) if you are using a broker, there must be ethical wall procedures to restrict communications within the brokerage firm regarding the company and your trades. To further address concerns as to the availability of the affirmative defense, it may be helpful to include a provision in your agreement with the third party that provides for the suspension or termination of trading authority if the third party becomes aware of material nonpublic information.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Protect your rights when working with brokers or other third parties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When working with a broker or another third party in connection with a trading plan, you will typically be expected to enter into some sort of agreement with that person. Brokers, for example, will often have a standard form of stock sale agreement for purposes of implementing trading plans. Your trading instructions would typically be included as a section of the stock sale agreement or attached to the stock sale agreement as an exhibit.</w:t>
      </w:r>
    </w:p>
    <w:p>
      <w:pPr>
        <w:pStyle w:val="TextBody"/>
        <w:bidi w:val="0"/>
        <w:spacing w:before="240" w:after="283"/>
        <w:jc w:val="both"/>
        <w:rPr>
          <w:rFonts w:ascii="Times New Roman" w:hAnsi="Times New Roman"/>
          <w:sz w:val="20"/>
        </w:rPr>
      </w:pPr>
      <w:r>
        <w:rPr>
          <w:rFonts w:ascii="Times New Roman" w:hAnsi="Times New Roman"/>
          <w:color w:val="000000"/>
          <w:sz w:val="24"/>
        </w:rPr>
        <w:t>While brokers will often request that you use their form of agreement, brokers will generally be amenable to the use of an alternative form or to revisions to their standard forms. Trading plans are for your benefit, and you should be proactive in defining the terms of the trading plan to ensure that your interests are adequately met. In particular, while you</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should consider recommendations and advice from the broker as to the trading plan generally, there should be no negotiation over the trading instructions.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is strongly advised that you have an attorney review any proposed form of trading plan for compliance with Rule 10b5</w:t>
        <w:noBreakHyphen/>
        <w:t>1 as well as to protect your legal rights generally. You should expect that third parties will request certain rights and protections (such as indemnification) that may be to your potential detriment.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Provide the person administering the trading plan with some flexibility in executing orders</w:t>
      </w:r>
    </w:p>
    <w:p>
      <w:pPr>
        <w:pStyle w:val="TextBody"/>
        <w:bidi w:val="0"/>
        <w:spacing w:before="240" w:after="283"/>
        <w:jc w:val="both"/>
        <w:rPr>
          <w:rFonts w:ascii="Times New Roman" w:hAnsi="Times New Roman"/>
          <w:sz w:val="20"/>
        </w:rPr>
      </w:pPr>
      <w:r>
        <w:rPr>
          <w:rFonts w:ascii="Times New Roman" w:hAnsi="Times New Roman"/>
          <w:color w:val="000000"/>
          <w:sz w:val="24"/>
        </w:rPr>
        <w:t>If a third party is administering the plan, you should try to provide that person with some flexibility in executing orders. Otherwise, trades may not occur as planned. Factors such as insufficient trading volume and market volatility may prevent trades from being executed as planned, particularly if the trading plan includes strict instructions with respect to the timing of transactions or provides for block purchases or sales. You should also consider how to handle any shortfalls that may occur if the person administering the plan is unable or otherwise fails to effect all transactions specified in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Consider delegating the precise timing of trades to a third party</w:t>
      </w:r>
    </w:p>
    <w:p>
      <w:pPr>
        <w:pStyle w:val="TextBody"/>
        <w:bidi w:val="0"/>
        <w:spacing w:before="240" w:after="283"/>
        <w:jc w:val="both"/>
        <w:rPr>
          <w:rFonts w:ascii="Times New Roman" w:hAnsi="Times New Roman"/>
          <w:sz w:val="20"/>
        </w:rPr>
      </w:pPr>
      <w:r>
        <w:rPr>
          <w:rFonts w:ascii="Times New Roman" w:hAnsi="Times New Roman"/>
          <w:color w:val="000000"/>
          <w:sz w:val="24"/>
        </w:rPr>
        <w:t>Where appropriate, to minimize the risk of allegations that you (i) selected the precise timing of trades based on your knowledge of material nonpublic information or (ii) affected the timing of disclosure to manipulate the stock price to your benefit, you should consider delegating discretion regarding the exact timing of trades, within a specified period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five trading days), to a stockbroker or other third party administering the plan. This may also be beneficial since that other person may be able to maximize proceeds from sales by taking into account publicly available information and general market trend information when determining the precise timing of trades. In contrast, the use of a pre-designated date and/or time may lock you into a trade at an inopportune time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when prices are unusually low).</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alxo-ex21_1.htm"/>
      <w:bookmarkStart w:id="51" w:name="ksalxoex21_1"/>
      <w:bookmarkEnd w:id="50"/>
      <w:bookmarkEnd w:id="51"/>
      <w:r>
        <w:rPr>
          <w:rFonts w:ascii="Times New Roman" w:hAnsi="Times New Roman"/>
          <w:b/>
          <w:color w:val="000000"/>
          <w:sz w:val="20"/>
        </w:rPr>
        <w:t>Exhibit 21.1</w:t>
      </w:r>
      <w:r>
        <w:br w:type="page"/>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5"/>
        <w:gridCol w:w="3086"/>
        <w:gridCol w:w="2754"/>
      </w:tblGrid>
      <w:tr>
        <w:trPr/>
        <w:tc>
          <w:tcPr>
            <w:tcW w:w="4365"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SUBSIDIARIES OF ALX ONCOLOGY HOLDINGS INC.</w:t>
            </w:r>
          </w:p>
        </w:tc>
      </w:tr>
      <w:tr>
        <w:trPr/>
        <w:tc>
          <w:tcPr>
            <w:tcW w:w="4365" w:type="dxa"/>
            <w:tcBorders/>
            <w:tcMar>
              <w:top w:w="0" w:type="dxa"/>
              <w:left w:w="0" w:type="dxa"/>
              <w:bottom w:w="0" w:type="dxa"/>
              <w:right w:w="0" w:type="dxa"/>
            </w:tcMar>
            <w:vAlign w:val="center"/>
          </w:tcPr>
          <w:p>
            <w:pPr>
              <w:pStyle w:val="TableContents"/>
              <w:bidi w:val="0"/>
              <w:spacing w:before="0" w:after="283"/>
              <w:jc w:val="left"/>
              <w:rPr/>
            </w:pPr>
            <w:r>
              <w:rPr/>
              <w:t> </w:t>
            </w:r>
          </w:p>
        </w:tc>
        <w:tc>
          <w:tcPr>
            <w:tcW w:w="3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7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5" w:type="dxa"/>
            <w:tcBorders/>
            <w:tcMar>
              <w:top w:w="0" w:type="dxa"/>
              <w:left w:w="0" w:type="dxa"/>
              <w:bottom w:w="0" w:type="dxa"/>
              <w:right w:w="0" w:type="dxa"/>
            </w:tcMar>
            <w:vAlign w:val="center"/>
          </w:tcPr>
          <w:p>
            <w:pPr>
              <w:pStyle w:val="TableContents"/>
              <w:bidi w:val="0"/>
              <w:spacing w:before="0" w:after="283"/>
              <w:ind w:left="0" w:right="0" w:firstLine="2940"/>
              <w:jc w:val="left"/>
              <w:rPr>
                <w:rFonts w:ascii="Times New Roman" w:hAnsi="Times New Roman"/>
                <w:b/>
                <w:color w:val="000000"/>
                <w:sz w:val="20"/>
              </w:rPr>
            </w:pPr>
            <w:r>
              <w:rPr>
                <w:rFonts w:ascii="Times New Roman" w:hAnsi="Times New Roman"/>
                <w:b/>
                <w:color w:val="000000"/>
                <w:sz w:val="20"/>
              </w:rPr>
              <w:t>Name of Subsidiary</w:t>
            </w:r>
          </w:p>
        </w:tc>
        <w:tc>
          <w:tcPr>
            <w:tcW w:w="3086" w:type="dxa"/>
            <w:tcBorders/>
            <w:tcMar>
              <w:top w:w="0" w:type="dxa"/>
              <w:left w:w="0" w:type="dxa"/>
              <w:bottom w:w="0" w:type="dxa"/>
              <w:right w:w="0" w:type="dxa"/>
            </w:tcMar>
            <w:vAlign w:val="center"/>
          </w:tcPr>
          <w:p>
            <w:pPr>
              <w:pStyle w:val="TableContents"/>
              <w:bidi w:val="0"/>
              <w:spacing w:before="0" w:after="283"/>
              <w:ind w:left="0" w:right="0" w:firstLine="2940"/>
              <w:jc w:val="left"/>
              <w:rPr/>
            </w:pPr>
            <w:r>
              <w:rPr/>
              <w:t> </w:t>
            </w:r>
          </w:p>
        </w:tc>
        <w:tc>
          <w:tcPr>
            <w:tcW w:w="2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 of Incorporation or Organization</w:t>
            </w:r>
          </w:p>
        </w:tc>
      </w:tr>
      <w:tr>
        <w:trPr/>
        <w:tc>
          <w:tcPr>
            <w:tcW w:w="4365"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Limited</w:t>
            </w:r>
          </w:p>
        </w:tc>
        <w:tc>
          <w:tcPr>
            <w:tcW w:w="30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754"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r>
      <w:tr>
        <w:trPr/>
        <w:tc>
          <w:tcPr>
            <w:tcW w:w="43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Incorporated</w:t>
            </w:r>
          </w:p>
        </w:tc>
        <w:tc>
          <w:tcPr>
            <w:tcW w:w="3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7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alxo-ex23_1.htm"/>
      <w:bookmarkStart w:id="53" w:name="ksalxoex23_1"/>
      <w:bookmarkEnd w:id="52"/>
      <w:bookmarkEnd w:id="53"/>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(Nos. 333-239927, 333-254459, 333-263090, 333-270424, 333-277765, and 333-284348) on Form S-8 and (Nos. 333-263863 and 333-274314) on Form S-3 of our report dated March 6, 2025, with respect to the consolidated financial statements of ALX Oncology Holdings Inc.</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March 6, 2025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alxo-ex31_1.htm"/>
      <w:bookmarkStart w:id="55" w:name="ksalxoex31_1"/>
      <w:bookmarkEnd w:id="54"/>
      <w:bookmarkEnd w:id="5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Lettmann,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1786"/>
        <w:gridCol w:w="109"/>
        <w:gridCol w:w="406"/>
        <w:gridCol w:w="325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alxo-ex31_2.htm"/>
      <w:bookmarkStart w:id="57" w:name="ksalxoex31_2"/>
      <w:bookmarkEnd w:id="56"/>
      <w:bookmarkEnd w:id="5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Harish Shantharam,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786"/>
        <w:gridCol w:w="109"/>
        <w:gridCol w:w="406"/>
        <w:gridCol w:w="256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8" w:name="alxo-ex32_1.htm"/>
      <w:bookmarkStart w:id="59" w:name="ksalxoex32_1"/>
      <w:bookmarkEnd w:id="58"/>
      <w:bookmarkEnd w:id="5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ALX Oncology Holdings Inc. (the “Company”), on Form 10-K for the fiscal year ended December 31, 2024,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1786"/>
        <w:gridCol w:w="109"/>
        <w:gridCol w:w="406"/>
        <w:gridCol w:w="325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0" w:name="alxo-ex32_2.htm"/>
      <w:bookmarkStart w:id="61" w:name="ksalxoex32_2"/>
      <w:bookmarkEnd w:id="60"/>
      <w:bookmarkEnd w:id="6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ALX Oncology Holdings Inc. (the “Company”), on Form 10-K for the fiscal year ended December 31, 2024,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786"/>
        <w:gridCol w:w="109"/>
        <w:gridCol w:w="406"/>
        <w:gridCol w:w="256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810182/000119312520196288/d47591dex31.htm" TargetMode="External"/><Relationship Id="rId11" Type="http://schemas.openxmlformats.org/officeDocument/2006/relationships/hyperlink" Target="https://www.sec.gov/Archives/edgar/data/1810182/000095017023028787/alxo-ex3_1.htm" TargetMode="External"/><Relationship Id="rId12" Type="http://schemas.openxmlformats.org/officeDocument/2006/relationships/hyperlink" Target="https://www.sec.gov/Archives/edgar/data/1810182/000119312520181021/d913838dex41.htm" TargetMode="External"/><Relationship Id="rId13" Type="http://schemas.openxmlformats.org/officeDocument/2006/relationships/hyperlink" Target="https://www.sec.gov/Archives/edgar/data/1810182/000119312520181021/d913838dex42.htm" TargetMode="External"/><Relationship Id="rId14" Type="http://schemas.openxmlformats.org/officeDocument/2006/relationships/hyperlink" Target="https://www.sec.gov/Archives/edgar/data/1810182/000095017024027955/alxo-ex4_3.htm" TargetMode="External"/><Relationship Id="rId15" Type="http://schemas.openxmlformats.org/officeDocument/2006/relationships/hyperlink" Target="https://www.sec.gov/Archives/edgar/data/1810182/000119312523251917/d534693dex41.htm" TargetMode="External"/><Relationship Id="rId16" Type="http://schemas.openxmlformats.org/officeDocument/2006/relationships/hyperlink" Target="https://www.sec.gov/Archives/edgar/data/1810182/000095017022020521/alxo-ex10_1.htm" TargetMode="External"/><Relationship Id="rId17" Type="http://schemas.openxmlformats.org/officeDocument/2006/relationships/hyperlink" Target="https://www.sec.gov/Archives/edgar/data/1810182/000095017023007013/alxo-ex10_11.htm" TargetMode="External"/><Relationship Id="rId18" Type="http://schemas.openxmlformats.org/officeDocument/2006/relationships/hyperlink" Target="https://www.sec.gov/Archives/edgar/data/1810182/000095017023041319/alxo-ex10_1.htm" TargetMode="External"/><Relationship Id="rId19" Type="http://schemas.openxmlformats.org/officeDocument/2006/relationships/hyperlink" Target="https://www.sec.gov/Archives/edgar/data/1810182/000095017023073016/alxo-ex10_1.htm" TargetMode="External"/><Relationship Id="rId20" Type="http://schemas.openxmlformats.org/officeDocument/2006/relationships/hyperlink" Target="https://www.sec.gov/Archives/edgar/data/0001810182/000119312521361275/d227281dex11.htm" TargetMode="External"/><Relationship Id="rId21" Type="http://schemas.openxmlformats.org/officeDocument/2006/relationships/hyperlink" Target="https://www.sec.gov/Archives/edgar/data/1810182/000095017023062929/alxo-ex10_1.htm" TargetMode="External"/><Relationship Id="rId22" Type="http://schemas.openxmlformats.org/officeDocument/2006/relationships/hyperlink" Target="https://www.sec.gov/Archives/edgar/data/1810182/000119312520181021/d913838dex101.htm" TargetMode="External"/><Relationship Id="rId23" Type="http://schemas.openxmlformats.org/officeDocument/2006/relationships/hyperlink" Target="https://www.sec.gov/Archives/edgar/data/1810182/000119312520191500/d913838dex102.htm" TargetMode="External"/><Relationship Id="rId24" Type="http://schemas.openxmlformats.org/officeDocument/2006/relationships/hyperlink" Target="https://www.sec.gov/Archives/edgar/data/1810182/000119312520191500/d913838dex103.htm" TargetMode="External"/><Relationship Id="rId25" Type="http://schemas.openxmlformats.org/officeDocument/2006/relationships/hyperlink" Target="https://www.sec.gov/Archives/edgar/data/1810182/000119312523229584/d846509dex101.htm" TargetMode="External"/><Relationship Id="rId26" Type="http://schemas.openxmlformats.org/officeDocument/2006/relationships/hyperlink" Target="https://www.sec.gov/Archives/edgar/data/1810182/000119312523229584/d846509dex102.htm" TargetMode="External"/><Relationship Id="rId27" Type="http://schemas.openxmlformats.org/officeDocument/2006/relationships/hyperlink" Target="https://www.sec.gov/Archives/edgar/data/1810182/000119312520191500/d913838dex106.htm" TargetMode="External"/><Relationship Id="rId28" Type="http://schemas.openxmlformats.org/officeDocument/2006/relationships/hyperlink" Target="https://www.sec.gov/Archives/edgar/data/1810182/000156459022007364/alxo-ex106_1098.htm" TargetMode="External"/><Relationship Id="rId29" Type="http://schemas.openxmlformats.org/officeDocument/2006/relationships/hyperlink" Target="https://www.sec.gov/Archives/edgar/data/1810182/000119312520191500/d913838dex108.htm" TargetMode="External"/><Relationship Id="rId30" Type="http://schemas.openxmlformats.org/officeDocument/2006/relationships/hyperlink" Target="https://www.sec.gov/Archives/edgar/data/1810182/000095017024123290/alxo-ex10_1.htm" TargetMode="External"/><Relationship Id="rId31" Type="http://schemas.openxmlformats.org/officeDocument/2006/relationships/hyperlink" Target="https://www.sec.gov/Archives/edgar/data/1810182/000119312520191500/d913838dex109.htm" TargetMode="External"/><Relationship Id="rId32" Type="http://schemas.openxmlformats.org/officeDocument/2006/relationships/hyperlink" Target="https://www.sec.gov/Archives/edgar/data/1810182/000119312520191500/d913838dex1011.htm" TargetMode="External"/><Relationship Id="rId33" Type="http://schemas.openxmlformats.org/officeDocument/2006/relationships/hyperlink" Target="https://www.sec.gov/Archives/edgar/data/1810182/000119312520181021/d913838dex1012.htm" TargetMode="External"/><Relationship Id="rId34" Type="http://schemas.openxmlformats.org/officeDocument/2006/relationships/hyperlink" Target="https://www.sec.gov/Archives/edgar/data/1810182/000119312520181021/d913838dex1015.htm" TargetMode="External"/><Relationship Id="rId35" Type="http://schemas.openxmlformats.org/officeDocument/2006/relationships/hyperlink" Target="https://www.sec.gov/Archives/edgar/data/1810182/000119312525008461/d909443dex101.htm" TargetMode="External"/><Relationship Id="rId36" Type="http://schemas.openxmlformats.org/officeDocument/2006/relationships/hyperlink" Target="https://www.sec.gov/Archives/edgar/data/1810182/000095017024027955/alxo-ex97_1.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118231</Words>
  <Characters>656657</Characters>
  <CharactersWithSpaces>775118</CharactersWithSpaces>
  <Paragraphs>9656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